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8721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72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66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Chief Executive Officer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66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66" w:orient="portrait"/>
          <w:cols w:equalWidth="0" w:num="2">
            <w:col w:w="3760" w:space="160"/>
            <w:col w:w="716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0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07/29/2022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57,283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98.898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152,127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07/29/2022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32,851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110.81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184,978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07/29/2022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69,671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115,307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4,080.9913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57,283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57,283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32,851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32,851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65,700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exercise and shares withheld to pay option costs and taxes pursuant to a Rule 10b5-1 Trading Plan.</w:t>
      </w:r>
    </w:p>
    <w:p>
      <w:pPr>
        <w:sectPr>
          <w:pgSz w:w="11900" w:h="16866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5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2022-08-02T14:48:21Z</dcterms:created>
  <dcterms:modified xsi:type="dcterms:W3CDTF">2022-08-02T14:48:21Z</dcterms:modified>
</cp:coreProperties>
</file>