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27,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6"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Waste Management, Inc. (the “Company”) issued a press release today announcing its financial results for the third quarter of 2026, a copy of which is furnished as Exhibit 99.1 to this Form 8-K. The Company is conducting an audio webcast to discuss these results beginning at 10:00 a.m. Eastern Time on October 28, 2026. </w:t>
      </w:r>
      <w:r>
        <w:rPr>
          <w:rFonts w:ascii="Times New Roman" w:cs="Times New Roman" w:eastAsia="Times New Roman" w:hAnsi="Times New Roman"/>
          <w:sz w:val="18"/>
          <w:szCs w:val="18"/>
          <w:color w:val="0A0A0A"/>
        </w:rPr>
        <w:t>Listeners can access the live audio webcast by visiting investors.wm.com and selecting “Events &amp; Presentations” from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website menu. A replay of the audio webcast will be available at the same location.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webcast,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October 27, 2026</w:t>
      </w:r>
    </w:p>
    <w:p>
      <w:pPr>
        <w:spacing w:after="0" w:line="225" w:lineRule="exact"/>
        <w:rPr>
          <w:sz w:val="20"/>
          <w:szCs w:val="20"/>
          <w:color w:val="auto"/>
        </w:rPr>
      </w:pPr>
    </w:p>
    <w:p>
      <w:pPr>
        <w:ind w:left="5580" w:right="4100" w:hanging="5572"/>
        <w:spacing w:after="0" w:line="783" w:lineRule="auto"/>
        <w:tabs>
          <w:tab w:leader="none" w:pos="13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648"/>
        </w:trPr>
        <w:tc>
          <w:tcPr>
            <w:tcW w:w="36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40"/>
          <w:szCs w:val="40"/>
          <w:color w:val="7AB800"/>
        </w:rPr>
        <w:t>WM Announces Third Quarter 2026 Earnings</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22"/>
          <w:szCs w:val="22"/>
          <w:color w:val="auto"/>
        </w:rPr>
        <w:t>Strong Cash Flow from Operations Supports Return of $957 Million to Shareholders During the Quarter</w:t>
      </w:r>
    </w:p>
    <w:p>
      <w:pPr>
        <w:spacing w:after="0" w:line="233"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Healthcare Solutions Increases Income from Operations by $41 Million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Driven by 3.7% Revenue Growth and Growing Cost Improvements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 xml:space="preserve">HOUSTON — October 27, 2026 </w:t>
      </w:r>
      <w:r>
        <w:rPr>
          <w:rFonts w:ascii="Arial" w:cs="Arial" w:eastAsia="Arial" w:hAnsi="Arial"/>
          <w:sz w:val="20"/>
          <w:szCs w:val="20"/>
          <w:color w:val="auto"/>
        </w:rPr>
        <w:t>— WM (NYSE: WM) today announced financial results for the quarter ended September 30,</w:t>
      </w:r>
      <w:r>
        <w:rPr>
          <w:rFonts w:ascii="Arial" w:cs="Arial" w:eastAsia="Arial" w:hAnsi="Arial"/>
          <w:sz w:val="20"/>
          <w:szCs w:val="20"/>
          <w:b w:val="1"/>
          <w:bCs w:val="1"/>
          <w:color w:val="auto"/>
        </w:rPr>
        <w:t xml:space="preserve"> </w:t>
      </w:r>
      <w:r>
        <w:rPr>
          <w:rFonts w:ascii="Arial" w:cs="Arial" w:eastAsia="Arial" w:hAnsi="Arial"/>
          <w:sz w:val="20"/>
          <w:szCs w:val="20"/>
          <w:color w:val="auto"/>
        </w:rPr>
        <w:t>2026.</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500" w:type="dxa"/>
            <w:vAlign w:val="bottom"/>
            <w:gridSpan w:val="5"/>
          </w:tcPr>
          <w:p>
            <w:pPr>
              <w:jc w:val="center"/>
              <w:ind w:right="820"/>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tcPr>
          <w:p>
            <w:pPr>
              <w:spacing w:after="0"/>
              <w:rPr>
                <w:sz w:val="17"/>
                <w:szCs w:val="17"/>
                <w:color w:val="auto"/>
              </w:rPr>
            </w:pPr>
          </w:p>
        </w:tc>
        <w:tc>
          <w:tcPr>
            <w:tcW w:w="280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r>
      <w:tr>
        <w:trPr>
          <w:trHeight w:val="176"/>
        </w:trPr>
        <w:tc>
          <w:tcPr>
            <w:tcW w:w="2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272727"/>
              </w:rPr>
              <w:t>September 30, 2026</w:t>
            </w:r>
          </w:p>
        </w:tc>
        <w:tc>
          <w:tcPr>
            <w:tcW w:w="140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20" w:type="dxa"/>
            <w:vAlign w:val="bottom"/>
            <w:gridSpan w:val="4"/>
          </w:tcPr>
          <w:p>
            <w:pPr>
              <w:jc w:val="center"/>
              <w:ind w:right="720"/>
              <w:spacing w:after="0" w:line="176" w:lineRule="exact"/>
              <w:rPr>
                <w:sz w:val="20"/>
                <w:szCs w:val="20"/>
                <w:color w:val="auto"/>
              </w:rPr>
            </w:pPr>
            <w:r>
              <w:rPr>
                <w:rFonts w:ascii="Arial" w:cs="Arial" w:eastAsia="Arial" w:hAnsi="Arial"/>
                <w:sz w:val="16"/>
                <w:szCs w:val="16"/>
                <w:b w:val="1"/>
                <w:bCs w:val="1"/>
                <w:color w:val="auto"/>
              </w:rPr>
              <w:t>September 30, 2025</w:t>
            </w:r>
          </w:p>
        </w:tc>
      </w:tr>
      <w:tr>
        <w:trPr>
          <w:trHeight w:val="20"/>
        </w:trPr>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272727"/>
          </w:tcPr>
          <w:p>
            <w:pPr>
              <w:spacing w:after="0" w:line="20" w:lineRule="exact"/>
              <w:rPr>
                <w:sz w:val="1"/>
                <w:szCs w:val="1"/>
                <w:color w:val="auto"/>
              </w:rPr>
            </w:pPr>
          </w:p>
        </w:tc>
        <w:tc>
          <w:tcPr>
            <w:tcW w:w="760" w:type="dxa"/>
            <w:vAlign w:val="bottom"/>
            <w:shd w:val="clear" w:color="auto" w:fill="27272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2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272727"/>
              </w:rPr>
              <w:t>(in millions, except per share amounts)</w:t>
            </w: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0" w:type="dxa"/>
            <w:vAlign w:val="bottom"/>
            <w:gridSpan w:val="5"/>
          </w:tcPr>
          <w:p>
            <w:pPr>
              <w:jc w:val="center"/>
              <w:ind w:right="140"/>
              <w:spacing w:after="0" w:line="155" w:lineRule="exact"/>
              <w:rPr>
                <w:sz w:val="20"/>
                <w:szCs w:val="20"/>
                <w:color w:val="auto"/>
              </w:rPr>
            </w:pPr>
            <w:r>
              <w:rPr>
                <w:rFonts w:ascii="Arial" w:cs="Arial" w:eastAsia="Arial" w:hAnsi="Arial"/>
                <w:sz w:val="14"/>
                <w:szCs w:val="14"/>
                <w:b w:val="1"/>
                <w:bCs w:val="1"/>
                <w:color w:val="auto"/>
              </w:rPr>
              <w:t>(in millions, except per share amounts)</w:t>
            </w:r>
          </w:p>
        </w:tc>
      </w:tr>
      <w:tr>
        <w:trPr>
          <w:trHeight w:val="20"/>
        </w:trPr>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gridSpan w:val="2"/>
            <w:shd w:val="clear" w:color="auto" w:fill="272727"/>
          </w:tcPr>
          <w:p>
            <w:pPr>
              <w:spacing w:after="0" w:line="20" w:lineRule="exact"/>
              <w:rPr>
                <w:sz w:val="1"/>
                <w:szCs w:val="1"/>
                <w:color w:val="auto"/>
              </w:rPr>
            </w:pPr>
          </w:p>
        </w:tc>
        <w:tc>
          <w:tcPr>
            <w:tcW w:w="1340" w:type="dxa"/>
            <w:vAlign w:val="bottom"/>
            <w:gridSpan w:val="2"/>
            <w:shd w:val="clear" w:color="auto" w:fill="27272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56"/>
        </w:trPr>
        <w:tc>
          <w:tcPr>
            <w:tcW w:w="2600" w:type="dxa"/>
            <w:vAlign w:val="bottom"/>
          </w:tcPr>
          <w:p>
            <w:pPr>
              <w:spacing w:after="0"/>
              <w:rPr>
                <w:sz w:val="24"/>
                <w:szCs w:val="24"/>
                <w:color w:val="auto"/>
              </w:rPr>
            </w:pPr>
          </w:p>
        </w:tc>
        <w:tc>
          <w:tcPr>
            <w:tcW w:w="2140" w:type="dxa"/>
            <w:vAlign w:val="bottom"/>
            <w:gridSpan w:val="3"/>
          </w:tcPr>
          <w:p>
            <w:pPr>
              <w:ind w:left="740"/>
              <w:spacing w:after="0"/>
              <w:rPr>
                <w:sz w:val="20"/>
                <w:szCs w:val="20"/>
                <w:color w:val="auto"/>
              </w:rPr>
            </w:pPr>
            <w:r>
              <w:rPr>
                <w:rFonts w:ascii="Arial" w:cs="Arial" w:eastAsia="Arial" w:hAnsi="Arial"/>
                <w:sz w:val="16"/>
                <w:szCs w:val="16"/>
                <w:color w:val="auto"/>
              </w:rPr>
              <w:t>As Reported</w:t>
            </w:r>
          </w:p>
        </w:tc>
        <w:tc>
          <w:tcPr>
            <w:tcW w:w="2160" w:type="dxa"/>
            <w:vAlign w:val="bottom"/>
            <w:gridSpan w:val="3"/>
          </w:tcPr>
          <w:p>
            <w:pPr>
              <w:ind w:left="500"/>
              <w:spacing w:after="0"/>
              <w:rPr>
                <w:sz w:val="20"/>
                <w:szCs w:val="20"/>
                <w:color w:val="auto"/>
              </w:rPr>
            </w:pPr>
            <w:r>
              <w:rPr>
                <w:rFonts w:ascii="Arial" w:cs="Arial" w:eastAsia="Arial" w:hAnsi="Arial"/>
                <w:sz w:val="16"/>
                <w:szCs w:val="16"/>
                <w:color w:val="auto"/>
              </w:rPr>
              <w:t>As Adjusted</w:t>
            </w:r>
            <w:r>
              <w:rPr>
                <w:rFonts w:ascii="Arial" w:cs="Arial" w:eastAsia="Arial" w:hAnsi="Arial"/>
                <w:sz w:val="26"/>
                <w:szCs w:val="26"/>
                <w:color w:val="auto"/>
                <w:vertAlign w:val="superscript"/>
              </w:rPr>
              <w:t>(a)</w:t>
            </w:r>
          </w:p>
        </w:tc>
        <w:tc>
          <w:tcPr>
            <w:tcW w:w="2100" w:type="dxa"/>
            <w:vAlign w:val="bottom"/>
            <w:gridSpan w:val="3"/>
          </w:tcPr>
          <w:p>
            <w:pPr>
              <w:ind w:left="640"/>
              <w:spacing w:after="0"/>
              <w:rPr>
                <w:sz w:val="20"/>
                <w:szCs w:val="20"/>
                <w:color w:val="auto"/>
              </w:rPr>
            </w:pPr>
            <w:r>
              <w:rPr>
                <w:rFonts w:ascii="Arial" w:cs="Arial" w:eastAsia="Arial" w:hAnsi="Arial"/>
                <w:sz w:val="16"/>
                <w:szCs w:val="16"/>
                <w:color w:val="auto"/>
              </w:rPr>
              <w:t>As Reported</w:t>
            </w:r>
          </w:p>
        </w:tc>
        <w:tc>
          <w:tcPr>
            <w:tcW w:w="1580" w:type="dxa"/>
            <w:vAlign w:val="bottom"/>
            <w:gridSpan w:val="3"/>
          </w:tcPr>
          <w:p>
            <w:pPr>
              <w:ind w:left="540"/>
              <w:spacing w:after="0"/>
              <w:rPr>
                <w:sz w:val="20"/>
                <w:szCs w:val="20"/>
                <w:color w:val="auto"/>
              </w:rPr>
            </w:pPr>
            <w:r>
              <w:rPr>
                <w:rFonts w:ascii="Arial" w:cs="Arial" w:eastAsia="Arial" w:hAnsi="Arial"/>
                <w:sz w:val="16"/>
                <w:szCs w:val="16"/>
                <w:color w:val="auto"/>
                <w:w w:val="95"/>
              </w:rPr>
              <w:t>As Adjusted</w:t>
            </w:r>
            <w:r>
              <w:rPr>
                <w:rFonts w:ascii="Arial" w:cs="Arial" w:eastAsia="Arial" w:hAnsi="Arial"/>
                <w:sz w:val="26"/>
                <w:szCs w:val="26"/>
                <w:color w:val="auto"/>
                <w:w w:val="95"/>
                <w:vertAlign w:val="superscript"/>
              </w:rPr>
              <w:t>(a)</w:t>
            </w:r>
          </w:p>
        </w:tc>
      </w:tr>
      <w:tr>
        <w:trPr>
          <w:trHeight w:val="313"/>
        </w:trPr>
        <w:tc>
          <w:tcPr>
            <w:tcW w:w="2600" w:type="dxa"/>
            <w:vAlign w:val="bottom"/>
          </w:tcPr>
          <w:p>
            <w:pPr>
              <w:spacing w:after="0"/>
              <w:rPr>
                <w:sz w:val="20"/>
                <w:szCs w:val="20"/>
                <w:color w:val="auto"/>
              </w:rPr>
            </w:pPr>
            <w:r>
              <w:rPr>
                <w:rFonts w:ascii="Arial" w:cs="Arial" w:eastAsia="Arial" w:hAnsi="Arial"/>
                <w:sz w:val="16"/>
                <w:szCs w:val="16"/>
                <w:color w:val="auto"/>
              </w:rPr>
              <w:t>Revenue</w:t>
            </w:r>
          </w:p>
        </w:tc>
        <w:tc>
          <w:tcPr>
            <w:tcW w:w="2140" w:type="dxa"/>
            <w:vAlign w:val="bottom"/>
            <w:gridSpan w:val="3"/>
          </w:tcPr>
          <w:p>
            <w:pPr>
              <w:jc w:val="center"/>
              <w:ind w:left="139"/>
              <w:spacing w:after="0"/>
              <w:rPr>
                <w:sz w:val="20"/>
                <w:szCs w:val="20"/>
                <w:color w:val="auto"/>
              </w:rPr>
            </w:pPr>
            <w:r>
              <w:rPr>
                <w:rFonts w:ascii="Arial" w:cs="Arial" w:eastAsia="Arial" w:hAnsi="Arial"/>
                <w:sz w:val="16"/>
                <w:szCs w:val="16"/>
                <w:color w:val="auto"/>
                <w:w w:val="98"/>
              </w:rPr>
              <w:t>$6,846</w:t>
            </w:r>
          </w:p>
        </w:tc>
        <w:tc>
          <w:tcPr>
            <w:tcW w:w="1340" w:type="dxa"/>
            <w:vAlign w:val="bottom"/>
            <w:gridSpan w:val="2"/>
          </w:tcPr>
          <w:p>
            <w:pPr>
              <w:jc w:val="center"/>
              <w:ind w:left="599"/>
              <w:spacing w:after="0"/>
              <w:rPr>
                <w:sz w:val="20"/>
                <w:szCs w:val="20"/>
                <w:color w:val="auto"/>
              </w:rPr>
            </w:pPr>
            <w:r>
              <w:rPr>
                <w:rFonts w:ascii="Arial" w:cs="Arial" w:eastAsia="Arial" w:hAnsi="Arial"/>
                <w:sz w:val="16"/>
                <w:szCs w:val="16"/>
                <w:color w:val="auto"/>
              </w:rPr>
              <w:t>$6,846</w:t>
            </w:r>
          </w:p>
        </w:tc>
        <w:tc>
          <w:tcPr>
            <w:tcW w:w="820" w:type="dxa"/>
            <w:vAlign w:val="bottom"/>
          </w:tcPr>
          <w:p>
            <w:pPr>
              <w:spacing w:after="0"/>
              <w:rPr>
                <w:sz w:val="24"/>
                <w:szCs w:val="24"/>
                <w:color w:val="auto"/>
              </w:rPr>
            </w:pPr>
          </w:p>
        </w:tc>
        <w:tc>
          <w:tcPr>
            <w:tcW w:w="1460" w:type="dxa"/>
            <w:vAlign w:val="bottom"/>
            <w:gridSpan w:val="2"/>
          </w:tcPr>
          <w:p>
            <w:pPr>
              <w:jc w:val="center"/>
              <w:ind w:left="639"/>
              <w:spacing w:after="0"/>
              <w:rPr>
                <w:sz w:val="20"/>
                <w:szCs w:val="20"/>
                <w:color w:val="auto"/>
              </w:rPr>
            </w:pPr>
            <w:r>
              <w:rPr>
                <w:rFonts w:ascii="Arial" w:cs="Arial" w:eastAsia="Arial" w:hAnsi="Arial"/>
                <w:sz w:val="16"/>
                <w:szCs w:val="16"/>
                <w:color w:val="auto"/>
              </w:rPr>
              <w:t>$6,443</w:t>
            </w:r>
          </w:p>
        </w:tc>
        <w:tc>
          <w:tcPr>
            <w:tcW w:w="640" w:type="dxa"/>
            <w:vAlign w:val="bottom"/>
          </w:tcPr>
          <w:p>
            <w:pPr>
              <w:spacing w:after="0"/>
              <w:rPr>
                <w:sz w:val="24"/>
                <w:szCs w:val="24"/>
                <w:color w:val="auto"/>
              </w:rPr>
            </w:pPr>
          </w:p>
        </w:tc>
        <w:tc>
          <w:tcPr>
            <w:tcW w:w="1440" w:type="dxa"/>
            <w:vAlign w:val="bottom"/>
            <w:gridSpan w:val="2"/>
          </w:tcPr>
          <w:p>
            <w:pPr>
              <w:jc w:val="center"/>
              <w:ind w:left="599"/>
              <w:spacing w:after="0"/>
              <w:rPr>
                <w:sz w:val="20"/>
                <w:szCs w:val="20"/>
                <w:color w:val="auto"/>
              </w:rPr>
            </w:pPr>
            <w:r>
              <w:rPr>
                <w:rFonts w:ascii="Arial" w:cs="Arial" w:eastAsia="Arial" w:hAnsi="Arial"/>
                <w:sz w:val="16"/>
                <w:szCs w:val="16"/>
                <w:color w:val="auto"/>
                <w:w w:val="98"/>
              </w:rPr>
              <w:t>$6,443</w:t>
            </w:r>
          </w:p>
        </w:tc>
        <w:tc>
          <w:tcPr>
            <w:tcW w:w="140" w:type="dxa"/>
            <w:vAlign w:val="bottom"/>
          </w:tcPr>
          <w:p>
            <w:pPr>
              <w:spacing w:after="0"/>
              <w:rPr>
                <w:sz w:val="24"/>
                <w:szCs w:val="24"/>
                <w:color w:val="auto"/>
              </w:rPr>
            </w:pPr>
          </w:p>
        </w:tc>
      </w:tr>
      <w:tr>
        <w:trPr>
          <w:trHeight w:val="432"/>
        </w:trPr>
        <w:tc>
          <w:tcPr>
            <w:tcW w:w="2600" w:type="dxa"/>
            <w:vAlign w:val="bottom"/>
          </w:tcPr>
          <w:p>
            <w:pPr>
              <w:spacing w:after="0"/>
              <w:rPr>
                <w:sz w:val="20"/>
                <w:szCs w:val="20"/>
                <w:color w:val="auto"/>
              </w:rPr>
            </w:pPr>
            <w:r>
              <w:rPr>
                <w:rFonts w:ascii="Arial" w:cs="Arial" w:eastAsia="Arial" w:hAnsi="Arial"/>
                <w:sz w:val="16"/>
                <w:szCs w:val="16"/>
                <w:color w:val="auto"/>
              </w:rPr>
              <w:t>Income from Operations</w:t>
            </w:r>
          </w:p>
        </w:tc>
        <w:tc>
          <w:tcPr>
            <w:tcW w:w="2140" w:type="dxa"/>
            <w:vAlign w:val="bottom"/>
            <w:gridSpan w:val="3"/>
          </w:tcPr>
          <w:p>
            <w:pPr>
              <w:jc w:val="center"/>
              <w:ind w:left="139"/>
              <w:spacing w:after="0"/>
              <w:rPr>
                <w:sz w:val="20"/>
                <w:szCs w:val="20"/>
                <w:color w:val="auto"/>
              </w:rPr>
            </w:pPr>
            <w:r>
              <w:rPr>
                <w:rFonts w:ascii="Arial" w:cs="Arial" w:eastAsia="Arial" w:hAnsi="Arial"/>
                <w:sz w:val="16"/>
                <w:szCs w:val="16"/>
                <w:color w:val="auto"/>
                <w:w w:val="98"/>
              </w:rPr>
              <w:t>$1,279</w:t>
            </w:r>
          </w:p>
        </w:tc>
        <w:tc>
          <w:tcPr>
            <w:tcW w:w="1340" w:type="dxa"/>
            <w:vAlign w:val="bottom"/>
            <w:gridSpan w:val="2"/>
          </w:tcPr>
          <w:p>
            <w:pPr>
              <w:jc w:val="center"/>
              <w:ind w:left="599"/>
              <w:spacing w:after="0"/>
              <w:rPr>
                <w:sz w:val="20"/>
                <w:szCs w:val="20"/>
                <w:color w:val="auto"/>
              </w:rPr>
            </w:pPr>
            <w:r>
              <w:rPr>
                <w:rFonts w:ascii="Arial" w:cs="Arial" w:eastAsia="Arial" w:hAnsi="Arial"/>
                <w:sz w:val="16"/>
                <w:szCs w:val="16"/>
                <w:color w:val="auto"/>
              </w:rPr>
              <w:t>$1,329</w:t>
            </w:r>
          </w:p>
        </w:tc>
        <w:tc>
          <w:tcPr>
            <w:tcW w:w="820" w:type="dxa"/>
            <w:vAlign w:val="bottom"/>
          </w:tcPr>
          <w:p>
            <w:pPr>
              <w:spacing w:after="0"/>
              <w:rPr>
                <w:sz w:val="24"/>
                <w:szCs w:val="24"/>
                <w:color w:val="auto"/>
              </w:rPr>
            </w:pPr>
          </w:p>
        </w:tc>
        <w:tc>
          <w:tcPr>
            <w:tcW w:w="1460" w:type="dxa"/>
            <w:vAlign w:val="bottom"/>
            <w:gridSpan w:val="2"/>
          </w:tcPr>
          <w:p>
            <w:pPr>
              <w:jc w:val="center"/>
              <w:ind w:left="619"/>
              <w:spacing w:after="0"/>
              <w:rPr>
                <w:sz w:val="20"/>
                <w:szCs w:val="20"/>
                <w:color w:val="auto"/>
              </w:rPr>
            </w:pPr>
            <w:r>
              <w:rPr>
                <w:rFonts w:ascii="Arial" w:cs="Arial" w:eastAsia="Arial" w:hAnsi="Arial"/>
                <w:sz w:val="16"/>
                <w:szCs w:val="16"/>
                <w:color w:val="auto"/>
              </w:rPr>
              <w:t>$989</w:t>
            </w:r>
          </w:p>
        </w:tc>
        <w:tc>
          <w:tcPr>
            <w:tcW w:w="640" w:type="dxa"/>
            <w:vAlign w:val="bottom"/>
          </w:tcPr>
          <w:p>
            <w:pPr>
              <w:spacing w:after="0"/>
              <w:rPr>
                <w:sz w:val="24"/>
                <w:szCs w:val="24"/>
                <w:color w:val="auto"/>
              </w:rPr>
            </w:pPr>
          </w:p>
        </w:tc>
        <w:tc>
          <w:tcPr>
            <w:tcW w:w="1440" w:type="dxa"/>
            <w:vAlign w:val="bottom"/>
            <w:gridSpan w:val="2"/>
          </w:tcPr>
          <w:p>
            <w:pPr>
              <w:jc w:val="center"/>
              <w:ind w:left="599"/>
              <w:spacing w:after="0"/>
              <w:rPr>
                <w:sz w:val="20"/>
                <w:szCs w:val="20"/>
                <w:color w:val="auto"/>
              </w:rPr>
            </w:pPr>
            <w:r>
              <w:rPr>
                <w:rFonts w:ascii="Arial" w:cs="Arial" w:eastAsia="Arial" w:hAnsi="Arial"/>
                <w:sz w:val="16"/>
                <w:szCs w:val="16"/>
                <w:color w:val="auto"/>
                <w:w w:val="98"/>
              </w:rPr>
              <w:t>$1,241</w:t>
            </w:r>
          </w:p>
        </w:tc>
        <w:tc>
          <w:tcPr>
            <w:tcW w:w="140" w:type="dxa"/>
            <w:vAlign w:val="bottom"/>
          </w:tcPr>
          <w:p>
            <w:pPr>
              <w:spacing w:after="0"/>
              <w:rPr>
                <w:sz w:val="24"/>
                <w:szCs w:val="24"/>
                <w:color w:val="auto"/>
              </w:rPr>
            </w:pPr>
          </w:p>
        </w:tc>
      </w:tr>
      <w:tr>
        <w:trPr>
          <w:trHeight w:val="565"/>
        </w:trPr>
        <w:tc>
          <w:tcPr>
            <w:tcW w:w="2600" w:type="dxa"/>
            <w:vAlign w:val="bottom"/>
          </w:tcPr>
          <w:p>
            <w:pPr>
              <w:spacing w:after="0"/>
              <w:rPr>
                <w:sz w:val="20"/>
                <w:szCs w:val="20"/>
                <w:color w:val="auto"/>
              </w:rPr>
            </w:pPr>
            <w:r>
              <w:rPr>
                <w:rFonts w:ascii="Arial" w:cs="Arial" w:eastAsia="Arial" w:hAnsi="Arial"/>
                <w:sz w:val="16"/>
                <w:szCs w:val="16"/>
                <w:color w:val="auto"/>
              </w:rPr>
              <w:t>Operating EBITDA</w:t>
            </w:r>
            <w:r>
              <w:rPr>
                <w:rFonts w:ascii="Arial" w:cs="Arial" w:eastAsia="Arial" w:hAnsi="Arial"/>
                <w:sz w:val="26"/>
                <w:szCs w:val="26"/>
                <w:color w:val="auto"/>
                <w:vertAlign w:val="superscript"/>
              </w:rPr>
              <w:t>(b) (c)</w:t>
            </w:r>
          </w:p>
        </w:tc>
        <w:tc>
          <w:tcPr>
            <w:tcW w:w="2140" w:type="dxa"/>
            <w:vAlign w:val="bottom"/>
            <w:gridSpan w:val="3"/>
          </w:tcPr>
          <w:p>
            <w:pPr>
              <w:jc w:val="center"/>
              <w:ind w:left="139"/>
              <w:spacing w:after="0"/>
              <w:rPr>
                <w:sz w:val="20"/>
                <w:szCs w:val="20"/>
                <w:color w:val="auto"/>
              </w:rPr>
            </w:pPr>
            <w:r>
              <w:rPr>
                <w:rFonts w:ascii="Arial" w:cs="Arial" w:eastAsia="Arial" w:hAnsi="Arial"/>
                <w:sz w:val="16"/>
                <w:szCs w:val="16"/>
                <w:color w:val="auto"/>
                <w:w w:val="98"/>
              </w:rPr>
              <w:t>$2,071</w:t>
            </w:r>
          </w:p>
        </w:tc>
        <w:tc>
          <w:tcPr>
            <w:tcW w:w="1340" w:type="dxa"/>
            <w:vAlign w:val="bottom"/>
            <w:gridSpan w:val="2"/>
          </w:tcPr>
          <w:p>
            <w:pPr>
              <w:jc w:val="center"/>
              <w:ind w:left="599"/>
              <w:spacing w:after="0"/>
              <w:rPr>
                <w:sz w:val="20"/>
                <w:szCs w:val="20"/>
                <w:color w:val="auto"/>
              </w:rPr>
            </w:pPr>
            <w:r>
              <w:rPr>
                <w:rFonts w:ascii="Arial" w:cs="Arial" w:eastAsia="Arial" w:hAnsi="Arial"/>
                <w:sz w:val="16"/>
                <w:szCs w:val="16"/>
                <w:color w:val="auto"/>
              </w:rPr>
              <w:t>$2,121</w:t>
            </w:r>
          </w:p>
        </w:tc>
        <w:tc>
          <w:tcPr>
            <w:tcW w:w="820" w:type="dxa"/>
            <w:vAlign w:val="bottom"/>
          </w:tcPr>
          <w:p>
            <w:pPr>
              <w:spacing w:after="0"/>
              <w:rPr>
                <w:sz w:val="24"/>
                <w:szCs w:val="24"/>
                <w:color w:val="auto"/>
              </w:rPr>
            </w:pPr>
          </w:p>
        </w:tc>
        <w:tc>
          <w:tcPr>
            <w:tcW w:w="1460" w:type="dxa"/>
            <w:vAlign w:val="bottom"/>
            <w:gridSpan w:val="2"/>
          </w:tcPr>
          <w:p>
            <w:pPr>
              <w:jc w:val="center"/>
              <w:ind w:left="639"/>
              <w:spacing w:after="0"/>
              <w:rPr>
                <w:sz w:val="20"/>
                <w:szCs w:val="20"/>
                <w:color w:val="auto"/>
              </w:rPr>
            </w:pPr>
            <w:r>
              <w:rPr>
                <w:rFonts w:ascii="Arial" w:cs="Arial" w:eastAsia="Arial" w:hAnsi="Arial"/>
                <w:sz w:val="16"/>
                <w:szCs w:val="16"/>
                <w:color w:val="auto"/>
              </w:rPr>
              <w:t>$1,753</w:t>
            </w:r>
          </w:p>
        </w:tc>
        <w:tc>
          <w:tcPr>
            <w:tcW w:w="640" w:type="dxa"/>
            <w:vAlign w:val="bottom"/>
          </w:tcPr>
          <w:p>
            <w:pPr>
              <w:spacing w:after="0"/>
              <w:rPr>
                <w:sz w:val="24"/>
                <w:szCs w:val="24"/>
                <w:color w:val="auto"/>
              </w:rPr>
            </w:pPr>
          </w:p>
        </w:tc>
        <w:tc>
          <w:tcPr>
            <w:tcW w:w="1440" w:type="dxa"/>
            <w:vAlign w:val="bottom"/>
            <w:gridSpan w:val="2"/>
          </w:tcPr>
          <w:p>
            <w:pPr>
              <w:jc w:val="center"/>
              <w:ind w:left="599"/>
              <w:spacing w:after="0"/>
              <w:rPr>
                <w:sz w:val="20"/>
                <w:szCs w:val="20"/>
                <w:color w:val="auto"/>
              </w:rPr>
            </w:pPr>
            <w:r>
              <w:rPr>
                <w:rFonts w:ascii="Arial" w:cs="Arial" w:eastAsia="Arial" w:hAnsi="Arial"/>
                <w:sz w:val="16"/>
                <w:szCs w:val="16"/>
                <w:color w:val="auto"/>
                <w:w w:val="98"/>
              </w:rPr>
              <w:t>$2,005</w:t>
            </w:r>
          </w:p>
        </w:tc>
        <w:tc>
          <w:tcPr>
            <w:tcW w:w="140" w:type="dxa"/>
            <w:vAlign w:val="bottom"/>
          </w:tcPr>
          <w:p>
            <w:pPr>
              <w:spacing w:after="0"/>
              <w:rPr>
                <w:sz w:val="24"/>
                <w:szCs w:val="24"/>
                <w:color w:val="auto"/>
              </w:rPr>
            </w:pPr>
          </w:p>
        </w:tc>
      </w:tr>
      <w:tr>
        <w:trPr>
          <w:trHeight w:val="313"/>
        </w:trPr>
        <w:tc>
          <w:tcPr>
            <w:tcW w:w="2600" w:type="dxa"/>
            <w:vAlign w:val="bottom"/>
          </w:tcPr>
          <w:p>
            <w:pPr>
              <w:spacing w:after="0"/>
              <w:rPr>
                <w:sz w:val="20"/>
                <w:szCs w:val="20"/>
                <w:color w:val="auto"/>
              </w:rPr>
            </w:pPr>
            <w:r>
              <w:rPr>
                <w:rFonts w:ascii="Arial" w:cs="Arial" w:eastAsia="Arial" w:hAnsi="Arial"/>
                <w:sz w:val="16"/>
                <w:szCs w:val="16"/>
                <w:color w:val="auto"/>
              </w:rPr>
              <w:t>Operating EBITDA Margin</w:t>
            </w:r>
          </w:p>
        </w:tc>
        <w:tc>
          <w:tcPr>
            <w:tcW w:w="2140" w:type="dxa"/>
            <w:vAlign w:val="bottom"/>
            <w:gridSpan w:val="3"/>
          </w:tcPr>
          <w:p>
            <w:pPr>
              <w:jc w:val="center"/>
              <w:ind w:left="159"/>
              <w:spacing w:after="0"/>
              <w:rPr>
                <w:sz w:val="20"/>
                <w:szCs w:val="20"/>
                <w:color w:val="auto"/>
              </w:rPr>
            </w:pPr>
            <w:r>
              <w:rPr>
                <w:rFonts w:ascii="Arial" w:cs="Arial" w:eastAsia="Arial" w:hAnsi="Arial"/>
                <w:sz w:val="16"/>
                <w:szCs w:val="16"/>
                <w:color w:val="auto"/>
              </w:rPr>
              <w:t>30.3%</w:t>
            </w:r>
          </w:p>
        </w:tc>
        <w:tc>
          <w:tcPr>
            <w:tcW w:w="1340" w:type="dxa"/>
            <w:vAlign w:val="bottom"/>
            <w:gridSpan w:val="2"/>
          </w:tcPr>
          <w:p>
            <w:pPr>
              <w:jc w:val="center"/>
              <w:ind w:left="599"/>
              <w:spacing w:after="0"/>
              <w:rPr>
                <w:sz w:val="20"/>
                <w:szCs w:val="20"/>
                <w:color w:val="auto"/>
              </w:rPr>
            </w:pPr>
            <w:r>
              <w:rPr>
                <w:rFonts w:ascii="Arial" w:cs="Arial" w:eastAsia="Arial" w:hAnsi="Arial"/>
                <w:sz w:val="16"/>
                <w:szCs w:val="16"/>
                <w:color w:val="auto"/>
              </w:rPr>
              <w:t>31.0%</w:t>
            </w:r>
          </w:p>
        </w:tc>
        <w:tc>
          <w:tcPr>
            <w:tcW w:w="820" w:type="dxa"/>
            <w:vAlign w:val="bottom"/>
          </w:tcPr>
          <w:p>
            <w:pPr>
              <w:spacing w:after="0"/>
              <w:rPr>
                <w:sz w:val="24"/>
                <w:szCs w:val="24"/>
                <w:color w:val="auto"/>
              </w:rPr>
            </w:pPr>
          </w:p>
        </w:tc>
        <w:tc>
          <w:tcPr>
            <w:tcW w:w="1460" w:type="dxa"/>
            <w:vAlign w:val="bottom"/>
            <w:gridSpan w:val="2"/>
          </w:tcPr>
          <w:p>
            <w:pPr>
              <w:jc w:val="center"/>
              <w:ind w:left="639"/>
              <w:spacing w:after="0"/>
              <w:rPr>
                <w:sz w:val="20"/>
                <w:szCs w:val="20"/>
                <w:color w:val="auto"/>
              </w:rPr>
            </w:pPr>
            <w:r>
              <w:rPr>
                <w:rFonts w:ascii="Arial" w:cs="Arial" w:eastAsia="Arial" w:hAnsi="Arial"/>
                <w:sz w:val="16"/>
                <w:szCs w:val="16"/>
                <w:color w:val="auto"/>
              </w:rPr>
              <w:t>27.2%</w:t>
            </w:r>
          </w:p>
        </w:tc>
        <w:tc>
          <w:tcPr>
            <w:tcW w:w="640" w:type="dxa"/>
            <w:vAlign w:val="bottom"/>
          </w:tcPr>
          <w:p>
            <w:pPr>
              <w:spacing w:after="0"/>
              <w:rPr>
                <w:sz w:val="24"/>
                <w:szCs w:val="24"/>
                <w:color w:val="auto"/>
              </w:rPr>
            </w:pPr>
          </w:p>
        </w:tc>
        <w:tc>
          <w:tcPr>
            <w:tcW w:w="1440" w:type="dxa"/>
            <w:vAlign w:val="bottom"/>
            <w:gridSpan w:val="2"/>
          </w:tcPr>
          <w:p>
            <w:pPr>
              <w:jc w:val="center"/>
              <w:ind w:left="579"/>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24"/>
                <w:szCs w:val="24"/>
                <w:color w:val="auto"/>
              </w:rPr>
            </w:pPr>
          </w:p>
        </w:tc>
      </w:tr>
      <w:tr>
        <w:trPr>
          <w:trHeight w:val="565"/>
        </w:trPr>
        <w:tc>
          <w:tcPr>
            <w:tcW w:w="2600" w:type="dxa"/>
            <w:vAlign w:val="bottom"/>
          </w:tcPr>
          <w:p>
            <w:pPr>
              <w:spacing w:after="0"/>
              <w:rPr>
                <w:sz w:val="20"/>
                <w:szCs w:val="20"/>
                <w:color w:val="auto"/>
              </w:rPr>
            </w:pPr>
            <w:r>
              <w:rPr>
                <w:rFonts w:ascii="Arial" w:cs="Arial" w:eastAsia="Arial" w:hAnsi="Arial"/>
                <w:sz w:val="16"/>
                <w:szCs w:val="16"/>
                <w:color w:val="auto"/>
              </w:rPr>
              <w:t>Net Income</w:t>
            </w:r>
            <w:r>
              <w:rPr>
                <w:rFonts w:ascii="Arial" w:cs="Arial" w:eastAsia="Arial" w:hAnsi="Arial"/>
                <w:sz w:val="26"/>
                <w:szCs w:val="26"/>
                <w:color w:val="auto"/>
                <w:vertAlign w:val="superscript"/>
              </w:rPr>
              <w:t>(d)</w:t>
            </w:r>
          </w:p>
        </w:tc>
        <w:tc>
          <w:tcPr>
            <w:tcW w:w="1380" w:type="dxa"/>
            <w:vAlign w:val="bottom"/>
            <w:gridSpan w:val="2"/>
          </w:tcPr>
          <w:p>
            <w:pPr>
              <w:jc w:val="center"/>
              <w:ind w:left="899"/>
              <w:spacing w:after="0"/>
              <w:rPr>
                <w:sz w:val="20"/>
                <w:szCs w:val="20"/>
                <w:color w:val="auto"/>
              </w:rPr>
            </w:pPr>
            <w:r>
              <w:rPr>
                <w:rFonts w:ascii="Arial" w:cs="Arial" w:eastAsia="Arial" w:hAnsi="Arial"/>
                <w:sz w:val="16"/>
                <w:szCs w:val="16"/>
                <w:color w:val="auto"/>
              </w:rPr>
              <w:t>$820</w:t>
            </w:r>
          </w:p>
        </w:tc>
        <w:tc>
          <w:tcPr>
            <w:tcW w:w="760" w:type="dxa"/>
            <w:vAlign w:val="bottom"/>
          </w:tcPr>
          <w:p>
            <w:pPr>
              <w:spacing w:after="0"/>
              <w:rPr>
                <w:sz w:val="24"/>
                <w:szCs w:val="24"/>
                <w:color w:val="auto"/>
              </w:rPr>
            </w:pPr>
          </w:p>
        </w:tc>
        <w:tc>
          <w:tcPr>
            <w:tcW w:w="1340" w:type="dxa"/>
            <w:vAlign w:val="bottom"/>
            <w:gridSpan w:val="2"/>
          </w:tcPr>
          <w:p>
            <w:pPr>
              <w:jc w:val="center"/>
              <w:ind w:left="619"/>
              <w:spacing w:after="0"/>
              <w:rPr>
                <w:sz w:val="20"/>
                <w:szCs w:val="20"/>
                <w:color w:val="auto"/>
              </w:rPr>
            </w:pPr>
            <w:r>
              <w:rPr>
                <w:rFonts w:ascii="Arial" w:cs="Arial" w:eastAsia="Arial" w:hAnsi="Arial"/>
                <w:sz w:val="16"/>
                <w:szCs w:val="16"/>
                <w:color w:val="auto"/>
              </w:rPr>
              <w:t>$858</w:t>
            </w:r>
          </w:p>
        </w:tc>
        <w:tc>
          <w:tcPr>
            <w:tcW w:w="820" w:type="dxa"/>
            <w:vAlign w:val="bottom"/>
          </w:tcPr>
          <w:p>
            <w:pPr>
              <w:spacing w:after="0"/>
              <w:rPr>
                <w:sz w:val="24"/>
                <w:szCs w:val="24"/>
                <w:color w:val="auto"/>
              </w:rPr>
            </w:pPr>
          </w:p>
        </w:tc>
        <w:tc>
          <w:tcPr>
            <w:tcW w:w="1460" w:type="dxa"/>
            <w:vAlign w:val="bottom"/>
            <w:gridSpan w:val="2"/>
          </w:tcPr>
          <w:p>
            <w:pPr>
              <w:jc w:val="center"/>
              <w:ind w:left="619"/>
              <w:spacing w:after="0"/>
              <w:rPr>
                <w:sz w:val="20"/>
                <w:szCs w:val="20"/>
                <w:color w:val="auto"/>
              </w:rPr>
            </w:pPr>
            <w:r>
              <w:rPr>
                <w:rFonts w:ascii="Arial" w:cs="Arial" w:eastAsia="Arial" w:hAnsi="Arial"/>
                <w:sz w:val="16"/>
                <w:szCs w:val="16"/>
                <w:color w:val="auto"/>
              </w:rPr>
              <w:t>$603</w:t>
            </w:r>
          </w:p>
        </w:tc>
        <w:tc>
          <w:tcPr>
            <w:tcW w:w="640" w:type="dxa"/>
            <w:vAlign w:val="bottom"/>
          </w:tcPr>
          <w:p>
            <w:pPr>
              <w:spacing w:after="0"/>
              <w:rPr>
                <w:sz w:val="24"/>
                <w:szCs w:val="24"/>
                <w:color w:val="auto"/>
              </w:rPr>
            </w:pPr>
          </w:p>
        </w:tc>
        <w:tc>
          <w:tcPr>
            <w:tcW w:w="1440" w:type="dxa"/>
            <w:vAlign w:val="bottom"/>
            <w:gridSpan w:val="2"/>
          </w:tcPr>
          <w:p>
            <w:pPr>
              <w:jc w:val="center"/>
              <w:ind w:left="599"/>
              <w:spacing w:after="0"/>
              <w:rPr>
                <w:sz w:val="20"/>
                <w:szCs w:val="20"/>
                <w:color w:val="auto"/>
              </w:rPr>
            </w:pPr>
            <w:r>
              <w:rPr>
                <w:rFonts w:ascii="Arial" w:cs="Arial" w:eastAsia="Arial" w:hAnsi="Arial"/>
                <w:sz w:val="16"/>
                <w:szCs w:val="16"/>
                <w:color w:val="auto"/>
              </w:rPr>
              <w:t>$801</w:t>
            </w:r>
          </w:p>
        </w:tc>
        <w:tc>
          <w:tcPr>
            <w:tcW w:w="140" w:type="dxa"/>
            <w:vAlign w:val="bottom"/>
          </w:tcPr>
          <w:p>
            <w:pPr>
              <w:spacing w:after="0"/>
              <w:rPr>
                <w:sz w:val="24"/>
                <w:szCs w:val="24"/>
                <w:color w:val="auto"/>
              </w:rPr>
            </w:pPr>
          </w:p>
        </w:tc>
      </w:tr>
      <w:tr>
        <w:trPr>
          <w:trHeight w:val="313"/>
        </w:trPr>
        <w:tc>
          <w:tcPr>
            <w:tcW w:w="2600" w:type="dxa"/>
            <w:vAlign w:val="bottom"/>
          </w:tcPr>
          <w:p>
            <w:pPr>
              <w:spacing w:after="0"/>
              <w:rPr>
                <w:sz w:val="20"/>
                <w:szCs w:val="20"/>
                <w:color w:val="auto"/>
              </w:rPr>
            </w:pPr>
            <w:r>
              <w:rPr>
                <w:rFonts w:ascii="Arial" w:cs="Arial" w:eastAsia="Arial" w:hAnsi="Arial"/>
                <w:sz w:val="16"/>
                <w:szCs w:val="16"/>
                <w:color w:val="auto"/>
              </w:rPr>
              <w:t>Diluted EPS</w:t>
            </w:r>
          </w:p>
        </w:tc>
        <w:tc>
          <w:tcPr>
            <w:tcW w:w="2140" w:type="dxa"/>
            <w:vAlign w:val="bottom"/>
            <w:gridSpan w:val="3"/>
          </w:tcPr>
          <w:p>
            <w:pPr>
              <w:jc w:val="center"/>
              <w:ind w:left="139"/>
              <w:spacing w:after="0"/>
              <w:rPr>
                <w:sz w:val="20"/>
                <w:szCs w:val="20"/>
                <w:color w:val="auto"/>
              </w:rPr>
            </w:pPr>
            <w:r>
              <w:rPr>
                <w:rFonts w:ascii="Arial" w:cs="Arial" w:eastAsia="Arial" w:hAnsi="Arial"/>
                <w:sz w:val="16"/>
                <w:szCs w:val="16"/>
                <w:color w:val="auto"/>
                <w:w w:val="99"/>
              </w:rPr>
              <w:t>$2.05</w:t>
            </w:r>
          </w:p>
        </w:tc>
        <w:tc>
          <w:tcPr>
            <w:tcW w:w="1340" w:type="dxa"/>
            <w:vAlign w:val="bottom"/>
            <w:gridSpan w:val="2"/>
          </w:tcPr>
          <w:p>
            <w:pPr>
              <w:jc w:val="center"/>
              <w:ind w:left="619"/>
              <w:spacing w:after="0"/>
              <w:rPr>
                <w:sz w:val="20"/>
                <w:szCs w:val="20"/>
                <w:color w:val="auto"/>
              </w:rPr>
            </w:pPr>
            <w:r>
              <w:rPr>
                <w:rFonts w:ascii="Arial" w:cs="Arial" w:eastAsia="Arial" w:hAnsi="Arial"/>
                <w:sz w:val="16"/>
                <w:szCs w:val="16"/>
                <w:color w:val="auto"/>
                <w:w w:val="99"/>
              </w:rPr>
              <w:t>$2.15</w:t>
            </w:r>
          </w:p>
        </w:tc>
        <w:tc>
          <w:tcPr>
            <w:tcW w:w="820" w:type="dxa"/>
            <w:vAlign w:val="bottom"/>
          </w:tcPr>
          <w:p>
            <w:pPr>
              <w:spacing w:after="0"/>
              <w:rPr>
                <w:sz w:val="24"/>
                <w:szCs w:val="24"/>
                <w:color w:val="auto"/>
              </w:rPr>
            </w:pPr>
          </w:p>
        </w:tc>
        <w:tc>
          <w:tcPr>
            <w:tcW w:w="1460" w:type="dxa"/>
            <w:vAlign w:val="bottom"/>
            <w:gridSpan w:val="2"/>
          </w:tcPr>
          <w:p>
            <w:pPr>
              <w:jc w:val="center"/>
              <w:ind w:left="619"/>
              <w:spacing w:after="0"/>
              <w:rPr>
                <w:sz w:val="20"/>
                <w:szCs w:val="20"/>
                <w:color w:val="auto"/>
              </w:rPr>
            </w:pPr>
            <w:r>
              <w:rPr>
                <w:rFonts w:ascii="Arial" w:cs="Arial" w:eastAsia="Arial" w:hAnsi="Arial"/>
                <w:sz w:val="16"/>
                <w:szCs w:val="16"/>
                <w:color w:val="auto"/>
                <w:w w:val="99"/>
              </w:rPr>
              <w:t>$1.49</w:t>
            </w:r>
          </w:p>
        </w:tc>
        <w:tc>
          <w:tcPr>
            <w:tcW w:w="640" w:type="dxa"/>
            <w:vAlign w:val="bottom"/>
          </w:tcPr>
          <w:p>
            <w:pPr>
              <w:spacing w:after="0"/>
              <w:rPr>
                <w:sz w:val="24"/>
                <w:szCs w:val="24"/>
                <w:color w:val="auto"/>
              </w:rPr>
            </w:pPr>
          </w:p>
        </w:tc>
        <w:tc>
          <w:tcPr>
            <w:tcW w:w="1440" w:type="dxa"/>
            <w:vAlign w:val="bottom"/>
            <w:gridSpan w:val="2"/>
          </w:tcPr>
          <w:p>
            <w:pPr>
              <w:jc w:val="center"/>
              <w:ind w:left="599"/>
              <w:spacing w:after="0"/>
              <w:rPr>
                <w:sz w:val="20"/>
                <w:szCs w:val="20"/>
                <w:color w:val="auto"/>
              </w:rPr>
            </w:pPr>
            <w:r>
              <w:rPr>
                <w:rFonts w:ascii="Arial" w:cs="Arial" w:eastAsia="Arial" w:hAnsi="Arial"/>
                <w:sz w:val="16"/>
                <w:szCs w:val="16"/>
                <w:color w:val="auto"/>
                <w:w w:val="99"/>
              </w:rPr>
              <w:t>$1.98</w:t>
            </w:r>
          </w:p>
        </w:tc>
        <w:tc>
          <w:tcPr>
            <w:tcW w:w="140" w:type="dxa"/>
            <w:vAlign w:val="bottom"/>
          </w:tcPr>
          <w:p>
            <w:pPr>
              <w:spacing w:after="0"/>
              <w:rPr>
                <w:sz w:val="24"/>
                <w:szCs w:val="24"/>
                <w:color w:val="auto"/>
              </w:rPr>
            </w:pPr>
          </w:p>
        </w:tc>
      </w:tr>
    </w:tbl>
    <w:p>
      <w:pPr>
        <w:spacing w:after="0" w:line="200" w:lineRule="exact"/>
        <w:rPr>
          <w:sz w:val="20"/>
          <w:szCs w:val="20"/>
          <w:color w:val="auto"/>
        </w:rPr>
      </w:pP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“WM delivered another quarter of solid operating and financial performance, in line with our expectations, underscoring the consistent execution of our strategy,” said Jim Fish, WM’s CEO. “Adjusted operating EBITDA increased 5.8% in the third quarter driven by strong price-to-cost spread in Collection and Disposal and growing contributions from our healthcare and sustainability businesses. Notably, Healthcare Solutions revenue grew 3.7% in the quarter and operating EBITDA increased more than 30%, driven by effective cost management, synergy capture, and pricing growth. Overall, our results reflect the earnings power of our</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diversified business and our ability to consistently create value for shareholders.”</w:t>
      </w:r>
      <w:r>
        <w:rPr>
          <w:rFonts w:ascii="Arial" w:cs="Arial" w:eastAsia="Arial" w:hAnsi="Arial"/>
          <w:sz w:val="29"/>
          <w:szCs w:val="29"/>
          <w:color w:val="auto"/>
          <w:vertAlign w:val="superscript"/>
        </w:rPr>
        <w:t>(</w:t>
      </w:r>
      <w:r>
        <w:rPr>
          <w:rFonts w:ascii="Arial" w:cs="Arial" w:eastAsia="Arial" w:hAnsi="Arial"/>
          <w:sz w:val="29"/>
          <w:szCs w:val="29"/>
          <w:color w:val="57584F"/>
          <w:vertAlign w:val="superscript"/>
        </w:rPr>
        <w:t>a)</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Fish continued, “The quality of our earnings is evident in the strength of our cash flow generation. Net cash flow from operations increased 12% through the first nine months of the year, reflecting disciplined operational execution and continued strong returns on investments that are improving productivity, enhancing service and supporting sustainable long-term growth. We are affirming our 2026 guidance ranges, as we remain on track to meet our financial objectives.”</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HIGHLIGHTS FOR THE THIRD QUARTER OF 2026</w:t>
      </w:r>
    </w:p>
    <w:p>
      <w:pPr>
        <w:spacing w:after="0" w:line="204" w:lineRule="exact"/>
        <w:rPr>
          <w:sz w:val="20"/>
          <w:szCs w:val="20"/>
          <w:color w:val="auto"/>
        </w:rPr>
      </w:pPr>
    </w:p>
    <w:p>
      <w:pPr>
        <w:ind w:left="540" w:right="120" w:hanging="262"/>
        <w:spacing w:after="0" w:line="208" w:lineRule="auto"/>
        <w:tabs>
          <w:tab w:leader="none" w:pos="540" w:val="left"/>
        </w:tabs>
        <w:numPr>
          <w:ilvl w:val="0"/>
          <w:numId w:val="3"/>
        </w:numPr>
        <w:rPr>
          <w:rFonts w:ascii="Arial" w:cs="Arial" w:eastAsia="Arial" w:hAnsi="Arial"/>
          <w:sz w:val="20"/>
          <w:szCs w:val="20"/>
          <w:color w:val="auto"/>
        </w:rPr>
      </w:pPr>
      <w:r>
        <w:rPr>
          <w:rFonts w:ascii="Arial" w:cs="Arial" w:eastAsia="Arial" w:hAnsi="Arial"/>
          <w:sz w:val="20"/>
          <w:szCs w:val="20"/>
          <w:color w:val="auto"/>
        </w:rPr>
        <w:t>Total Company revenue grew 6.3%, driven by core price of 5.8% and Collection and Disposal yield of 3.4%. In addition to disciplined execution on pricing, revenue growth was driven by increased energy surcharges and higher volumes in the recycling and renewable energy businesses as a result of completed growth projects.</w:t>
      </w:r>
      <w:r>
        <w:rPr>
          <w:rFonts w:ascii="Arial" w:cs="Arial" w:eastAsia="Arial" w:hAnsi="Arial"/>
          <w:sz w:val="32"/>
          <w:szCs w:val="32"/>
          <w:color w:val="auto"/>
          <w:vertAlign w:val="superscript"/>
        </w:rPr>
        <w:t>(e)(f)</w:t>
      </w:r>
    </w:p>
    <w:p>
      <w:pPr>
        <w:spacing w:after="0" w:line="2" w:lineRule="exact"/>
        <w:rPr>
          <w:rFonts w:ascii="Arial" w:cs="Arial" w:eastAsia="Arial" w:hAnsi="Arial"/>
          <w:sz w:val="20"/>
          <w:szCs w:val="20"/>
          <w:color w:val="auto"/>
        </w:rPr>
      </w:pPr>
    </w:p>
    <w:p>
      <w:pPr>
        <w:ind w:left="540" w:right="220" w:hanging="262"/>
        <w:spacing w:after="0" w:line="225" w:lineRule="auto"/>
        <w:tabs>
          <w:tab w:leader="none" w:pos="54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Collection and Disposal volume declined 0.4%, or declined 0.5% on a workday adjusted basis. Volumes continued to be impacted by the Company’s intentional shedding of lower-margin residential business and commercial declines largely related to prior national account broker losses.</w:t>
      </w:r>
    </w:p>
    <w:p>
      <w:pPr>
        <w:spacing w:after="0" w:line="1" w:lineRule="exact"/>
        <w:rPr>
          <w:rFonts w:ascii="Arial" w:cs="Arial" w:eastAsia="Arial" w:hAnsi="Arial"/>
          <w:sz w:val="20"/>
          <w:szCs w:val="20"/>
          <w:color w:val="auto"/>
        </w:rPr>
      </w:pPr>
    </w:p>
    <w:p>
      <w:pPr>
        <w:jc w:val="both"/>
        <w:ind w:left="540" w:right="220" w:hanging="262"/>
        <w:spacing w:after="0" w:line="234" w:lineRule="auto"/>
        <w:tabs>
          <w:tab w:leader="none" w:pos="540" w:val="left"/>
        </w:tabs>
        <w:numPr>
          <w:ilvl w:val="0"/>
          <w:numId w:val="3"/>
        </w:numPr>
        <w:rPr>
          <w:rFonts w:ascii="Arial" w:cs="Arial" w:eastAsia="Arial" w:hAnsi="Arial"/>
          <w:sz w:val="20"/>
          <w:szCs w:val="20"/>
          <w:color w:val="auto"/>
        </w:rPr>
      </w:pPr>
      <w:r>
        <w:rPr>
          <w:rFonts w:ascii="Arial" w:cs="Arial" w:eastAsia="Arial" w:hAnsi="Arial"/>
          <w:sz w:val="20"/>
          <w:szCs w:val="20"/>
          <w:color w:val="auto"/>
        </w:rPr>
        <w:t>Operating expenses were 59.8% of revenue, compared to 58.9% in the prior year. Operating efficiency in the Collection and Disposal business drove a 40-basis point improvement, which was more than offset by dilutive impacts of 130 basis points primarily related to higher fuel costs and increased risk management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ind w:left="262" w:right="600" w:hanging="262"/>
        <w:spacing w:after="0" w:line="208" w:lineRule="auto"/>
        <w:tabs>
          <w:tab w:leader="none" w:pos="262" w:val="left"/>
        </w:tabs>
        <w:numPr>
          <w:ilvl w:val="0"/>
          <w:numId w:val="4"/>
        </w:numPr>
        <w:rPr>
          <w:rFonts w:ascii="Arial" w:cs="Arial" w:eastAsia="Arial" w:hAnsi="Arial"/>
          <w:sz w:val="20"/>
          <w:szCs w:val="20"/>
          <w:color w:val="auto"/>
        </w:rPr>
      </w:pPr>
      <w:r>
        <w:rPr>
          <w:rFonts w:ascii="Arial" w:cs="Arial" w:eastAsia="Arial" w:hAnsi="Arial"/>
          <w:sz w:val="20"/>
          <w:szCs w:val="20"/>
          <w:color w:val="auto"/>
        </w:rPr>
        <w:t>SG&amp;A expenses were 9.6% of revenue, or 9.3% on an adjusted basis, an improvement of 70 basis points both on a reported and adjusted basis from the prior year, reflecting strong cost discipline and continued synergy capture in Healthcare Solutions.</w:t>
      </w:r>
      <w:r>
        <w:rPr>
          <w:rFonts w:ascii="Arial" w:cs="Arial" w:eastAsia="Arial" w:hAnsi="Arial"/>
          <w:sz w:val="32"/>
          <w:szCs w:val="32"/>
          <w:color w:val="auto"/>
          <w:vertAlign w:val="superscript"/>
        </w:rPr>
        <w:t>(a)</w:t>
      </w:r>
    </w:p>
    <w:p>
      <w:pPr>
        <w:spacing w:after="0" w:line="2" w:lineRule="exact"/>
        <w:rPr>
          <w:rFonts w:ascii="Arial" w:cs="Arial" w:eastAsia="Arial" w:hAnsi="Arial"/>
          <w:sz w:val="20"/>
          <w:szCs w:val="20"/>
          <w:color w:val="auto"/>
        </w:rPr>
      </w:pPr>
    </w:p>
    <w:p>
      <w:pPr>
        <w:ind w:left="262" w:right="200" w:hanging="262"/>
        <w:spacing w:after="0" w:line="211" w:lineRule="auto"/>
        <w:tabs>
          <w:tab w:leader="none" w:pos="262"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Favorable price-to-cost spread in the Collection and Disposal business contributed 40 basis points to adjusted operating EBITDA margin, and Healthcare Solutions operating performance added another 30 basis points. These contributions were more than offset by 40 basis points related to higher fuel costs and 40 basis points related to increased risk management costs. Overall, adjusted operating EBITDA margin compressed by 10 basis points compared to the prior year period. </w:t>
      </w:r>
      <w:r>
        <w:rPr>
          <w:rFonts w:ascii="Arial" w:cs="Arial" w:eastAsia="Arial" w:hAnsi="Arial"/>
          <w:sz w:val="32"/>
          <w:szCs w:val="32"/>
          <w:color w:val="auto"/>
          <w:vertAlign w:val="superscript"/>
        </w:rPr>
        <w:t>(a)</w:t>
      </w:r>
    </w:p>
    <w:p>
      <w:pPr>
        <w:spacing w:after="0" w:line="1" w:lineRule="exact"/>
        <w:rPr>
          <w:rFonts w:ascii="Arial" w:cs="Arial" w:eastAsia="Arial" w:hAnsi="Arial"/>
          <w:sz w:val="20"/>
          <w:szCs w:val="20"/>
          <w:color w:val="auto"/>
        </w:rPr>
      </w:pPr>
    </w:p>
    <w:p>
      <w:pPr>
        <w:ind w:left="262" w:right="820" w:hanging="262"/>
        <w:spacing w:after="0" w:line="237" w:lineRule="auto"/>
        <w:tabs>
          <w:tab w:leader="none" w:pos="262" w:val="left"/>
        </w:tabs>
        <w:numPr>
          <w:ilvl w:val="0"/>
          <w:numId w:val="4"/>
        </w:numPr>
        <w:rPr>
          <w:rFonts w:ascii="Arial" w:cs="Arial" w:eastAsia="Arial" w:hAnsi="Arial"/>
          <w:sz w:val="19"/>
          <w:szCs w:val="19"/>
          <w:color w:val="auto"/>
        </w:rPr>
      </w:pPr>
      <w:r>
        <w:rPr>
          <w:rFonts w:ascii="Arial" w:cs="Arial" w:eastAsia="Arial" w:hAnsi="Arial"/>
          <w:sz w:val="19"/>
          <w:szCs w:val="19"/>
          <w:color w:val="auto"/>
        </w:rPr>
        <w:t>Through the first nine months of the year, the Company generated $4.87 billion of net cash provided by operating activities. The 12.0% increase from the prior year was driven by earnings growth and favorable working capital.</w:t>
      </w:r>
    </w:p>
    <w:p>
      <w:pPr>
        <w:ind w:left="262" w:right="340" w:hanging="262"/>
        <w:spacing w:after="0" w:line="203" w:lineRule="auto"/>
        <w:tabs>
          <w:tab w:leader="none" w:pos="262" w:val="left"/>
        </w:tabs>
        <w:numPr>
          <w:ilvl w:val="0"/>
          <w:numId w:val="4"/>
        </w:numPr>
        <w:rPr>
          <w:rFonts w:ascii="Arial" w:cs="Arial" w:eastAsia="Arial" w:hAnsi="Arial"/>
          <w:sz w:val="20"/>
          <w:szCs w:val="20"/>
          <w:color w:val="auto"/>
        </w:rPr>
      </w:pPr>
      <w:r>
        <w:rPr>
          <w:rFonts w:ascii="Arial" w:cs="Arial" w:eastAsia="Arial" w:hAnsi="Arial"/>
          <w:sz w:val="20"/>
          <w:szCs w:val="20"/>
          <w:color w:val="auto"/>
        </w:rPr>
        <w:t>Through the first nine months of the year, free cash flow was $3.01 billion, compared to $2.11 billion in the prior year period, an increase of more than 42%. Conversion of adjusted operating EBITDA to free cash flow was 50% in the first nine months of the year.</w:t>
      </w:r>
      <w:r>
        <w:rPr>
          <w:rFonts w:ascii="Arial" w:cs="Arial" w:eastAsia="Arial" w:hAnsi="Arial"/>
          <w:sz w:val="32"/>
          <w:szCs w:val="32"/>
          <w:color w:val="auto"/>
          <w:vertAlign w:val="superscript"/>
        </w:rPr>
        <w:t>(a)</w:t>
      </w:r>
    </w:p>
    <w:p>
      <w:pPr>
        <w:spacing w:after="0" w:line="1" w:lineRule="exact"/>
        <w:rPr>
          <w:rFonts w:ascii="Arial" w:cs="Arial" w:eastAsia="Arial" w:hAnsi="Arial"/>
          <w:sz w:val="20"/>
          <w:szCs w:val="20"/>
          <w:color w:val="auto"/>
        </w:rPr>
      </w:pPr>
    </w:p>
    <w:p>
      <w:pPr>
        <w:ind w:left="262" w:right="20" w:hanging="262"/>
        <w:spacing w:after="0" w:line="225" w:lineRule="auto"/>
        <w:tabs>
          <w:tab w:leader="none" w:pos="262"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 returned $957 million to shareholders in the third quarter, consisting of $580 million in share repurchases and $377 million in cash dividends, bringing returns to shareholders in the first nine months of the year to more than $2.72 billion, which is more than 90% of free cash flow generated during the period and reflects the Company’s commitment to harvesting the benefits of its investments. Through the first nine months of the year, the Company repurchased $1.58 billion of its shares and continues to expect to repurchase a total of $2 billion of its shares in 2026.</w:t>
      </w:r>
    </w:p>
    <w:p>
      <w:pPr>
        <w:spacing w:after="0" w:line="1" w:lineRule="exact"/>
        <w:rPr>
          <w:rFonts w:ascii="Arial" w:cs="Arial" w:eastAsia="Arial" w:hAnsi="Arial"/>
          <w:sz w:val="20"/>
          <w:szCs w:val="20"/>
          <w:color w:val="auto"/>
        </w:rPr>
      </w:pPr>
    </w:p>
    <w:p>
      <w:pPr>
        <w:ind w:left="262" w:right="660" w:hanging="262"/>
        <w:spacing w:after="0" w:line="225" w:lineRule="auto"/>
        <w:tabs>
          <w:tab w:leader="none" w:pos="262" w:val="left"/>
        </w:tabs>
        <w:numPr>
          <w:ilvl w:val="0"/>
          <w:numId w:val="4"/>
        </w:numPr>
        <w:rPr>
          <w:rFonts w:ascii="Arial" w:cs="Arial" w:eastAsia="Arial" w:hAnsi="Arial"/>
          <w:sz w:val="20"/>
          <w:szCs w:val="20"/>
          <w:color w:val="auto"/>
        </w:rPr>
      </w:pPr>
      <w:r>
        <w:rPr>
          <w:rFonts w:ascii="Arial" w:cs="Arial" w:eastAsia="Arial" w:hAnsi="Arial"/>
          <w:sz w:val="20"/>
          <w:szCs w:val="20"/>
          <w:color w:val="auto"/>
        </w:rPr>
        <w:t>During the quarter, the Company began operations at a new renewable natural gas facility in New York, marking its eighteenth new facility completed since 2022.</w:t>
      </w:r>
    </w:p>
    <w:p>
      <w:pPr>
        <w:ind w:left="262" w:right="220" w:hanging="262"/>
        <w:spacing w:after="0" w:line="246" w:lineRule="auto"/>
        <w:tabs>
          <w:tab w:leader="none" w:pos="262" w:val="left"/>
        </w:tabs>
        <w:numPr>
          <w:ilvl w:val="0"/>
          <w:numId w:val="4"/>
        </w:numPr>
        <w:rPr>
          <w:rFonts w:ascii="Arial" w:cs="Arial" w:eastAsia="Arial" w:hAnsi="Arial"/>
          <w:sz w:val="18"/>
          <w:szCs w:val="18"/>
          <w:color w:val="auto"/>
        </w:rPr>
      </w:pPr>
      <w:r>
        <w:rPr>
          <w:rFonts w:ascii="Arial" w:cs="Arial" w:eastAsia="Arial" w:hAnsi="Arial"/>
          <w:sz w:val="20"/>
          <w:szCs w:val="20"/>
          <w:color w:val="auto"/>
        </w:rPr>
        <w:t xml:space="preserve">The Company expects to achieve its full-year financial guidance, </w:t>
      </w:r>
      <w:r>
        <w:rPr>
          <w:rFonts w:ascii="Arial" w:cs="Arial" w:eastAsia="Arial" w:hAnsi="Arial"/>
          <w:sz w:val="17"/>
          <w:szCs w:val="17"/>
          <w:color w:val="auto"/>
        </w:rPr>
        <w:t>with revenue expected to be at the high end of the guidance</w:t>
      </w:r>
      <w:r>
        <w:rPr>
          <w:rFonts w:ascii="Arial" w:cs="Arial" w:eastAsia="Arial" w:hAnsi="Arial"/>
          <w:sz w:val="20"/>
          <w:szCs w:val="20"/>
          <w:color w:val="auto"/>
        </w:rPr>
        <w:t xml:space="preserve"> </w:t>
      </w:r>
      <w:r>
        <w:rPr>
          <w:rFonts w:ascii="Arial" w:cs="Arial" w:eastAsia="Arial" w:hAnsi="Arial"/>
          <w:sz w:val="17"/>
          <w:szCs w:val="17"/>
          <w:color w:val="auto"/>
        </w:rPr>
        <w:t>range of $26.275 to $26.475 billion, adjusted operating EBITDA to be within the guidance range of $8.15 to $8.25 billion, and free cash flow to be at the high end of the guidance range of $3.75 to $3.85 billion.</w:t>
      </w:r>
      <w:r>
        <w:rPr>
          <w:rFonts w:ascii="Arial" w:cs="Arial" w:eastAsia="Arial" w:hAnsi="Arial"/>
          <w:sz w:val="29"/>
          <w:szCs w:val="29"/>
          <w:color w:val="auto"/>
          <w:vertAlign w:val="superscript"/>
        </w:rPr>
        <w:t>(a)</w:t>
      </w:r>
    </w:p>
    <w:p>
      <w:pPr>
        <w:spacing w:after="0" w:line="143" w:lineRule="exact"/>
        <w:rPr>
          <w:rFonts w:ascii="Arial" w:cs="Arial" w:eastAsia="Arial" w:hAnsi="Arial"/>
          <w:sz w:val="18"/>
          <w:szCs w:val="18"/>
          <w:color w:val="auto"/>
        </w:rPr>
      </w:pPr>
    </w:p>
    <w:p>
      <w:pPr>
        <w:ind w:left="382" w:hanging="328"/>
        <w:spacing w:after="0" w:line="271" w:lineRule="auto"/>
        <w:tabs>
          <w:tab w:leader="none" w:pos="382"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information labeled as adjusted in this press release, as well as free cash flow, are non-GAAP measures. Please see “Non-GAAP Financial Measures” below and the reconciliations in the accompanying schedules for more information.</w:t>
      </w:r>
    </w:p>
    <w:p>
      <w:pPr>
        <w:spacing w:after="0" w:line="140" w:lineRule="exact"/>
        <w:rPr>
          <w:rFonts w:ascii="Arial" w:cs="Arial" w:eastAsia="Arial" w:hAnsi="Arial"/>
          <w:sz w:val="18"/>
          <w:szCs w:val="18"/>
          <w:color w:val="auto"/>
        </w:rPr>
      </w:pPr>
    </w:p>
    <w:p>
      <w:pPr>
        <w:ind w:left="382" w:hanging="328"/>
        <w:spacing w:after="0" w:line="271" w:lineRule="auto"/>
        <w:tabs>
          <w:tab w:leader="none" w:pos="382" w:val="left"/>
        </w:tabs>
        <w:numPr>
          <w:ilvl w:val="1"/>
          <w:numId w:val="4"/>
        </w:numPr>
        <w:rPr>
          <w:rFonts w:ascii="Arial" w:cs="Arial" w:eastAsia="Arial" w:hAnsi="Arial"/>
          <w:sz w:val="18"/>
          <w:szCs w:val="18"/>
          <w:color w:val="auto"/>
        </w:rPr>
      </w:pPr>
      <w:r>
        <w:rPr>
          <w:rFonts w:ascii="Arial" w:cs="Arial" w:eastAsia="Arial" w:hAnsi="Arial"/>
          <w:sz w:val="18"/>
          <w:szCs w:val="18"/>
          <w:color w:val="auto"/>
        </w:rPr>
        <w:t>Management defines operating EBITDA as GAAP income from operations before depreciation, depletion, amortization and accretion; this measure may not be comparable to similarly titled measures reported by other companies.</w:t>
      </w:r>
    </w:p>
    <w:p>
      <w:pPr>
        <w:spacing w:after="0" w:line="140" w:lineRule="exact"/>
        <w:rPr>
          <w:rFonts w:ascii="Arial" w:cs="Arial" w:eastAsia="Arial" w:hAnsi="Arial"/>
          <w:sz w:val="18"/>
          <w:szCs w:val="18"/>
          <w:color w:val="auto"/>
        </w:rPr>
      </w:pPr>
    </w:p>
    <w:p>
      <w:pPr>
        <w:jc w:val="both"/>
        <w:ind w:left="382" w:hanging="328"/>
        <w:spacing w:after="0" w:line="253" w:lineRule="auto"/>
        <w:tabs>
          <w:tab w:leader="none" w:pos="382" w:val="left"/>
        </w:tabs>
        <w:numPr>
          <w:ilvl w:val="1"/>
          <w:numId w:val="4"/>
        </w:numPr>
        <w:rPr>
          <w:rFonts w:ascii="Arial" w:cs="Arial" w:eastAsia="Arial" w:hAnsi="Arial"/>
          <w:sz w:val="18"/>
          <w:szCs w:val="18"/>
          <w:color w:val="auto"/>
        </w:rPr>
      </w:pPr>
      <w:r>
        <w:rPr>
          <w:rFonts w:ascii="Arial" w:cs="Arial" w:eastAsia="Arial" w:hAnsi="Arial"/>
          <w:sz w:val="18"/>
          <w:szCs w:val="18"/>
          <w:color w:val="auto"/>
        </w:rPr>
        <w:t>Beginning in 2026, landfill accretion expense was moved from operating expenses to depreciation, depletion, amortization, and accretion. Landfill accretion expense in the three months ended September 30, 2026 and 2025 was $39 million and $35 million, respectively. For comparability purposes, 2025 actuals have been updated to reflect that change.</w:t>
      </w:r>
    </w:p>
    <w:p>
      <w:pPr>
        <w:spacing w:after="0" w:line="155" w:lineRule="exact"/>
        <w:rPr>
          <w:rFonts w:ascii="Arial" w:cs="Arial" w:eastAsia="Arial" w:hAnsi="Arial"/>
          <w:sz w:val="18"/>
          <w:szCs w:val="18"/>
          <w:color w:val="auto"/>
        </w:rPr>
      </w:pPr>
    </w:p>
    <w:p>
      <w:pPr>
        <w:ind w:left="382" w:right="20" w:hanging="328"/>
        <w:spacing w:after="0" w:line="271" w:lineRule="auto"/>
        <w:tabs>
          <w:tab w:leader="none" w:pos="382"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 purposes of this press release, all references to “Net income” refer to the financial statement line item “Net income attributable to Waste Management, Inc.”</w:t>
      </w:r>
    </w:p>
    <w:p>
      <w:pPr>
        <w:spacing w:after="0" w:line="140" w:lineRule="exact"/>
        <w:rPr>
          <w:rFonts w:ascii="Arial" w:cs="Arial" w:eastAsia="Arial" w:hAnsi="Arial"/>
          <w:sz w:val="18"/>
          <w:szCs w:val="18"/>
          <w:color w:val="auto"/>
        </w:rPr>
      </w:pPr>
    </w:p>
    <w:p>
      <w:pPr>
        <w:jc w:val="both"/>
        <w:ind w:left="382" w:hanging="328"/>
        <w:spacing w:after="0" w:line="247" w:lineRule="auto"/>
        <w:tabs>
          <w:tab w:leader="none" w:pos="382" w:val="left"/>
        </w:tabs>
        <w:numPr>
          <w:ilvl w:val="1"/>
          <w:numId w:val="4"/>
        </w:numPr>
        <w:rPr>
          <w:rFonts w:ascii="Arial" w:cs="Arial" w:eastAsia="Arial" w:hAnsi="Arial"/>
          <w:sz w:val="18"/>
          <w:szCs w:val="18"/>
          <w:color w:val="auto"/>
        </w:rPr>
      </w:pPr>
      <w:r>
        <w:rPr>
          <w:rFonts w:ascii="Arial" w:cs="Arial" w:eastAsia="Arial" w:hAnsi="Arial"/>
          <w:sz w:val="18"/>
          <w:szCs w:val="18"/>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60" w:lineRule="exact"/>
        <w:rPr>
          <w:rFonts w:ascii="Arial" w:cs="Arial" w:eastAsia="Arial" w:hAnsi="Arial"/>
          <w:sz w:val="18"/>
          <w:szCs w:val="18"/>
          <w:color w:val="auto"/>
        </w:rPr>
      </w:pPr>
    </w:p>
    <w:p>
      <w:pPr>
        <w:jc w:val="both"/>
        <w:ind w:left="382" w:hanging="328"/>
        <w:spacing w:after="0" w:line="244" w:lineRule="auto"/>
        <w:tabs>
          <w:tab w:leader="none" w:pos="382"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Company’s blended average price received for single stream recycled commodities sold during the quarter was about $82 per ton compared to about $68 per ton in the prior year period. The average price received for Renewable Fuel Standard credits was $2.32 during the quarter compared to $2.56 in the prior year period. The average price received for natural gas was $2.56 per MMBtu during the quarter compared to $2.46 per MMBtu in the prior year period. The average price received for electricity was about $78 per megawatt hour in the quarter compared to about $73 per megawatt hour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-3004185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-170815</wp:posOffset>
            </wp:positionH>
            <wp:positionV relativeFrom="paragraph">
              <wp:posOffset>407035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2"/>
          </w:cols>
          <w:pgMar w:left="598" w:top="928"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The Company will host a conference call at 10 a.m. ET on October 28, 2026, to discuss the third quarter 2026 results.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Information contained within this press release will be referenced and should be considered in conjunction with the call.</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Listeners can access a live audio webcast of the conference call by visiting </w:t>
      </w:r>
      <w:r>
        <w:rPr>
          <w:rFonts w:ascii="Arial" w:cs="Arial" w:eastAsia="Arial" w:hAnsi="Arial"/>
          <w:sz w:val="20"/>
          <w:szCs w:val="20"/>
          <w:u w:val="single" w:color="auto"/>
          <w:color w:val="7AB800"/>
        </w:rPr>
        <w:t>investors.wm.com</w:t>
      </w:r>
      <w:r>
        <w:rPr>
          <w:rFonts w:ascii="Arial" w:cs="Arial" w:eastAsia="Arial" w:hAnsi="Arial"/>
          <w:sz w:val="20"/>
          <w:szCs w:val="20"/>
          <w:color w:val="auto"/>
        </w:rPr>
        <w:t xml:space="preserve"> and selecting “Events &amp; Presentations” from the website menu. A replay of the audio webcast will be available at the same location following the conclusion of the call.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Conference call participants should </w:t>
      </w:r>
      <w:r>
        <w:rPr>
          <w:rFonts w:ascii="Arial" w:cs="Arial" w:eastAsia="Arial" w:hAnsi="Arial"/>
          <w:sz w:val="20"/>
          <w:szCs w:val="20"/>
          <w:u w:val="single" w:color="auto"/>
          <w:color w:val="7AB800"/>
        </w:rPr>
        <w:t>register</w:t>
      </w:r>
      <w:r>
        <w:rPr>
          <w:rFonts w:ascii="Arial" w:cs="Arial" w:eastAsia="Arial" w:hAnsi="Arial"/>
          <w:sz w:val="20"/>
          <w:szCs w:val="20"/>
          <w:color w:val="auto"/>
        </w:rPr>
        <w:t xml:space="preserve"> to obtain their dial in and passcode details. This streamlined process improves security and eliminates wait times when joining the call.</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WM</w:t>
      </w:r>
    </w:p>
    <w:p>
      <w:pPr>
        <w:spacing w:after="0" w:line="20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WM (</w:t>
      </w:r>
      <w:r>
        <w:rPr>
          <w:rFonts w:ascii="Arial" w:cs="Arial" w:eastAsia="Arial" w:hAnsi="Arial"/>
          <w:sz w:val="18"/>
          <w:szCs w:val="18"/>
          <w:u w:val="single" w:color="auto"/>
          <w:color w:val="7AB800"/>
        </w:rPr>
        <w:t>WM.com</w:t>
      </w:r>
      <w:r>
        <w:rPr>
          <w:rFonts w:ascii="Arial" w:cs="Arial" w:eastAsia="Arial" w:hAnsi="Arial"/>
          <w:sz w:val="18"/>
          <w:szCs w:val="18"/>
          <w:color w:val="auto"/>
        </w:rPr>
        <w:t xml:space="preserve">) is North America's leading provider of comprehensive environmental solutions. Previously known as Waste Management and based in Houston, Texas, WM is driven by commitments to put people first and achieve success with integrity. WM, through its subsidiaries, provides collection, recycling and disposal services to millions of residential, commercial, industrial, medical and municipal customers throughout the U.S. and Canada. With innovative infrastructure and capabilities in recycling, organics and renewable energy, WM provides environmental solutions to and collaborates with its customers in helping them pursue their sustainability goals. In North America, WM has the largest disposal network and collection fleet, is the largest recycler and is a leader in beneficial use of landfill gas, with a growing network of renewable natural gas plants and the most landfill gas-to-electricity plants, as well as the largest heavy-duty natural gas truck fleet in the industry. WM, through its subsidiaries, also provides collection and disposal services of regulated medical waste and secure information destruction services in the U.S., Canada and Western Europe. To learn more about WM and the company's sustainability progress and solutions, visit </w:t>
      </w:r>
      <w:r>
        <w:rPr>
          <w:rFonts w:ascii="Arial" w:cs="Arial" w:eastAsia="Arial" w:hAnsi="Arial"/>
          <w:sz w:val="18"/>
          <w:szCs w:val="18"/>
          <w:u w:val="single" w:color="auto"/>
          <w:color w:val="7AB800"/>
        </w:rPr>
        <w:t>Sustainability.WM.com</w:t>
      </w:r>
      <w:r>
        <w:rPr>
          <w:rFonts w:ascii="Arial" w:cs="Arial" w:eastAsia="Arial" w:hAnsi="Arial"/>
          <w:sz w:val="18"/>
          <w:szCs w:val="18"/>
          <w:color w:val="auto"/>
        </w:rPr>
        <w:t>.</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from time to time, provides estimates or projections of financial and other data, comments on expectations relating to future periods and makes statements of opinion, view or belief about current and future events, circumstances or performance. This press release contains a number of such forward-looking statements, including all statements regarding financial guidance and achievement of 2026 guidance; future growth, earnings, value creation, performance, cash flow generation, outlook, and results of our business; future share repurchases; and execution, results and benefits from operational initiatives and investments.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including our ability to integrate the acquisition of Stericycle, Inc. (which is now presented as our Healthcare Solutions segment) and achieve the anticipated benefits therefrom, including synergies; legal, regulatory, operational, technological and other matters that may affect the costs and timing of our ability to integrate and deliver all of the expected benefits of the Stericycle, Inc. acquisition; existing or new environmental and other regulations, including developments related to emerging contaminants, gas emissions, renewable energy, recyclables, extended producer responsibility and our natural gas fleet;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both"/>
        <w:spacing w:after="0" w:line="236" w:lineRule="auto"/>
        <w:rPr>
          <w:sz w:val="20"/>
          <w:szCs w:val="20"/>
          <w:color w:val="auto"/>
        </w:rPr>
      </w:pPr>
      <w:r>
        <w:rPr>
          <w:rFonts w:ascii="Arial" w:cs="Arial" w:eastAsia="Arial" w:hAnsi="Arial"/>
          <w:sz w:val="18"/>
          <w:szCs w:val="18"/>
          <w:color w:val="auto"/>
        </w:rPr>
        <w:t>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and pricing pressure; impacts from international trade restrictions and tariffs; competitive disposal alternatives, diversion of waste from landfills and declining waste volumes; changes in general economic conditions, capital markets or consumer trends; changing conditions in the recycling industry, including impacts on demand, pricing and availability of counterparties; changing conditions in the healthcare industry; adoption of new tax legislation; fuel shortages; failure to develop and protect new technology; failure of technology to perform as expected; inability to adapt and manage the benefits and risks of artificial intelligence; failure to prevent, detect and address cybersecurity incidents or comply with privacy regulations; negative outcomes of litigation or governmental proceedings, including those acquired through transactions; failure to maintain an effective system of internal control over financial reporting; and operational or management decisions or developments that result in impairment charges. Please also see the Company’s filings with the SEC, including Part I, Item 1A of the Company’s most recently filed Annual Report on Form 10-K, as updated by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supplement its financial information, the Company has presented, and/or may discuss on the conference call, adjusted measures including adjusted earnings per diluted share, adjusted net income, adjusted income from operations and margin, adjusted operating EBITDA and margin, adjusted operating expense and margin, and adjusted SG&amp;A expenses and margin. All adjusted measures and free cash flow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3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quantitative reconciliations of non-GAAP measures to the most comparable GAAP measures are included in the accompanying schedules, with the exception of projected adjusted operating EBITDA and margin. Non-GAAP measures should not be considered a substitute for financial measures presented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7AB800"/>
        </w:rPr>
        <w:t>FOR MORE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7AB800"/>
        </w:rPr>
        <w:t>www.wm.com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234" w:lineRule="auto"/>
        <w:rPr>
          <w:sz w:val="20"/>
          <w:szCs w:val="20"/>
          <w:color w:val="auto"/>
        </w:rPr>
      </w:pPr>
      <w:r>
        <w:rPr>
          <w:rFonts w:ascii="Arial" w:cs="Arial" w:eastAsia="Arial" w:hAnsi="Arial"/>
          <w:sz w:val="18"/>
          <w:szCs w:val="18"/>
          <w:color w:val="auto"/>
        </w:rPr>
        <w:t>713.265.1656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7AB800"/>
        </w:rPr>
        <w:t>eegl@wm.com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Toni Werner</w:t>
      </w:r>
    </w:p>
    <w:p>
      <w:pPr>
        <w:spacing w:after="0"/>
        <w:rPr>
          <w:sz w:val="20"/>
          <w:szCs w:val="20"/>
          <w:color w:val="auto"/>
        </w:rPr>
      </w:pPr>
      <w:r>
        <w:rPr>
          <w:rFonts w:ascii="Arial" w:cs="Arial" w:eastAsia="Arial" w:hAnsi="Arial"/>
          <w:sz w:val="18"/>
          <w:szCs w:val="18"/>
          <w:u w:val="single" w:color="auto"/>
          <w:color w:val="7AB800"/>
        </w:rPr>
        <w:t>media@wm.com</w:t>
      </w:r>
    </w:p>
    <w:p>
      <w:pPr>
        <w:spacing w:after="0" w:line="200" w:lineRule="exact"/>
        <w:rPr>
          <w:sz w:val="20"/>
          <w:szCs w:val="20"/>
          <w:color w:val="auto"/>
        </w:rPr>
      </w:pPr>
    </w:p>
    <w:p>
      <w:pPr>
        <w:spacing w:after="0" w:line="207" w:lineRule="exact"/>
        <w:rPr>
          <w:sz w:val="20"/>
          <w:szCs w:val="20"/>
          <w:color w:val="auto"/>
        </w:rPr>
      </w:pPr>
    </w:p>
    <w:p>
      <w:pPr>
        <w:jc w:val="right"/>
        <w:ind w:right="4359"/>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3"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5"/>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gridSpan w:val="4"/>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7"/>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6,443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40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Operating</w:t>
            </w:r>
            <w:r>
              <w:rPr>
                <w:rFonts w:ascii="Times New Roman" w:cs="Times New Roman" w:eastAsia="Times New Roman" w:hAnsi="Times New Roman"/>
                <w:sz w:val="29"/>
                <w:szCs w:val="29"/>
                <w:color w:val="auto"/>
                <w:vertAlign w:val="superscript"/>
              </w:rPr>
              <w:t>(a)</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4,093</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8"/>
              </w:rPr>
              <w:t>3,798</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11,742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665</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40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Depreciation, depletion, amortization and accretion</w:t>
            </w:r>
            <w:r>
              <w:rPr>
                <w:rFonts w:ascii="Times New Roman" w:cs="Times New Roman" w:eastAsia="Times New Roman" w:hAnsi="Times New Roman"/>
                <w:sz w:val="29"/>
                <w:szCs w:val="29"/>
                <w:color w:val="auto"/>
                <w:vertAlign w:val="superscript"/>
              </w:rPr>
              <w:t>(a)</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764</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2,304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from divestitures, asset impairments and unusual items, net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5,454</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15,738</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3"/>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12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2.06</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2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2.05</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5.79</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398.9</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403.0</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401.2</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402.6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399.8</w:t>
            </w:r>
          </w:p>
        </w:tc>
        <w:tc>
          <w:tcPr>
            <w:tcW w:w="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404.3</w:t>
            </w:r>
          </w:p>
        </w:tc>
        <w:tc>
          <w:tcPr>
            <w:tcW w:w="2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402.2</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404.0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2026, landfill accretion expense was moved from operating expenses to depreciation, depletion, amortization and accretion. Landfill accretion expenses in the three and nine months ended September 30, 2026 were $39 million and $117 million, respectively. Landfill accretion expenses in the three and nine months ended September 30, 2025 were $35 million and $106 million, respectively. For comparability purposes, 2025 actuals have been updated to reflect that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180" w:right="240"/>
        <w:spacing w:after="0" w:line="253" w:lineRule="auto"/>
        <w:rPr>
          <w:sz w:val="20"/>
          <w:szCs w:val="20"/>
          <w:color w:val="auto"/>
        </w:rPr>
      </w:pPr>
      <w:r>
        <w:rPr>
          <w:rFonts w:ascii="Times New Roman" w:cs="Times New Roman" w:eastAsia="Times New Roman" w:hAnsi="Times New Roman"/>
          <w:sz w:val="18"/>
          <w:szCs w:val="18"/>
          <w:color w:val="auto"/>
        </w:rPr>
        <w:t>Cash and cash equivalents Receivables, net Other</w:t>
      </w:r>
    </w:p>
    <w:p>
      <w:pPr>
        <w:spacing w:after="0" w:line="2" w:lineRule="exact"/>
        <w:rPr>
          <w:sz w:val="20"/>
          <w:szCs w:val="20"/>
          <w:color w:val="auto"/>
        </w:rPr>
      </w:pPr>
    </w:p>
    <w:p>
      <w:pPr>
        <w:ind w:right="260" w:firstLine="324"/>
        <w:spacing w:after="0" w:line="257" w:lineRule="auto"/>
        <w:rPr>
          <w:sz w:val="20"/>
          <w:szCs w:val="20"/>
          <w:color w:val="auto"/>
        </w:rPr>
      </w:pPr>
      <w:r>
        <w:rPr>
          <w:rFonts w:ascii="Times New Roman" w:cs="Times New Roman" w:eastAsia="Times New Roman" w:hAnsi="Times New Roman"/>
          <w:sz w:val="18"/>
          <w:szCs w:val="18"/>
          <w:color w:val="auto"/>
        </w:rPr>
        <w:t>Total current assets Property and equipment, net Goodwill</w:t>
      </w:r>
    </w:p>
    <w:p>
      <w:pPr>
        <w:spacing w:after="0" w:line="1"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Other intangible assets, net Other</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60" w:type="dxa"/>
        <w:tblCellMar>
          <w:top w:w="0" w:type="dxa"/>
          <w:left w:w="0" w:type="dxa"/>
          <w:bottom w:w="0" w:type="dxa"/>
          <w:right w:w="0" w:type="dxa"/>
        </w:tblCellMar>
      </w:tblPr>
      <w:tr>
        <w:trPr>
          <w:trHeight w:val="238"/>
        </w:trPr>
        <w:tc>
          <w:tcPr>
            <w:tcW w:w="524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24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4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960" w:type="dxa"/>
            <w:vAlign w:val="bottom"/>
          </w:tcPr>
          <w:p>
            <w:pPr>
              <w:spacing w:after="0"/>
              <w:rPr>
                <w:sz w:val="24"/>
                <w:szCs w:val="24"/>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9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5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191"/>
        </w:trPr>
        <w:tc>
          <w:tcPr>
            <w:tcW w:w="49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5,250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4,910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20,378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13,880</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96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-1562735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-1279525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-1005205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-713740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-439420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-156845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-125095</wp:posOffset>
            </wp:positionV>
            <wp:extent cx="17056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2300" w:space="720"/>
            <w:col w:w="822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accrued liabilities and deferred revenues</w:t>
            </w:r>
          </w:p>
        </w:tc>
        <w:tc>
          <w:tcPr>
            <w:tcW w:w="24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4,862</w:t>
            </w:r>
          </w:p>
        </w:tc>
        <w:tc>
          <w:tcPr>
            <w:tcW w:w="4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4,813</w:t>
            </w:r>
          </w:p>
        </w:tc>
        <w:tc>
          <w:tcPr>
            <w:tcW w:w="80" w:type="dxa"/>
            <w:vAlign w:val="bottom"/>
          </w:tcPr>
          <w:p>
            <w:pPr>
              <w:spacing w:after="0"/>
              <w:rPr>
                <w:sz w:val="18"/>
                <w:szCs w:val="18"/>
                <w:color w:val="auto"/>
              </w:rPr>
            </w:pPr>
          </w:p>
        </w:tc>
      </w:tr>
      <w:tr>
        <w:trPr>
          <w:trHeight w:val="229"/>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1,524</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shd w:val="clear" w:color="auto" w:fill="CCEEFF"/>
          </w:tcPr>
          <w:p>
            <w:pPr>
              <w:spacing w:after="0"/>
              <w:rPr>
                <w:sz w:val="19"/>
                <w:szCs w:val="19"/>
                <w:color w:val="auto"/>
              </w:rPr>
            </w:pPr>
          </w:p>
        </w:tc>
      </w:tr>
      <w:tr>
        <w:trPr>
          <w:trHeight w:val="210"/>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21,846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22,196</w:t>
            </w:r>
          </w:p>
        </w:tc>
        <w:tc>
          <w:tcPr>
            <w:tcW w:w="80" w:type="dxa"/>
            <w:vAlign w:val="bottom"/>
            <w:shd w:val="clear" w:color="auto" w:fill="CCEEFF"/>
          </w:tcPr>
          <w:p>
            <w:pPr>
              <w:spacing w:after="0"/>
              <w:rPr>
                <w:sz w:val="18"/>
                <w:szCs w:val="18"/>
                <w:color w:val="auto"/>
              </w:rPr>
            </w:pPr>
          </w:p>
        </w:tc>
      </w:tr>
      <w:tr>
        <w:trPr>
          <w:trHeight w:val="22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8,124</w:t>
            </w:r>
          </w:p>
        </w:tc>
        <w:tc>
          <w:tcPr>
            <w:tcW w:w="80" w:type="dxa"/>
            <w:vAlign w:val="bottom"/>
          </w:tcPr>
          <w:p>
            <w:pPr>
              <w:spacing w:after="0"/>
              <w:rPr>
                <w:sz w:val="19"/>
                <w:szCs w:val="19"/>
                <w:color w:val="auto"/>
              </w:rPr>
            </w:pPr>
          </w:p>
        </w:tc>
      </w:tr>
      <w:tr>
        <w:trPr>
          <w:trHeight w:val="210"/>
        </w:trPr>
        <w:tc>
          <w:tcPr>
            <w:tcW w:w="64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Waste Management, Inc. stockholders’ equity</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9,990</w:t>
            </w:r>
          </w:p>
        </w:tc>
        <w:tc>
          <w:tcPr>
            <w:tcW w:w="80" w:type="dxa"/>
            <w:vAlign w:val="bottom"/>
            <w:shd w:val="clear" w:color="auto" w:fill="CCEEFF"/>
          </w:tcPr>
          <w:p>
            <w:pPr>
              <w:spacing w:after="0"/>
              <w:rPr>
                <w:sz w:val="18"/>
                <w:szCs w:val="18"/>
                <w:color w:val="auto"/>
              </w:rPr>
            </w:pPr>
          </w:p>
        </w:tc>
      </w:tr>
      <w:tr>
        <w:trPr>
          <w:trHeight w:val="230"/>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r>
      <w:tr>
        <w:trPr>
          <w:trHeight w:val="210"/>
        </w:trPr>
        <w:tc>
          <w:tcPr>
            <w:tcW w:w="64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2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7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2,329</w:t>
            </w: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consolidated net income to net cash provided by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depletion, amortization and accretion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2,304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shd w:val="clear" w:color="auto" w:fill="CCEEFF"/>
          </w:tcPr>
          <w:p>
            <w:pPr>
              <w:spacing w:after="0"/>
              <w:rPr>
                <w:sz w:val="18"/>
                <w:szCs w:val="18"/>
                <w:color w:val="auto"/>
              </w:rPr>
            </w:pPr>
          </w:p>
        </w:tc>
      </w:tr>
      <w:tr>
        <w:trPr>
          <w:trHeight w:val="229"/>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effects of acquisitions and divestitures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r>
      <w:tr>
        <w:trPr>
          <w:trHeight w:val="210"/>
        </w:trPr>
        <w:tc>
          <w:tcPr>
            <w:tcW w:w="7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(1,937)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(2,339)</w:t>
            </w: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8"/>
                <w:szCs w:val="18"/>
                <w:color w:val="auto"/>
              </w:rPr>
            </w:pPr>
          </w:p>
        </w:tc>
      </w:tr>
      <w:tr>
        <w:trPr>
          <w:trHeight w:val="229"/>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r>
      <w:tr>
        <w:trPr>
          <w:trHeight w:val="209"/>
        </w:trPr>
        <w:tc>
          <w:tcPr>
            <w:tcW w:w="7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borrowings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18,644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repayments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(18,668)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(15,772)</w:t>
            </w: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 program</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(1,583)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(1,141)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(1,001)</w:t>
            </w: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payments associated with equity-based compensation transactions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09"/>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and cash equivalents</w:t>
            </w:r>
          </w:p>
        </w:tc>
        <w:tc>
          <w:tcPr>
            <w:tcW w:w="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 and cash equivalents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gridSpan w:val="2"/>
          </w:tcPr>
          <w:p>
            <w:pPr>
              <w:spacing w:after="0"/>
              <w:rPr>
                <w:sz w:val="18"/>
                <w:szCs w:val="18"/>
                <w:color w:val="auto"/>
              </w:rPr>
            </w:pPr>
          </w:p>
        </w:tc>
      </w:tr>
      <w:tr>
        <w:trPr>
          <w:trHeight w:val="23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beginning of period</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shd w:val="clear" w:color="auto" w:fill="CCEEFF"/>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end of period</w:t>
            </w:r>
          </w:p>
        </w:tc>
        <w:tc>
          <w:tcPr>
            <w:tcW w:w="6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7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Operating Revenues by Line of Business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420"/>
              <w:spacing w:after="0" w:line="196" w:lineRule="exact"/>
              <w:rPr>
                <w:sz w:val="20"/>
                <w:szCs w:val="20"/>
                <w:color w:val="auto"/>
              </w:rPr>
            </w:pPr>
            <w:r>
              <w:rPr>
                <w:rFonts w:ascii="Times New Roman" w:cs="Times New Roman" w:eastAsia="Times New Roman" w:hAnsi="Times New Roman"/>
                <w:sz w:val="18"/>
                <w:szCs w:val="18"/>
                <w:b w:val="1"/>
                <w:bCs w:val="1"/>
                <w:color w:val="auto"/>
              </w:rPr>
              <w:t>Net</w:t>
            </w:r>
          </w:p>
        </w:tc>
        <w:tc>
          <w:tcPr>
            <w:tcW w:w="1300" w:type="dxa"/>
            <w:vAlign w:val="bottom"/>
            <w:gridSpan w:val="3"/>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Intercompany</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00"/>
              <w:spacing w:after="0" w:line="19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360"/>
              <w:spacing w:after="0" w:line="196"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340" w:type="dxa"/>
            <w:vAlign w:val="bottom"/>
            <w:gridSpan w:val="3"/>
          </w:tcPr>
          <w:p>
            <w:pPr>
              <w:jc w:val="center"/>
              <w:ind w:right="1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Intercompany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60"/>
              <w:spacing w:after="0" w:line="196" w:lineRule="exact"/>
              <w:rPr>
                <w:sz w:val="20"/>
                <w:szCs w:val="20"/>
                <w:color w:val="auto"/>
              </w:rPr>
            </w:pPr>
            <w:r>
              <w:rPr>
                <w:rFonts w:ascii="Times New Roman" w:cs="Times New Roman" w:eastAsia="Times New Roman" w:hAnsi="Times New Roman"/>
                <w:sz w:val="18"/>
                <w:szCs w:val="18"/>
                <w:b w:val="1"/>
                <w:bCs w:val="1"/>
                <w:color w:val="auto"/>
                <w:w w:val="97"/>
              </w:rPr>
              <w:t>Gross</w:t>
            </w:r>
          </w:p>
        </w:tc>
      </w:t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70"/>
        </w:trPr>
        <w:tc>
          <w:tcPr>
            <w:tcW w:w="2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20" w:type="dxa"/>
            <w:vAlign w:val="bottom"/>
          </w:tcPr>
          <w:p>
            <w:pPr>
              <w:spacing w:after="0"/>
              <w:rPr>
                <w:sz w:val="23"/>
                <w:szCs w:val="23"/>
                <w:color w:val="auto"/>
              </w:rPr>
            </w:pPr>
          </w:p>
        </w:tc>
        <w:tc>
          <w:tcPr>
            <w:tcW w:w="1180" w:type="dxa"/>
            <w:vAlign w:val="bottom"/>
            <w:gridSpan w:val="2"/>
          </w:tcPr>
          <w:p>
            <w:pPr>
              <w:jc w:val="center"/>
              <w:ind w:right="200"/>
              <w:spacing w:after="0" w:line="270" w:lineRule="exact"/>
              <w:rPr>
                <w:sz w:val="20"/>
                <w:szCs w:val="20"/>
                <w:color w:val="auto"/>
              </w:rPr>
            </w:pPr>
            <w:r>
              <w:rPr>
                <w:rFonts w:ascii="Times New Roman" w:cs="Times New Roman" w:eastAsia="Times New Roman" w:hAnsi="Times New Roman"/>
                <w:sz w:val="18"/>
                <w:szCs w:val="18"/>
                <w:b w:val="1"/>
                <w:bCs w:val="1"/>
                <w:color w:val="auto"/>
                <w:w w:val="94"/>
              </w:rPr>
              <w:t>Revenues</w:t>
            </w:r>
            <w:r>
              <w:rPr>
                <w:rFonts w:ascii="Times New Roman" w:cs="Times New Roman" w:eastAsia="Times New Roman" w:hAnsi="Times New Roman"/>
                <w:sz w:val="29"/>
                <w:szCs w:val="29"/>
                <w:b w:val="1"/>
                <w:bCs w:val="1"/>
                <w:color w:val="auto"/>
                <w:w w:val="94"/>
                <w:vertAlign w:val="superscript"/>
              </w:rPr>
              <w:t>(a)</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rPr>
                <w:sz w:val="23"/>
                <w:szCs w:val="23"/>
                <w:color w:val="auto"/>
              </w:rPr>
            </w:pPr>
          </w:p>
        </w:tc>
        <w:tc>
          <w:tcPr>
            <w:tcW w:w="1220" w:type="dxa"/>
            <w:vAlign w:val="bottom"/>
            <w:gridSpan w:val="2"/>
          </w:tcPr>
          <w:p>
            <w:pPr>
              <w:jc w:val="center"/>
              <w:ind w:right="240"/>
              <w:spacing w:after="0" w:line="270" w:lineRule="exact"/>
              <w:rPr>
                <w:sz w:val="20"/>
                <w:szCs w:val="20"/>
                <w:color w:val="auto"/>
              </w:rPr>
            </w:pPr>
            <w:r>
              <w:rPr>
                <w:rFonts w:ascii="Times New Roman" w:cs="Times New Roman" w:eastAsia="Times New Roman" w:hAnsi="Times New Roman"/>
                <w:sz w:val="18"/>
                <w:szCs w:val="18"/>
                <w:b w:val="1"/>
                <w:bCs w:val="1"/>
                <w:color w:val="auto"/>
                <w:w w:val="94"/>
              </w:rPr>
              <w:t>Revenues</w:t>
            </w:r>
            <w:r>
              <w:rPr>
                <w:rFonts w:ascii="Times New Roman" w:cs="Times New Roman" w:eastAsia="Times New Roman" w:hAnsi="Times New Roman"/>
                <w:sz w:val="29"/>
                <w:szCs w:val="29"/>
                <w:b w:val="1"/>
                <w:bCs w:val="1"/>
                <w:color w:val="auto"/>
                <w:w w:val="94"/>
                <w:vertAlign w:val="superscript"/>
              </w:rPr>
              <w:t>(a)</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Revenues</w:t>
            </w:r>
          </w:p>
        </w:tc>
      </w:tr>
      <w:tr>
        <w:trPr>
          <w:trHeight w:val="209"/>
        </w:trPr>
        <w:tc>
          <w:tcPr>
            <w:tcW w:w="2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w:t>
            </w:r>
          </w:p>
        </w:tc>
      </w:tr>
      <w:tr>
        <w:trPr>
          <w:trHeight w:val="209"/>
        </w:trPr>
        <w:tc>
          <w:tcPr>
            <w:tcW w:w="24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Landfill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1,402</w:t>
            </w:r>
          </w:p>
        </w:tc>
      </w:tr>
      <w:tr>
        <w:trPr>
          <w:trHeight w:val="23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w:t>
            </w:r>
          </w:p>
        </w:tc>
      </w:tr>
      <w:tr>
        <w:trPr>
          <w:trHeight w:val="209"/>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0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Renewable Energy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Solutions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2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8"/>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420"/>
              <w:spacing w:after="0" w:line="196" w:lineRule="exact"/>
              <w:rPr>
                <w:sz w:val="20"/>
                <w:szCs w:val="20"/>
                <w:color w:val="auto"/>
              </w:rPr>
            </w:pPr>
            <w:r>
              <w:rPr>
                <w:rFonts w:ascii="Times New Roman" w:cs="Times New Roman" w:eastAsia="Times New Roman" w:hAnsi="Times New Roman"/>
                <w:sz w:val="18"/>
                <w:szCs w:val="18"/>
                <w:b w:val="1"/>
                <w:bCs w:val="1"/>
                <w:color w:val="auto"/>
              </w:rPr>
              <w:t>Net</w:t>
            </w:r>
          </w:p>
        </w:tc>
        <w:tc>
          <w:tcPr>
            <w:tcW w:w="1300" w:type="dxa"/>
            <w:vAlign w:val="bottom"/>
            <w:gridSpan w:val="3"/>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Intercompany</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00"/>
              <w:spacing w:after="0" w:line="19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360"/>
              <w:spacing w:after="0" w:line="196"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340" w:type="dxa"/>
            <w:vAlign w:val="bottom"/>
            <w:gridSpan w:val="3"/>
          </w:tcPr>
          <w:p>
            <w:pPr>
              <w:jc w:val="center"/>
              <w:ind w:right="1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Intercompany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60"/>
              <w:spacing w:after="0" w:line="196" w:lineRule="exact"/>
              <w:rPr>
                <w:sz w:val="20"/>
                <w:szCs w:val="20"/>
                <w:color w:val="auto"/>
              </w:rPr>
            </w:pPr>
            <w:r>
              <w:rPr>
                <w:rFonts w:ascii="Times New Roman" w:cs="Times New Roman" w:eastAsia="Times New Roman" w:hAnsi="Times New Roman"/>
                <w:sz w:val="18"/>
                <w:szCs w:val="18"/>
                <w:b w:val="1"/>
                <w:bCs w:val="1"/>
                <w:color w:val="auto"/>
                <w:w w:val="97"/>
              </w:rPr>
              <w:t>Gross</w:t>
            </w:r>
          </w:p>
        </w:tc>
      </w:t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70"/>
        </w:trPr>
        <w:tc>
          <w:tcPr>
            <w:tcW w:w="2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20" w:type="dxa"/>
            <w:vAlign w:val="bottom"/>
          </w:tcPr>
          <w:p>
            <w:pPr>
              <w:spacing w:after="0"/>
              <w:rPr>
                <w:sz w:val="23"/>
                <w:szCs w:val="23"/>
                <w:color w:val="auto"/>
              </w:rPr>
            </w:pPr>
          </w:p>
        </w:tc>
        <w:tc>
          <w:tcPr>
            <w:tcW w:w="1180" w:type="dxa"/>
            <w:vAlign w:val="bottom"/>
            <w:gridSpan w:val="2"/>
          </w:tcPr>
          <w:p>
            <w:pPr>
              <w:jc w:val="center"/>
              <w:ind w:right="200"/>
              <w:spacing w:after="0" w:line="270" w:lineRule="exact"/>
              <w:rPr>
                <w:sz w:val="20"/>
                <w:szCs w:val="20"/>
                <w:color w:val="auto"/>
              </w:rPr>
            </w:pPr>
            <w:r>
              <w:rPr>
                <w:rFonts w:ascii="Times New Roman" w:cs="Times New Roman" w:eastAsia="Times New Roman" w:hAnsi="Times New Roman"/>
                <w:sz w:val="18"/>
                <w:szCs w:val="18"/>
                <w:b w:val="1"/>
                <w:bCs w:val="1"/>
                <w:color w:val="auto"/>
                <w:w w:val="94"/>
              </w:rPr>
              <w:t>Revenues</w:t>
            </w:r>
            <w:r>
              <w:rPr>
                <w:rFonts w:ascii="Times New Roman" w:cs="Times New Roman" w:eastAsia="Times New Roman" w:hAnsi="Times New Roman"/>
                <w:sz w:val="29"/>
                <w:szCs w:val="29"/>
                <w:b w:val="1"/>
                <w:bCs w:val="1"/>
                <w:color w:val="auto"/>
                <w:w w:val="94"/>
                <w:vertAlign w:val="superscript"/>
              </w:rPr>
              <w:t>(a)</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rPr>
                <w:sz w:val="23"/>
                <w:szCs w:val="23"/>
                <w:color w:val="auto"/>
              </w:rPr>
            </w:pPr>
          </w:p>
        </w:tc>
        <w:tc>
          <w:tcPr>
            <w:tcW w:w="1220" w:type="dxa"/>
            <w:vAlign w:val="bottom"/>
            <w:gridSpan w:val="2"/>
          </w:tcPr>
          <w:p>
            <w:pPr>
              <w:jc w:val="center"/>
              <w:ind w:right="240"/>
              <w:spacing w:after="0" w:line="270" w:lineRule="exact"/>
              <w:rPr>
                <w:sz w:val="20"/>
                <w:szCs w:val="20"/>
                <w:color w:val="auto"/>
              </w:rPr>
            </w:pPr>
            <w:r>
              <w:rPr>
                <w:rFonts w:ascii="Times New Roman" w:cs="Times New Roman" w:eastAsia="Times New Roman" w:hAnsi="Times New Roman"/>
                <w:sz w:val="18"/>
                <w:szCs w:val="18"/>
                <w:b w:val="1"/>
                <w:bCs w:val="1"/>
                <w:color w:val="auto"/>
                <w:w w:val="94"/>
              </w:rPr>
              <w:t>Revenues</w:t>
            </w:r>
            <w:r>
              <w:rPr>
                <w:rFonts w:ascii="Times New Roman" w:cs="Times New Roman" w:eastAsia="Times New Roman" w:hAnsi="Times New Roman"/>
                <w:sz w:val="29"/>
                <w:szCs w:val="29"/>
                <w:b w:val="1"/>
                <w:bCs w:val="1"/>
                <w:color w:val="auto"/>
                <w:w w:val="94"/>
                <w:vertAlign w:val="superscript"/>
              </w:rPr>
              <w:t>(a)</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Revenues</w:t>
            </w:r>
          </w:p>
        </w:tc>
      </w:tr>
      <w:tr>
        <w:trPr>
          <w:trHeight w:val="210"/>
        </w:trPr>
        <w:tc>
          <w:tcPr>
            <w:tcW w:w="2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2,421</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2,339</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2,995</w:t>
            </w: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2,725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2,694</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2,521</w:t>
            </w: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2,368</w:t>
            </w: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2,577</w:t>
            </w:r>
          </w:p>
        </w:tc>
      </w:tr>
      <w:tr>
        <w:trPr>
          <w:trHeight w:val="209"/>
        </w:trPr>
        <w:tc>
          <w:tcPr>
            <w:tcW w:w="24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Landfill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2,886</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2,871</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4,041</w:t>
            </w:r>
          </w:p>
        </w:tc>
      </w:tr>
      <w:tr>
        <w:trPr>
          <w:trHeight w:val="229"/>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1,963</w:t>
            </w:r>
          </w:p>
        </w:tc>
      </w:tr>
      <w:tr>
        <w:trPr>
          <w:trHeight w:val="210"/>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16,139</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15,524</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19,124</w:t>
            </w:r>
          </w:p>
        </w:tc>
        <w:tc>
          <w:tcPr>
            <w:tcW w:w="10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Renewable Energy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Solutions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2,219</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2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each segment’s intercompany activity, including transactions within a segment and between segments. Transactions within and between segments are generally made on a basis intended to reflect the market value of the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DATA SHEET</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Revenue Growth</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3"/>
        </w:trPr>
        <w:tc>
          <w:tcPr>
            <w:tcW w:w="2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2026 vs. 2025</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2026 vs. 2025</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2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20" w:type="dxa"/>
            <w:vAlign w:val="bottom"/>
          </w:tcPr>
          <w:p>
            <w:pPr>
              <w:spacing w:after="0"/>
              <w:rPr>
                <w:sz w:val="10"/>
                <w:szCs w:val="10"/>
                <w:color w:val="auto"/>
              </w:rPr>
            </w:pPr>
          </w:p>
        </w:tc>
      </w:tr>
      <w:tr>
        <w:trPr>
          <w:trHeight w:val="158"/>
        </w:trPr>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jc w:val="center"/>
              <w:ind w:right="303"/>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4"/>
        </w:trPr>
        <w:tc>
          <w:tcPr>
            <w:tcW w:w="23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w w:val="95"/>
              </w:rPr>
              <w:t>Business</w:t>
            </w:r>
            <w:r>
              <w:rPr>
                <w:rFonts w:ascii="Times New Roman" w:cs="Times New Roman" w:eastAsia="Times New Roman" w:hAnsi="Times New Roman"/>
                <w:sz w:val="23"/>
                <w:szCs w:val="23"/>
                <w:b w:val="1"/>
                <w:bCs w:val="1"/>
                <w:color w:val="auto"/>
                <w:w w:val="95"/>
                <w:vertAlign w:val="superscript"/>
              </w:rPr>
              <w:t>(a)</w:t>
            </w: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w w:val="98"/>
              </w:rPr>
              <w:t>Company</w:t>
            </w:r>
            <w:r>
              <w:rPr>
                <w:rFonts w:ascii="Times New Roman" w:cs="Times New Roman" w:eastAsia="Times New Roman" w:hAnsi="Times New Roman"/>
                <w:sz w:val="23"/>
                <w:szCs w:val="23"/>
                <w:b w:val="1"/>
                <w:bCs w:val="1"/>
                <w:color w:val="auto"/>
                <w:w w:val="98"/>
                <w:vertAlign w:val="superscript"/>
              </w:rPr>
              <w:t>(b)</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w w:val="95"/>
              </w:rPr>
              <w:t>Business</w:t>
            </w:r>
            <w:r>
              <w:rPr>
                <w:rFonts w:ascii="Times New Roman" w:cs="Times New Roman" w:eastAsia="Times New Roman" w:hAnsi="Times New Roman"/>
                <w:sz w:val="23"/>
                <w:szCs w:val="23"/>
                <w:b w:val="1"/>
                <w:bCs w:val="1"/>
                <w:color w:val="auto"/>
                <w:w w:val="95"/>
                <w:vertAlign w:val="superscript"/>
              </w:rPr>
              <w:t>(a)</w:t>
            </w: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w w:val="95"/>
              </w:rPr>
              <w:t>Company</w:t>
            </w:r>
            <w:r>
              <w:rPr>
                <w:rFonts w:ascii="Times New Roman" w:cs="Times New Roman" w:eastAsia="Times New Roman" w:hAnsi="Times New Roman"/>
                <w:sz w:val="23"/>
                <w:szCs w:val="23"/>
                <w:b w:val="1"/>
                <w:bCs w:val="1"/>
                <w:color w:val="auto"/>
                <w:w w:val="95"/>
                <w:vertAlign w:val="superscript"/>
              </w:rPr>
              <w:t>(b)</w:t>
            </w:r>
          </w:p>
        </w:tc>
        <w:tc>
          <w:tcPr>
            <w:tcW w:w="120" w:type="dxa"/>
            <w:vAlign w:val="bottom"/>
            <w:tcBorders>
              <w:bottom w:val="single" w:sz="8" w:color="CCEEFF"/>
            </w:tcBorders>
          </w:tcPr>
          <w:p>
            <w:pPr>
              <w:spacing w:after="0"/>
              <w:rPr>
                <w:sz w:val="17"/>
                <w:szCs w:val="17"/>
                <w:color w:val="auto"/>
              </w:rPr>
            </w:pPr>
          </w:p>
        </w:tc>
      </w:tr>
      <w:tr>
        <w:trPr>
          <w:trHeight w:val="142"/>
        </w:trPr>
        <w:tc>
          <w:tcPr>
            <w:tcW w:w="2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Collection and Disposal</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533</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3.6%</w:t>
            </w: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38"/>
        </w:trPr>
        <w:tc>
          <w:tcPr>
            <w:tcW w:w="238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Recycling Processing and Sales and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0"/>
        </w:trPr>
        <w:tc>
          <w:tcPr>
            <w:tcW w:w="2380" w:type="dxa"/>
            <w:vAlign w:val="bottom"/>
          </w:tcPr>
          <w:p>
            <w:pPr>
              <w:spacing w:after="0" w:line="200" w:lineRule="exact"/>
              <w:rPr>
                <w:sz w:val="20"/>
                <w:szCs w:val="20"/>
                <w:color w:val="auto"/>
              </w:rPr>
            </w:pPr>
            <w:r>
              <w:rPr>
                <w:rFonts w:ascii="Times New Roman" w:cs="Times New Roman" w:eastAsia="Times New Roman" w:hAnsi="Times New Roman"/>
                <w:sz w:val="14"/>
                <w:szCs w:val="14"/>
                <w:color w:val="auto"/>
              </w:rPr>
              <w:t xml:space="preserve">Renewable Energy </w:t>
            </w:r>
            <w:r>
              <w:rPr>
                <w:rFonts w:ascii="Times New Roman" w:cs="Times New Roman" w:eastAsia="Times New Roman" w:hAnsi="Times New Roman"/>
                <w:sz w:val="23"/>
                <w:szCs w:val="23"/>
                <w:color w:val="auto"/>
                <w:vertAlign w:val="superscript"/>
              </w:rPr>
              <w:t>(c)</w:t>
            </w:r>
          </w:p>
        </w:tc>
        <w:tc>
          <w:tcPr>
            <w:tcW w:w="1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8.6</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Energy surcharge and mandated fees</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112</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42.2</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w:t>
            </w: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38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average yield</w:t>
            </w:r>
          </w:p>
        </w:tc>
        <w:tc>
          <w:tcPr>
            <w:tcW w:w="920" w:type="dxa"/>
            <w:vAlign w:val="bottom"/>
            <w:tcBorders>
              <w:top w:val="single" w:sz="8" w:color="auto"/>
            </w:tcBorders>
          </w:tcPr>
          <w:p>
            <w:pPr>
              <w:spacing w:after="0"/>
              <w:rPr>
                <w:sz w:val="12"/>
                <w:szCs w:val="12"/>
                <w:color w:val="auto"/>
              </w:rPr>
            </w:pPr>
          </w:p>
        </w:tc>
        <w:tc>
          <w:tcPr>
            <w:tcW w:w="1740" w:type="dxa"/>
            <w:vAlign w:val="bottom"/>
            <w:gridSpan w:val="2"/>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326</w:t>
            </w:r>
          </w:p>
        </w:tc>
        <w:tc>
          <w:tcPr>
            <w:tcW w:w="112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880" w:type="dxa"/>
            <w:vAlign w:val="bottom"/>
            <w:tcBorders>
              <w:top w:val="single" w:sz="8" w:color="auto"/>
            </w:tcBorders>
          </w:tcPr>
          <w:p>
            <w:pPr>
              <w:spacing w:after="0"/>
              <w:rPr>
                <w:sz w:val="12"/>
                <w:szCs w:val="12"/>
                <w:color w:val="auto"/>
              </w:rPr>
            </w:pPr>
          </w:p>
        </w:tc>
        <w:tc>
          <w:tcPr>
            <w:tcW w:w="1720" w:type="dxa"/>
            <w:vAlign w:val="bottom"/>
            <w:gridSpan w:val="2"/>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768</w:t>
            </w:r>
          </w:p>
        </w:tc>
        <w:tc>
          <w:tcPr>
            <w:tcW w:w="10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4.1%</w:t>
            </w:r>
          </w:p>
        </w:tc>
      </w:tr>
      <w:tr>
        <w:trPr>
          <w:trHeight w:val="189"/>
        </w:trPr>
        <w:tc>
          <w:tcPr>
            <w:tcW w:w="238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3"/>
                <w:szCs w:val="13"/>
                <w:color w:val="auto"/>
              </w:rPr>
              <w:t xml:space="preserve">Volume </w:t>
            </w:r>
            <w:r>
              <w:rPr>
                <w:rFonts w:ascii="Times New Roman" w:cs="Times New Roman" w:eastAsia="Times New Roman" w:hAnsi="Times New Roman"/>
                <w:sz w:val="21"/>
                <w:szCs w:val="21"/>
                <w:color w:val="auto"/>
                <w:vertAlign w:val="superscript"/>
              </w:rPr>
              <w:t>(d)</w:t>
            </w:r>
          </w:p>
        </w:tc>
        <w:tc>
          <w:tcPr>
            <w:tcW w:w="9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w:t>
            </w:r>
          </w:p>
        </w:tc>
        <w:tc>
          <w:tcPr>
            <w:tcW w:w="11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0.8</w:t>
            </w:r>
          </w:p>
        </w:tc>
        <w:tc>
          <w:tcPr>
            <w:tcW w:w="8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43</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r>
      <w:tr>
        <w:trPr>
          <w:trHeight w:val="203"/>
        </w:trPr>
        <w:tc>
          <w:tcPr>
            <w:tcW w:w="238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 xml:space="preserve">Healthcare Solutions </w:t>
            </w:r>
            <w:r>
              <w:rPr>
                <w:rFonts w:ascii="Times New Roman" w:cs="Times New Roman" w:eastAsia="Times New Roman" w:hAnsi="Times New Roman"/>
                <w:sz w:val="23"/>
                <w:szCs w:val="23"/>
                <w:color w:val="auto"/>
                <w:vertAlign w:val="superscript"/>
              </w:rPr>
              <w:t>(e)</w:t>
            </w: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1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r>
      <w:tr>
        <w:trPr>
          <w:trHeight w:val="142"/>
        </w:trPr>
        <w:tc>
          <w:tcPr>
            <w:tcW w:w="2380" w:type="dxa"/>
            <w:vAlign w:val="bottom"/>
            <w:tcBorders>
              <w:top w:val="single" w:sz="8" w:color="CCEEFF"/>
            </w:tcBorders>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Internal revenue growth</w:t>
            </w:r>
          </w:p>
        </w:tc>
        <w:tc>
          <w:tcPr>
            <w:tcW w:w="92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380</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w:t>
            </w:r>
          </w:p>
        </w:tc>
        <w:tc>
          <w:tcPr>
            <w:tcW w:w="2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769</w:t>
            </w:r>
          </w:p>
        </w:tc>
        <w:tc>
          <w:tcPr>
            <w:tcW w:w="2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120" w:type="dxa"/>
            <w:vAlign w:val="bottom"/>
            <w:tcBorders>
              <w:top w:val="single" w:sz="8" w:color="CCEEFF"/>
            </w:tcBorders>
            <w:shd w:val="clear" w:color="auto" w:fill="CCEEFF"/>
          </w:tcPr>
          <w:p>
            <w:pPr>
              <w:spacing w:after="0"/>
              <w:rPr>
                <w:sz w:val="12"/>
                <w:szCs w:val="12"/>
                <w:color w:val="auto"/>
              </w:rPr>
            </w:pPr>
          </w:p>
        </w:tc>
      </w:tr>
      <w:tr>
        <w:trPr>
          <w:trHeight w:val="148"/>
        </w:trPr>
        <w:tc>
          <w:tcPr>
            <w:tcW w:w="23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Acquisitions</w:t>
            </w:r>
          </w:p>
        </w:tc>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1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0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0.5</w:t>
            </w:r>
          </w:p>
        </w:tc>
      </w:tr>
      <w:tr>
        <w:trPr>
          <w:trHeight w:val="148"/>
        </w:trPr>
        <w:tc>
          <w:tcPr>
            <w:tcW w:w="23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Divestitures</w:t>
            </w:r>
          </w:p>
        </w:tc>
        <w:tc>
          <w:tcPr>
            <w:tcW w:w="9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12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8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(0.1)</w:t>
            </w:r>
          </w:p>
        </w:tc>
      </w:tr>
      <w:tr>
        <w:trPr>
          <w:trHeight w:val="162"/>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w:t>
            </w:r>
          </w:p>
        </w:tc>
        <w:tc>
          <w:tcPr>
            <w:tcW w:w="11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r>
      <w:tr>
        <w:trPr>
          <w:trHeight w:val="156"/>
        </w:trPr>
        <w:tc>
          <w:tcPr>
            <w:tcW w:w="2380" w:type="dxa"/>
            <w:vAlign w:val="bottom"/>
            <w:tcBorders>
              <w:top w:val="single" w:sz="8" w:color="CCEEFF"/>
              <w:bottom w:val="single" w:sz="8" w:color="CCEEFF"/>
            </w:tcBorders>
            <w:shd w:val="clear" w:color="auto" w:fill="CCEEFF"/>
          </w:tcPr>
          <w:p>
            <w:pPr>
              <w:ind w:left="34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136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403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6.3</w:t>
            </w:r>
          </w:p>
        </w:tc>
        <w:tc>
          <w:tcPr>
            <w:tcW w:w="240" w:type="dxa"/>
            <w:vAlign w:val="bottom"/>
            <w:tcBorders>
              <w:top w:val="single" w:sz="8" w:color="CCEEFF"/>
              <w:bottom w:val="single" w:sz="8" w:color="CCEEFF"/>
            </w:tcBorders>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CCEEFF"/>
              <w:bottom w:val="single" w:sz="8" w:color="CCEEFF"/>
            </w:tcBorders>
            <w:shd w:val="clear" w:color="auto" w:fill="CCEEFF"/>
          </w:tcPr>
          <w:p>
            <w:pPr>
              <w:spacing w:after="0"/>
              <w:rPr>
                <w:sz w:val="13"/>
                <w:szCs w:val="13"/>
                <w:color w:val="auto"/>
              </w:rPr>
            </w:pPr>
          </w:p>
        </w:tc>
        <w:tc>
          <w:tcPr>
            <w:tcW w:w="134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866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4.6</w:t>
            </w:r>
          </w:p>
        </w:tc>
        <w:tc>
          <w:tcPr>
            <w:tcW w:w="12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r>
      <w:tr>
        <w:trPr>
          <w:trHeight w:val="20"/>
        </w:trPr>
        <w:tc>
          <w:tcPr>
            <w:tcW w:w="2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30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Period-to-Period Change for the</w:t>
            </w:r>
          </w:p>
        </w:tc>
        <w:tc>
          <w:tcPr>
            <w:tcW w:w="29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Period-to-Period Change for the</w:t>
            </w:r>
          </w:p>
        </w:tc>
      </w:tr>
      <w:tr>
        <w:trPr>
          <w:trHeight w:val="216"/>
        </w:trPr>
        <w:tc>
          <w:tcPr>
            <w:tcW w:w="5320" w:type="dxa"/>
            <w:vAlign w:val="bottom"/>
          </w:tcPr>
          <w:p>
            <w:pPr>
              <w:spacing w:after="0"/>
              <w:rPr>
                <w:sz w:val="18"/>
                <w:szCs w:val="18"/>
                <w:color w:val="auto"/>
              </w:rPr>
            </w:pPr>
          </w:p>
        </w:tc>
        <w:tc>
          <w:tcPr>
            <w:tcW w:w="30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9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320" w:type="dxa"/>
            <w:vAlign w:val="bottom"/>
          </w:tcPr>
          <w:p>
            <w:pPr>
              <w:spacing w:after="0"/>
              <w:rPr>
                <w:sz w:val="20"/>
                <w:szCs w:val="20"/>
                <w:color w:val="auto"/>
              </w:rPr>
            </w:pPr>
          </w:p>
        </w:tc>
        <w:tc>
          <w:tcPr>
            <w:tcW w:w="30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 2026 vs. 2025</w:t>
            </w:r>
          </w:p>
        </w:tc>
        <w:tc>
          <w:tcPr>
            <w:tcW w:w="29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 2026 vs. 2025</w:t>
            </w:r>
          </w:p>
        </w:tc>
      </w:tr>
      <w:tr>
        <w:trPr>
          <w:trHeight w:val="250"/>
        </w:trPr>
        <w:tc>
          <w:tcPr>
            <w:tcW w:w="5320" w:type="dxa"/>
            <w:vAlign w:val="bottom"/>
          </w:tcPr>
          <w:p>
            <w:pPr>
              <w:spacing w:after="0"/>
              <w:rPr>
                <w:sz w:val="21"/>
                <w:szCs w:val="21"/>
                <w:color w:val="auto"/>
              </w:rPr>
            </w:pPr>
          </w:p>
        </w:tc>
        <w:tc>
          <w:tcPr>
            <w:tcW w:w="2680" w:type="dxa"/>
            <w:vAlign w:val="bottom"/>
            <w:tcBorders>
              <w:top w:val="single" w:sz="8" w:color="auto"/>
              <w:bottom w:val="single" w:sz="8" w:color="auto"/>
            </w:tcBorders>
            <w:gridSpan w:val="4"/>
          </w:tcPr>
          <w:p>
            <w:pPr>
              <w:jc w:val="center"/>
              <w:spacing w:after="0" w:line="250" w:lineRule="exact"/>
              <w:rPr>
                <w:sz w:val="20"/>
                <w:szCs w:val="20"/>
                <w:color w:val="auto"/>
              </w:rPr>
            </w:pPr>
            <w:r>
              <w:rPr>
                <w:rFonts w:ascii="Times New Roman" w:cs="Times New Roman" w:eastAsia="Times New Roman" w:hAnsi="Times New Roman"/>
                <w:sz w:val="17"/>
                <w:szCs w:val="17"/>
                <w:color w:val="auto"/>
              </w:rPr>
              <w:t>As a % of Related Business</w:t>
            </w:r>
            <w:r>
              <w:rPr>
                <w:rFonts w:ascii="Times New Roman" w:cs="Times New Roman" w:eastAsia="Times New Roman" w:hAnsi="Times New Roman"/>
                <w:sz w:val="28"/>
                <w:szCs w:val="28"/>
                <w:color w:val="auto"/>
                <w:vertAlign w:val="superscript"/>
              </w:rPr>
              <w:t>(a)</w:t>
            </w:r>
          </w:p>
        </w:tc>
        <w:tc>
          <w:tcPr>
            <w:tcW w:w="320" w:type="dxa"/>
            <w:vAlign w:val="bottom"/>
          </w:tcPr>
          <w:p>
            <w:pPr>
              <w:spacing w:after="0"/>
              <w:rPr>
                <w:sz w:val="21"/>
                <w:szCs w:val="21"/>
                <w:color w:val="auto"/>
              </w:rPr>
            </w:pPr>
          </w:p>
        </w:tc>
        <w:tc>
          <w:tcPr>
            <w:tcW w:w="2700" w:type="dxa"/>
            <w:vAlign w:val="bottom"/>
            <w:tcBorders>
              <w:top w:val="single" w:sz="8" w:color="auto"/>
              <w:bottom w:val="single" w:sz="8" w:color="auto"/>
            </w:tcBorders>
            <w:gridSpan w:val="3"/>
          </w:tcPr>
          <w:p>
            <w:pPr>
              <w:jc w:val="center"/>
              <w:spacing w:after="0" w:line="250" w:lineRule="exact"/>
              <w:rPr>
                <w:sz w:val="20"/>
                <w:szCs w:val="20"/>
                <w:color w:val="auto"/>
              </w:rPr>
            </w:pPr>
            <w:r>
              <w:rPr>
                <w:rFonts w:ascii="Times New Roman" w:cs="Times New Roman" w:eastAsia="Times New Roman" w:hAnsi="Times New Roman"/>
                <w:sz w:val="17"/>
                <w:szCs w:val="17"/>
                <w:color w:val="auto"/>
              </w:rPr>
              <w:t>As a % of Related Business</w:t>
            </w:r>
            <w:r>
              <w:rPr>
                <w:rFonts w:ascii="Times New Roman" w:cs="Times New Roman" w:eastAsia="Times New Roman" w:hAnsi="Times New Roman"/>
                <w:sz w:val="28"/>
                <w:szCs w:val="28"/>
                <w:color w:val="auto"/>
                <w:vertAlign w:val="superscript"/>
              </w:rPr>
              <w:t>(a)</w:t>
            </w:r>
          </w:p>
        </w:tc>
        <w:tc>
          <w:tcPr>
            <w:tcW w:w="220" w:type="dxa"/>
            <w:vAlign w:val="bottom"/>
          </w:tcPr>
          <w:p>
            <w:pPr>
              <w:spacing w:after="0"/>
              <w:rPr>
                <w:sz w:val="21"/>
                <w:szCs w:val="21"/>
                <w:color w:val="auto"/>
              </w:rPr>
            </w:pPr>
          </w:p>
        </w:tc>
      </w:tr>
      <w:tr>
        <w:trPr>
          <w:trHeight w:val="250"/>
        </w:trPr>
        <w:tc>
          <w:tcPr>
            <w:tcW w:w="53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Yield</w:t>
            </w:r>
          </w:p>
        </w:tc>
        <w:tc>
          <w:tcPr>
            <w:tcW w:w="32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150"/>
              <w:spacing w:after="0" w:line="250" w:lineRule="exact"/>
              <w:rPr>
                <w:sz w:val="20"/>
                <w:szCs w:val="20"/>
                <w:color w:val="auto"/>
              </w:rPr>
            </w:pPr>
            <w:r>
              <w:rPr>
                <w:rFonts w:ascii="Times New Roman" w:cs="Times New Roman" w:eastAsia="Times New Roman" w:hAnsi="Times New Roman"/>
                <w:sz w:val="17"/>
                <w:szCs w:val="17"/>
                <w:color w:val="auto"/>
              </w:rPr>
              <w:t xml:space="preserve">Volume </w:t>
            </w:r>
            <w:r>
              <w:rPr>
                <w:rFonts w:ascii="Times New Roman" w:cs="Times New Roman" w:eastAsia="Times New Roman" w:hAnsi="Times New Roman"/>
                <w:sz w:val="28"/>
                <w:szCs w:val="28"/>
                <w:color w:val="auto"/>
                <w:vertAlign w:val="superscript"/>
              </w:rPr>
              <w:t>(f)</w:t>
            </w:r>
          </w:p>
        </w:tc>
        <w:tc>
          <w:tcPr>
            <w:tcW w:w="3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Yield</w:t>
            </w: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ind w:left="240"/>
              <w:spacing w:after="0" w:line="250" w:lineRule="exact"/>
              <w:rPr>
                <w:sz w:val="20"/>
                <w:szCs w:val="20"/>
                <w:color w:val="auto"/>
              </w:rPr>
            </w:pPr>
            <w:r>
              <w:rPr>
                <w:rFonts w:ascii="Times New Roman" w:cs="Times New Roman" w:eastAsia="Times New Roman" w:hAnsi="Times New Roman"/>
                <w:sz w:val="17"/>
                <w:szCs w:val="17"/>
                <w:color w:val="auto"/>
              </w:rPr>
              <w:t xml:space="preserve">Volume </w:t>
            </w:r>
            <w:r>
              <w:rPr>
                <w:rFonts w:ascii="Times New Roman" w:cs="Times New Roman" w:eastAsia="Times New Roman" w:hAnsi="Times New Roman"/>
                <w:sz w:val="28"/>
                <w:szCs w:val="28"/>
                <w:color w:val="auto"/>
                <w:vertAlign w:val="superscript"/>
              </w:rPr>
              <w:t>(f)</w:t>
            </w:r>
          </w:p>
        </w:tc>
        <w:tc>
          <w:tcPr>
            <w:tcW w:w="220" w:type="dxa"/>
            <w:vAlign w:val="bottom"/>
            <w:tcBorders>
              <w:bottom w:val="single" w:sz="8" w:color="CCEEFF"/>
            </w:tcBorders>
          </w:tcPr>
          <w:p>
            <w:pPr>
              <w:spacing w:after="0"/>
              <w:rPr>
                <w:sz w:val="21"/>
                <w:szCs w:val="2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4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4.3%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3.2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5.4</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14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5.9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4.0</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4.2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MSW</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4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5.3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2.7</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w:t>
            </w:r>
          </w:p>
        </w:tc>
        <w:tc>
          <w:tcPr>
            <w:tcW w:w="1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3.2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6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3.4%</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4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ind w:left="34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related business revenues adjusted to exclude the impacts of divestitures for the current year period.</w:t>
      </w:r>
    </w:p>
    <w:p>
      <w:pPr>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total Company revenues adjusted to exclude the impacts of divestitures for the current year period.</w:t>
      </w:r>
    </w:p>
    <w:p>
      <w:pPr>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in both our Recycling Processing and Sales and Renewable Energy segments, as well as changes in certain recycling fees charged by our collection and disposal operations.</w:t>
      </w: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activities from our Corporate and Other businesses.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 in our revenues from the combined impacts of yield and volume, and exclude energy surcharges, attributable to our Healthcare Solutions segment.</w:t>
      </w: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DATA SHEET</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29"/>
                <w:szCs w:val="29"/>
                <w:b w:val="1"/>
                <w:bCs w:val="1"/>
                <w:color w:val="auto"/>
                <w:vertAlign w:val="superscript"/>
              </w:rPr>
              <w:t>(a)</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7"/>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8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(1,746)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(1,910)</w:t>
            </w: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 of cash</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divested</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21"/>
                <w:szCs w:val="2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 without sustainability growth investments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(429)</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0"/>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10"/>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Data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Internalization of waste, based on disposal costs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depletable tons (in millions)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540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Acquisition Summary</w:t>
            </w:r>
            <w:r>
              <w:rPr>
                <w:rFonts w:ascii="Times New Roman" w:cs="Times New Roman" w:eastAsia="Times New Roman" w:hAnsi="Times New Roman"/>
                <w:sz w:val="29"/>
                <w:szCs w:val="29"/>
                <w:b w:val="1"/>
                <w:bCs w:val="1"/>
                <w:color w:val="auto"/>
                <w:vertAlign w:val="superscript"/>
              </w:rPr>
              <w:t>(b)</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annualized revenue acquired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 net of cash acquired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acquisitions consummated during the period, net of cash</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98"/>
        </w:trPr>
        <w:tc>
          <w:tcPr>
            <w:tcW w:w="5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paid for acquisitions including contingent consideration and other</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items from prior periods, net of cash acquired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Landfill Depletion and Accretion Expenses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depletion expense: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basis of landfill assets</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182</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535</w:t>
            </w:r>
          </w:p>
        </w:tc>
        <w:tc>
          <w:tcPr>
            <w:tcW w:w="420" w:type="dxa"/>
            <w:vAlign w:val="bottom"/>
            <w:gridSpan w:val="3"/>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18"/>
                <w:szCs w:val="18"/>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costs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r>
      <w:tr>
        <w:trPr>
          <w:trHeight w:val="209"/>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landfill depletion expense</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r>
      <w:tr>
        <w:trPr>
          <w:trHeight w:val="223"/>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Landfill depletion and accretion expense</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jc w:val="both"/>
        <w:ind w:left="340" w:hanging="332"/>
        <w:spacing w:after="0" w:line="257"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associated with business acquisitions consummated during the applicable period except where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8"/>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Income from</w:t>
            </w:r>
          </w:p>
        </w:tc>
        <w:tc>
          <w:tcPr>
            <w:tcW w:w="200" w:type="dxa"/>
            <w:vAlign w:val="bottom"/>
          </w:tcPr>
          <w:p>
            <w:pPr>
              <w:spacing w:after="0"/>
              <w:rPr>
                <w:sz w:val="16"/>
                <w:szCs w:val="16"/>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Pre-tax</w:t>
            </w:r>
          </w:p>
        </w:tc>
        <w:tc>
          <w:tcPr>
            <w:tcW w:w="180" w:type="dxa"/>
            <w:vAlign w:val="bottom"/>
          </w:tcPr>
          <w:p>
            <w:pPr>
              <w:spacing w:after="0"/>
              <w:rPr>
                <w:sz w:val="16"/>
                <w:szCs w:val="16"/>
                <w:color w:val="auto"/>
              </w:rPr>
            </w:pPr>
          </w:p>
        </w:tc>
        <w:tc>
          <w:tcPr>
            <w:tcW w:w="1200" w:type="dxa"/>
            <w:vAlign w:val="bottom"/>
            <w:gridSpan w:val="2"/>
          </w:tcPr>
          <w:p>
            <w:pPr>
              <w:jc w:val="center"/>
              <w:ind w:right="373"/>
              <w:spacing w:after="0"/>
              <w:rPr>
                <w:sz w:val="20"/>
                <w:szCs w:val="20"/>
                <w:color w:val="auto"/>
              </w:rPr>
            </w:pPr>
            <w:r>
              <w:rPr>
                <w:rFonts w:ascii="Times New Roman" w:cs="Times New Roman" w:eastAsia="Times New Roman" w:hAnsi="Times New Roman"/>
                <w:sz w:val="16"/>
                <w:szCs w:val="16"/>
                <w:b w:val="1"/>
                <w:bCs w:val="1"/>
                <w:color w:val="auto"/>
                <w:w w:val="89"/>
              </w:rPr>
              <w:t>Tax</w:t>
            </w:r>
          </w:p>
        </w:tc>
        <w:tc>
          <w:tcPr>
            <w:tcW w:w="16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Diluted Per</w:t>
            </w: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Operations</w:t>
            </w:r>
          </w:p>
        </w:tc>
        <w:tc>
          <w:tcPr>
            <w:tcW w:w="200" w:type="dxa"/>
            <w:vAlign w:val="bottom"/>
          </w:tcPr>
          <w:p>
            <w:pPr>
              <w:spacing w:after="0"/>
              <w:rPr>
                <w:sz w:val="22"/>
                <w:szCs w:val="22"/>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80" w:type="dxa"/>
            <w:vAlign w:val="bottom"/>
          </w:tcPr>
          <w:p>
            <w:pPr>
              <w:spacing w:after="0"/>
              <w:rPr>
                <w:sz w:val="22"/>
                <w:szCs w:val="22"/>
                <w:color w:val="auto"/>
              </w:rPr>
            </w:pPr>
          </w:p>
        </w:tc>
        <w:tc>
          <w:tcPr>
            <w:tcW w:w="1200" w:type="dxa"/>
            <w:vAlign w:val="bottom"/>
            <w:gridSpan w:val="2"/>
          </w:tcPr>
          <w:p>
            <w:pPr>
              <w:jc w:val="center"/>
              <w:ind w:right="373"/>
              <w:spacing w:after="0"/>
              <w:rPr>
                <w:sz w:val="20"/>
                <w:szCs w:val="20"/>
                <w:color w:val="auto"/>
              </w:rPr>
            </w:pPr>
            <w:r>
              <w:rPr>
                <w:rFonts w:ascii="Times New Roman" w:cs="Times New Roman" w:eastAsia="Times New Roman" w:hAnsi="Times New Roman"/>
                <w:sz w:val="16"/>
                <w:szCs w:val="16"/>
                <w:b w:val="1"/>
                <w:bCs w:val="1"/>
                <w:color w:val="auto"/>
                <w:w w:val="98"/>
              </w:rPr>
              <w:t>Expense</w:t>
            </w:r>
          </w:p>
        </w:tc>
        <w:tc>
          <w:tcPr>
            <w:tcW w:w="160" w:type="dxa"/>
            <w:vAlign w:val="bottom"/>
          </w:tcPr>
          <w:p>
            <w:pPr>
              <w:spacing w:after="0"/>
              <w:rPr>
                <w:sz w:val="22"/>
                <w:szCs w:val="22"/>
                <w:color w:val="auto"/>
              </w:rPr>
            </w:pPr>
          </w:p>
        </w:tc>
        <w:tc>
          <w:tcPr>
            <w:tcW w:w="1160" w:type="dxa"/>
            <w:vAlign w:val="bottom"/>
            <w:gridSpan w:val="2"/>
          </w:tcPr>
          <w:p>
            <w:pPr>
              <w:jc w:val="center"/>
              <w:ind w:right="360"/>
              <w:spacing w:after="0" w:line="256" w:lineRule="exact"/>
              <w:rPr>
                <w:sz w:val="20"/>
                <w:szCs w:val="20"/>
                <w:color w:val="auto"/>
              </w:rPr>
            </w:pPr>
            <w:r>
              <w:rPr>
                <w:rFonts w:ascii="Times New Roman" w:cs="Times New Roman" w:eastAsia="Times New Roman" w:hAnsi="Times New Roman"/>
                <w:sz w:val="16"/>
                <w:szCs w:val="16"/>
                <w:b w:val="1"/>
                <w:bCs w:val="1"/>
                <w:color w:val="auto"/>
                <w:w w:val="95"/>
              </w:rPr>
              <w:t>Income</w:t>
            </w:r>
            <w:r>
              <w:rPr>
                <w:rFonts w:ascii="Times New Roman" w:cs="Times New Roman" w:eastAsia="Times New Roman" w:hAnsi="Times New Roman"/>
                <w:sz w:val="26"/>
                <w:szCs w:val="26"/>
                <w:b w:val="1"/>
                <w:bCs w:val="1"/>
                <w:color w:val="auto"/>
                <w:w w:val="95"/>
                <w:vertAlign w:val="superscript"/>
              </w:rPr>
              <w:t>(a)</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 Amount</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reported amounts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1,279</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1,044</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224</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820</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Stericycle acquisition and integration costs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Collective bargaining agreement costs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7"/>
                <w:szCs w:val="17"/>
                <w:color w:val="auto"/>
              </w:rPr>
            </w:pPr>
          </w:p>
        </w:tc>
        <w:tc>
          <w:tcPr>
            <w:tcW w:w="1200" w:type="dxa"/>
            <w:vAlign w:val="bottom"/>
            <w:gridSpan w:val="2"/>
          </w:tcPr>
          <w:p>
            <w:pPr>
              <w:jc w:val="right"/>
              <w:ind w:right="19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6"/>
                <w:szCs w:val="16"/>
                <w:color w:val="auto"/>
              </w:rPr>
              <w:t>(Gain) loss from asset impairments, unusual items and other, net</w:t>
            </w:r>
            <w:r>
              <w:rPr>
                <w:rFonts w:ascii="Times New Roman" w:cs="Times New Roman" w:eastAsia="Times New Roman" w:hAnsi="Times New Roman"/>
                <w:sz w:val="26"/>
                <w:szCs w:val="26"/>
                <w:color w:val="auto"/>
                <w:vertAlign w:val="superscript"/>
              </w:rPr>
              <w:t>(b)</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08"/>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adjusted amounts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ind w:left="180"/>
              <w:spacing w:after="0" w:line="252" w:lineRule="exact"/>
              <w:rPr>
                <w:sz w:val="20"/>
                <w:szCs w:val="20"/>
                <w:color w:val="auto"/>
              </w:rPr>
            </w:pPr>
            <w:r>
              <w:rPr>
                <w:rFonts w:ascii="Times New Roman" w:cs="Times New Roman" w:eastAsia="Times New Roman" w:hAnsi="Times New Roman"/>
                <w:sz w:val="16"/>
                <w:szCs w:val="16"/>
                <w:color w:val="auto"/>
              </w:rPr>
              <w:t>Depreciation, depletion, amortization and accretion</w:t>
            </w:r>
            <w:r>
              <w:rPr>
                <w:rFonts w:ascii="Times New Roman" w:cs="Times New Roman" w:eastAsia="Times New Roman" w:hAnsi="Times New Roman"/>
                <w:sz w:val="26"/>
                <w:szCs w:val="26"/>
                <w:color w:val="auto"/>
                <w:vertAlign w:val="superscript"/>
              </w:rPr>
              <w:t>(d)</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792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operating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operating EBITDA margin</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31.0%</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9"/>
        </w:trPr>
        <w:tc>
          <w:tcPr>
            <w:tcW w:w="4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8"/>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Income from</w:t>
            </w:r>
          </w:p>
        </w:tc>
        <w:tc>
          <w:tcPr>
            <w:tcW w:w="200" w:type="dxa"/>
            <w:vAlign w:val="bottom"/>
          </w:tcPr>
          <w:p>
            <w:pPr>
              <w:spacing w:after="0"/>
              <w:rPr>
                <w:sz w:val="16"/>
                <w:szCs w:val="16"/>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Pre-tax</w:t>
            </w:r>
          </w:p>
        </w:tc>
        <w:tc>
          <w:tcPr>
            <w:tcW w:w="180" w:type="dxa"/>
            <w:vAlign w:val="bottom"/>
          </w:tcPr>
          <w:p>
            <w:pPr>
              <w:spacing w:after="0"/>
              <w:rPr>
                <w:sz w:val="16"/>
                <w:szCs w:val="16"/>
                <w:color w:val="auto"/>
              </w:rPr>
            </w:pPr>
          </w:p>
        </w:tc>
        <w:tc>
          <w:tcPr>
            <w:tcW w:w="1200" w:type="dxa"/>
            <w:vAlign w:val="bottom"/>
            <w:gridSpan w:val="2"/>
          </w:tcPr>
          <w:p>
            <w:pPr>
              <w:jc w:val="center"/>
              <w:ind w:right="373"/>
              <w:spacing w:after="0"/>
              <w:rPr>
                <w:sz w:val="20"/>
                <w:szCs w:val="20"/>
                <w:color w:val="auto"/>
              </w:rPr>
            </w:pPr>
            <w:r>
              <w:rPr>
                <w:rFonts w:ascii="Times New Roman" w:cs="Times New Roman" w:eastAsia="Times New Roman" w:hAnsi="Times New Roman"/>
                <w:sz w:val="16"/>
                <w:szCs w:val="16"/>
                <w:b w:val="1"/>
                <w:bCs w:val="1"/>
                <w:color w:val="auto"/>
                <w:w w:val="89"/>
              </w:rPr>
              <w:t>Tax</w:t>
            </w:r>
          </w:p>
        </w:tc>
        <w:tc>
          <w:tcPr>
            <w:tcW w:w="16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Diluted Per</w:t>
            </w: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Operations</w:t>
            </w:r>
          </w:p>
        </w:tc>
        <w:tc>
          <w:tcPr>
            <w:tcW w:w="200" w:type="dxa"/>
            <w:vAlign w:val="bottom"/>
          </w:tcPr>
          <w:p>
            <w:pPr>
              <w:spacing w:after="0"/>
              <w:rPr>
                <w:sz w:val="22"/>
                <w:szCs w:val="22"/>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80" w:type="dxa"/>
            <w:vAlign w:val="bottom"/>
          </w:tcPr>
          <w:p>
            <w:pPr>
              <w:spacing w:after="0"/>
              <w:rPr>
                <w:sz w:val="22"/>
                <w:szCs w:val="22"/>
                <w:color w:val="auto"/>
              </w:rPr>
            </w:pPr>
          </w:p>
        </w:tc>
        <w:tc>
          <w:tcPr>
            <w:tcW w:w="1200" w:type="dxa"/>
            <w:vAlign w:val="bottom"/>
            <w:gridSpan w:val="2"/>
          </w:tcPr>
          <w:p>
            <w:pPr>
              <w:jc w:val="center"/>
              <w:ind w:right="373"/>
              <w:spacing w:after="0"/>
              <w:rPr>
                <w:sz w:val="20"/>
                <w:szCs w:val="20"/>
                <w:color w:val="auto"/>
              </w:rPr>
            </w:pPr>
            <w:r>
              <w:rPr>
                <w:rFonts w:ascii="Times New Roman" w:cs="Times New Roman" w:eastAsia="Times New Roman" w:hAnsi="Times New Roman"/>
                <w:sz w:val="16"/>
                <w:szCs w:val="16"/>
                <w:b w:val="1"/>
                <w:bCs w:val="1"/>
                <w:color w:val="auto"/>
                <w:w w:val="98"/>
              </w:rPr>
              <w:t>Expense</w:t>
            </w:r>
          </w:p>
        </w:tc>
        <w:tc>
          <w:tcPr>
            <w:tcW w:w="160" w:type="dxa"/>
            <w:vAlign w:val="bottom"/>
          </w:tcPr>
          <w:p>
            <w:pPr>
              <w:spacing w:after="0"/>
              <w:rPr>
                <w:sz w:val="22"/>
                <w:szCs w:val="22"/>
                <w:color w:val="auto"/>
              </w:rPr>
            </w:pPr>
          </w:p>
        </w:tc>
        <w:tc>
          <w:tcPr>
            <w:tcW w:w="1160" w:type="dxa"/>
            <w:vAlign w:val="bottom"/>
            <w:gridSpan w:val="2"/>
          </w:tcPr>
          <w:p>
            <w:pPr>
              <w:jc w:val="center"/>
              <w:ind w:right="360"/>
              <w:spacing w:after="0" w:line="256" w:lineRule="exact"/>
              <w:rPr>
                <w:sz w:val="20"/>
                <w:szCs w:val="20"/>
                <w:color w:val="auto"/>
              </w:rPr>
            </w:pPr>
            <w:r>
              <w:rPr>
                <w:rFonts w:ascii="Times New Roman" w:cs="Times New Roman" w:eastAsia="Times New Roman" w:hAnsi="Times New Roman"/>
                <w:sz w:val="16"/>
                <w:szCs w:val="16"/>
                <w:b w:val="1"/>
                <w:bCs w:val="1"/>
                <w:color w:val="auto"/>
                <w:w w:val="95"/>
              </w:rPr>
              <w:t>Income</w:t>
            </w:r>
            <w:r>
              <w:rPr>
                <w:rFonts w:ascii="Times New Roman" w:cs="Times New Roman" w:eastAsia="Times New Roman" w:hAnsi="Times New Roman"/>
                <w:sz w:val="26"/>
                <w:szCs w:val="26"/>
                <w:b w:val="1"/>
                <w:bCs w:val="1"/>
                <w:color w:val="auto"/>
                <w:w w:val="95"/>
                <w:vertAlign w:val="superscript"/>
              </w:rPr>
              <w:t>(a)</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 Amount</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reported amounts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989</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775</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603</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Stericycle acquisition and integration costs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180"/>
              <w:spacing w:after="0" w:line="256" w:lineRule="exact"/>
              <w:rPr>
                <w:sz w:val="20"/>
                <w:szCs w:val="20"/>
                <w:color w:val="auto"/>
              </w:rPr>
            </w:pPr>
            <w:r>
              <w:rPr>
                <w:rFonts w:ascii="Times New Roman" w:cs="Times New Roman" w:eastAsia="Times New Roman" w:hAnsi="Times New Roman"/>
                <w:sz w:val="16"/>
                <w:szCs w:val="16"/>
                <w:color w:val="auto"/>
              </w:rPr>
              <w:t>(Gain) loss from asset impairments, unusual items and other, net</w:t>
            </w:r>
            <w:r>
              <w:rPr>
                <w:rFonts w:ascii="Times New Roman" w:cs="Times New Roman" w:eastAsia="Times New Roman" w:hAnsi="Times New Roman"/>
                <w:sz w:val="26"/>
                <w:szCs w:val="26"/>
                <w:color w:val="auto"/>
                <w:vertAlign w:val="superscript"/>
              </w:rPr>
              <w:t>(e)</w:t>
            </w:r>
          </w:p>
        </w:tc>
        <w:tc>
          <w:tcPr>
            <w:tcW w:w="100" w:type="dxa"/>
            <w:vAlign w:val="bottom"/>
          </w:tcPr>
          <w:p>
            <w:pPr>
              <w:spacing w:after="0"/>
              <w:rPr>
                <w:sz w:val="22"/>
                <w:szCs w:val="22"/>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218</w:t>
            </w:r>
          </w:p>
        </w:tc>
        <w:tc>
          <w:tcPr>
            <w:tcW w:w="2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218</w:t>
            </w:r>
          </w:p>
        </w:tc>
        <w:tc>
          <w:tcPr>
            <w:tcW w:w="180" w:type="dxa"/>
            <w:vAlign w:val="bottom"/>
          </w:tcPr>
          <w:p>
            <w:pPr>
              <w:spacing w:after="0"/>
              <w:rPr>
                <w:sz w:val="22"/>
                <w:szCs w:val="22"/>
                <w:color w:val="auto"/>
              </w:rPr>
            </w:pPr>
          </w:p>
        </w:tc>
        <w:tc>
          <w:tcPr>
            <w:tcW w:w="1200" w:type="dxa"/>
            <w:vAlign w:val="bottom"/>
            <w:gridSpan w:val="2"/>
          </w:tcPr>
          <w:p>
            <w:pPr>
              <w:jc w:val="right"/>
              <w:ind w:right="193"/>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As adjusted amounts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1,241</w:t>
            </w:r>
          </w:p>
        </w:tc>
        <w:tc>
          <w:tcPr>
            <w:tcW w:w="2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1,027</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226</w:t>
            </w:r>
          </w:p>
        </w:tc>
        <w:tc>
          <w:tcPr>
            <w:tcW w:w="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(c)</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801</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ind w:left="180"/>
              <w:spacing w:after="0" w:line="212" w:lineRule="exact"/>
              <w:rPr>
                <w:sz w:val="20"/>
                <w:szCs w:val="20"/>
                <w:color w:val="auto"/>
              </w:rPr>
            </w:pPr>
            <w:r>
              <w:rPr>
                <w:rFonts w:ascii="Times New Roman" w:cs="Times New Roman" w:eastAsia="Times New Roman" w:hAnsi="Times New Roman"/>
                <w:sz w:val="15"/>
                <w:szCs w:val="15"/>
                <w:color w:val="auto"/>
              </w:rPr>
              <w:t>Depreciation, depletion, amortization and accretion</w:t>
            </w:r>
            <w:r>
              <w:rPr>
                <w:rFonts w:ascii="Times New Roman" w:cs="Times New Roman" w:eastAsia="Times New Roman" w:hAnsi="Times New Roman"/>
                <w:sz w:val="24"/>
                <w:szCs w:val="24"/>
                <w:color w:val="auto"/>
                <w:vertAlign w:val="superscript"/>
              </w:rPr>
              <w:t>(d)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764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Adjusted operating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2,005</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operating EBITDA margin</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31.1%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7830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3" w:lineRule="exact"/>
        <w:rPr>
          <w:sz w:val="20"/>
          <w:szCs w:val="20"/>
          <w:color w:val="auto"/>
        </w:rPr>
      </w:pPr>
    </w:p>
    <w:p>
      <w:pPr>
        <w:ind w:left="340" w:right="2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press release table, all references to “Net income” refer to the financial statement line item “Net income attributable to Waste Management, Inc.”</w:t>
      </w:r>
    </w:p>
    <w:p>
      <w:pPr>
        <w:ind w:left="340" w:hanging="332"/>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September 30, 2026 primarily includes an $18 million impairment charge related to the decision to accelerate the closure of a landfill within our East Tier.</w:t>
      </w:r>
    </w:p>
    <w:p>
      <w:pPr>
        <w:jc w:val="both"/>
        <w:ind w:left="340" w:hanging="332"/>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three months ended September 30, 2026 and 2025 adjusted effective tax rates are 21.5% and 21.9%, respectively.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2026, landfill accretion expense was moved from operating expenses to depreciation, depletion, amortization and accretion. Landfill accretion expenses in the three months ended September 30, 2026 and 2025 are $39 million and $35 million, respectively. For comparability purposes, 2025 results have been updated to reflect that change.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September 30, 2025 includes (i) a $152 million impairment charge related to the decision to suspend the operations of a business; (ii) a $45 million impairment charge related to the decision to accelerate the closure of a landfill within our East Tier and (iii) an $11 million negotiated payment for early termination of a contract in our Renewable Energy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Collection</w:t>
            </w:r>
          </w:p>
        </w:tc>
        <w:tc>
          <w:tcPr>
            <w:tcW w:w="10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Recycling</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and</w:t>
            </w:r>
          </w:p>
        </w:tc>
        <w:tc>
          <w:tcPr>
            <w:tcW w:w="100" w:type="dxa"/>
            <w:vAlign w:val="bottom"/>
          </w:tcPr>
          <w:p>
            <w:pPr>
              <w:spacing w:after="0"/>
              <w:rPr>
                <w:sz w:val="17"/>
                <w:szCs w:val="17"/>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Processing</w:t>
            </w:r>
          </w:p>
        </w:tc>
        <w:tc>
          <w:tcPr>
            <w:tcW w:w="10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Renewable</w:t>
            </w:r>
          </w:p>
        </w:tc>
        <w:tc>
          <w:tcPr>
            <w:tcW w:w="10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00" w:type="dxa"/>
            <w:vAlign w:val="bottom"/>
          </w:tcPr>
          <w:p>
            <w:pPr>
              <w:spacing w:after="0"/>
              <w:rPr>
                <w:sz w:val="17"/>
                <w:szCs w:val="17"/>
                <w:color w:val="auto"/>
              </w:rPr>
            </w:pPr>
          </w:p>
        </w:tc>
        <w:tc>
          <w:tcPr>
            <w:tcW w:w="11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center"/>
              <w:ind w:right="260"/>
              <w:spacing w:after="0" w:line="256" w:lineRule="exact"/>
              <w:rPr>
                <w:sz w:val="20"/>
                <w:szCs w:val="20"/>
                <w:color w:val="auto"/>
              </w:rPr>
            </w:pPr>
            <w:r>
              <w:rPr>
                <w:rFonts w:ascii="Times New Roman" w:cs="Times New Roman" w:eastAsia="Times New Roman" w:hAnsi="Times New Roman"/>
                <w:sz w:val="16"/>
                <w:szCs w:val="16"/>
                <w:b w:val="1"/>
                <w:bCs w:val="1"/>
                <w:color w:val="auto"/>
                <w:w w:val="92"/>
              </w:rPr>
              <w:t>Disposal</w:t>
            </w:r>
            <w:r>
              <w:rPr>
                <w:rFonts w:ascii="Times New Roman" w:cs="Times New Roman" w:eastAsia="Times New Roman" w:hAnsi="Times New Roman"/>
                <w:sz w:val="26"/>
                <w:szCs w:val="26"/>
                <w:b w:val="1"/>
                <w:bCs w:val="1"/>
                <w:color w:val="auto"/>
                <w:w w:val="92"/>
                <w:vertAlign w:val="superscript"/>
              </w:rPr>
              <w:t>(a)(b)</w:t>
            </w:r>
          </w:p>
        </w:tc>
        <w:tc>
          <w:tcPr>
            <w:tcW w:w="100" w:type="dxa"/>
            <w:vAlign w:val="bottom"/>
          </w:tcPr>
          <w:p>
            <w:pPr>
              <w:spacing w:after="0"/>
              <w:rPr>
                <w:sz w:val="22"/>
                <w:szCs w:val="22"/>
                <w:color w:val="auto"/>
              </w:rPr>
            </w:pPr>
          </w:p>
        </w:tc>
        <w:tc>
          <w:tcPr>
            <w:tcW w:w="124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6"/>
                <w:szCs w:val="16"/>
                <w:b w:val="1"/>
                <w:bCs w:val="1"/>
                <w:color w:val="auto"/>
              </w:rPr>
              <w:t>and Sales</w:t>
            </w:r>
            <w:r>
              <w:rPr>
                <w:rFonts w:ascii="Times New Roman" w:cs="Times New Roman" w:eastAsia="Times New Roman" w:hAnsi="Times New Roman"/>
                <w:sz w:val="26"/>
                <w:szCs w:val="26"/>
                <w:b w:val="1"/>
                <w:bCs w:val="1"/>
                <w:color w:val="auto"/>
                <w:vertAlign w:val="superscript"/>
              </w:rPr>
              <w:t>(a)</w:t>
            </w:r>
          </w:p>
        </w:tc>
        <w:tc>
          <w:tcPr>
            <w:tcW w:w="100" w:type="dxa"/>
            <w:vAlign w:val="bottom"/>
          </w:tcPr>
          <w:p>
            <w:pPr>
              <w:spacing w:after="0"/>
              <w:rPr>
                <w:sz w:val="22"/>
                <w:szCs w:val="22"/>
                <w:color w:val="auto"/>
              </w:rPr>
            </w:pPr>
          </w:p>
        </w:tc>
        <w:tc>
          <w:tcPr>
            <w:tcW w:w="1160" w:type="dxa"/>
            <w:vAlign w:val="bottom"/>
            <w:gridSpan w:val="2"/>
          </w:tcPr>
          <w:p>
            <w:pPr>
              <w:jc w:val="right"/>
              <w:ind w:right="380"/>
              <w:spacing w:after="0" w:line="256" w:lineRule="exact"/>
              <w:rPr>
                <w:sz w:val="20"/>
                <w:szCs w:val="20"/>
                <w:color w:val="auto"/>
              </w:rPr>
            </w:pPr>
            <w:r>
              <w:rPr>
                <w:rFonts w:ascii="Times New Roman" w:cs="Times New Roman" w:eastAsia="Times New Roman" w:hAnsi="Times New Roman"/>
                <w:sz w:val="16"/>
                <w:szCs w:val="16"/>
                <w:b w:val="1"/>
                <w:bCs w:val="1"/>
                <w:color w:val="auto"/>
              </w:rPr>
              <w:t>Energy</w:t>
            </w:r>
            <w:r>
              <w:rPr>
                <w:rFonts w:ascii="Times New Roman" w:cs="Times New Roman" w:eastAsia="Times New Roman" w:hAnsi="Times New Roman"/>
                <w:sz w:val="26"/>
                <w:szCs w:val="26"/>
                <w:b w:val="1"/>
                <w:bCs w:val="1"/>
                <w:color w:val="auto"/>
                <w:vertAlign w:val="superscript"/>
              </w:rPr>
              <w:t>(b)</w:t>
            </w:r>
          </w:p>
        </w:tc>
        <w:tc>
          <w:tcPr>
            <w:tcW w:w="100" w:type="dxa"/>
            <w:vAlign w:val="bottom"/>
          </w:tcPr>
          <w:p>
            <w:pPr>
              <w:spacing w:after="0"/>
              <w:rPr>
                <w:sz w:val="22"/>
                <w:szCs w:val="22"/>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00" w:type="dxa"/>
            <w:vAlign w:val="bottom"/>
          </w:tcPr>
          <w:p>
            <w:pPr>
              <w:spacing w:after="0"/>
              <w:rPr>
                <w:sz w:val="22"/>
                <w:szCs w:val="22"/>
                <w:color w:val="auto"/>
              </w:rPr>
            </w:pPr>
          </w:p>
        </w:tc>
        <w:tc>
          <w:tcPr>
            <w:tcW w:w="11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200" w:type="dxa"/>
            <w:vAlign w:val="bottom"/>
          </w:tcPr>
          <w:p>
            <w:pPr>
              <w:spacing w:after="0"/>
              <w:rPr>
                <w:sz w:val="22"/>
                <w:szCs w:val="22"/>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WM</w:t>
            </w:r>
          </w:p>
        </w:tc>
        <w:tc>
          <w:tcPr>
            <w:tcW w:w="0" w:type="dxa"/>
            <w:vAlign w:val="bottom"/>
          </w:tcPr>
          <w:p>
            <w:pPr>
              <w:spacing w:after="0"/>
              <w:rPr>
                <w:sz w:val="1"/>
                <w:szCs w:val="1"/>
                <w:color w:val="auto"/>
              </w:rPr>
            </w:pPr>
          </w:p>
        </w:tc>
      </w:tr>
      <w:tr>
        <w:trPr>
          <w:trHeight w:val="165"/>
        </w:trPr>
        <w:tc>
          <w:tcPr>
            <w:tcW w:w="3740" w:type="dxa"/>
            <w:vAlign w:val="bottom"/>
            <w:tcBorders>
              <w:top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b w:val="1"/>
                <w:bCs w:val="1"/>
                <w:i w:val="1"/>
                <w:iCs w:val="1"/>
                <w:color w:val="auto"/>
              </w:rPr>
              <w:t>Adjusted Operating EBITDA and Adjusted Operating</w:t>
            </w: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EBITDA Margin</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revenues, as reported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5,579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441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167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651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8</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6,846</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 as reported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1,542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36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37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(356)</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1,279</w:t>
            </w: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Depreciation, depletion, amortization and accretion</w:t>
            </w:r>
            <w:r>
              <w:rPr>
                <w:rFonts w:ascii="Times New Roman" w:cs="Times New Roman" w:eastAsia="Times New Roman" w:hAnsi="Times New Roman"/>
                <w:sz w:val="26"/>
                <w:szCs w:val="26"/>
                <w:color w:val="auto"/>
                <w:vertAlign w:val="superscript"/>
              </w:rPr>
              <w:t>(c)</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792</w:t>
            </w:r>
          </w:p>
        </w:tc>
        <w:tc>
          <w:tcPr>
            <w:tcW w:w="0" w:type="dxa"/>
            <w:vAlign w:val="bottom"/>
          </w:tcPr>
          <w:p>
            <w:pPr>
              <w:spacing w:after="0"/>
              <w:rPr>
                <w:sz w:val="1"/>
                <w:szCs w:val="1"/>
                <w:color w:val="auto"/>
              </w:rPr>
            </w:pPr>
          </w:p>
        </w:tc>
      </w:tr>
      <w:tr>
        <w:trPr>
          <w:trHeight w:val="214"/>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Operating EBITDA, as reported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2,115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91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65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127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(327)</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2,071</w:t>
            </w:r>
          </w:p>
        </w:tc>
        <w:tc>
          <w:tcPr>
            <w:tcW w:w="0" w:type="dxa"/>
            <w:vAlign w:val="bottom"/>
          </w:tcPr>
          <w:p>
            <w:pPr>
              <w:spacing w:after="0"/>
              <w:rPr>
                <w:sz w:val="1"/>
                <w:szCs w:val="1"/>
                <w:color w:val="auto"/>
              </w:rPr>
            </w:pPr>
          </w:p>
        </w:tc>
      </w:tr>
      <w:tr>
        <w:trPr>
          <w:trHeight w:val="198"/>
        </w:trPr>
        <w:tc>
          <w:tcPr>
            <w:tcW w:w="3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Stericycle acquisition and integration costs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Collective bargaining agreement costs</w:t>
            </w: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loss from asset impairments, unusual items</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740" w:type="dxa"/>
            <w:vAlign w:val="bottom"/>
            <w:shd w:val="clear" w:color="auto" w:fill="CCEEFF"/>
          </w:tcPr>
          <w:p>
            <w:pPr>
              <w:ind w:left="340"/>
              <w:spacing w:after="0" w:line="270" w:lineRule="exact"/>
              <w:rPr>
                <w:sz w:val="20"/>
                <w:szCs w:val="20"/>
                <w:color w:val="auto"/>
              </w:rPr>
            </w:pPr>
            <w:r>
              <w:rPr>
                <w:rFonts w:ascii="Times New Roman" w:cs="Times New Roman" w:eastAsia="Times New Roman" w:hAnsi="Times New Roman"/>
                <w:sz w:val="16"/>
                <w:szCs w:val="16"/>
                <w:color w:val="auto"/>
              </w:rPr>
              <w:t>and other, net</w:t>
            </w:r>
            <w:r>
              <w:rPr>
                <w:rFonts w:ascii="Times New Roman" w:cs="Times New Roman" w:eastAsia="Times New Roman" w:hAnsi="Times New Roman"/>
                <w:sz w:val="26"/>
                <w:szCs w:val="26"/>
                <w:color w:val="auto"/>
                <w:vertAlign w:val="superscript"/>
              </w:rPr>
              <w:t>(d)</w:t>
            </w:r>
          </w:p>
        </w:tc>
        <w:tc>
          <w:tcPr>
            <w:tcW w:w="1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operating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2,135</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w:t>
            </w:r>
          </w:p>
        </w:tc>
        <w:tc>
          <w:tcPr>
            <w:tcW w:w="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2,121</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EBITDA margin, as reported</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37.9%</w:t>
            </w: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20.6%</w:t>
            </w:r>
          </w:p>
        </w:tc>
        <w:tc>
          <w:tcPr>
            <w:tcW w:w="1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38.9%</w:t>
            </w:r>
          </w:p>
        </w:tc>
        <w:tc>
          <w:tcPr>
            <w:tcW w:w="1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19.5%</w:t>
            </w:r>
          </w:p>
        </w:tc>
        <w:tc>
          <w:tcPr>
            <w:tcW w:w="100" w:type="dxa"/>
            <w:vAlign w:val="bottom"/>
          </w:tcPr>
          <w:p>
            <w:pPr>
              <w:spacing w:after="0"/>
              <w:rPr>
                <w:sz w:val="16"/>
                <w:szCs w:val="16"/>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w w:val="86"/>
              </w:rPr>
              <w:t>N/A</w:t>
            </w:r>
          </w:p>
        </w:tc>
        <w:tc>
          <w:tcPr>
            <w:tcW w:w="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30.3%</w:t>
            </w:r>
          </w:p>
        </w:tc>
        <w:tc>
          <w:tcPr>
            <w:tcW w:w="0" w:type="dxa"/>
            <w:vAlign w:val="bottom"/>
          </w:tcPr>
          <w:p>
            <w:pPr>
              <w:spacing w:after="0"/>
              <w:rPr>
                <w:sz w:val="1"/>
                <w:szCs w:val="1"/>
                <w:color w:val="auto"/>
              </w:rPr>
            </w:pPr>
          </w:p>
        </w:tc>
      </w:tr>
      <w:tr>
        <w:trPr>
          <w:trHeight w:val="20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operating EBITDA margin</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38.3%</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20.6%</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38.9%</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22.4%</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N/A</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w:t>
            </w:r>
          </w:p>
        </w:tc>
        <w:tc>
          <w:tcPr>
            <w:tcW w:w="0" w:type="dxa"/>
            <w:vAlign w:val="bottom"/>
          </w:tcPr>
          <w:p>
            <w:pPr>
              <w:spacing w:after="0"/>
              <w:rPr>
                <w:sz w:val="1"/>
                <w:szCs w:val="1"/>
                <w:color w:val="auto"/>
              </w:rPr>
            </w:pPr>
          </w:p>
        </w:tc>
      </w:tr>
      <w:tr>
        <w:trPr>
          <w:trHeight w:val="415"/>
        </w:trPr>
        <w:tc>
          <w:tcPr>
            <w:tcW w:w="3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Collection</w:t>
            </w:r>
          </w:p>
        </w:tc>
        <w:tc>
          <w:tcPr>
            <w:tcW w:w="1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Recycling</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and</w:t>
            </w:r>
          </w:p>
        </w:tc>
        <w:tc>
          <w:tcPr>
            <w:tcW w:w="10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Processing</w:t>
            </w:r>
          </w:p>
        </w:tc>
        <w:tc>
          <w:tcPr>
            <w:tcW w:w="100" w:type="dxa"/>
            <w:vAlign w:val="bottom"/>
          </w:tcPr>
          <w:p>
            <w:pPr>
              <w:spacing w:after="0"/>
              <w:rPr>
                <w:sz w:val="17"/>
                <w:szCs w:val="17"/>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Renewable</w:t>
            </w:r>
          </w:p>
        </w:tc>
        <w:tc>
          <w:tcPr>
            <w:tcW w:w="100" w:type="dxa"/>
            <w:vAlign w:val="bottom"/>
          </w:tcPr>
          <w:p>
            <w:pPr>
              <w:spacing w:after="0"/>
              <w:rPr>
                <w:sz w:val="17"/>
                <w:szCs w:val="17"/>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00" w:type="dxa"/>
            <w:vAlign w:val="bottom"/>
          </w:tcPr>
          <w:p>
            <w:pPr>
              <w:spacing w:after="0"/>
              <w:rPr>
                <w:sz w:val="17"/>
                <w:szCs w:val="17"/>
                <w:color w:val="auto"/>
              </w:rPr>
            </w:pPr>
          </w:p>
        </w:tc>
        <w:tc>
          <w:tcPr>
            <w:tcW w:w="11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7"/>
                <w:szCs w:val="17"/>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2"/>
                <w:szCs w:val="22"/>
                <w:color w:val="auto"/>
              </w:rPr>
            </w:pPr>
          </w:p>
        </w:tc>
        <w:tc>
          <w:tcPr>
            <w:tcW w:w="1280" w:type="dxa"/>
            <w:vAlign w:val="bottom"/>
            <w:gridSpan w:val="3"/>
          </w:tcPr>
          <w:p>
            <w:pPr>
              <w:jc w:val="center"/>
              <w:ind w:right="260"/>
              <w:spacing w:after="0" w:line="256" w:lineRule="exact"/>
              <w:rPr>
                <w:sz w:val="20"/>
                <w:szCs w:val="20"/>
                <w:color w:val="auto"/>
              </w:rPr>
            </w:pPr>
            <w:r>
              <w:rPr>
                <w:rFonts w:ascii="Times New Roman" w:cs="Times New Roman" w:eastAsia="Times New Roman" w:hAnsi="Times New Roman"/>
                <w:sz w:val="16"/>
                <w:szCs w:val="16"/>
                <w:b w:val="1"/>
                <w:bCs w:val="1"/>
                <w:color w:val="auto"/>
                <w:w w:val="90"/>
              </w:rPr>
              <w:t>Disposal</w:t>
            </w:r>
            <w:r>
              <w:rPr>
                <w:rFonts w:ascii="Times New Roman" w:cs="Times New Roman" w:eastAsia="Times New Roman" w:hAnsi="Times New Roman"/>
                <w:sz w:val="26"/>
                <w:szCs w:val="26"/>
                <w:b w:val="1"/>
                <w:bCs w:val="1"/>
                <w:color w:val="auto"/>
                <w:w w:val="90"/>
                <w:vertAlign w:val="superscript"/>
              </w:rPr>
              <w:t>(a)(b)</w:t>
            </w:r>
          </w:p>
        </w:tc>
        <w:tc>
          <w:tcPr>
            <w:tcW w:w="100" w:type="dxa"/>
            <w:vAlign w:val="bottom"/>
          </w:tcPr>
          <w:p>
            <w:pPr>
              <w:spacing w:after="0"/>
              <w:rPr>
                <w:sz w:val="22"/>
                <w:szCs w:val="22"/>
                <w:color w:val="auto"/>
              </w:rPr>
            </w:pPr>
          </w:p>
        </w:tc>
        <w:tc>
          <w:tcPr>
            <w:tcW w:w="1240" w:type="dxa"/>
            <w:vAlign w:val="bottom"/>
            <w:gridSpan w:val="2"/>
          </w:tcPr>
          <w:p>
            <w:pPr>
              <w:jc w:val="right"/>
              <w:ind w:right="420"/>
              <w:spacing w:after="0" w:line="256" w:lineRule="exact"/>
              <w:rPr>
                <w:sz w:val="20"/>
                <w:szCs w:val="20"/>
                <w:color w:val="auto"/>
              </w:rPr>
            </w:pPr>
            <w:r>
              <w:rPr>
                <w:rFonts w:ascii="Times New Roman" w:cs="Times New Roman" w:eastAsia="Times New Roman" w:hAnsi="Times New Roman"/>
                <w:sz w:val="16"/>
                <w:szCs w:val="16"/>
                <w:b w:val="1"/>
                <w:bCs w:val="1"/>
                <w:color w:val="auto"/>
                <w:w w:val="94"/>
              </w:rPr>
              <w:t>and Sales</w:t>
            </w:r>
            <w:r>
              <w:rPr>
                <w:rFonts w:ascii="Times New Roman" w:cs="Times New Roman" w:eastAsia="Times New Roman" w:hAnsi="Times New Roman"/>
                <w:sz w:val="26"/>
                <w:szCs w:val="26"/>
                <w:b w:val="1"/>
                <w:bCs w:val="1"/>
                <w:color w:val="auto"/>
                <w:w w:val="94"/>
                <w:vertAlign w:val="superscript"/>
              </w:rPr>
              <w:t>(a)</w:t>
            </w:r>
          </w:p>
        </w:tc>
        <w:tc>
          <w:tcPr>
            <w:tcW w:w="100" w:type="dxa"/>
            <w:vAlign w:val="bottom"/>
          </w:tcPr>
          <w:p>
            <w:pPr>
              <w:spacing w:after="0"/>
              <w:rPr>
                <w:sz w:val="22"/>
                <w:szCs w:val="22"/>
                <w:color w:val="auto"/>
              </w:rPr>
            </w:pPr>
          </w:p>
        </w:tc>
        <w:tc>
          <w:tcPr>
            <w:tcW w:w="1160" w:type="dxa"/>
            <w:vAlign w:val="bottom"/>
            <w:gridSpan w:val="2"/>
          </w:tcPr>
          <w:p>
            <w:pPr>
              <w:jc w:val="right"/>
              <w:ind w:right="440"/>
              <w:spacing w:after="0" w:line="256" w:lineRule="exact"/>
              <w:rPr>
                <w:sz w:val="20"/>
                <w:szCs w:val="20"/>
                <w:color w:val="auto"/>
              </w:rPr>
            </w:pPr>
            <w:r>
              <w:rPr>
                <w:rFonts w:ascii="Times New Roman" w:cs="Times New Roman" w:eastAsia="Times New Roman" w:hAnsi="Times New Roman"/>
                <w:sz w:val="16"/>
                <w:szCs w:val="16"/>
                <w:b w:val="1"/>
                <w:bCs w:val="1"/>
                <w:color w:val="auto"/>
                <w:w w:val="98"/>
              </w:rPr>
              <w:t>Energy</w:t>
            </w:r>
            <w:r>
              <w:rPr>
                <w:rFonts w:ascii="Times New Roman" w:cs="Times New Roman" w:eastAsia="Times New Roman" w:hAnsi="Times New Roman"/>
                <w:sz w:val="26"/>
                <w:szCs w:val="26"/>
                <w:b w:val="1"/>
                <w:bCs w:val="1"/>
                <w:color w:val="auto"/>
                <w:w w:val="98"/>
                <w:vertAlign w:val="superscript"/>
              </w:rPr>
              <w:t>(b)</w:t>
            </w:r>
          </w:p>
        </w:tc>
        <w:tc>
          <w:tcPr>
            <w:tcW w:w="100" w:type="dxa"/>
            <w:vAlign w:val="bottom"/>
          </w:tcPr>
          <w:p>
            <w:pPr>
              <w:spacing w:after="0"/>
              <w:rPr>
                <w:sz w:val="22"/>
                <w:szCs w:val="22"/>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00" w:type="dxa"/>
            <w:vAlign w:val="bottom"/>
          </w:tcPr>
          <w:p>
            <w:pPr>
              <w:spacing w:after="0"/>
              <w:rPr>
                <w:sz w:val="22"/>
                <w:szCs w:val="22"/>
                <w:color w:val="auto"/>
              </w:rPr>
            </w:pPr>
          </w:p>
        </w:tc>
        <w:tc>
          <w:tcPr>
            <w:tcW w:w="110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200" w:type="dxa"/>
            <w:vAlign w:val="bottom"/>
          </w:tcPr>
          <w:p>
            <w:pPr>
              <w:spacing w:after="0"/>
              <w:rPr>
                <w:sz w:val="22"/>
                <w:szCs w:val="22"/>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WM</w:t>
            </w:r>
          </w:p>
        </w:tc>
        <w:tc>
          <w:tcPr>
            <w:tcW w:w="0" w:type="dxa"/>
            <w:vAlign w:val="bottom"/>
          </w:tcPr>
          <w:p>
            <w:pPr>
              <w:spacing w:after="0"/>
              <w:rPr>
                <w:sz w:val="1"/>
                <w:szCs w:val="1"/>
                <w:color w:val="auto"/>
              </w:rPr>
            </w:pPr>
          </w:p>
        </w:tc>
      </w:tr>
      <w:tr>
        <w:trPr>
          <w:trHeight w:val="165"/>
        </w:trPr>
        <w:tc>
          <w:tcPr>
            <w:tcW w:w="3740" w:type="dxa"/>
            <w:vAlign w:val="bottom"/>
            <w:tcBorders>
              <w:top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b w:val="1"/>
                <w:bCs w:val="1"/>
                <w:i w:val="1"/>
                <w:iCs w:val="1"/>
                <w:color w:val="auto"/>
              </w:rPr>
              <w:t>Adjusted Operating EBITDA and Adjusted Operating</w:t>
            </w: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EBITDA Margin</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revenues, as reported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5,321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372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628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7</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6,443</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 as reported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1,468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(342)</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989</w:t>
            </w:r>
          </w:p>
        </w:tc>
        <w:tc>
          <w:tcPr>
            <w:tcW w:w="0" w:type="dxa"/>
            <w:vAlign w:val="bottom"/>
          </w:tcPr>
          <w:p>
            <w:pPr>
              <w:spacing w:after="0"/>
              <w:rPr>
                <w:sz w:val="1"/>
                <w:szCs w:val="1"/>
                <w:color w:val="auto"/>
              </w:rPr>
            </w:pPr>
          </w:p>
        </w:tc>
      </w:tr>
      <w:tr>
        <w:trPr>
          <w:trHeight w:val="257"/>
        </w:trPr>
        <w:tc>
          <w:tcPr>
            <w:tcW w:w="3740" w:type="dxa"/>
            <w:vAlign w:val="bottom"/>
          </w:tcPr>
          <w:p>
            <w:pPr>
              <w:ind w:left="20"/>
              <w:spacing w:after="0" w:line="256" w:lineRule="exact"/>
              <w:rPr>
                <w:sz w:val="20"/>
                <w:szCs w:val="20"/>
                <w:color w:val="auto"/>
              </w:rPr>
            </w:pPr>
            <w:r>
              <w:rPr>
                <w:rFonts w:ascii="Times New Roman" w:cs="Times New Roman" w:eastAsia="Times New Roman" w:hAnsi="Times New Roman"/>
                <w:sz w:val="16"/>
                <w:szCs w:val="16"/>
                <w:color w:val="auto"/>
              </w:rPr>
              <w:t>Depreciation, depletion, amortization and accretion</w:t>
            </w:r>
            <w:r>
              <w:rPr>
                <w:rFonts w:ascii="Times New Roman" w:cs="Times New Roman" w:eastAsia="Times New Roman" w:hAnsi="Times New Roman"/>
                <w:sz w:val="26"/>
                <w:szCs w:val="26"/>
                <w:color w:val="auto"/>
                <w:vertAlign w:val="superscript"/>
              </w:rPr>
              <w:t>(c)</w:t>
            </w:r>
          </w:p>
        </w:tc>
        <w:tc>
          <w:tcPr>
            <w:tcW w:w="10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Pr>
          <w:p>
            <w:pPr>
              <w:spacing w:after="0"/>
              <w:rPr>
                <w:sz w:val="22"/>
                <w:szCs w:val="22"/>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22"/>
                <w:szCs w:val="22"/>
                <w:color w:val="auto"/>
              </w:rPr>
            </w:pPr>
          </w:p>
        </w:tc>
        <w:tc>
          <w:tcPr>
            <w:tcW w:w="11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2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764</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EBITDA, as reported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(311)</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1,753</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Stericycle acquisition and integration costs</w:t>
            </w: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11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9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loss from asset impairments, unusual items</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74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6"/>
                <w:szCs w:val="16"/>
                <w:color w:val="auto"/>
              </w:rPr>
              <w:t>and other, net</w:t>
            </w:r>
            <w:r>
              <w:rPr>
                <w:rFonts w:ascii="Times New Roman" w:cs="Times New Roman" w:eastAsia="Times New Roman" w:hAnsi="Times New Roman"/>
                <w:sz w:val="26"/>
                <w:szCs w:val="26"/>
                <w:color w:val="auto"/>
                <w:vertAlign w:val="superscript"/>
              </w:rPr>
              <w:t>(e)</w:t>
            </w:r>
          </w:p>
        </w:tc>
        <w:tc>
          <w:tcPr>
            <w:tcW w:w="1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3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operating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2,075</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(293</w:t>
            </w:r>
          </w:p>
        </w:tc>
        <w:tc>
          <w:tcPr>
            <w:tcW w:w="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EBITDA margin, as reported</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38.1%</w:t>
            </w:r>
          </w:p>
        </w:tc>
        <w:tc>
          <w:tcPr>
            <w:tcW w:w="10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(24.2%)</w:t>
            </w:r>
          </w:p>
        </w:tc>
        <w:tc>
          <w:tcPr>
            <w:tcW w:w="1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32.2%</w:t>
            </w:r>
          </w:p>
        </w:tc>
        <w:tc>
          <w:tcPr>
            <w:tcW w:w="1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14.2%</w:t>
            </w:r>
          </w:p>
        </w:tc>
        <w:tc>
          <w:tcPr>
            <w:tcW w:w="100" w:type="dxa"/>
            <w:vAlign w:val="bottom"/>
          </w:tcPr>
          <w:p>
            <w:pPr>
              <w:spacing w:after="0"/>
              <w:rPr>
                <w:sz w:val="16"/>
                <w:szCs w:val="16"/>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w w:val="86"/>
              </w:rPr>
              <w:t>N/A</w:t>
            </w:r>
          </w:p>
        </w:tc>
        <w:tc>
          <w:tcPr>
            <w:tcW w:w="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27.2%</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operating EBITDA margin</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39.0%</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17.5%</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41.7%</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17.5%</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N/A</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5" w:lineRule="exact"/>
        <w:rPr>
          <w:sz w:val="20"/>
          <w:szCs w:val="20"/>
          <w:color w:val="auto"/>
        </w:rPr>
      </w:pPr>
    </w:p>
    <w:p>
      <w:pPr>
        <w:ind w:left="340" w:hanging="332"/>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fees related to the processing of recyclable material we collect are included within our Collection and Disposal business. The amounts in Income from Operations for the three months ended September 30, 2026 and 2025 are $21 million and $19 million, respectively.</w:t>
      </w:r>
    </w:p>
    <w:p>
      <w:pPr>
        <w:jc w:val="both"/>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Energy pays a 15% intercompany royalty to our Collection and Disposal business and Corporate and Other for landfill gas. The total amount of royalties in Income from Operations for the three months ended September 30, 2026 and 2025, are $25 million and $17 million, respectively.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2026, landfill accretion expense was moved from operating expenses to depreciation, depletion, amortization and accretion. Landfill accretion expenses in the three months ended September 30, 2026 and 2025 are $39 million and $35 million, respectively. For comparability purposes, 2025 results have been updated to reflect that change.</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September 30, 2026 primarily includes an $18 million impairment charge related to the decision to accelerate the closure of a landfill within our East Tier.</w:t>
      </w:r>
    </w:p>
    <w:p>
      <w:pPr>
        <w:jc w:val="both"/>
        <w:ind w:left="340" w:hanging="332"/>
        <w:spacing w:after="0" w:line="255"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September 30, 2025 includes (i) a $152 million impairment charge related to the decision to suspend the operations of a business; (ii) a $45 million impairment charge related to the decision to accelerate the closure of a landfill within our East Tier and (iii) an $11 million negotiated payment for early termination of a contract in our Renewable Energy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90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184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September 30, 2025</w:t>
            </w:r>
            <w:r>
              <w:rPr>
                <w:rFonts w:ascii="MS PGothic" w:cs="MS PGothic" w:eastAsia="MS PGothic" w:hAnsi="MS PGothic"/>
                <w:sz w:val="18"/>
                <w:szCs w:val="18"/>
                <w:color w:val="auto"/>
                <w:highlight w:val="black"/>
              </w:rPr>
              <w:t>⁽ ⁾</w:t>
            </w:r>
          </w:p>
        </w:tc>
        <w:tc>
          <w:tcPr>
            <w:tcW w:w="0" w:type="dxa"/>
            <w:vAlign w:val="bottom"/>
          </w:tcPr>
          <w:p>
            <w:pPr>
              <w:spacing w:after="0"/>
              <w:rPr>
                <w:sz w:val="1"/>
                <w:szCs w:val="1"/>
                <w:color w:val="auto"/>
              </w:rPr>
            </w:pPr>
          </w:p>
        </w:tc>
      </w:tr>
      <w:tr>
        <w:trPr>
          <w:trHeight w:val="209"/>
        </w:trPr>
        <w:tc>
          <w:tcPr>
            <w:tcW w:w="7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Expenses and Adjusted Operating Expenses Margin</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6,846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6,443</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 as reported</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4,093</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3,798</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 % of net revenues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59.8%</w:t>
            </w:r>
          </w:p>
        </w:tc>
        <w:tc>
          <w:tcPr>
            <w:tcW w:w="6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58.9%</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Collective bargaining agreement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Stericycle acquisition and integration costs</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7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 as adjusted</w:t>
            </w:r>
          </w:p>
        </w:tc>
        <w:tc>
          <w:tcPr>
            <w:tcW w:w="20" w:type="dxa"/>
            <w:vAlign w:val="bottom"/>
            <w:tcBorders>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4,091</w:t>
            </w: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3,795</w:t>
            </w:r>
          </w:p>
        </w:tc>
        <w:tc>
          <w:tcPr>
            <w:tcW w:w="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4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a % of net revenues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40" w:type="dxa"/>
            <w:vAlign w:val="bottom"/>
            <w:gridSpan w:val="3"/>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b w:val="1"/>
                <w:bCs w:val="1"/>
                <w:color w:val="auto"/>
              </w:rPr>
              <w:t>59.8%</w:t>
            </w:r>
          </w:p>
        </w:tc>
        <w:tc>
          <w:tcPr>
            <w:tcW w:w="6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58.9%</w:t>
            </w:r>
          </w:p>
        </w:tc>
        <w:tc>
          <w:tcPr>
            <w:tcW w:w="0" w:type="dxa"/>
            <w:vAlign w:val="bottom"/>
          </w:tcPr>
          <w:p>
            <w:pPr>
              <w:spacing w:after="0"/>
              <w:rPr>
                <w:sz w:val="1"/>
                <w:szCs w:val="1"/>
                <w:color w:val="auto"/>
              </w:rPr>
            </w:pPr>
          </w:p>
        </w:tc>
      </w:tr>
      <w:tr>
        <w:trPr>
          <w:trHeight w:val="410"/>
        </w:trPr>
        <w:tc>
          <w:tcPr>
            <w:tcW w:w="7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7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SG&amp;A Expenses and Adjusted SG&amp;A Expenses Margin</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6,846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6,443</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expenses, as reported</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655</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665</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 % of net revenues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9.6%</w:t>
            </w:r>
          </w:p>
        </w:tc>
        <w:tc>
          <w:tcPr>
            <w:tcW w:w="6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Stericycle acquisition and integration costs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6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7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expenses, as adjusted</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w:t>
            </w:r>
          </w:p>
        </w:tc>
        <w:tc>
          <w:tcPr>
            <w:tcW w:w="3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a % of net revenues</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4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9.3%</w:t>
            </w:r>
          </w:p>
        </w:tc>
        <w:tc>
          <w:tcPr>
            <w:tcW w:w="6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387"/>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2026 Projected Free Cash Flow Reconciliation</w:t>
            </w:r>
            <w:r>
              <w:rPr>
                <w:rFonts w:ascii="Times New Roman" w:cs="Times New Roman" w:eastAsia="Times New Roman" w:hAnsi="Times New Roman"/>
                <w:sz w:val="29"/>
                <w:szCs w:val="29"/>
                <w:b w:val="1"/>
                <w:bCs w:val="1"/>
                <w:i w:val="1"/>
                <w:iCs w:val="1"/>
                <w:color w:val="auto"/>
                <w:vertAlign w:val="superscript"/>
              </w:rPr>
              <w:t>(b)</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4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December 31, 2026</w:t>
            </w: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(2,500)</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Free cash flow without sustainability growth investments</w:t>
            </w: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w:t>
            </w: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-899795</wp:posOffset>
            </wp:positionV>
            <wp:extent cx="123444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3444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-616585</wp:posOffset>
            </wp:positionV>
            <wp:extent cx="123444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3444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-325120</wp:posOffset>
            </wp:positionV>
            <wp:extent cx="123444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3444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jc w:val="both"/>
        <w:ind w:left="340" w:hanging="332"/>
        <w:spacing w:after="0" w:line="257"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2026, landfill accretion expense was moved from operating expenses to depreciation, depletion, amortization and accretion. Landfill accretion expenses in the three months ended September 30, 2026 and 2025 are $39 million and $35 million, respectively. For comparability purposes, 2025 results have been updated to reflect that change.</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INFORMATION PROVIDED FOR ILLUSTRATIVE PURPOSES ONLY</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illustrates the impact that differing contract structures have on the Company’s adjusted operating EBITDA margin results. This information has been provided to enhance comparability and is not intended to replace or adjust GAAP reported results.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0" w:type="dxa"/>
            <w:vAlign w:val="bottom"/>
          </w:tcPr>
          <w:p>
            <w:pPr>
              <w:spacing w:after="0"/>
              <w:rPr>
                <w:sz w:val="19"/>
                <w:szCs w:val="19"/>
                <w:color w:val="auto"/>
              </w:rPr>
            </w:pPr>
          </w:p>
        </w:tc>
        <w:tc>
          <w:tcPr>
            <w:tcW w:w="248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Pr>
          <w:p>
            <w:pPr>
              <w:spacing w:after="0"/>
              <w:rPr>
                <w:sz w:val="19"/>
                <w:szCs w:val="19"/>
                <w:color w:val="auto"/>
              </w:rPr>
            </w:pPr>
          </w:p>
        </w:tc>
      </w:tr>
      <w:tr>
        <w:trPr>
          <w:trHeight w:val="187"/>
        </w:trPr>
        <w:tc>
          <w:tcPr>
            <w:tcW w:w="54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Change in</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EBITDA</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EBITDA</w:t>
            </w:r>
          </w:p>
        </w:tc>
      </w:tr>
      <w:tr>
        <w:trPr>
          <w:trHeight w:val="238"/>
        </w:trPr>
        <w:tc>
          <w:tcPr>
            <w:tcW w:w="5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60" w:type="dxa"/>
            <w:vAlign w:val="bottom"/>
            <w:tcBorders>
              <w:bottom w:val="single" w:sz="8" w:color="CCEEFF"/>
            </w:tcBorders>
          </w:tcPr>
          <w:p>
            <w:pPr>
              <w:spacing w:after="0"/>
              <w:rPr>
                <w:sz w:val="20"/>
                <w:szCs w:val="20"/>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commodity rebates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445"/>
        </w:trPr>
        <w:tc>
          <w:tcPr>
            <w:tcW w:w="5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0" w:type="dxa"/>
            <w:vAlign w:val="bottom"/>
          </w:tcPr>
          <w:p>
            <w:pPr>
              <w:spacing w:after="0"/>
              <w:rPr>
                <w:sz w:val="19"/>
                <w:szCs w:val="19"/>
                <w:color w:val="auto"/>
              </w:rPr>
            </w:pPr>
          </w:p>
        </w:tc>
        <w:tc>
          <w:tcPr>
            <w:tcW w:w="248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Pr>
          <w:p>
            <w:pPr>
              <w:spacing w:after="0"/>
              <w:rPr>
                <w:sz w:val="19"/>
                <w:szCs w:val="19"/>
                <w:color w:val="auto"/>
              </w:rPr>
            </w:pPr>
          </w:p>
        </w:tc>
      </w:tr>
      <w:tr>
        <w:trPr>
          <w:trHeight w:val="187"/>
        </w:trPr>
        <w:tc>
          <w:tcPr>
            <w:tcW w:w="54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Change in</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EBITDA</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EBITDA</w:t>
            </w:r>
          </w:p>
        </w:tc>
      </w:tr>
      <w:tr>
        <w:trPr>
          <w:trHeight w:val="238"/>
        </w:trPr>
        <w:tc>
          <w:tcPr>
            <w:tcW w:w="5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60" w:type="dxa"/>
            <w:vAlign w:val="bottom"/>
            <w:tcBorders>
              <w:bottom w:val="single" w:sz="8" w:color="CCEEFF"/>
            </w:tcBorders>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commodity rebates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675"/>
        </w:trPr>
        <w:tc>
          <w:tcPr>
            <w:tcW w:w="5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0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2)"/>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2026-10-27T16:04:54Z</dcterms:created>
  <dcterms:modified xsi:type="dcterms:W3CDTF">2026-10-27T16:04:54Z</dcterms:modified>
</cp:coreProperties>
</file>