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6"/>
          <w:szCs w:val="16"/>
          <w:color w:val="auto"/>
        </w:rPr>
        <w:t>UNITED STATES</w:t>
      </w:r>
    </w:p>
    <w:p>
      <w:pPr>
        <w:spacing w:after="0" w:line="5"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6"/>
          <w:szCs w:val="16"/>
          <w:color w:val="auto"/>
        </w:rPr>
        <w:t>Washington, D.C. 20549</w:t>
      </w:r>
    </w:p>
    <w:p>
      <w:pPr>
        <w:spacing w:after="0" w:line="378"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FORM 8-K</w:t>
      </w:r>
    </w:p>
    <w:p>
      <w:pPr>
        <w:spacing w:after="0" w:line="378" w:lineRule="exact"/>
        <w:rPr>
          <w:sz w:val="24"/>
          <w:szCs w:val="24"/>
          <w:color w:val="auto"/>
        </w:rPr>
      </w:pPr>
    </w:p>
    <w:p>
      <w:pPr>
        <w:ind w:left="3200"/>
        <w:spacing w:after="0"/>
        <w:rPr>
          <w:sz w:val="20"/>
          <w:szCs w:val="20"/>
          <w:color w:val="auto"/>
        </w:rPr>
      </w:pPr>
      <w:r>
        <w:rPr>
          <w:rFonts w:ascii="Courier New" w:cs="Courier New" w:eastAsia="Courier New" w:hAnsi="Courier New"/>
          <w:sz w:val="16"/>
          <w:szCs w:val="16"/>
          <w:color w:val="auto"/>
        </w:rPr>
        <w:t>CURRENT REPORT</w:t>
      </w:r>
    </w:p>
    <w:p>
      <w:pPr>
        <w:spacing w:after="0" w:line="378" w:lineRule="exact"/>
        <w:rPr>
          <w:sz w:val="24"/>
          <w:szCs w:val="24"/>
          <w:color w:val="auto"/>
        </w:rPr>
      </w:pPr>
    </w:p>
    <w:p>
      <w:pPr>
        <w:ind w:left="2420"/>
        <w:spacing w:after="0"/>
        <w:rPr>
          <w:sz w:val="20"/>
          <w:szCs w:val="20"/>
          <w:color w:val="auto"/>
        </w:rPr>
      </w:pPr>
      <w:r>
        <w:rPr>
          <w:rFonts w:ascii="Courier New" w:cs="Courier New" w:eastAsia="Courier New" w:hAnsi="Courier New"/>
          <w:sz w:val="16"/>
          <w:szCs w:val="16"/>
          <w:color w:val="auto"/>
        </w:rPr>
        <w:t>Pursuant to Section 13 or 15(d)</w:t>
      </w:r>
    </w:p>
    <w:p>
      <w:pPr>
        <w:spacing w:after="0" w:line="5"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378"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Date of Report: February 2, 2001</w:t>
      </w:r>
    </w:p>
    <w:p>
      <w:pPr>
        <w:spacing w:after="0" w:line="378"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6"/>
          <w:szCs w:val="16"/>
          <w:color w:val="auto"/>
        </w:rPr>
        <w:t>WASTE MANAGEMENT, INC.</w:t>
      </w:r>
    </w:p>
    <w:p>
      <w:pPr>
        <w:spacing w:after="0" w:line="5"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80"/>
          </w:cols>
          <w:pgMar w:left="240" w:top="241" w:right="1379" w:bottom="1440" w:gutter="0" w:footer="0" w:header="0"/>
        </w:sectPr>
      </w:pPr>
    </w:p>
    <w:p>
      <w:pPr>
        <w:spacing w:after="0" w:line="378"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1-12154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73-1309529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w:t>
      </w:r>
    </w:p>
    <w:p>
      <w:pPr>
        <w:spacing w:after="0" w:line="5" w:lineRule="exact"/>
        <w:rPr>
          <w:sz w:val="24"/>
          <w:szCs w:val="24"/>
          <w:color w:val="auto"/>
        </w:rPr>
      </w:pPr>
    </w:p>
    <w:p>
      <w:pPr>
        <w:ind w:left="1260"/>
        <w:spacing w:after="0"/>
        <w:rPr>
          <w:sz w:val="20"/>
          <w:szCs w:val="20"/>
          <w:color w:val="auto"/>
        </w:rPr>
      </w:pPr>
      <w:r>
        <w:rPr>
          <w:rFonts w:ascii="Courier New" w:cs="Courier New" w:eastAsia="Courier New" w:hAnsi="Courier New"/>
          <w:sz w:val="16"/>
          <w:szCs w:val="16"/>
          <w:color w:val="auto"/>
        </w:rPr>
        <w:t>Number)</w:t>
      </w:r>
    </w:p>
    <w:p>
      <w:pPr>
        <w:spacing w:after="0" w:line="200" w:lineRule="exact"/>
        <w:rPr>
          <w:sz w:val="24"/>
          <w:szCs w:val="24"/>
          <w:color w:val="auto"/>
        </w:rPr>
      </w:pPr>
    </w:p>
    <w:p>
      <w:pPr>
        <w:sectPr>
          <w:pgSz w:w="11900" w:h="16838" w:orient="portrait"/>
          <w:cols w:equalWidth="0" w:num="3">
            <w:col w:w="3340" w:space="720"/>
            <w:col w:w="2480" w:space="720"/>
            <w:col w:w="3020"/>
          </w:cols>
          <w:pgMar w:left="240" w:top="241" w:right="1379" w:bottom="1440" w:gutter="0" w:footer="0" w:header="0"/>
          <w:type w:val="continuous"/>
        </w:sectPr>
      </w:pPr>
    </w:p>
    <w:p>
      <w:pPr>
        <w:spacing w:after="0" w:line="178"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1001 Fannin Street, Suite 4000</w:t>
      </w:r>
    </w:p>
    <w:p>
      <w:pPr>
        <w:spacing w:after="0" w:line="5"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Houston, Texas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77002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2" w:lineRule="exact"/>
        <w:rPr>
          <w:sz w:val="24"/>
          <w:szCs w:val="24"/>
          <w:color w:val="auto"/>
        </w:rPr>
      </w:pPr>
    </w:p>
    <w:p>
      <w:pPr>
        <w:sectPr>
          <w:pgSz w:w="11900" w:h="16838" w:orient="portrait"/>
          <w:cols w:equalWidth="0" w:num="2">
            <w:col w:w="5200" w:space="720"/>
            <w:col w:w="4360"/>
          </w:cols>
          <w:pgMar w:left="240" w:top="241" w:right="1379" w:bottom="1440" w:gutter="0" w:footer="0" w:header="0"/>
          <w:type w:val="continuous"/>
        </w:sectPr>
      </w:pPr>
    </w:p>
    <w:p>
      <w:pPr>
        <w:jc w:val="center"/>
        <w:ind w:right="2520"/>
        <w:spacing w:after="0"/>
        <w:rPr>
          <w:sz w:val="20"/>
          <w:szCs w:val="20"/>
          <w:color w:val="auto"/>
        </w:rPr>
      </w:pPr>
      <w:r>
        <w:rPr>
          <w:rFonts w:ascii="Courier New" w:cs="Courier New" w:eastAsia="Courier New" w:hAnsi="Courier New"/>
          <w:sz w:val="16"/>
          <w:szCs w:val="16"/>
          <w:color w:val="auto"/>
        </w:rPr>
        <w:t>(713) 512-6200</w:t>
      </w:r>
    </w:p>
    <w:p>
      <w:pPr>
        <w:spacing w:after="0" w:line="5"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80"/>
          </w:cols>
          <w:pgMar w:left="240" w:top="241" w:right="1379"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5.</w:t>
        <w:tab/>
        <w:t>Other Events.</w:t>
      </w:r>
    </w:p>
    <w:p>
      <w:pPr>
        <w:spacing w:after="0" w:line="191" w:lineRule="exact"/>
        <w:rPr>
          <w:sz w:val="20"/>
          <w:szCs w:val="20"/>
          <w:color w:val="auto"/>
        </w:rPr>
      </w:pPr>
    </w:p>
    <w:p>
      <w:pPr>
        <w:ind w:right="2459" w:firstLine="581"/>
        <w:spacing w:after="0" w:line="247" w:lineRule="auto"/>
        <w:tabs>
          <w:tab w:leader="none" w:pos="96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February 2, 2001, Waste Management, Inc. (the "Company") entered into an underwriting agreement for the public offering of $600 million of its 7 3/8% Senior Notes due 2010 (the "Notes"). The Notes are to be issued under an Indenture dated as of September 10, 1997 between the Company and The Chase Manhattan Bank, as successor to Texas Commerce Bank National Association, as Trustee. Closing of the issuance and sale of the Notes is scheduled for February 9, 2001. Further information is included in Exhibits 1.1, 4.1 and 4.2.</w:t>
      </w:r>
    </w:p>
    <w:p>
      <w:pPr>
        <w:spacing w:after="0" w:line="185" w:lineRule="exact"/>
        <w:rPr>
          <w:rFonts w:ascii="Courier New" w:cs="Courier New" w:eastAsia="Courier New" w:hAnsi="Courier New"/>
          <w:sz w:val="16"/>
          <w:szCs w:val="16"/>
          <w:color w:val="auto"/>
        </w:rPr>
      </w:pPr>
    </w:p>
    <w:p>
      <w:pPr>
        <w:ind w:left="960" w:hanging="379"/>
        <w:spacing w:after="0"/>
        <w:tabs>
          <w:tab w:leader="none" w:pos="9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 99.1 contains Selected Financial Information for the Company.</w:t>
      </w:r>
    </w:p>
    <w:p>
      <w:pPr>
        <w:spacing w:after="0" w:line="37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7.</w:t>
        <w:tab/>
        <w:t>Financial Statements and Exhibits.</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 Exhibits.</w:t>
      </w:r>
    </w:p>
    <w:p>
      <w:pPr>
        <w:spacing w:after="0" w:line="191" w:lineRule="exact"/>
        <w:rPr>
          <w:sz w:val="20"/>
          <w:szCs w:val="20"/>
          <w:color w:val="auto"/>
        </w:rPr>
      </w:pPr>
    </w:p>
    <w:p>
      <w:pPr>
        <w:ind w:left="1160" w:right="2459" w:hanging="580"/>
        <w:spacing w:after="0" w:line="247" w:lineRule="auto"/>
        <w:tabs>
          <w:tab w:leader="none" w:pos="1140" w:val="left"/>
        </w:tabs>
        <w:rPr>
          <w:sz w:val="20"/>
          <w:szCs w:val="20"/>
          <w:color w:val="auto"/>
        </w:rPr>
      </w:pPr>
      <w:r>
        <w:rPr>
          <w:rFonts w:ascii="Courier New" w:cs="Courier New" w:eastAsia="Courier New" w:hAnsi="Courier New"/>
          <w:sz w:val="16"/>
          <w:szCs w:val="16"/>
          <w:color w:val="auto"/>
        </w:rPr>
        <w:t>1.1</w:t>
        <w:tab/>
        <w:t>Underwriting Agreement dated February 2, 2001, among Waste Management, Inc., Salomon Smith Barney Inc., Credit Suisse First Boston Corporation, Merrill Lynch, Pierce, Fenner &amp; Smith Incorporated, Banc of America Securities LLC, Chase Securities Inc., Deutsche Banc Alex. Brown Inc., Fleet Securities, Inc., Goldman, Sachs &amp; Co. and Lehman Brothers Inc.</w:t>
      </w:r>
    </w:p>
    <w:p>
      <w:pPr>
        <w:spacing w:after="0" w:line="185" w:lineRule="exact"/>
        <w:rPr>
          <w:sz w:val="20"/>
          <w:szCs w:val="20"/>
          <w:color w:val="auto"/>
        </w:rPr>
      </w:pPr>
    </w:p>
    <w:p>
      <w:pPr>
        <w:ind w:left="580"/>
        <w:spacing w:after="0"/>
        <w:tabs>
          <w:tab w:leader="none" w:pos="1140" w:val="left"/>
        </w:tabs>
        <w:rPr>
          <w:sz w:val="20"/>
          <w:szCs w:val="20"/>
          <w:color w:val="auto"/>
        </w:rPr>
      </w:pPr>
      <w:r>
        <w:rPr>
          <w:rFonts w:ascii="Courier New" w:cs="Courier New" w:eastAsia="Courier New" w:hAnsi="Courier New"/>
          <w:sz w:val="16"/>
          <w:szCs w:val="16"/>
          <w:color w:val="auto"/>
        </w:rPr>
        <w:t>4.1</w:t>
        <w:tab/>
        <w:t>Form of Book-Entry Note representing 7 3/8% Senior Notes due 2010.</w:t>
      </w:r>
    </w:p>
    <w:p>
      <w:pPr>
        <w:spacing w:after="0" w:line="191" w:lineRule="exact"/>
        <w:rPr>
          <w:sz w:val="20"/>
          <w:szCs w:val="20"/>
          <w:color w:val="auto"/>
        </w:rPr>
      </w:pPr>
    </w:p>
    <w:p>
      <w:pPr>
        <w:ind w:left="580"/>
        <w:spacing w:after="0"/>
        <w:tabs>
          <w:tab w:leader="none" w:pos="1140" w:val="left"/>
        </w:tabs>
        <w:rPr>
          <w:sz w:val="20"/>
          <w:szCs w:val="20"/>
          <w:color w:val="auto"/>
        </w:rPr>
      </w:pPr>
      <w:r>
        <w:rPr>
          <w:rFonts w:ascii="Courier New" w:cs="Courier New" w:eastAsia="Courier New" w:hAnsi="Courier New"/>
          <w:sz w:val="16"/>
          <w:szCs w:val="16"/>
          <w:color w:val="auto"/>
        </w:rPr>
        <w:t>4.2</w:t>
        <w:tab/>
        <w:t>Officers' Certificate</w:t>
      </w:r>
    </w:p>
    <w:p>
      <w:pPr>
        <w:spacing w:after="0" w:line="191" w:lineRule="exact"/>
        <w:rPr>
          <w:sz w:val="20"/>
          <w:szCs w:val="20"/>
          <w:color w:val="auto"/>
        </w:rPr>
      </w:pPr>
    </w:p>
    <w:p>
      <w:pPr>
        <w:ind w:left="580"/>
        <w:spacing w:after="0"/>
        <w:tabs>
          <w:tab w:leader="none" w:pos="1140" w:val="left"/>
        </w:tabs>
        <w:rPr>
          <w:sz w:val="20"/>
          <w:szCs w:val="20"/>
          <w:color w:val="auto"/>
        </w:rPr>
      </w:pPr>
      <w:r>
        <w:rPr>
          <w:rFonts w:ascii="Courier New" w:cs="Courier New" w:eastAsia="Courier New" w:hAnsi="Courier New"/>
          <w:sz w:val="16"/>
          <w:szCs w:val="16"/>
          <w:color w:val="auto"/>
        </w:rPr>
        <w:t>5.1</w:t>
        <w:tab/>
        <w:t>Opinion of Baker Botts L.L.P.</w:t>
      </w:r>
    </w:p>
    <w:p>
      <w:pPr>
        <w:spacing w:after="0" w:line="191" w:lineRule="exact"/>
        <w:rPr>
          <w:sz w:val="20"/>
          <w:szCs w:val="20"/>
          <w:color w:val="auto"/>
        </w:rPr>
      </w:pPr>
    </w:p>
    <w:p>
      <w:pPr>
        <w:ind w:left="580"/>
        <w:spacing w:after="0"/>
        <w:tabs>
          <w:tab w:leader="none" w:pos="1140" w:val="left"/>
        </w:tabs>
        <w:rPr>
          <w:sz w:val="20"/>
          <w:szCs w:val="20"/>
          <w:color w:val="auto"/>
        </w:rPr>
      </w:pPr>
      <w:r>
        <w:rPr>
          <w:rFonts w:ascii="Courier New" w:cs="Courier New" w:eastAsia="Courier New" w:hAnsi="Courier New"/>
          <w:sz w:val="16"/>
          <w:szCs w:val="16"/>
          <w:color w:val="auto"/>
        </w:rPr>
        <w:t>23.1</w:t>
        <w:tab/>
        <w:t>Consent of Arthur Andersen LLP.</w:t>
      </w:r>
    </w:p>
    <w:p>
      <w:pPr>
        <w:spacing w:after="0" w:line="191" w:lineRule="exact"/>
        <w:rPr>
          <w:sz w:val="20"/>
          <w:szCs w:val="20"/>
          <w:color w:val="auto"/>
        </w:rPr>
      </w:pPr>
    </w:p>
    <w:p>
      <w:pPr>
        <w:ind w:left="580"/>
        <w:spacing w:after="0"/>
        <w:tabs>
          <w:tab w:leader="none" w:pos="1140" w:val="left"/>
        </w:tabs>
        <w:rPr>
          <w:sz w:val="20"/>
          <w:szCs w:val="20"/>
          <w:color w:val="auto"/>
        </w:rPr>
      </w:pPr>
      <w:r>
        <w:rPr>
          <w:rFonts w:ascii="Courier New" w:cs="Courier New" w:eastAsia="Courier New" w:hAnsi="Courier New"/>
          <w:sz w:val="16"/>
          <w:szCs w:val="16"/>
          <w:color w:val="auto"/>
        </w:rPr>
        <w:t>23.2</w:t>
        <w:tab/>
        <w:t>Consent of PricewaterhouseCoopers LLP.</w:t>
      </w:r>
    </w:p>
    <w:p>
      <w:pPr>
        <w:spacing w:after="0" w:line="191" w:lineRule="exact"/>
        <w:rPr>
          <w:sz w:val="20"/>
          <w:szCs w:val="20"/>
          <w:color w:val="auto"/>
        </w:rPr>
      </w:pPr>
    </w:p>
    <w:p>
      <w:pPr>
        <w:ind w:left="580"/>
        <w:spacing w:after="0"/>
        <w:tabs>
          <w:tab w:leader="none" w:pos="1140" w:val="left"/>
        </w:tabs>
        <w:rPr>
          <w:sz w:val="20"/>
          <w:szCs w:val="20"/>
          <w:color w:val="auto"/>
        </w:rPr>
      </w:pPr>
      <w:r>
        <w:rPr>
          <w:rFonts w:ascii="Courier New" w:cs="Courier New" w:eastAsia="Courier New" w:hAnsi="Courier New"/>
          <w:sz w:val="16"/>
          <w:szCs w:val="16"/>
          <w:color w:val="auto"/>
        </w:rPr>
        <w:t>99.1</w:t>
        <w:tab/>
        <w:t>Selected Financial Information</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3"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8"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WASTE MANAGEMENT, INC.</w:t>
      </w:r>
    </w:p>
    <w:p>
      <w:pPr>
        <w:sectPr>
          <w:pgSz w:w="11900" w:h="16838" w:orient="portrait"/>
          <w:cols w:equalWidth="0" w:num="1">
            <w:col w:w="10219"/>
          </w:cols>
          <w:pgMar w:left="240" w:top="303" w:right="1440" w:bottom="1440" w:gutter="0" w:footer="0" w:header="0"/>
        </w:sect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February 5, 2001</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LAWRENCE O'DONNELL, III</w:t>
      </w:r>
    </w:p>
    <w:p>
      <w:pPr>
        <w:spacing w:after="0" w:line="5" w:lineRule="exact"/>
        <w:rPr>
          <w:sz w:val="20"/>
          <w:szCs w:val="20"/>
          <w:color w:val="auto"/>
        </w:rPr>
      </w:pPr>
    </w:p>
    <w:p>
      <w:pPr>
        <w:sectPr>
          <w:pgSz w:w="11900" w:h="16838" w:orient="portrait"/>
          <w:cols w:equalWidth="0" w:num="3">
            <w:col w:w="2760" w:space="720"/>
            <w:col w:w="300" w:space="680"/>
            <w:col w:w="5759"/>
          </w:cols>
          <w:pgMar w:left="240" w:top="303" w:right="1440" w:bottom="1440" w:gutter="0" w:footer="0" w:header="0"/>
          <w:type w:val="continuous"/>
        </w:sect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Lawrence O'Donnell, III</w:t>
      </w:r>
    </w:p>
    <w:p>
      <w:pPr>
        <w:spacing w:after="0" w:line="5"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Senior Vice President,</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General Counsel and Secretary</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3"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9919"/>
          </w:cols>
          <w:pgMar w:left="540" w:top="303" w:right="1440" w:bottom="1440" w:gutter="0" w:footer="0" w:header="0"/>
        </w:sectPr>
      </w:pPr>
    </w:p>
    <w:p>
      <w:pPr>
        <w:spacing w:after="0" w:line="37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2080" w:space="720"/>
            <w:col w:w="7119"/>
          </w:cols>
          <w:pgMar w:left="540" w:top="303" w:right="1440" w:bottom="1440" w:gutter="0" w:footer="0" w:header="0"/>
          <w:type w:val="continuous"/>
        </w:sectPr>
      </w:pPr>
    </w:p>
    <w:p>
      <w:pPr>
        <w:ind w:left="860" w:right="2459" w:hanging="580"/>
        <w:spacing w:after="0" w:line="247" w:lineRule="auto"/>
        <w:tabs>
          <w:tab w:leader="none" w:pos="840" w:val="left"/>
        </w:tabs>
        <w:rPr>
          <w:sz w:val="20"/>
          <w:szCs w:val="20"/>
          <w:color w:val="auto"/>
        </w:rPr>
      </w:pPr>
      <w:r>
        <w:rPr>
          <w:rFonts w:ascii="Courier New" w:cs="Courier New" w:eastAsia="Courier New" w:hAnsi="Courier New"/>
          <w:sz w:val="16"/>
          <w:szCs w:val="16"/>
          <w:color w:val="auto"/>
        </w:rPr>
        <w:t>1.1</w:t>
        <w:tab/>
        <w:t>Underwriting Agreement dated February 2, 2001, among Waste Management, Inc., Salomon Smith Barney Inc., Credit Suisse First Boston Corporation, Merrill Lynch, Pierce, Fenner &amp; Smith Incorporated, Banc of America Securities LLC, Chase Securities Inc., Deutsche Bank Alex. Brown Inc., Fleet Securities, Inc., Goldman, Sachs &amp; Co. and Lehman Brothers Inc.</w:t>
      </w:r>
    </w:p>
    <w:p>
      <w:pPr>
        <w:spacing w:after="0" w:line="185" w:lineRule="exact"/>
        <w:rPr>
          <w:sz w:val="20"/>
          <w:szCs w:val="20"/>
          <w:color w:val="auto"/>
        </w:rPr>
      </w:pPr>
    </w:p>
    <w:p>
      <w:pPr>
        <w:ind w:left="280"/>
        <w:spacing w:after="0"/>
        <w:tabs>
          <w:tab w:leader="none" w:pos="840" w:val="left"/>
        </w:tabs>
        <w:rPr>
          <w:sz w:val="20"/>
          <w:szCs w:val="20"/>
          <w:color w:val="auto"/>
        </w:rPr>
      </w:pPr>
      <w:r>
        <w:rPr>
          <w:rFonts w:ascii="Courier New" w:cs="Courier New" w:eastAsia="Courier New" w:hAnsi="Courier New"/>
          <w:sz w:val="16"/>
          <w:szCs w:val="16"/>
          <w:color w:val="auto"/>
        </w:rPr>
        <w:t>4.1</w:t>
        <w:tab/>
        <w:t>Form of Book-Entry Note representing 7 3/8% Senior Notes due 2010.</w:t>
      </w:r>
    </w:p>
    <w:p>
      <w:pPr>
        <w:spacing w:after="0" w:line="191" w:lineRule="exact"/>
        <w:rPr>
          <w:sz w:val="20"/>
          <w:szCs w:val="20"/>
          <w:color w:val="auto"/>
        </w:rPr>
      </w:pPr>
    </w:p>
    <w:p>
      <w:pPr>
        <w:ind w:left="280"/>
        <w:spacing w:after="0"/>
        <w:tabs>
          <w:tab w:leader="none" w:pos="840" w:val="left"/>
        </w:tabs>
        <w:rPr>
          <w:sz w:val="20"/>
          <w:szCs w:val="20"/>
          <w:color w:val="auto"/>
        </w:rPr>
      </w:pPr>
      <w:r>
        <w:rPr>
          <w:rFonts w:ascii="Courier New" w:cs="Courier New" w:eastAsia="Courier New" w:hAnsi="Courier New"/>
          <w:sz w:val="16"/>
          <w:szCs w:val="16"/>
          <w:color w:val="auto"/>
        </w:rPr>
        <w:t>4.2</w:t>
        <w:tab/>
        <w:t>Officers' Certificate</w:t>
      </w:r>
    </w:p>
    <w:p>
      <w:pPr>
        <w:spacing w:after="0" w:line="191" w:lineRule="exact"/>
        <w:rPr>
          <w:sz w:val="20"/>
          <w:szCs w:val="20"/>
          <w:color w:val="auto"/>
        </w:rPr>
      </w:pPr>
    </w:p>
    <w:p>
      <w:pPr>
        <w:ind w:left="280"/>
        <w:spacing w:after="0"/>
        <w:tabs>
          <w:tab w:leader="none" w:pos="840" w:val="left"/>
        </w:tabs>
        <w:rPr>
          <w:sz w:val="20"/>
          <w:szCs w:val="20"/>
          <w:color w:val="auto"/>
        </w:rPr>
      </w:pPr>
      <w:r>
        <w:rPr>
          <w:rFonts w:ascii="Courier New" w:cs="Courier New" w:eastAsia="Courier New" w:hAnsi="Courier New"/>
          <w:sz w:val="16"/>
          <w:szCs w:val="16"/>
          <w:color w:val="auto"/>
        </w:rPr>
        <w:t>5.1</w:t>
        <w:tab/>
        <w:t>Opinion of Baker Botts L.L.P.</w:t>
      </w:r>
    </w:p>
    <w:p>
      <w:pPr>
        <w:spacing w:after="0" w:line="191" w:lineRule="exact"/>
        <w:rPr>
          <w:sz w:val="20"/>
          <w:szCs w:val="20"/>
          <w:color w:val="auto"/>
        </w:rPr>
      </w:pPr>
    </w:p>
    <w:p>
      <w:pPr>
        <w:ind w:left="280"/>
        <w:spacing w:after="0"/>
        <w:tabs>
          <w:tab w:leader="none" w:pos="840" w:val="left"/>
        </w:tabs>
        <w:rPr>
          <w:sz w:val="20"/>
          <w:szCs w:val="20"/>
          <w:color w:val="auto"/>
        </w:rPr>
      </w:pPr>
      <w:r>
        <w:rPr>
          <w:rFonts w:ascii="Courier New" w:cs="Courier New" w:eastAsia="Courier New" w:hAnsi="Courier New"/>
          <w:sz w:val="16"/>
          <w:szCs w:val="16"/>
          <w:color w:val="auto"/>
        </w:rPr>
        <w:t>23.1</w:t>
        <w:tab/>
        <w:t>Consent of Arthur Andersen LLP.</w:t>
      </w:r>
    </w:p>
    <w:p>
      <w:pPr>
        <w:spacing w:after="0" w:line="191" w:lineRule="exact"/>
        <w:rPr>
          <w:sz w:val="20"/>
          <w:szCs w:val="20"/>
          <w:color w:val="auto"/>
        </w:rPr>
      </w:pPr>
    </w:p>
    <w:p>
      <w:pPr>
        <w:ind w:left="280"/>
        <w:spacing w:after="0"/>
        <w:tabs>
          <w:tab w:leader="none" w:pos="840" w:val="left"/>
        </w:tabs>
        <w:rPr>
          <w:sz w:val="20"/>
          <w:szCs w:val="20"/>
          <w:color w:val="auto"/>
        </w:rPr>
      </w:pPr>
      <w:r>
        <w:rPr>
          <w:rFonts w:ascii="Courier New" w:cs="Courier New" w:eastAsia="Courier New" w:hAnsi="Courier New"/>
          <w:sz w:val="16"/>
          <w:szCs w:val="16"/>
          <w:color w:val="auto"/>
        </w:rPr>
        <w:t>23.2</w:t>
        <w:tab/>
        <w:t>Consent of PricewaterhouseCoopers LLP.</w:t>
      </w:r>
    </w:p>
    <w:p>
      <w:pPr>
        <w:spacing w:after="0" w:line="191" w:lineRule="exact"/>
        <w:rPr>
          <w:sz w:val="20"/>
          <w:szCs w:val="20"/>
          <w:color w:val="auto"/>
        </w:rPr>
      </w:pPr>
    </w:p>
    <w:p>
      <w:pPr>
        <w:ind w:left="280"/>
        <w:spacing w:after="0"/>
        <w:tabs>
          <w:tab w:leader="none" w:pos="840" w:val="left"/>
        </w:tabs>
        <w:rPr>
          <w:sz w:val="20"/>
          <w:szCs w:val="20"/>
          <w:color w:val="auto"/>
        </w:rPr>
      </w:pPr>
      <w:r>
        <w:rPr>
          <w:rFonts w:ascii="Courier New" w:cs="Courier New" w:eastAsia="Courier New" w:hAnsi="Courier New"/>
          <w:sz w:val="16"/>
          <w:szCs w:val="16"/>
          <w:color w:val="auto"/>
        </w:rPr>
        <w:t>99.1</w:t>
        <w:tab/>
        <w:t>Selected Financial Information</w:t>
      </w:r>
    </w:p>
    <w:p>
      <w:pPr>
        <w:sectPr>
          <w:pgSz w:w="11900" w:h="16838" w:orient="portrait"/>
          <w:cols w:equalWidth="0" w:num="1">
            <w:col w:w="9919"/>
          </w:cols>
          <w:pgMar w:left="540" w:top="303" w:right="1440" w:bottom="1440"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1.1</w:t>
      </w:r>
    </w:p>
    <w:p>
      <w:pPr>
        <w:spacing w:after="0" w:line="378"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WASTE MANAGEMENT,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$600,000,000</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7 3/8% SENIOR NOTES DUE 2010</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UNDERWRITING AGREEMENT</w:t>
      </w:r>
    </w:p>
    <w:p>
      <w:pPr>
        <w:spacing w:after="0" w:line="378"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New York, New York</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February 2, 2001</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Representatives named</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in Schedule I hereto of the</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Underwriters named in</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Schedule II hereto</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Waste Management, Inc., a corporation organized under the laws of Delaware (the "Company"), proposes to sell to the several underwriters named in Schedule II hereto (the "Underwriters"), for whom you (the "Representatives") are acting as representatives, the principal amount of its securities identified in Schedule I hereto (the "Securities"), to be issued under an indenture (the "Indenture") dated as of September 30, 1997, between the Company and The Chase Manhattan Bank, a New York banking corporation (as successor to Texas Commerce Bank National Association), as trustee (the "Trustee"). To the extent there are no additional Underwriters listed on Schedule I other than you, the term Representatives as used herein shall mean you, as Underwriters, and the terms Representatives and Underwriters shall mean either the singular or plural as the context requires. Any reference herein to the Registration Statement, the Basic Prospectus, any Preliminary Final Prospectus or the Final Prospectus shall be deemed to refer to and include the documents incorporated by reference therein pursuant to Item 12 of Form S-3 which were filed under the Exchange Act on or before the Effective Date of the Registration Statement or the issue date of the Basic Prospectus, any Preliminary Final Prospectus or the Final Prospectus, as the case may be; and any reference herein to the terms "amend," "amendment" or "supplement" with respect to the Registration Statement, the Basic Prospectus, any Preliminary Final Prospectus or the Final Prospectus shall be deemed to refer to and include the filing of any document under the Exchange Act after the Effective Date of the Registration Statement or the issue date of the Basic Prospectus, any Preliminary Final Prospectus or the Final Prospectus, as the case may be, deemed to be incorporated therein by reference. Certain terms used herein are defined in Section 17 hereof.</w:t>
      </w:r>
    </w:p>
    <w:p>
      <w:pPr>
        <w:spacing w:after="0" w:line="200" w:lineRule="exact"/>
        <w:rPr>
          <w:sz w:val="20"/>
          <w:szCs w:val="20"/>
          <w:color w:val="auto"/>
        </w:rPr>
      </w:pPr>
    </w:p>
    <w:p>
      <w:pPr>
        <w:ind w:right="2559" w:firstLine="871"/>
        <w:spacing w:after="0" w:line="248" w:lineRule="auto"/>
        <w:tabs>
          <w:tab w:leader="none" w:pos="11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Company represents and warrants to, and agrees with, each Underwriter as set forth below in this Section 1.</w:t>
      </w:r>
    </w:p>
    <w:p>
      <w:pPr>
        <w:spacing w:after="0" w:line="184" w:lineRule="exact"/>
        <w:rPr>
          <w:rFonts w:ascii="Courier New" w:cs="Courier New" w:eastAsia="Courier New" w:hAnsi="Courier New"/>
          <w:sz w:val="16"/>
          <w:szCs w:val="16"/>
          <w:color w:val="auto"/>
        </w:rPr>
      </w:pPr>
    </w:p>
    <w:p>
      <w:pPr>
        <w:ind w:left="880" w:right="2859" w:firstLine="864"/>
        <w:spacing w:after="0" w:line="247" w:lineRule="auto"/>
        <w:tabs>
          <w:tab w:leader="none" w:pos="214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meets the requirements for use of Form S-3 under the Act and has prepared and filed with the Commission a registration statement (the file number</w:t>
      </w:r>
    </w:p>
    <w:p>
      <w:pPr>
        <w:sectPr>
          <w:pgSz w:w="11900" w:h="16838" w:orient="portrait"/>
          <w:cols w:equalWidth="0" w:num="1">
            <w:col w:w="10219"/>
          </w:cols>
          <w:pgMar w:left="240" w:top="14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of which is set forth in Schedule I hereto) on Form S-3, including a related basic prospectus, for registration under the Act of the offering and sale of the Securities. The Company may have filed one or more amendments thereto, including a Preliminary Final Prospectus, each of which has previously been furnished to you. The Company will next file with the Commission one of the following: (1) after the Effective Date of such registration statement, a final prospectus supplement relating to the Securities in accordance with Rules 430A and 424(b),</w:t>
      </w:r>
    </w:p>
    <w:p>
      <w:pPr>
        <w:spacing w:after="0" w:line="5" w:lineRule="exact"/>
        <w:rPr>
          <w:sz w:val="20"/>
          <w:szCs w:val="20"/>
          <w:color w:val="auto"/>
        </w:rPr>
      </w:pPr>
    </w:p>
    <w:p>
      <w:pPr>
        <w:ind w:left="580" w:right="2459" w:hanging="9"/>
        <w:spacing w:after="0" w:line="246" w:lineRule="auto"/>
        <w:tabs>
          <w:tab w:leader="none" w:pos="96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Effective Date of such registration statement, an amendment to such registration statement (including the form of final prospectus supplement) or (3) a final prospectus in accordance with Rules 415 and 424(b). In the case of clause (1), the Company has included in such registration statement, as amended at the Effective Date, all information (other than Rule 430A Information) required by the Act and the rules thereunder to be included in such registration statement and the Final Prospectus. As filed, such final prospectus supplement or such amendment and form of final prospectus supplement shall contain all Rule 430A Information, together with all other such required information,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Basic Prospectus and any Preliminary Final Prospectus) as the Company has advised you, prior to the Execution Time, will be included or made therein. The Registration Statement, at the Execution Time, meets the requirements set forth in Rule 415(a)(1)(x).</w:t>
      </w:r>
    </w:p>
    <w:p>
      <w:pPr>
        <w:spacing w:after="0" w:line="197" w:lineRule="exact"/>
        <w:rPr>
          <w:rFonts w:ascii="Courier New" w:cs="Courier New" w:eastAsia="Courier New" w:hAnsi="Courier New"/>
          <w:sz w:val="16"/>
          <w:szCs w:val="16"/>
          <w:color w:val="auto"/>
        </w:rPr>
      </w:pPr>
    </w:p>
    <w:p>
      <w:pPr>
        <w:ind w:left="580" w:right="2459" w:firstLine="864"/>
        <w:spacing w:after="0" w:line="246" w:lineRule="auto"/>
        <w:tabs>
          <w:tab w:leader="none" w:pos="184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Effective Date, the Registration Statement did or will, and when the Final Prospectus is first filed (if required) in accordance with Rule 424(b) and on the Closing Date (as defined herein), the Final Prospectus (and any supplement thereto) will, comply in all material respects with the applicable requirements of the Act, the Exchange Act and the Trust Indenture Act and the respective rules thereunder; on the Effective Date and at the Execution Time, the Registration Statement did not or will not contain any untrue statement of a material fact or omit to state any material fact required to be stated therein or necessary in order to make the statements therein not misleading; on the Effective Date and on the Closing Date, the Indenture did or will comply in all material respects with the applicable requirements of the Trust Indenture Act and the rules thereunder; and, on the Effective Date, the Final Prospectus, if not filed pursuant to Rule 424(b), will not, and on the date of any filing pursuant to Rule 424(b) and on the Closing Date, the Final Prospectus (together with any supplement thereto) will not, include any untrue statement of a material fact or omit to state a material fact necessary in order to make the statements therein, in the light of the circumstances under which they were made, not misleading; provided, however, that the Company makes no representations or warranties as to</w:t>
      </w:r>
    </w:p>
    <w:p>
      <w:pPr>
        <w:spacing w:after="0" w:line="11" w:lineRule="exact"/>
        <w:rPr>
          <w:rFonts w:ascii="Courier New" w:cs="Courier New" w:eastAsia="Courier New" w:hAnsi="Courier New"/>
          <w:sz w:val="16"/>
          <w:szCs w:val="16"/>
          <w:color w:val="auto"/>
        </w:rPr>
      </w:pPr>
    </w:p>
    <w:p>
      <w:pPr>
        <w:ind w:left="58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that part of the Registration Statement which shall constitute the Statement of Eligibility and Qualification (Form T-1) under the Trust Indenture Act of the Trustee or (ii)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w:t>
      </w:r>
    </w:p>
    <w:p>
      <w:pPr>
        <w:spacing w:after="0" w:line="191" w:lineRule="exact"/>
        <w:rPr>
          <w:rFonts w:ascii="Courier New" w:cs="Courier New" w:eastAsia="Courier New" w:hAnsi="Courier New"/>
          <w:sz w:val="16"/>
          <w:szCs w:val="16"/>
          <w:color w:val="auto"/>
        </w:rPr>
      </w:pPr>
    </w:p>
    <w:p>
      <w:pPr>
        <w:ind w:left="7160" w:hanging="193"/>
        <w:spacing w:after="0"/>
        <w:tabs>
          <w:tab w:leader="none" w:pos="7160" w:val="left"/>
        </w:tabs>
        <w:numPr>
          <w:ilvl w:val="2"/>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2 -</w:t>
      </w:r>
    </w:p>
    <w:p>
      <w:pPr>
        <w:sectPr>
          <w:pgSz w:w="11900" w:h="16838" w:orient="portrait"/>
          <w:cols w:equalWidth="0" w:num="1">
            <w:col w:w="9919"/>
          </w:cols>
          <w:pgMar w:left="540" w:top="30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ind w:left="580" w:right="2459" w:firstLine="864"/>
        <w:spacing w:after="0" w:line="246" w:lineRule="auto"/>
        <w:tabs>
          <w:tab w:leader="none" w:pos="18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to the discretion of the court before which any proceeding therefor may be brought, and the Indenture has been duly qualified under the 1939 Act and conforms to the description thereof in the Registration Statement and the Final Prospectus.</w:t>
      </w:r>
    </w:p>
    <w:p>
      <w:pPr>
        <w:spacing w:after="0" w:line="193" w:lineRule="exact"/>
        <w:rPr>
          <w:rFonts w:ascii="Courier New" w:cs="Courier New" w:eastAsia="Courier New" w:hAnsi="Courier New"/>
          <w:sz w:val="16"/>
          <w:szCs w:val="16"/>
          <w:color w:val="auto"/>
        </w:rPr>
      </w:pPr>
    </w:p>
    <w:p>
      <w:pPr>
        <w:ind w:left="580" w:right="2459" w:firstLine="864"/>
        <w:spacing w:after="0" w:line="246" w:lineRule="auto"/>
        <w:tabs>
          <w:tab w:leader="none" w:pos="18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have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 entitled to the benefits of the Indenture and enforceable against the Company in accordance with their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to the discretion of the court before which any proceeding therefor may be brought, and the Securities will conform to the description thereof in the Registration Statement and the Final Prospectus.</w:t>
      </w:r>
    </w:p>
    <w:p>
      <w:pPr>
        <w:spacing w:after="0" w:line="195" w:lineRule="exact"/>
        <w:rPr>
          <w:rFonts w:ascii="Courier New" w:cs="Courier New" w:eastAsia="Courier New" w:hAnsi="Courier New"/>
          <w:sz w:val="16"/>
          <w:szCs w:val="16"/>
          <w:color w:val="auto"/>
        </w:rPr>
      </w:pPr>
    </w:p>
    <w:p>
      <w:pPr>
        <w:ind w:left="580" w:right="2459" w:firstLine="864"/>
        <w:spacing w:after="0" w:line="246" w:lineRule="auto"/>
        <w:tabs>
          <w:tab w:leader="none" w:pos="18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a corporation duly organized and validly existing in good standing under the laws of the State of Delaware with full corporate power and authority to own, lease and operate its properties and to conduct its business as described in the Registration Statement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"Material Adverse Effect").</w:t>
      </w:r>
    </w:p>
    <w:p>
      <w:pPr>
        <w:spacing w:after="0" w:line="193" w:lineRule="exact"/>
        <w:rPr>
          <w:rFonts w:ascii="Courier New" w:cs="Courier New" w:eastAsia="Courier New" w:hAnsi="Courier New"/>
          <w:sz w:val="16"/>
          <w:szCs w:val="16"/>
          <w:color w:val="auto"/>
        </w:rPr>
      </w:pPr>
    </w:p>
    <w:p>
      <w:pPr>
        <w:ind w:left="580" w:right="2459" w:firstLine="864"/>
        <w:spacing w:after="0" w:line="246" w:lineRule="auto"/>
        <w:tabs>
          <w:tab w:leader="none" w:pos="18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"significant subsidiary" (as such term is defined in Regulation S-X under the Exchange Act) of the Company is listed on Exhibit 21.1 to the Annual Report on Form 10-K of the Company for the year ended December 31, 1999 or is described in the Registration Statement as having been acquired after December 31, 1999 (the "Subsidiaries").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w:t>
      </w:r>
    </w:p>
    <w:p>
      <w:pPr>
        <w:spacing w:after="0" w:line="194" w:lineRule="exact"/>
        <w:rPr>
          <w:rFonts w:ascii="Courier New" w:cs="Courier New" w:eastAsia="Courier New" w:hAnsi="Courier New"/>
          <w:sz w:val="16"/>
          <w:szCs w:val="16"/>
          <w:color w:val="auto"/>
        </w:rPr>
      </w:pPr>
    </w:p>
    <w:p>
      <w:pPr>
        <w:ind w:left="7160" w:hanging="193"/>
        <w:spacing w:after="0"/>
        <w:tabs>
          <w:tab w:leader="none" w:pos="716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3 -</w:t>
      </w:r>
    </w:p>
    <w:p>
      <w:pPr>
        <w:sectPr>
          <w:pgSz w:w="11900" w:h="16838" w:orient="portrait"/>
          <w:cols w:equalWidth="0" w:num="1">
            <w:col w:w="9919"/>
          </w:cols>
          <w:pgMar w:left="540" w:top="30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4</w:t>
      </w:r>
    </w:p>
    <w:p>
      <w:pPr>
        <w:spacing w:after="0" w:line="191" w:lineRule="exact"/>
        <w:rPr>
          <w:sz w:val="20"/>
          <w:szCs w:val="20"/>
          <w:color w:val="auto"/>
        </w:rPr>
      </w:pPr>
    </w:p>
    <w:p>
      <w:pPr>
        <w:ind w:left="580" w:right="2459" w:firstLine="864"/>
        <w:spacing w:after="0" w:line="246" w:lineRule="auto"/>
        <w:tabs>
          <w:tab w:leader="none" w:pos="18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issued and outstanding shares of capital stock of each of the Subsidiaries has been duly authorized and validly issued and are owned directly or indirectly by the Company. All such shares are fully paid and nonassessable, and, except as disclosed in the Final Prospectus, are owned by the Company free and clear of any security interest, mortgage, pledge, claim, lien, encumbrance or adverse interest of any nature (each, a "Lien"). Except as disclosed in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193" w:lineRule="exact"/>
        <w:rPr>
          <w:rFonts w:ascii="Courier New" w:cs="Courier New" w:eastAsia="Courier New" w:hAnsi="Courier New"/>
          <w:sz w:val="16"/>
          <w:szCs w:val="16"/>
          <w:color w:val="auto"/>
        </w:rPr>
      </w:pPr>
    </w:p>
    <w:p>
      <w:pPr>
        <w:ind w:left="580" w:right="3039" w:firstLine="864"/>
        <w:spacing w:after="0" w:line="248" w:lineRule="auto"/>
        <w:tabs>
          <w:tab w:leader="none" w:pos="18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and validly authorized, executed and delivered by the Company.</w:t>
      </w:r>
    </w:p>
    <w:p>
      <w:pPr>
        <w:spacing w:after="0" w:line="184" w:lineRule="exact"/>
        <w:rPr>
          <w:rFonts w:ascii="Courier New" w:cs="Courier New" w:eastAsia="Courier New" w:hAnsi="Courier New"/>
          <w:sz w:val="16"/>
          <w:szCs w:val="16"/>
          <w:color w:val="auto"/>
        </w:rPr>
      </w:pPr>
    </w:p>
    <w:p>
      <w:pPr>
        <w:ind w:left="580" w:right="2459" w:firstLine="864"/>
        <w:spacing w:after="0" w:line="246" w:lineRule="auto"/>
        <w:tabs>
          <w:tab w:leader="none" w:pos="18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Final Prospectus, there is no action, suit or proceeding before or by any court or governmental agency or body or any arbitrator pending against the Company or any of its subsidiaries that is required to be disclosed in the Registration Statement or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 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any Preliminary Prospectus or the Final Prospectus or prevents or suspends the sale of the Securities in any of the jurisdictions that you may have specified pursuant to Section 5(e)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198" w:lineRule="exact"/>
        <w:rPr>
          <w:rFonts w:ascii="Courier New" w:cs="Courier New" w:eastAsia="Courier New" w:hAnsi="Courier New"/>
          <w:sz w:val="16"/>
          <w:szCs w:val="16"/>
          <w:color w:val="auto"/>
        </w:rPr>
      </w:pPr>
    </w:p>
    <w:p>
      <w:pPr>
        <w:ind w:left="580" w:right="2459" w:firstLine="864"/>
        <w:spacing w:after="0" w:line="246" w:lineRule="auto"/>
        <w:tabs>
          <w:tab w:leader="none" w:pos="18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Registration Statement or the Final Prospectus (or any amendment or supplement thereto), subsequent to the respective dates as of which such information is given in the Registration Statement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 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 Company and its subsidiaries taken as a whole, whether or not arising from transactions in the ordinary course of business.</w:t>
      </w:r>
    </w:p>
    <w:p>
      <w:pPr>
        <w:spacing w:after="0" w:line="194" w:lineRule="exact"/>
        <w:rPr>
          <w:rFonts w:ascii="Courier New" w:cs="Courier New" w:eastAsia="Courier New" w:hAnsi="Courier New"/>
          <w:sz w:val="16"/>
          <w:szCs w:val="16"/>
          <w:color w:val="auto"/>
        </w:rPr>
      </w:pPr>
    </w:p>
    <w:p>
      <w:pPr>
        <w:ind w:left="7160" w:hanging="193"/>
        <w:spacing w:after="0"/>
        <w:tabs>
          <w:tab w:leader="none" w:pos="716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4 -</w:t>
      </w:r>
    </w:p>
    <w:p>
      <w:pPr>
        <w:sectPr>
          <w:pgSz w:w="11900" w:h="16838" w:orient="portrait"/>
          <w:cols w:equalWidth="0" w:num="1">
            <w:col w:w="9919"/>
          </w:cols>
          <w:pgMar w:left="540" w:top="303"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ind w:left="580" w:right="2459" w:firstLine="864"/>
        <w:spacing w:after="0" w:line="246" w:lineRule="auto"/>
        <w:tabs>
          <w:tab w:leader="none" w:pos="184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set forth in the Final Prospectus or such as would not have a Material Adverse Effect, each of the Company and the Subsidiaries has good and marketable title to all property (real and personal) described in the Final Prospectus as being owned by it, free and clear of all Liens, except Liens for taxes not yet due and payable and Liens described in the Registration Statement or the Final Prospectus or in a document filed as an exhibit to the Registration Statement. All the property described in the Final Prospectus as being held under lease by each of the Company and the Subsidiaries is held by it under valid, subsisting and enforceable leases, except as would not have a Material Adverse Effect.</w:t>
      </w:r>
    </w:p>
    <w:p>
      <w:pPr>
        <w:spacing w:after="0" w:line="192" w:lineRule="exact"/>
        <w:rPr>
          <w:rFonts w:ascii="Courier New" w:cs="Courier New" w:eastAsia="Courier New" w:hAnsi="Courier New"/>
          <w:sz w:val="16"/>
          <w:szCs w:val="16"/>
          <w:color w:val="auto"/>
        </w:rPr>
      </w:pPr>
    </w:p>
    <w:p>
      <w:pPr>
        <w:ind w:left="580" w:right="2759" w:firstLine="864"/>
        <w:spacing w:after="0" w:line="246" w:lineRule="auto"/>
        <w:tabs>
          <w:tab w:leader="none" w:pos="184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would not have a Material Adverse Effect, neither the Company nor any Subsidiary is in violation or default of</w:t>
      </w:r>
    </w:p>
    <w:p>
      <w:pPr>
        <w:spacing w:after="0" w:line="1" w:lineRule="exact"/>
        <w:rPr>
          <w:rFonts w:ascii="Courier New" w:cs="Courier New" w:eastAsia="Courier New" w:hAnsi="Courier New"/>
          <w:sz w:val="16"/>
          <w:szCs w:val="16"/>
          <w:color w:val="auto"/>
        </w:rPr>
      </w:pPr>
    </w:p>
    <w:p>
      <w:pPr>
        <w:ind w:left="580" w:right="2559" w:hanging="9"/>
        <w:spacing w:after="0" w:line="246" w:lineRule="auto"/>
        <w:tabs>
          <w:tab w:leader="none" w:pos="96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w:t>
      </w:r>
    </w:p>
    <w:p>
      <w:pPr>
        <w:spacing w:after="0" w:line="191" w:lineRule="exact"/>
        <w:rPr>
          <w:rFonts w:ascii="Courier New" w:cs="Courier New" w:eastAsia="Courier New" w:hAnsi="Courier New"/>
          <w:sz w:val="16"/>
          <w:szCs w:val="16"/>
          <w:color w:val="auto"/>
        </w:rPr>
      </w:pPr>
    </w:p>
    <w:p>
      <w:pPr>
        <w:ind w:left="580" w:right="2459" w:firstLine="864"/>
        <w:spacing w:after="0" w:line="247" w:lineRule="auto"/>
        <w:tabs>
          <w:tab w:leader="none" w:pos="184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distributed and, prior to the later to occur of (i) the Closing Date and (ii) completion of the distribution of the Securities, will not distribute any offering material in connection with the offering and sale of the Securities other than the Registration Statement, any Preliminary Final Prospectus, the Final Prospectus or other materials, if any, permitted by the Act.</w:t>
      </w:r>
    </w:p>
    <w:p>
      <w:pPr>
        <w:spacing w:after="0" w:line="185" w:lineRule="exact"/>
        <w:rPr>
          <w:rFonts w:ascii="Courier New" w:cs="Courier New" w:eastAsia="Courier New" w:hAnsi="Courier New"/>
          <w:sz w:val="16"/>
          <w:szCs w:val="16"/>
          <w:color w:val="auto"/>
        </w:rPr>
      </w:pPr>
    </w:p>
    <w:p>
      <w:pPr>
        <w:ind w:left="580" w:right="2459" w:firstLine="864"/>
        <w:spacing w:after="0" w:line="246" w:lineRule="auto"/>
        <w:tabs>
          <w:tab w:leader="none" w:pos="184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would not have a Material Adverse Effect, the Company and the Subsidiaries own or possess the right to use all patents, trademarks, trademark registrations, service marks, service mark registrations, trade names, copyrights, licenses, inventions, trade secrets and rights described in the Final Prospectus as being owned by them or any of them or necessary for the conduct of their respective businesses, and the Company is not aware of any claim to the contrary or any challenge by any other person to the rights of the Company and the Subsidiaries with respect to the foregoing.</w:t>
      </w:r>
    </w:p>
    <w:p>
      <w:pPr>
        <w:spacing w:after="0" w:line="191" w:lineRule="exact"/>
        <w:rPr>
          <w:rFonts w:ascii="Courier New" w:cs="Courier New" w:eastAsia="Courier New" w:hAnsi="Courier New"/>
          <w:sz w:val="16"/>
          <w:szCs w:val="16"/>
          <w:color w:val="auto"/>
        </w:rPr>
      </w:pPr>
    </w:p>
    <w:p>
      <w:pPr>
        <w:ind w:left="580" w:right="2659" w:firstLine="864"/>
        <w:spacing w:after="0" w:line="247" w:lineRule="auto"/>
        <w:tabs>
          <w:tab w:leader="none" w:pos="184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subsidiary is a "holding company" or a "public utility," as such terms are defined in the 1935 Act.</w:t>
      </w:r>
    </w:p>
    <w:p>
      <w:pPr>
        <w:spacing w:after="0" w:line="185" w:lineRule="exact"/>
        <w:rPr>
          <w:rFonts w:ascii="Courier New" w:cs="Courier New" w:eastAsia="Courier New" w:hAnsi="Courier New"/>
          <w:sz w:val="16"/>
          <w:szCs w:val="16"/>
          <w:color w:val="auto"/>
        </w:rPr>
      </w:pPr>
    </w:p>
    <w:p>
      <w:pPr>
        <w:ind w:left="580" w:right="2459" w:firstLine="864"/>
        <w:spacing w:after="0" w:line="247" w:lineRule="auto"/>
        <w:tabs>
          <w:tab w:leader="none" w:pos="184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and, after giving effect to the offering and sale of the Securities and the application of the proceeds thereof as described in the Prospectus, will not be an "investment company" as defined in the Investment Company Act of 1940, as amended.</w:t>
      </w:r>
    </w:p>
    <w:p>
      <w:pPr>
        <w:spacing w:after="0" w:line="185" w:lineRule="exact"/>
        <w:rPr>
          <w:rFonts w:ascii="Courier New" w:cs="Courier New" w:eastAsia="Courier New" w:hAnsi="Courier New"/>
          <w:sz w:val="16"/>
          <w:szCs w:val="16"/>
          <w:color w:val="auto"/>
        </w:rPr>
      </w:pPr>
    </w:p>
    <w:p>
      <w:pPr>
        <w:ind w:left="580" w:right="2459" w:firstLine="864"/>
        <w:spacing w:after="0" w:line="247" w:lineRule="auto"/>
        <w:tabs>
          <w:tab w:leader="none" w:pos="184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authorization, filing with or order of any court or governmental agency or body is required in connection with the transactions contemplated herein, except such as have been obtained under the Act and the Trust Indenture Act and such as may be required under the blue sky laws of any jurisdiction in connection with the purchase and distribution of the Securities by the Underwriters in the manner contemplated herein and in the Prospectus.</w:t>
      </w:r>
    </w:p>
    <w:p>
      <w:pPr>
        <w:spacing w:after="0" w:line="185" w:lineRule="exact"/>
        <w:rPr>
          <w:rFonts w:ascii="Courier New" w:cs="Courier New" w:eastAsia="Courier New" w:hAnsi="Courier New"/>
          <w:sz w:val="16"/>
          <w:szCs w:val="16"/>
          <w:color w:val="auto"/>
        </w:rPr>
      </w:pPr>
    </w:p>
    <w:p>
      <w:pPr>
        <w:ind w:left="7160" w:hanging="193"/>
        <w:spacing w:after="0"/>
        <w:tabs>
          <w:tab w:leader="none" w:pos="7160"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5 -</w:t>
      </w:r>
    </w:p>
    <w:p>
      <w:pPr>
        <w:sectPr>
          <w:pgSz w:w="11900" w:h="16838" w:orient="portrait"/>
          <w:cols w:equalWidth="0" w:num="1">
            <w:col w:w="9919"/>
          </w:cols>
          <w:pgMar w:left="540" w:top="30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6</w:t>
      </w:r>
    </w:p>
    <w:p>
      <w:pPr>
        <w:spacing w:after="0" w:line="191" w:lineRule="exact"/>
        <w:rPr>
          <w:sz w:val="20"/>
          <w:szCs w:val="20"/>
          <w:color w:val="auto"/>
        </w:rPr>
      </w:pPr>
    </w:p>
    <w:p>
      <w:pPr>
        <w:ind w:left="580" w:right="2459" w:firstLine="864"/>
        <w:spacing w:after="0" w:line="246" w:lineRule="auto"/>
        <w:tabs>
          <w:tab w:leader="none" w:pos="18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issue and sale of the Securities nor the consummation of any other of the transactions herein contemplated nor the fulfillment of the terms hereof will conflict with, result in a breach or violation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195" w:lineRule="exact"/>
        <w:rPr>
          <w:rFonts w:ascii="Courier New" w:cs="Courier New" w:eastAsia="Courier New" w:hAnsi="Courier New"/>
          <w:sz w:val="16"/>
          <w:szCs w:val="16"/>
          <w:color w:val="auto"/>
        </w:rPr>
      </w:pPr>
    </w:p>
    <w:p>
      <w:pPr>
        <w:ind w:left="580" w:right="2559" w:firstLine="864"/>
        <w:spacing w:after="0" w:line="246" w:lineRule="auto"/>
        <w:tabs>
          <w:tab w:leader="none" w:pos="18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historical financial statements and schedules of the Company and its consolidated subsidiaries included in the Final Prospectus and the Registration Statement present fairly in all material respects the financial condition, results of operations and cash flows of the Company as of the dates and for the periods indicated, comply as to form with the applicable accounting requirements of the Act and have been prepared in conformity with generally accepted accounting principles applied on a consistent basis throughout the periods involved (except as otherwise noted therein).</w:t>
      </w:r>
    </w:p>
    <w:p>
      <w:pPr>
        <w:spacing w:after="0" w:line="191" w:lineRule="exact"/>
        <w:rPr>
          <w:rFonts w:ascii="Courier New" w:cs="Courier New" w:eastAsia="Courier New" w:hAnsi="Courier New"/>
          <w:sz w:val="16"/>
          <w:szCs w:val="16"/>
          <w:color w:val="auto"/>
        </w:rPr>
      </w:pPr>
    </w:p>
    <w:p>
      <w:pPr>
        <w:ind w:left="580" w:right="2659" w:firstLine="864"/>
        <w:spacing w:after="0" w:line="247" w:lineRule="auto"/>
        <w:tabs>
          <w:tab w:leader="none" w:pos="18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Arthur Andersen LLP, who has certified certain financial statements of the Company and its consolidated subsidiaries and delivered their report with respect to the audited consolidated financial statements and schedules included in the Final Prospectus, are independent public accountants with respect to the Company within the meaning of the Act and the applicable published rules and regulations thereunder.</w:t>
      </w:r>
    </w:p>
    <w:p>
      <w:pPr>
        <w:spacing w:after="0" w:line="185" w:lineRule="exact"/>
        <w:rPr>
          <w:rFonts w:ascii="Courier New" w:cs="Courier New" w:eastAsia="Courier New" w:hAnsi="Courier New"/>
          <w:sz w:val="16"/>
          <w:szCs w:val="16"/>
          <w:color w:val="auto"/>
        </w:rPr>
      </w:pPr>
    </w:p>
    <w:p>
      <w:pPr>
        <w:ind w:left="580" w:right="2559" w:firstLine="864"/>
        <w:spacing w:after="0" w:line="246" w:lineRule="auto"/>
        <w:tabs>
          <w:tab w:leader="none" w:pos="18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filed all foreign, federal, state and local tax returns that are required to be filed or has requested extensions thereof (except in any case in which the failure so to file would not have a Material Adverse Effect, except as set forth or incorporated by reference in the Final Prospectus (exclusive of any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except as set forth or incorporated by reference in the Final Prospectus (exclusive of any supplement thereto).</w:t>
      </w:r>
    </w:p>
    <w:p>
      <w:pPr>
        <w:spacing w:after="0" w:line="193" w:lineRule="exact"/>
        <w:rPr>
          <w:rFonts w:ascii="Courier New" w:cs="Courier New" w:eastAsia="Courier New" w:hAnsi="Courier New"/>
          <w:sz w:val="16"/>
          <w:szCs w:val="16"/>
          <w:color w:val="auto"/>
        </w:rPr>
      </w:pPr>
    </w:p>
    <w:p>
      <w:pPr>
        <w:ind w:left="580" w:right="2459" w:firstLine="864"/>
        <w:spacing w:after="0" w:line="246" w:lineRule="auto"/>
        <w:tabs>
          <w:tab w:leader="none" w:pos="18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labor problem or dispute with the employees of the Company or any of its Subsidiaries exists or is threatened or imminent, and the Company is not aware of any existing or imminent labor disturbance by the employees of any of its or its Subsidiaries' principal suppliers, contractors or customers, that could have a Material Adverse Effect, except as set forth or incorporated by reference in the Final Prospectus (exclusive of any supplement thereto).</w:t>
      </w:r>
    </w:p>
    <w:p>
      <w:pPr>
        <w:spacing w:after="0" w:line="190" w:lineRule="exact"/>
        <w:rPr>
          <w:rFonts w:ascii="Courier New" w:cs="Courier New" w:eastAsia="Courier New" w:hAnsi="Courier New"/>
          <w:sz w:val="16"/>
          <w:szCs w:val="16"/>
          <w:color w:val="auto"/>
        </w:rPr>
      </w:pPr>
    </w:p>
    <w:p>
      <w:pPr>
        <w:ind w:left="580" w:right="2759" w:firstLine="864"/>
        <w:spacing w:after="0" w:line="247" w:lineRule="auto"/>
        <w:tabs>
          <w:tab w:leader="none" w:pos="18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would not have a Material Adverse Effect; the Company and each of its Subsidiaries are insured by insurers of recognized financial responsibility</w:t>
      </w:r>
    </w:p>
    <w:p>
      <w:pPr>
        <w:spacing w:after="0" w:line="185" w:lineRule="exact"/>
        <w:rPr>
          <w:rFonts w:ascii="Courier New" w:cs="Courier New" w:eastAsia="Courier New" w:hAnsi="Courier New"/>
          <w:sz w:val="16"/>
          <w:szCs w:val="16"/>
          <w:color w:val="auto"/>
        </w:rPr>
      </w:pPr>
    </w:p>
    <w:p>
      <w:pPr>
        <w:ind w:left="7160" w:hanging="193"/>
        <w:spacing w:after="0"/>
        <w:tabs>
          <w:tab w:leader="none" w:pos="716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6 -</w:t>
      </w:r>
    </w:p>
    <w:p>
      <w:pPr>
        <w:sectPr>
          <w:pgSz w:w="11900" w:h="16838" w:orient="portrait"/>
          <w:cols w:equalWidth="0" w:num="1">
            <w:col w:w="9919"/>
          </w:cols>
          <w:pgMar w:left="540" w:top="30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7</w:t>
      </w:r>
    </w:p>
    <w:p>
      <w:pPr>
        <w:spacing w:after="0" w:line="191"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against such losses and risks and in such amounts as are prudent and customary in the businesses in which they are engaged; all policies of insurance insuring the Company or any of its Subsidiaries or their respective businesses, assets, employees, officers and directors are in full force and effect; the Company and its Subsidiaries are in compliance with the terms of such policies and instruments; and there are no claims by the Company or any of its Subsidiaries under any such policy or instrument as to which any insurance company is denying liability or defending under a reservation of rights clause; neither the Company nor any such Subsidiary has been refused any insurance coverage sought or applied for, except in each case as set forth or incorporated by reference in the Final Prospectus (exclusive of any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or incorporated by reference in the Final Prospectus (exclusive of any supplement thereto).</w:t>
      </w:r>
    </w:p>
    <w:p>
      <w:pPr>
        <w:spacing w:after="0" w:line="197" w:lineRule="exact"/>
        <w:rPr>
          <w:sz w:val="20"/>
          <w:szCs w:val="20"/>
          <w:color w:val="auto"/>
        </w:rPr>
      </w:pPr>
    </w:p>
    <w:p>
      <w:pPr>
        <w:ind w:left="580" w:right="2459" w:firstLine="864"/>
        <w:spacing w:after="0" w:line="246" w:lineRule="auto"/>
        <w:tabs>
          <w:tab w:leader="none" w:pos="184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Final Prospectus (exclusive of any supplement thereto).</w:t>
      </w:r>
    </w:p>
    <w:p>
      <w:pPr>
        <w:spacing w:after="0" w:line="190" w:lineRule="exact"/>
        <w:rPr>
          <w:rFonts w:ascii="Courier New" w:cs="Courier New" w:eastAsia="Courier New" w:hAnsi="Courier New"/>
          <w:sz w:val="16"/>
          <w:szCs w:val="16"/>
          <w:color w:val="auto"/>
        </w:rPr>
      </w:pPr>
    </w:p>
    <w:p>
      <w:pPr>
        <w:ind w:left="580" w:right="2559" w:firstLine="864"/>
        <w:spacing w:after="0" w:line="246" w:lineRule="auto"/>
        <w:tabs>
          <w:tab w:leader="none" w:pos="184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would not have a Material Adverse Effect, the Company and its Subsidiaries possess all licenses, certificates, permits and other authorizations issued by the appropriate federal, state or foreign regulatory authorities necessary to conduct their respective businesses, and neither the Company nor any such Subsidiary has received any notice of proceedings relating to the revocation or modification of any such certificate, authorization or permit which, singly or in the aggregate, if the subject of an unfavorable decision, ruling or finding, would have a Material Adverse Effect, except as set forth or incorporated by reference in the Final Prospectus (exclusive of any supplement thereto).</w:t>
      </w:r>
    </w:p>
    <w:p>
      <w:pPr>
        <w:spacing w:after="0" w:line="192" w:lineRule="exact"/>
        <w:rPr>
          <w:rFonts w:ascii="Courier New" w:cs="Courier New" w:eastAsia="Courier New" w:hAnsi="Courier New"/>
          <w:sz w:val="16"/>
          <w:szCs w:val="16"/>
          <w:color w:val="auto"/>
        </w:rPr>
      </w:pPr>
    </w:p>
    <w:p>
      <w:pPr>
        <w:ind w:left="580" w:right="2459" w:firstLine="864"/>
        <w:spacing w:after="0" w:line="246" w:lineRule="auto"/>
        <w:tabs>
          <w:tab w:leader="none" w:pos="184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w:t>
      </w:r>
    </w:p>
    <w:p>
      <w:pPr>
        <w:spacing w:after="0" w:line="4" w:lineRule="exact"/>
        <w:rPr>
          <w:rFonts w:ascii="Courier New" w:cs="Courier New" w:eastAsia="Courier New" w:hAnsi="Courier New"/>
          <w:sz w:val="16"/>
          <w:szCs w:val="16"/>
          <w:color w:val="auto"/>
        </w:rPr>
      </w:pPr>
    </w:p>
    <w:p>
      <w:pPr>
        <w:ind w:left="580" w:right="2459" w:hanging="9"/>
        <w:spacing w:after="0" w:line="247" w:lineRule="auto"/>
        <w:tabs>
          <w:tab w:leader="none" w:pos="106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recorded accountability for assets is compared with the existing assets at reasonable intervals and appropriate action is taken with respect to any differences.</w:t>
      </w:r>
    </w:p>
    <w:p>
      <w:pPr>
        <w:spacing w:after="0" w:line="185" w:lineRule="exact"/>
        <w:rPr>
          <w:rFonts w:ascii="Courier New" w:cs="Courier New" w:eastAsia="Courier New" w:hAnsi="Courier New"/>
          <w:sz w:val="16"/>
          <w:szCs w:val="16"/>
          <w:color w:val="auto"/>
        </w:rPr>
      </w:pPr>
    </w:p>
    <w:p>
      <w:pPr>
        <w:ind w:left="580" w:right="2459" w:firstLine="864"/>
        <w:spacing w:after="0" w:line="247" w:lineRule="auto"/>
        <w:tabs>
          <w:tab w:leader="none" w:pos="1937"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taken, directly or indirectly, any action designed to or that would constitute or that might reasonably be expected to cause or result in stabilization or manipulation of the price of any security of the Company to facilitate the sale or resale of the Securities.</w:t>
      </w:r>
    </w:p>
    <w:p>
      <w:pPr>
        <w:spacing w:after="0" w:line="185" w:lineRule="exact"/>
        <w:rPr>
          <w:rFonts w:ascii="Courier New" w:cs="Courier New" w:eastAsia="Courier New" w:hAnsi="Courier New"/>
          <w:sz w:val="16"/>
          <w:szCs w:val="16"/>
          <w:color w:val="auto"/>
        </w:rPr>
      </w:pPr>
    </w:p>
    <w:p>
      <w:pPr>
        <w:ind w:left="7160" w:hanging="193"/>
        <w:spacing w:after="0"/>
        <w:tabs>
          <w:tab w:leader="none" w:pos="7160"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7 -</w:t>
      </w:r>
    </w:p>
    <w:p>
      <w:pPr>
        <w:sectPr>
          <w:pgSz w:w="11900" w:h="16838" w:orient="portrait"/>
          <w:cols w:equalWidth="0" w:num="1">
            <w:col w:w="9919"/>
          </w:cols>
          <w:pgMar w:left="540" w:top="303"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8</w:t>
      </w:r>
    </w:p>
    <w:p>
      <w:pPr>
        <w:spacing w:after="0" w:line="191" w:lineRule="exact"/>
        <w:rPr>
          <w:sz w:val="20"/>
          <w:szCs w:val="20"/>
          <w:color w:val="auto"/>
        </w:rPr>
      </w:pPr>
    </w:p>
    <w:p>
      <w:pPr>
        <w:ind w:left="880" w:right="2459" w:firstLine="864"/>
        <w:spacing w:after="0" w:line="246" w:lineRule="auto"/>
        <w:tabs>
          <w:tab w:leader="none" w:pos="223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are (i) in compliance with any and all applicable foreign, federal, state and local laws and regulations relating to the protection of human health and safety, the environment or hazardous or toxic substances or wastes, pollutants or contaminants ("Environmental Laws"), (ii) have received and are in compliance with all permits, licenses or other approvals required of them under applicable Environmental Laws to conduct their respective businesses and (iii) have not received notice of any actual or potential liability for the investigation or remediation of any disposal or release of hazardous or toxic substances or wastes, pollutants or contaminants, except where such non-compliance with Environmental Laws, failure to receive required permits, licenses or other approvals, or liability would not, individually or in the aggregate, have a Material Adverse Effect, except as set forth or incorporated by reference in the Final Prospectus (exclusive of any supplement thereto). The environmental reserves described or incorporated by reference in the Final Prospectus reflect in accordance with generally accepted accounting principles the known liabilities and obligations of the Company and its subsidiaries under Environmental Laws.</w:t>
      </w:r>
    </w:p>
    <w:p>
      <w:pPr>
        <w:spacing w:after="0" w:line="197" w:lineRule="exact"/>
        <w:rPr>
          <w:rFonts w:ascii="Courier New" w:cs="Courier New" w:eastAsia="Courier New" w:hAnsi="Courier New"/>
          <w:sz w:val="16"/>
          <w:szCs w:val="16"/>
          <w:color w:val="auto"/>
        </w:rPr>
      </w:pPr>
    </w:p>
    <w:p>
      <w:pPr>
        <w:ind w:left="880" w:right="2459" w:firstLine="864"/>
        <w:spacing w:after="0" w:line="246" w:lineRule="auto"/>
        <w:tabs>
          <w:tab w:leader="none" w:pos="223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Final Prospectus (exclusive of any supplement thereto).</w:t>
      </w:r>
    </w:p>
    <w:p>
      <w:pPr>
        <w:spacing w:after="0" w:line="193" w:lineRule="exact"/>
        <w:rPr>
          <w:rFonts w:ascii="Courier New" w:cs="Courier New" w:eastAsia="Courier New" w:hAnsi="Courier New"/>
          <w:sz w:val="16"/>
          <w:szCs w:val="16"/>
          <w:color w:val="auto"/>
        </w:rPr>
      </w:pPr>
    </w:p>
    <w:p>
      <w:pPr>
        <w:ind w:left="880" w:right="2459" w:firstLine="864"/>
        <w:spacing w:after="0" w:line="246" w:lineRule="auto"/>
        <w:tabs>
          <w:tab w:leader="none" w:pos="223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would not have a Material Adverse Effect, each of the Company and its subsidiaries has fulfilled its obligations, if any, under the minimum funding standards of Section 302 of the United States Employee Retirement Income Security Act of 1974 ("ERISA") and the regulations and published interpretations thereunder with respect to each "plan" (as defined in Section 3(3) of ERISA and such regulations and published interpretations) in which employees of the Company and its Subsidiaries are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 Corporation (other than for the payment of premiums in the ordinary course) or to any such plan under Title IV of ERISA.</w:t>
      </w:r>
    </w:p>
    <w:p>
      <w:pPr>
        <w:spacing w:after="0" w:line="194" w:lineRule="exact"/>
        <w:rPr>
          <w:rFonts w:ascii="Courier New" w:cs="Courier New" w:eastAsia="Courier New" w:hAnsi="Courier New"/>
          <w:sz w:val="16"/>
          <w:szCs w:val="16"/>
          <w:color w:val="auto"/>
        </w:rPr>
      </w:pPr>
    </w:p>
    <w:p>
      <w:pPr>
        <w:ind w:left="880" w:right="2659" w:firstLine="864"/>
        <w:spacing w:after="0" w:line="248" w:lineRule="auto"/>
        <w:tabs>
          <w:tab w:leader="none" w:pos="223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holders of securities of the Company have rights to the registration of such securities under the Registration Statement.</w:t>
      </w:r>
    </w:p>
    <w:p>
      <w:pPr>
        <w:spacing w:after="0" w:line="184"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186"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- 8 -</w:t>
      </w:r>
    </w:p>
    <w:p>
      <w:pPr>
        <w:sectPr>
          <w:pgSz w:w="11900" w:h="16838" w:orient="portrait"/>
          <w:cols w:equalWidth="0" w:num="1">
            <w:col w:w="10219"/>
          </w:cols>
          <w:pgMar w:left="240" w:top="30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9</w:t>
      </w:r>
    </w:p>
    <w:p>
      <w:pPr>
        <w:spacing w:after="0" w:line="191" w:lineRule="exact"/>
        <w:rPr>
          <w:sz w:val="20"/>
          <w:szCs w:val="20"/>
          <w:color w:val="auto"/>
        </w:rPr>
      </w:pPr>
    </w:p>
    <w:p>
      <w:pPr>
        <w:ind w:left="-300" w:right="2459" w:firstLine="871"/>
        <w:spacing w:after="0" w:line="247" w:lineRule="auto"/>
        <w:tabs>
          <w:tab w:leader="none" w:pos="8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and Sale. Subject to the terms and conditions and in reliance upon the representations and warranties herein set forth, the Company agrees to sell to each Underwriter, and each Underwriter agrees, severally and not jointly, to purchase from the Company, at the purchase price set forth in Schedule I hereto the principal amount of the Securities set forth opposite such Underwriter's name in Schedule II hereto.</w:t>
      </w:r>
    </w:p>
    <w:p>
      <w:pPr>
        <w:spacing w:after="0" w:line="185" w:lineRule="exact"/>
        <w:rPr>
          <w:rFonts w:ascii="Courier New" w:cs="Courier New" w:eastAsia="Courier New" w:hAnsi="Courier New"/>
          <w:sz w:val="16"/>
          <w:szCs w:val="16"/>
          <w:color w:val="auto"/>
        </w:rPr>
      </w:pPr>
    </w:p>
    <w:p>
      <w:pPr>
        <w:ind w:left="-300" w:right="2459" w:firstLine="871"/>
        <w:spacing w:after="0" w:line="246" w:lineRule="auto"/>
        <w:tabs>
          <w:tab w:leader="none" w:pos="8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and Payment.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9 hereof (such date and time of delivery and payment for the Securities being herein called the "Closing Date").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194" w:lineRule="exact"/>
        <w:rPr>
          <w:rFonts w:ascii="Courier New" w:cs="Courier New" w:eastAsia="Courier New" w:hAnsi="Courier New"/>
          <w:sz w:val="16"/>
          <w:szCs w:val="16"/>
          <w:color w:val="auto"/>
        </w:rPr>
      </w:pPr>
    </w:p>
    <w:p>
      <w:pPr>
        <w:ind w:left="-300" w:right="2459" w:firstLine="871"/>
        <w:spacing w:after="0" w:line="247" w:lineRule="auto"/>
        <w:tabs>
          <w:tab w:leader="none" w:pos="8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 by Underwriters. It is understood that the several Underwriters propose to offer the Securities for sale to the public as set forth in the Final Prospectus.</w:t>
      </w:r>
    </w:p>
    <w:p>
      <w:pPr>
        <w:spacing w:after="0" w:line="185" w:lineRule="exact"/>
        <w:rPr>
          <w:rFonts w:ascii="Courier New" w:cs="Courier New" w:eastAsia="Courier New" w:hAnsi="Courier New"/>
          <w:sz w:val="16"/>
          <w:szCs w:val="16"/>
          <w:color w:val="auto"/>
        </w:rPr>
      </w:pPr>
    </w:p>
    <w:p>
      <w:pPr>
        <w:ind w:left="860" w:hanging="289"/>
        <w:spacing w:after="0"/>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The Company agrees with the several Underwriters that:</w:t>
      </w:r>
    </w:p>
    <w:p>
      <w:pPr>
        <w:spacing w:after="0" w:line="191" w:lineRule="exact"/>
        <w:rPr>
          <w:rFonts w:ascii="Courier New" w:cs="Courier New" w:eastAsia="Courier New" w:hAnsi="Courier New"/>
          <w:sz w:val="16"/>
          <w:szCs w:val="16"/>
          <w:color w:val="auto"/>
        </w:rPr>
      </w:pPr>
    </w:p>
    <w:p>
      <w:pPr>
        <w:ind w:left="580" w:right="2459" w:firstLine="864"/>
        <w:spacing w:after="0" w:line="246" w:lineRule="auto"/>
        <w:tabs>
          <w:tab w:leader="none" w:pos="18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use its best efforts to cause the Registration Statement, if not effective at the Execution Time, and any amendment thereof, to become effective. Prior to the termination of the offering of the Securities, the Company will not file any amendment of the Registration Statement or supplement (including the Final Prospectus or any Preliminary Final Prospectus) to the Basic Prospectus or any Rule 462(b) Registration Statement unless the Company has furnished you a copy for your review prior to filing and will not file any such proposed amendment or supplement to which you reasonably object. Subject to the foregoing sentence, if the Registration Statement has become or becomes effective pursuant to Rule 430A, or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 The Company will promptly advise the Representatives (1) when the Registration Statement, if not effective at the Execution Time, shall have become effective, (2) when the Final Prospectus, and any supplement thereto, shall have been filed (if required) with the Commission pursuant to Rule 424(b) or when any Rule 462(b) Registration Statement shall have been filed with the Commission, (3) when, prior to termination of the offering of the Securities, any amendment to the Registration Statement shall have been filed or become effective, (4) of any request by the Commission or its staff for any amendment of the Registration Statement, or any Rule 462(b) Registration Statement, or for any supplement to the Final Prospectus or for any additional information, (5) of the issuance by the Commission of any stop order suspending the effectiveness of the Registration Statement or the institution or threatening of any proceeding for that purpose and (6) of</w:t>
      </w:r>
    </w:p>
    <w:p>
      <w:pPr>
        <w:spacing w:after="0" w:line="203" w:lineRule="exact"/>
        <w:rPr>
          <w:rFonts w:ascii="Courier New" w:cs="Courier New" w:eastAsia="Courier New" w:hAnsi="Courier New"/>
          <w:sz w:val="16"/>
          <w:szCs w:val="16"/>
          <w:color w:val="auto"/>
        </w:rPr>
      </w:pPr>
    </w:p>
    <w:p>
      <w:pPr>
        <w:ind w:left="7160" w:hanging="193"/>
        <w:spacing w:after="0"/>
        <w:tabs>
          <w:tab w:leader="none" w:pos="7160" w:val="left"/>
        </w:tabs>
        <w:numPr>
          <w:ilvl w:val="2"/>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9 -</w:t>
      </w:r>
    </w:p>
    <w:p>
      <w:pPr>
        <w:sectPr>
          <w:pgSz w:w="11900" w:h="16838" w:orient="portrait"/>
          <w:cols w:equalWidth="0" w:num="1">
            <w:col w:w="9919"/>
          </w:cols>
          <w:pgMar w:left="540" w:top="303"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10</w:t>
      </w:r>
    </w:p>
    <w:p>
      <w:pPr>
        <w:spacing w:after="0" w:line="191" w:lineRule="exact"/>
        <w:rPr>
          <w:sz w:val="20"/>
          <w:szCs w:val="20"/>
          <w:color w:val="auto"/>
        </w:rPr>
      </w:pPr>
    </w:p>
    <w:p>
      <w:pPr>
        <w:ind w:left="580" w:right="2759"/>
        <w:spacing w:after="0" w:line="247" w:lineRule="auto"/>
        <w:rPr>
          <w:sz w:val="20"/>
          <w:szCs w:val="20"/>
          <w:color w:val="auto"/>
        </w:rPr>
      </w:pPr>
      <w:r>
        <w:rPr>
          <w:rFonts w:ascii="Courier New" w:cs="Courier New" w:eastAsia="Courier New" w:hAnsi="Courier New"/>
          <w:sz w:val="16"/>
          <w:szCs w:val="16"/>
          <w:color w:val="auto"/>
        </w:rPr>
        <w:t>the receipt by the Company of any notification with respect to the suspension of the qualification of the Securities for sale in any jurisdiction or the institution or threatening of any proceeding for such purpose. The Company will use its best efforts to prevent the issuance of any such stop order or the suspension of any such qualification and, if issued, to obtain as soon as possible the withdrawal thereof.</w:t>
      </w:r>
    </w:p>
    <w:p>
      <w:pPr>
        <w:spacing w:after="0" w:line="185" w:lineRule="exact"/>
        <w:rPr>
          <w:sz w:val="20"/>
          <w:szCs w:val="20"/>
          <w:color w:val="auto"/>
        </w:rPr>
      </w:pPr>
    </w:p>
    <w:p>
      <w:pPr>
        <w:ind w:left="580" w:right="2459" w:firstLine="864"/>
        <w:spacing w:after="0" w:line="246" w:lineRule="auto"/>
        <w:tabs>
          <w:tab w:leader="none" w:pos="18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when a prospectus relating to the Securities is required to be delivered under the Act,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 if it shall be necessary to amend the Registration Statement or supplement the Final Prospectus to comply with the Act or the Exchange Act or the respective rules thereunder, the Company promptly will (1) notify the Representatives of such event, (2) prepare and file with the Commission, subject to the second sentence of paragraph (a) of this Section 5, an amendment or supplement which will correct such statement or omission or effect such compliance and (3) supply any supplemented Final Prospectus to you in such quantities as you may reasonably request.</w:t>
      </w:r>
    </w:p>
    <w:p>
      <w:pPr>
        <w:spacing w:after="0" w:line="194" w:lineRule="exact"/>
        <w:rPr>
          <w:rFonts w:ascii="Courier New" w:cs="Courier New" w:eastAsia="Courier New" w:hAnsi="Courier New"/>
          <w:sz w:val="16"/>
          <w:szCs w:val="16"/>
          <w:color w:val="auto"/>
        </w:rPr>
      </w:pPr>
    </w:p>
    <w:p>
      <w:pPr>
        <w:ind w:left="580" w:right="2559" w:firstLine="864"/>
        <w:spacing w:after="0" w:line="247" w:lineRule="auto"/>
        <w:tabs>
          <w:tab w:leader="none" w:pos="18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185" w:lineRule="exact"/>
        <w:rPr>
          <w:rFonts w:ascii="Courier New" w:cs="Courier New" w:eastAsia="Courier New" w:hAnsi="Courier New"/>
          <w:sz w:val="16"/>
          <w:szCs w:val="16"/>
          <w:color w:val="auto"/>
        </w:rPr>
      </w:pPr>
    </w:p>
    <w:p>
      <w:pPr>
        <w:ind w:left="580" w:right="2459" w:firstLine="864"/>
        <w:spacing w:after="0" w:line="246" w:lineRule="auto"/>
        <w:tabs>
          <w:tab w:leader="none" w:pos="18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furnish to the Representatives and counsel for the Underwriters, without charge, signed or conformed copies of the Registration Statement (including exhibits thereto) and to each other Underwriter a copy of the Registration Statement (without exhibits thereto) and, so long as delivery of a prospectus by an Underwriter or dealer may be required by the Act, as many copies of each Preliminary Final Prospectus and the Final Prospectus and any supplement thereto as the Representatives may reasonably request. The Company will pay the expenses of printing or other production of all documents relating to the offering.</w:t>
      </w:r>
    </w:p>
    <w:p>
      <w:pPr>
        <w:spacing w:after="0" w:line="191" w:lineRule="exact"/>
        <w:rPr>
          <w:rFonts w:ascii="Courier New" w:cs="Courier New" w:eastAsia="Courier New" w:hAnsi="Courier New"/>
          <w:sz w:val="16"/>
          <w:szCs w:val="16"/>
          <w:color w:val="auto"/>
        </w:rPr>
      </w:pPr>
    </w:p>
    <w:p>
      <w:pPr>
        <w:ind w:left="580" w:right="2459" w:firstLine="864"/>
        <w:spacing w:after="0" w:line="246" w:lineRule="auto"/>
        <w:tabs>
          <w:tab w:leader="none" w:pos="18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National Association of Securities Dealers, Inc., in connection with its review of the offering; provided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193" w:lineRule="exact"/>
        <w:rPr>
          <w:rFonts w:ascii="Courier New" w:cs="Courier New" w:eastAsia="Courier New" w:hAnsi="Courier New"/>
          <w:sz w:val="16"/>
          <w:szCs w:val="16"/>
          <w:color w:val="auto"/>
        </w:rPr>
      </w:pPr>
    </w:p>
    <w:p>
      <w:pPr>
        <w:ind w:left="580" w:right="2459" w:firstLine="864"/>
        <w:spacing w:after="0" w:line="247" w:lineRule="auto"/>
        <w:tabs>
          <w:tab w:leader="none" w:pos="18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not, without the prior written consent of Salomon Smith Barney Inc., offer, sell, contract to sell, pledge, or otherwise dispose of, (or enter into any transaction which is designed to, or might reasonably be expected to, result in the disposition (whether by actual disposition or effective economic disposition due to</w:t>
      </w:r>
    </w:p>
    <w:p>
      <w:pPr>
        <w:spacing w:after="0" w:line="185" w:lineRule="exact"/>
        <w:rPr>
          <w:rFonts w:ascii="Courier New" w:cs="Courier New" w:eastAsia="Courier New" w:hAnsi="Courier New"/>
          <w:sz w:val="16"/>
          <w:szCs w:val="16"/>
          <w:color w:val="auto"/>
        </w:rPr>
      </w:pPr>
    </w:p>
    <w:p>
      <w:pPr>
        <w:ind w:left="7060" w:hanging="190"/>
        <w:spacing w:after="0"/>
        <w:tabs>
          <w:tab w:leader="none" w:pos="706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10 -</w:t>
      </w:r>
    </w:p>
    <w:p>
      <w:pPr>
        <w:sectPr>
          <w:pgSz w:w="11900" w:h="16838" w:orient="portrait"/>
          <w:cols w:equalWidth="0" w:num="1">
            <w:col w:w="9919"/>
          </w:cols>
          <w:pgMar w:left="540" w:top="303"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11</w:t>
      </w:r>
    </w:p>
    <w:p>
      <w:pPr>
        <w:spacing w:after="0" w:line="191" w:lineRule="exact"/>
        <w:rPr>
          <w:sz w:val="20"/>
          <w:szCs w:val="20"/>
          <w:color w:val="auto"/>
        </w:rPr>
      </w:pPr>
    </w:p>
    <w:p>
      <w:pPr>
        <w:ind w:left="580" w:right="2459"/>
        <w:spacing w:after="0" w:line="246" w:lineRule="auto"/>
        <w:rPr>
          <w:sz w:val="20"/>
          <w:szCs w:val="20"/>
          <w:color w:val="auto"/>
        </w:rPr>
      </w:pPr>
      <w:r>
        <w:rPr>
          <w:rFonts w:ascii="Courier New" w:cs="Courier New" w:eastAsia="Courier New" w:hAnsi="Courier New"/>
          <w:sz w:val="16"/>
          <w:szCs w:val="16"/>
          <w:color w:val="auto"/>
        </w:rPr>
        <w:t>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the Business Day set forth on Schedule I hereto.</w:t>
      </w:r>
    </w:p>
    <w:p>
      <w:pPr>
        <w:spacing w:after="0" w:line="193" w:lineRule="exact"/>
        <w:rPr>
          <w:sz w:val="20"/>
          <w:szCs w:val="20"/>
          <w:color w:val="auto"/>
        </w:rPr>
      </w:pPr>
    </w:p>
    <w:p>
      <w:pPr>
        <w:ind w:left="580" w:right="2459" w:firstLine="864"/>
        <w:spacing w:after="0" w:line="247" w:lineRule="auto"/>
        <w:tabs>
          <w:tab w:leader="none" w:pos="184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85" w:lineRule="exact"/>
        <w:rPr>
          <w:rFonts w:ascii="Courier New" w:cs="Courier New" w:eastAsia="Courier New" w:hAnsi="Courier New"/>
          <w:sz w:val="16"/>
          <w:szCs w:val="16"/>
          <w:color w:val="auto"/>
        </w:rPr>
      </w:pPr>
    </w:p>
    <w:p>
      <w:pPr>
        <w:ind w:left="-300" w:right="2559" w:firstLine="871"/>
        <w:spacing w:after="0" w:line="247" w:lineRule="auto"/>
        <w:tabs>
          <w:tab w:leader="none" w:pos="86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the Obligations of the Underwriters. The obligations of the Underwriters to purchase the Securities shall be subject to the accuracy of the representations and warranties on the part of the Company contained herein as of the Execution Time and the Closing Date, to the accuracy of the statements of the Company made in any certificates pursuant to the provisions hereof, to the performance by the Company of its obligations hereunder and to the following additional conditions:</w:t>
      </w:r>
    </w:p>
    <w:p>
      <w:pPr>
        <w:spacing w:after="0" w:line="185" w:lineRule="exact"/>
        <w:rPr>
          <w:rFonts w:ascii="Courier New" w:cs="Courier New" w:eastAsia="Courier New" w:hAnsi="Courier New"/>
          <w:sz w:val="16"/>
          <w:szCs w:val="16"/>
          <w:color w:val="auto"/>
        </w:rPr>
      </w:pPr>
    </w:p>
    <w:p>
      <w:pPr>
        <w:ind w:left="580" w:right="2459" w:firstLine="864"/>
        <w:spacing w:after="0" w:line="246" w:lineRule="auto"/>
        <w:tabs>
          <w:tab w:leader="none" w:pos="18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Registration Statement has not become effective prior to the Execution Time, unless the Representatives agree in writing to a later time, the Registration Statement will become effective not later than (i) 6:00 p.m., New York City time, on the date of determination of the public offering price, if such determination occurred at or prior to 3:00 p.m., New York City time, on such date or (ii) 9:30 a.m. on the Business Day following the day on which the public offering price was determined, if such determination occurred after 3:00 p.m., New York City time, on such date; if filing of the Final Prospectus, or any supplement thereto, is required pursuant to Rule 424(b), the Final Prospectus, and any such supplement, will be filed in the manner and within the time period required by Rule 424(b); and no stop order suspending the effectiveness of the Registration Statement shall have been issued and no proceedings for that purpose shall have been instituted or threatened.</w:t>
      </w:r>
    </w:p>
    <w:p>
      <w:pPr>
        <w:spacing w:after="0" w:line="194" w:lineRule="exact"/>
        <w:rPr>
          <w:rFonts w:ascii="Courier New" w:cs="Courier New" w:eastAsia="Courier New" w:hAnsi="Courier New"/>
          <w:sz w:val="16"/>
          <w:szCs w:val="16"/>
          <w:color w:val="auto"/>
        </w:rPr>
      </w:pPr>
    </w:p>
    <w:p>
      <w:pPr>
        <w:ind w:left="580" w:right="2559" w:firstLine="864"/>
        <w:spacing w:after="0" w:line="247" w:lineRule="auto"/>
        <w:tabs>
          <w:tab w:leader="none" w:pos="18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requested and caused Baker Botts L.L.P., counsel for the Company, to have furnished to the Representatives their opinion, dated the Closing Date and addressed to the Representatives, to the effect that:</w:t>
      </w:r>
    </w:p>
    <w:p>
      <w:pPr>
        <w:spacing w:after="0" w:line="185" w:lineRule="exact"/>
        <w:rPr>
          <w:rFonts w:ascii="Courier New" w:cs="Courier New" w:eastAsia="Courier New" w:hAnsi="Courier New"/>
          <w:sz w:val="16"/>
          <w:szCs w:val="16"/>
          <w:color w:val="auto"/>
        </w:rPr>
      </w:pPr>
    </w:p>
    <w:p>
      <w:pPr>
        <w:jc w:val="both"/>
        <w:ind w:left="1440" w:right="2759" w:firstLine="876"/>
        <w:spacing w:after="0" w:line="247" w:lineRule="auto"/>
        <w:tabs>
          <w:tab w:leader="none" w:pos="2700"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a corporation duly incorporated and validly existing in good standing under the laws of the State of Delaware;</w:t>
      </w:r>
    </w:p>
    <w:p>
      <w:pPr>
        <w:spacing w:after="0" w:line="185" w:lineRule="exact"/>
        <w:rPr>
          <w:rFonts w:ascii="Courier New" w:cs="Courier New" w:eastAsia="Courier New" w:hAnsi="Courier New"/>
          <w:sz w:val="16"/>
          <w:szCs w:val="16"/>
          <w:color w:val="auto"/>
        </w:rPr>
      </w:pPr>
    </w:p>
    <w:p>
      <w:pPr>
        <w:ind w:left="1440" w:right="2459" w:firstLine="876"/>
        <w:spacing w:after="0" w:line="247" w:lineRule="auto"/>
        <w:tabs>
          <w:tab w:leader="none" w:pos="2797"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corporate power and authority to own, lease and operate its properties and to conduct its business as described in the Final Prospectus and to execute and deliver and perform its obligations under this Agreement;</w:t>
      </w:r>
    </w:p>
    <w:p>
      <w:pPr>
        <w:spacing w:after="0" w:line="185" w:lineRule="exact"/>
        <w:rPr>
          <w:rFonts w:ascii="Courier New" w:cs="Courier New" w:eastAsia="Courier New" w:hAnsi="Courier New"/>
          <w:sz w:val="16"/>
          <w:szCs w:val="16"/>
          <w:color w:val="auto"/>
        </w:rPr>
      </w:pPr>
    </w:p>
    <w:p>
      <w:pPr>
        <w:ind w:left="7060" w:hanging="190"/>
        <w:spacing w:after="0"/>
        <w:tabs>
          <w:tab w:leader="none" w:pos="7060" w:val="left"/>
        </w:tabs>
        <w:numPr>
          <w:ilvl w:val="3"/>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11 -</w:t>
      </w:r>
    </w:p>
    <w:p>
      <w:pPr>
        <w:sectPr>
          <w:pgSz w:w="11900" w:h="16838" w:orient="portrait"/>
          <w:cols w:equalWidth="0" w:num="1">
            <w:col w:w="9919"/>
          </w:cols>
          <w:pgMar w:left="540" w:top="303"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12</w:t>
      </w:r>
    </w:p>
    <w:p>
      <w:pPr>
        <w:spacing w:after="0" w:line="191" w:lineRule="exact"/>
        <w:rPr>
          <w:sz w:val="20"/>
          <w:szCs w:val="20"/>
          <w:color w:val="auto"/>
        </w:rPr>
      </w:pPr>
    </w:p>
    <w:p>
      <w:pPr>
        <w:ind w:left="1440" w:right="3139" w:firstLine="876"/>
        <w:spacing w:after="0" w:line="248" w:lineRule="auto"/>
        <w:tabs>
          <w:tab w:leader="none" w:pos="289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authorized, executed and delivered by the Company;</w:t>
      </w:r>
    </w:p>
    <w:p>
      <w:pPr>
        <w:spacing w:after="0" w:line="184" w:lineRule="exact"/>
        <w:rPr>
          <w:rFonts w:ascii="Courier New" w:cs="Courier New" w:eastAsia="Courier New" w:hAnsi="Courier New"/>
          <w:sz w:val="16"/>
          <w:szCs w:val="16"/>
          <w:color w:val="auto"/>
        </w:rPr>
      </w:pPr>
    </w:p>
    <w:p>
      <w:pPr>
        <w:ind w:left="1440" w:right="2459" w:firstLine="876"/>
        <w:spacing w:after="0" w:line="246" w:lineRule="auto"/>
        <w:tabs>
          <w:tab w:leader="none" w:pos="279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as the enforcement thereof may be limited by bankruptcy, insolvency, fraudulent transfer, reorganization, moratorium or similar laws affecting enforcement of creditors' rights and remedies generally and except as enforcement thereof is subject to general principles of equity (regardless of whether enforcement is considered in a proceeding in equity or at law);</w:t>
      </w:r>
    </w:p>
    <w:p>
      <w:pPr>
        <w:spacing w:after="0" w:line="193" w:lineRule="exact"/>
        <w:rPr>
          <w:rFonts w:ascii="Courier New" w:cs="Courier New" w:eastAsia="Courier New" w:hAnsi="Courier New"/>
          <w:sz w:val="16"/>
          <w:szCs w:val="16"/>
          <w:color w:val="auto"/>
        </w:rPr>
      </w:pPr>
    </w:p>
    <w:p>
      <w:pPr>
        <w:ind w:left="1440" w:right="2459" w:firstLine="876"/>
        <w:spacing w:after="0" w:line="246" w:lineRule="auto"/>
        <w:tabs>
          <w:tab w:leader="none" w:pos="27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global certificate representing the Securities is in a form authorized by the Indenture, the Securities have been duly authorized by the Company and, assuming the global certificate representing the Securities has been authenticated by the Trustee in the manner provided for in the Indenture and delivered against payment of the consideration therefor specified in this Agreement, the Securities constitute valid and binding obligations of the Company, enforceable against the Company in accordance with their terms, except as the enforcement thereof may be limited by bankruptcy, insolvency, fraudulent transfer, reorganization, moratorium or similar laws affecting enforcement of creditors' rights and remedies generally and except as enforcement thereof is subject to general principles of equity (regardless of whether enforcement is considered in a proceeding in equity or at law), and each registered holder thereof is entitled to the benefits of the Indenture;</w:t>
      </w:r>
    </w:p>
    <w:p>
      <w:pPr>
        <w:spacing w:after="0" w:line="195" w:lineRule="exact"/>
        <w:rPr>
          <w:rFonts w:ascii="Courier New" w:cs="Courier New" w:eastAsia="Courier New" w:hAnsi="Courier New"/>
          <w:sz w:val="16"/>
          <w:szCs w:val="16"/>
          <w:color w:val="auto"/>
        </w:rPr>
      </w:pPr>
    </w:p>
    <w:p>
      <w:pPr>
        <w:ind w:left="2800" w:hanging="484"/>
        <w:spacing w:after="0"/>
        <w:tabs>
          <w:tab w:leader="none" w:pos="28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qualified under the</w:t>
      </w:r>
    </w:p>
    <w:p>
      <w:pPr>
        <w:spacing w:after="0" w:line="5" w:lineRule="exact"/>
        <w:rPr>
          <w:rFonts w:ascii="Courier New" w:cs="Courier New" w:eastAsia="Courier New" w:hAnsi="Courier New"/>
          <w:sz w:val="16"/>
          <w:szCs w:val="16"/>
          <w:color w:val="auto"/>
        </w:rPr>
      </w:pPr>
    </w:p>
    <w:p>
      <w:pPr>
        <w:ind w:left="14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1939 Act;</w:t>
      </w:r>
    </w:p>
    <w:p>
      <w:pPr>
        <w:spacing w:after="0" w:line="191" w:lineRule="exact"/>
        <w:rPr>
          <w:rFonts w:ascii="Courier New" w:cs="Courier New" w:eastAsia="Courier New" w:hAnsi="Courier New"/>
          <w:sz w:val="16"/>
          <w:szCs w:val="16"/>
          <w:color w:val="auto"/>
        </w:rPr>
      </w:pPr>
    </w:p>
    <w:p>
      <w:pPr>
        <w:ind w:left="1440" w:right="2559" w:firstLine="876"/>
        <w:spacing w:after="0" w:line="247" w:lineRule="auto"/>
        <w:tabs>
          <w:tab w:leader="none" w:pos="289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and the Indenture conform as to legal matters in all material respects to the descriptions thereof contained in the Final Prospectus;</w:t>
      </w:r>
    </w:p>
    <w:p>
      <w:pPr>
        <w:spacing w:after="0" w:line="185" w:lineRule="exact"/>
        <w:rPr>
          <w:rFonts w:ascii="Courier New" w:cs="Courier New" w:eastAsia="Courier New" w:hAnsi="Courier New"/>
          <w:sz w:val="16"/>
          <w:szCs w:val="16"/>
          <w:color w:val="auto"/>
        </w:rPr>
      </w:pPr>
    </w:p>
    <w:p>
      <w:pPr>
        <w:ind w:left="1440" w:right="2459" w:firstLine="876"/>
        <w:spacing w:after="0" w:line="246" w:lineRule="auto"/>
        <w:tabs>
          <w:tab w:leader="none" w:pos="299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has been declared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190" w:lineRule="exact"/>
        <w:rPr>
          <w:rFonts w:ascii="Courier New" w:cs="Courier New" w:eastAsia="Courier New" w:hAnsi="Courier New"/>
          <w:sz w:val="16"/>
          <w:szCs w:val="16"/>
          <w:color w:val="auto"/>
        </w:rPr>
      </w:pPr>
    </w:p>
    <w:p>
      <w:pPr>
        <w:ind w:left="1440" w:right="2459" w:firstLine="876"/>
        <w:spacing w:after="0" w:line="247" w:lineRule="auto"/>
        <w:tabs>
          <w:tab w:leader="none" w:pos="279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authorization, approval, consent or license of any regulatory body or authority (other than under the Act, the 1939 Act and the securities or Blue Sky laws of the various states) and no approval of the stockholders of the Company is required for the valid authorization, issuance, sale and delivery of the Securities by the Company, or for the execution, delivery or performance of the Indenture;</w:t>
      </w:r>
    </w:p>
    <w:p>
      <w:pPr>
        <w:spacing w:after="0" w:line="185" w:lineRule="exact"/>
        <w:rPr>
          <w:rFonts w:ascii="Courier New" w:cs="Courier New" w:eastAsia="Courier New" w:hAnsi="Courier New"/>
          <w:sz w:val="16"/>
          <w:szCs w:val="16"/>
          <w:color w:val="auto"/>
        </w:rPr>
      </w:pPr>
    </w:p>
    <w:p>
      <w:pPr>
        <w:ind w:left="7060" w:hanging="190"/>
        <w:spacing w:after="0"/>
        <w:tabs>
          <w:tab w:leader="none" w:pos="706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12 -</w:t>
      </w:r>
    </w:p>
    <w:p>
      <w:pPr>
        <w:sectPr>
          <w:pgSz w:w="11900" w:h="16838" w:orient="portrait"/>
          <w:cols w:equalWidth="0" w:num="1">
            <w:col w:w="9919"/>
          </w:cols>
          <w:pgMar w:left="540" w:top="303"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13</w:t>
      </w:r>
    </w:p>
    <w:p>
      <w:pPr>
        <w:spacing w:after="0" w:line="191" w:lineRule="exact"/>
        <w:rPr>
          <w:sz w:val="20"/>
          <w:szCs w:val="20"/>
          <w:color w:val="auto"/>
        </w:rPr>
      </w:pPr>
    </w:p>
    <w:p>
      <w:pPr>
        <w:ind w:left="1440" w:right="2459" w:firstLine="876"/>
        <w:spacing w:after="0" w:line="246" w:lineRule="auto"/>
        <w:tabs>
          <w:tab w:leader="none" w:pos="27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the Underwriting Agreement and the Indenture, the consummation of the transactions contemplated in the Underwriting Agreement and compliance with the terms of the Underwriting Agreement and the Indenture do not and will not conflict with or result in a breach of any of the terms or provisions of, or constitute a default under, the charter or by-laws of the Company or its Subsidiaries, or any indenture, mortgage or other agreement or instrument to which the Company or its Subsidiaries is a party or by which they or any of their property is bound which is filed as an exhibit to the Registration Statement or to any of the documents incorporated by reference in the Final Prospectus, or any existing applicable laws, rule, regulation (excluding any securities or anti-fraud law, rule or regulation);</w:t>
      </w:r>
    </w:p>
    <w:p>
      <w:pPr>
        <w:spacing w:after="0" w:line="194" w:lineRule="exact"/>
        <w:rPr>
          <w:rFonts w:ascii="Courier New" w:cs="Courier New" w:eastAsia="Courier New" w:hAnsi="Courier New"/>
          <w:sz w:val="16"/>
          <w:szCs w:val="16"/>
          <w:color w:val="auto"/>
        </w:rPr>
      </w:pPr>
    </w:p>
    <w:p>
      <w:pPr>
        <w:ind w:left="1440" w:right="2459" w:firstLine="876"/>
        <w:spacing w:after="0" w:line="247" w:lineRule="auto"/>
        <w:tabs>
          <w:tab w:leader="none" w:pos="279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"investment company" or an entity "controlled" by an "investment company," as such terms are defined in the 1940 Act; and</w:t>
      </w:r>
    </w:p>
    <w:p>
      <w:pPr>
        <w:spacing w:after="0" w:line="185" w:lineRule="exact"/>
        <w:rPr>
          <w:rFonts w:ascii="Courier New" w:cs="Courier New" w:eastAsia="Courier New" w:hAnsi="Courier New"/>
          <w:sz w:val="16"/>
          <w:szCs w:val="16"/>
          <w:color w:val="auto"/>
        </w:rPr>
      </w:pPr>
    </w:p>
    <w:p>
      <w:pPr>
        <w:jc w:val="both"/>
        <w:ind w:left="1440" w:right="2859" w:firstLine="876"/>
        <w:spacing w:after="0" w:line="247" w:lineRule="auto"/>
        <w:tabs>
          <w:tab w:leader="none" w:pos="289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subsidiary is a "holding company" or a "public utility," as such terms are defined in the 1935 Act.</w:t>
      </w:r>
    </w:p>
    <w:p>
      <w:pPr>
        <w:spacing w:after="0" w:line="186" w:lineRule="exact"/>
        <w:rPr>
          <w:sz w:val="20"/>
          <w:szCs w:val="20"/>
          <w:color w:val="auto"/>
        </w:rPr>
      </w:pPr>
    </w:p>
    <w:p>
      <w:pPr>
        <w:ind w:left="580" w:right="2459" w:firstLine="872"/>
        <w:spacing w:after="0" w:line="246" w:lineRule="auto"/>
        <w:rPr>
          <w:sz w:val="20"/>
          <w:szCs w:val="20"/>
          <w:color w:val="auto"/>
        </w:rPr>
      </w:pPr>
      <w:r>
        <w:rPr>
          <w:rFonts w:ascii="Courier New" w:cs="Courier New" w:eastAsia="Courier New" w:hAnsi="Courier New"/>
          <w:sz w:val="16"/>
          <w:szCs w:val="16"/>
          <w:color w:val="auto"/>
        </w:rPr>
        <w:t>Such counsel shall state that the Registration Statement and the Final Prospectus, excluding the documents incorporated by reference therein and the financial statements and other financial data and supporting schedules included therein or omitted therefrom and the Trustee's Statement of Eligibility on Form T-1 (the "Form T-1"), as to which they express no view, as of their respective effective or issue dates appear on their face to have been appropriately responsive in all material respects with the requirements of the Act. In addition, such counsel shall state that they have participated in conferences with officers and other representatives of the Company, counsel employed by the Company, representatives of the independent public accountants of the Company, representatives of the Underwriters and counsel to the Underwriters at which the contents of the Registration Statement and the Final Prospectus were discussed and, although such counsel did not independently verify such information and is not passing upon and does not assume any responsibility for the accuracy, completeness or fairness of the statements contained in the Registration Statement and the Final Prospectus, on the basis of the foregoing, no facts came to such counsel's attention that led such counsel to believe that the Registration Statement (other than the financial statements, the notes thereto and the auditors' reports thereon and the related schedules and the other financial and accounting data included or incorporated by reference therein, or omitted therefrom, and the exhibits thereto, as to which such counsel need not comment) as of its effective date contained an untrue statement of a material fact or omitted to state a material fact required to be stated therein or necessary in order to make the statements therein not misleading, or that the Final Prospectus (other than the financial statements, the notes thereto and the auditors' reports thereon and the related schedules and the other financial and accounting data included or incorporated by reference therein, or omitted therefrom, as to which such counsel need not comment) as of its issue date or the Closing Date contained or contains an untrue statement of a material fact or omitted or omits to state a material fact necessary in order to make the statements therein, in the light of the circumstances under which they were made, not misleading.</w:t>
      </w:r>
    </w:p>
    <w:p>
      <w:pPr>
        <w:spacing w:after="0" w:line="206"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- 13 -</w:t>
      </w:r>
    </w:p>
    <w:p>
      <w:pPr>
        <w:sectPr>
          <w:pgSz w:w="11900" w:h="16838" w:orient="portrait"/>
          <w:cols w:equalWidth="0" w:num="1">
            <w:col w:w="9919"/>
          </w:cols>
          <w:pgMar w:left="540" w:top="303"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14</w:t>
      </w:r>
    </w:p>
    <w:p>
      <w:pPr>
        <w:spacing w:after="0" w:line="191" w:lineRule="exact"/>
        <w:rPr>
          <w:sz w:val="20"/>
          <w:szCs w:val="20"/>
          <w:color w:val="auto"/>
        </w:rPr>
      </w:pPr>
    </w:p>
    <w:p>
      <w:pPr>
        <w:ind w:left="580" w:right="2459" w:firstLine="872"/>
        <w:spacing w:after="0" w:line="246" w:lineRule="auto"/>
        <w:rPr>
          <w:sz w:val="20"/>
          <w:szCs w:val="20"/>
          <w:color w:val="auto"/>
        </w:rPr>
      </w:pPr>
      <w:r>
        <w:rPr>
          <w:rFonts w:ascii="Courier New" w:cs="Courier New" w:eastAsia="Courier New" w:hAnsi="Courier New"/>
          <w:sz w:val="16"/>
          <w:szCs w:val="16"/>
          <w:color w:val="auto"/>
        </w:rPr>
        <w:t>In rendering such opinions, such counsel may rely (A) as to matters involving the application of laws of any jurisdiction other than the contract law of the State of New York, the General Corporation Law of Delaware or the Federal laws of the United States, to the extent they deem proper and specified in such opinion, upon the opinion of other counsel of good standing whom they believe to be reliable and who are satisfactory to counsel for the Underwriters and (B) as to matters of fact, to the extent they deem proper, on certificates of responsible officers of the Company and public officials. References to the Final Prospectus in this paragraph (b) include any supplements thereto at the Closing Date.</w:t>
      </w:r>
    </w:p>
    <w:p>
      <w:pPr>
        <w:spacing w:after="0" w:line="193" w:lineRule="exact"/>
        <w:rPr>
          <w:sz w:val="20"/>
          <w:szCs w:val="20"/>
          <w:color w:val="auto"/>
        </w:rPr>
      </w:pPr>
    </w:p>
    <w:p>
      <w:pPr>
        <w:ind w:left="580" w:right="2459" w:firstLine="864"/>
        <w:spacing w:after="0" w:line="247" w:lineRule="auto"/>
        <w:tabs>
          <w:tab w:leader="none" w:pos="18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Lawrence O'Donnel, III, Senior Vice President and General Counsel of the Company, shall have furnished to the Representatives his opinion, dated the Closing Date and addressed to the Representatives, to the effect that:</w:t>
      </w:r>
    </w:p>
    <w:p>
      <w:pPr>
        <w:spacing w:after="0" w:line="185" w:lineRule="exact"/>
        <w:rPr>
          <w:rFonts w:ascii="Courier New" w:cs="Courier New" w:eastAsia="Courier New" w:hAnsi="Courier New"/>
          <w:sz w:val="16"/>
          <w:szCs w:val="16"/>
          <w:color w:val="auto"/>
        </w:rPr>
      </w:pPr>
    </w:p>
    <w:p>
      <w:pPr>
        <w:ind w:left="1440" w:right="2459" w:firstLine="876"/>
        <w:spacing w:after="0" w:line="246" w:lineRule="auto"/>
        <w:tabs>
          <w:tab w:leader="none" w:pos="270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corporate Subsidiaries organized under U.S. law is a corporation duly incorporated and validly existing in good standing under the laws of the jurisdiction of its incorporation, has corporate power and authority to own, lease and operate its properties and to conduct its business as described in the Final Prospectus, except as would not have a Material Adverse Effect; except as otherwise disclosed in the Registration Statement or set forth in the opinion, all of the issued and outstanding capital stock of each of the Subsidiaries is validly issued, fully paid and nonassessable and, to the best of such counsel's knowledge, is owned by the Company free and clear of any security interest, mortgage, pledge, lien, encumbrance, claim or equity; none of the outstanding shares of capital stock of the Subsidiaries was issued in violation of the preemptive or similar rights of any security holder thereof;</w:t>
      </w:r>
    </w:p>
    <w:p>
      <w:pPr>
        <w:spacing w:after="0" w:line="195" w:lineRule="exact"/>
        <w:rPr>
          <w:rFonts w:ascii="Courier New" w:cs="Courier New" w:eastAsia="Courier New" w:hAnsi="Courier New"/>
          <w:sz w:val="16"/>
          <w:szCs w:val="16"/>
          <w:color w:val="auto"/>
        </w:rPr>
      </w:pPr>
    </w:p>
    <w:p>
      <w:pPr>
        <w:ind w:left="1440" w:right="2459" w:firstLine="876"/>
        <w:spacing w:after="0" w:line="246" w:lineRule="auto"/>
        <w:tabs>
          <w:tab w:leader="none" w:pos="2797"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incorporated by reference in the Final Prospectus (other than the financial statements, other financial data and supporting schedules included therein or omitted therefrom, as to which he need express no opinion, and except to the extent that any statement therein is modified or superseded in the Final Prospectus), as of the dates they became effective or were filed with the Commission, as the case may be, appear on their face to be appropriately responsive in all material respects with the requirements of the Exchange Act;</w:t>
      </w:r>
    </w:p>
    <w:p>
      <w:pPr>
        <w:spacing w:after="0" w:line="191" w:lineRule="exact"/>
        <w:rPr>
          <w:rFonts w:ascii="Courier New" w:cs="Courier New" w:eastAsia="Courier New" w:hAnsi="Courier New"/>
          <w:sz w:val="16"/>
          <w:szCs w:val="16"/>
          <w:color w:val="auto"/>
        </w:rPr>
      </w:pPr>
    </w:p>
    <w:p>
      <w:pPr>
        <w:ind w:left="1440" w:right="2459" w:firstLine="876"/>
        <w:spacing w:after="0" w:line="246" w:lineRule="auto"/>
        <w:tabs>
          <w:tab w:leader="none" w:pos="2893"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the Final Prospectus (or incorporated by reference therein), such counsel does not know of any action, suit, proceeding, inquiry or investigation pending or threatened against the Company or any of its Subsidiaries, or to which the property of the Company or any of its Subsidiaries is subject, before or brought by any court or governmental agency or body, domestic or foreign, in which there is a reasonable probability of a Material Adverse Effect;</w:t>
      </w:r>
    </w:p>
    <w:p>
      <w:pPr>
        <w:spacing w:after="0" w:line="191" w:lineRule="exact"/>
        <w:rPr>
          <w:rFonts w:ascii="Courier New" w:cs="Courier New" w:eastAsia="Courier New" w:hAnsi="Courier New"/>
          <w:sz w:val="16"/>
          <w:szCs w:val="16"/>
          <w:color w:val="auto"/>
        </w:rPr>
      </w:pPr>
    </w:p>
    <w:p>
      <w:pPr>
        <w:ind w:left="1440" w:right="2459" w:firstLine="876"/>
        <w:spacing w:after="0" w:line="247" w:lineRule="auto"/>
        <w:tabs>
          <w:tab w:leader="none" w:pos="2797"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counsel does not know of any statutes or regulations or any pending or threatened legal or governmental proceedings required to be described in the Final Prospectus which are not described as required, nor of any material contracts or documents of a character required to be described in the Registration Statement or Final Prospectus or to be filed or incorporated as exhibits to the</w:t>
      </w:r>
    </w:p>
    <w:p>
      <w:pPr>
        <w:spacing w:after="0" w:line="185" w:lineRule="exact"/>
        <w:rPr>
          <w:rFonts w:ascii="Courier New" w:cs="Courier New" w:eastAsia="Courier New" w:hAnsi="Courier New"/>
          <w:sz w:val="16"/>
          <w:szCs w:val="16"/>
          <w:color w:val="auto"/>
        </w:rPr>
      </w:pPr>
    </w:p>
    <w:p>
      <w:pPr>
        <w:ind w:left="7060" w:hanging="190"/>
        <w:spacing w:after="0"/>
        <w:tabs>
          <w:tab w:leader="none" w:pos="7060" w:val="left"/>
        </w:tabs>
        <w:numPr>
          <w:ilvl w:val="2"/>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14 -</w:t>
      </w:r>
    </w:p>
    <w:p>
      <w:pPr>
        <w:sectPr>
          <w:pgSz w:w="11900" w:h="16838" w:orient="portrait"/>
          <w:cols w:equalWidth="0" w:num="1">
            <w:col w:w="9919"/>
          </w:cols>
          <w:pgMar w:left="540" w:top="303"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15</w:t>
      </w:r>
    </w:p>
    <w:p>
      <w:pPr>
        <w:spacing w:after="0" w:line="191" w:lineRule="exact"/>
        <w:rPr>
          <w:sz w:val="20"/>
          <w:szCs w:val="20"/>
          <w:color w:val="auto"/>
        </w:rPr>
      </w:pPr>
    </w:p>
    <w:p>
      <w:pPr>
        <w:ind w:left="1440" w:right="2759"/>
        <w:spacing w:after="0" w:line="248" w:lineRule="auto"/>
        <w:rPr>
          <w:sz w:val="20"/>
          <w:szCs w:val="20"/>
          <w:color w:val="auto"/>
        </w:rPr>
      </w:pPr>
      <w:r>
        <w:rPr>
          <w:rFonts w:ascii="Courier New" w:cs="Courier New" w:eastAsia="Courier New" w:hAnsi="Courier New"/>
          <w:sz w:val="16"/>
          <w:szCs w:val="16"/>
          <w:color w:val="auto"/>
        </w:rPr>
        <w:t>Registration Statement which are not described and filed or incorporated as required;</w:t>
      </w:r>
    </w:p>
    <w:p>
      <w:pPr>
        <w:spacing w:after="0" w:line="184" w:lineRule="exact"/>
        <w:rPr>
          <w:sz w:val="20"/>
          <w:szCs w:val="20"/>
          <w:color w:val="auto"/>
        </w:rPr>
      </w:pPr>
    </w:p>
    <w:p>
      <w:pPr>
        <w:ind w:left="1440" w:right="2459" w:firstLine="876"/>
        <w:spacing w:after="0" w:line="247" w:lineRule="auto"/>
        <w:tabs>
          <w:tab w:leader="none" w:pos="270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counsel does not know of any holders of securities of the Company that have rights to the registration of such securities under the Registration Statement; and</w:t>
      </w:r>
    </w:p>
    <w:p>
      <w:pPr>
        <w:spacing w:after="0" w:line="185" w:lineRule="exact"/>
        <w:rPr>
          <w:rFonts w:ascii="Courier New" w:cs="Courier New" w:eastAsia="Courier New" w:hAnsi="Courier New"/>
          <w:sz w:val="16"/>
          <w:szCs w:val="16"/>
          <w:color w:val="auto"/>
        </w:rPr>
      </w:pPr>
    </w:p>
    <w:p>
      <w:pPr>
        <w:ind w:left="1440" w:right="2459" w:firstLine="876"/>
        <w:spacing w:after="0" w:line="246" w:lineRule="auto"/>
        <w:tabs>
          <w:tab w:leader="none" w:pos="2797"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the Underwriting Agreement and the Indenture, the consummation of the transactions contemplated in the Underwriting Agreement and compliance with the terms of the Underwriting Agreement and the Indenture do not and will not conflict with or result in a breach of any of the terms or provisions of, or constitute a default under, the charter or by-laws of the Company or its Subsidiaries, or, to the knowledge of such counsel, any indenture, mortgage or other agreement or instrument to which the Company or its Subsidiaries is a party or by which they or any of their property is bound, or any existing applicable laws, rule, regulation (excluding any securities or anti-fraud law, rule or regulation), or, to the knowledge of such counsel, any judgment, order or decree of any government, governmental instrumentality or court, domestic or foreign, having jurisdiction over the Company or its Subsidiaries or any of their properties, that in any case would have a Material Adverse Effect.</w:t>
      </w:r>
    </w:p>
    <w:p>
      <w:pPr>
        <w:spacing w:after="0" w:line="196" w:lineRule="exact"/>
        <w:rPr>
          <w:rFonts w:ascii="Courier New" w:cs="Courier New" w:eastAsia="Courier New" w:hAnsi="Courier New"/>
          <w:sz w:val="16"/>
          <w:szCs w:val="16"/>
          <w:color w:val="auto"/>
        </w:rPr>
      </w:pPr>
    </w:p>
    <w:p>
      <w:pPr>
        <w:ind w:left="580" w:right="2459" w:firstLine="864"/>
        <w:spacing w:after="0" w:line="246" w:lineRule="auto"/>
        <w:tabs>
          <w:tab w:leader="none" w:pos="18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Representatives shall have received from Vinson &amp; Elkins L.L.P., counsel for the Underwriters, such opinion or opinions, dated the Closing Date and addressed to the Representatives, with respect to the issuance and sale of the Securities, the Indenture, the Registration Statement,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191" w:lineRule="exact"/>
        <w:rPr>
          <w:rFonts w:ascii="Courier New" w:cs="Courier New" w:eastAsia="Courier New" w:hAnsi="Courier New"/>
          <w:sz w:val="16"/>
          <w:szCs w:val="16"/>
          <w:color w:val="auto"/>
        </w:rPr>
      </w:pPr>
    </w:p>
    <w:p>
      <w:pPr>
        <w:ind w:left="580" w:right="2459" w:firstLine="864"/>
        <w:spacing w:after="0" w:line="247" w:lineRule="auto"/>
        <w:tabs>
          <w:tab w:leader="none" w:pos="18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furnished to the Representatives a certificate of the Company, signed by the Chairman of the Board or the President and the principal financial or accounting officer of the Company, dated the Closing Date, to the effect that the signers of such certificate have carefully examined the Registration Statement, the Final Prospectus, any supplements to the Final Prospectus and this Agreement and that:</w:t>
      </w:r>
    </w:p>
    <w:p>
      <w:pPr>
        <w:spacing w:after="0" w:line="185" w:lineRule="exact"/>
        <w:rPr>
          <w:rFonts w:ascii="Courier New" w:cs="Courier New" w:eastAsia="Courier New" w:hAnsi="Courier New"/>
          <w:sz w:val="16"/>
          <w:szCs w:val="16"/>
          <w:color w:val="auto"/>
        </w:rPr>
      </w:pPr>
    </w:p>
    <w:p>
      <w:pPr>
        <w:ind w:left="1440" w:right="2459" w:firstLine="876"/>
        <w:spacing w:after="0" w:line="247" w:lineRule="auto"/>
        <w:tabs>
          <w:tab w:leader="none" w:pos="270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85" w:lineRule="exact"/>
        <w:rPr>
          <w:rFonts w:ascii="Courier New" w:cs="Courier New" w:eastAsia="Courier New" w:hAnsi="Courier New"/>
          <w:sz w:val="16"/>
          <w:szCs w:val="16"/>
          <w:color w:val="auto"/>
        </w:rPr>
      </w:pPr>
    </w:p>
    <w:p>
      <w:pPr>
        <w:ind w:left="1440" w:right="2559" w:firstLine="876"/>
        <w:spacing w:after="0" w:line="247" w:lineRule="auto"/>
        <w:tabs>
          <w:tab w:leader="none" w:pos="2797"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stop order suspending the effectiveness of the Registration Statement has been issued and no proceedings for that purpose have been instituted or, to the Company's knowledge, threatened; and</w:t>
      </w:r>
    </w:p>
    <w:p>
      <w:pPr>
        <w:spacing w:after="0" w:line="185" w:lineRule="exact"/>
        <w:rPr>
          <w:rFonts w:ascii="Courier New" w:cs="Courier New" w:eastAsia="Courier New" w:hAnsi="Courier New"/>
          <w:sz w:val="16"/>
          <w:szCs w:val="16"/>
          <w:color w:val="auto"/>
        </w:rPr>
      </w:pPr>
    </w:p>
    <w:p>
      <w:pPr>
        <w:ind w:left="7060" w:hanging="190"/>
        <w:spacing w:after="0"/>
        <w:tabs>
          <w:tab w:leader="none" w:pos="7060" w:val="left"/>
        </w:tabs>
        <w:numPr>
          <w:ilvl w:val="2"/>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15 -</w:t>
      </w:r>
    </w:p>
    <w:p>
      <w:pPr>
        <w:sectPr>
          <w:pgSz w:w="11900" w:h="16838" w:orient="portrait"/>
          <w:cols w:equalWidth="0" w:num="1">
            <w:col w:w="9919"/>
          </w:cols>
          <w:pgMar w:left="540" w:top="303"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16</w:t>
      </w:r>
    </w:p>
    <w:p>
      <w:pPr>
        <w:spacing w:after="0" w:line="191" w:lineRule="exact"/>
        <w:rPr>
          <w:sz w:val="20"/>
          <w:szCs w:val="20"/>
          <w:color w:val="auto"/>
        </w:rPr>
      </w:pPr>
    </w:p>
    <w:p>
      <w:pPr>
        <w:ind w:left="1440" w:right="2459" w:firstLine="876"/>
        <w:spacing w:after="0" w:line="246" w:lineRule="auto"/>
        <w:tabs>
          <w:tab w:leader="none" w:pos="2893"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date of the most recent financial statements included or incorporated by reference in the Final Prospectus (exclusive of any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or contemplated in the Final Prospectus (exclusive of any supplement thereto).</w:t>
      </w:r>
    </w:p>
    <w:p>
      <w:pPr>
        <w:spacing w:after="0" w:line="191" w:lineRule="exact"/>
        <w:rPr>
          <w:rFonts w:ascii="Courier New" w:cs="Courier New" w:eastAsia="Courier New" w:hAnsi="Courier New"/>
          <w:sz w:val="16"/>
          <w:szCs w:val="16"/>
          <w:color w:val="auto"/>
        </w:rPr>
      </w:pPr>
    </w:p>
    <w:p>
      <w:pPr>
        <w:ind w:left="580" w:right="2459" w:firstLine="864"/>
        <w:spacing w:after="0" w:line="246" w:lineRule="auto"/>
        <w:tabs>
          <w:tab w:leader="none" w:pos="18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requested and caused Arthur Andersen LLP to have furnished to the Representatives, at the Execution Time and at the Closing Date, letters (which may refer to letters previously delivered to one or more of the Representatives), dated respectively as of the Execution Time and as of the Closing Date, in form and substance satisfactory to the Representatives, confirming that they are independent accountants within the meaning of the Act and the Exchange Act and the respective applicable rules and regulations adopted by the Commission thereunder and that they have performed a review of the unaudited interim financial information of the Company for the nine-month period ended September 30, 2000 and as at September 30, 2000 in accordance with Statement on Auditing Standards No. 71, and stating in effect, except as provided in Schedule I hereto, that:</w:t>
      </w:r>
    </w:p>
    <w:p>
      <w:pPr>
        <w:spacing w:after="0" w:line="193" w:lineRule="exact"/>
        <w:rPr>
          <w:rFonts w:ascii="Courier New" w:cs="Courier New" w:eastAsia="Courier New" w:hAnsi="Courier New"/>
          <w:sz w:val="16"/>
          <w:szCs w:val="16"/>
          <w:color w:val="auto"/>
        </w:rPr>
      </w:pPr>
    </w:p>
    <w:p>
      <w:pPr>
        <w:ind w:left="1440" w:right="2459" w:firstLine="876"/>
        <w:spacing w:after="0" w:line="247" w:lineRule="auto"/>
        <w:tabs>
          <w:tab w:leader="none" w:pos="270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opinion the audited financial statements and financial statement schedules included or incorporated by reference in the Registration Statement and the Final Prospectus and reported on by them comply as to form in all material respects with the applicable accounting requirements of the Act and the Exchange Act and the related rules and regulations adopted by the Commission;</w:t>
      </w:r>
    </w:p>
    <w:p>
      <w:pPr>
        <w:spacing w:after="0" w:line="185" w:lineRule="exact"/>
        <w:rPr>
          <w:sz w:val="20"/>
          <w:szCs w:val="20"/>
          <w:color w:val="auto"/>
        </w:rPr>
      </w:pPr>
    </w:p>
    <w:p>
      <w:pPr>
        <w:ind w:left="1440" w:right="2459" w:firstLine="876"/>
        <w:spacing w:after="0" w:line="246" w:lineRule="auto"/>
        <w:tabs>
          <w:tab w:leader="none" w:pos="279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basis of a reading of the latest unaudited financial statements made available by the Company and its subsidiaries; their limited review, in accordance with standards established under Statement on Auditing Standards No. 71, of the unaudited interim financial information for the nine-month period ended September 30, 2000 and as at September 30, 2000; carrying out certain specified procedures (but not an examination in accordance with generally accepted auditing standards) which would not necessarily reveal matters of significance with respect to the comments set forth in such letter; a reading of the minutes of the meetings of the stockholders, directors and audit committee of the Company and the subsidiaries; and inquiries of certain officials of the Company who have responsibility for financial and accounting matters of the Company and its subsidiaries as to transactions and events subsequent to December 31, 1999, nothing came to their attention which caused them to believe that:</w:t>
      </w:r>
    </w:p>
    <w:p>
      <w:pPr>
        <w:spacing w:after="0" w:line="195" w:lineRule="exact"/>
        <w:rPr>
          <w:rFonts w:ascii="Courier New" w:cs="Courier New" w:eastAsia="Courier New" w:hAnsi="Courier New"/>
          <w:sz w:val="16"/>
          <w:szCs w:val="16"/>
          <w:color w:val="auto"/>
        </w:rPr>
      </w:pPr>
    </w:p>
    <w:p>
      <w:pPr>
        <w:ind w:left="2320" w:right="2459" w:firstLine="868"/>
        <w:spacing w:after="0" w:line="246" w:lineRule="auto"/>
        <w:tabs>
          <w:tab w:leader="none" w:pos="35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unaudited financial statements included or incorporated by reference in the Registration Statement and the Final Prospectus do not comply as to form in all material respects with applicable accounting requirements of the Act and with the related rules and regulations adopted by the Commission with respect to financial statements included or</w:t>
      </w:r>
    </w:p>
    <w:p>
      <w:pPr>
        <w:spacing w:after="0" w:line="190" w:lineRule="exact"/>
        <w:rPr>
          <w:rFonts w:ascii="Courier New" w:cs="Courier New" w:eastAsia="Courier New" w:hAnsi="Courier New"/>
          <w:sz w:val="16"/>
          <w:szCs w:val="16"/>
          <w:color w:val="auto"/>
        </w:rPr>
      </w:pPr>
    </w:p>
    <w:p>
      <w:pPr>
        <w:ind w:left="7060" w:hanging="190"/>
        <w:spacing w:after="0"/>
        <w:tabs>
          <w:tab w:leader="none" w:pos="7060"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16 -</w:t>
      </w:r>
    </w:p>
    <w:p>
      <w:pPr>
        <w:sectPr>
          <w:pgSz w:w="11900" w:h="16838" w:orient="portrait"/>
          <w:cols w:equalWidth="0" w:num="1">
            <w:col w:w="9919"/>
          </w:cols>
          <w:pgMar w:left="540" w:top="303"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17</w:t>
      </w:r>
    </w:p>
    <w:p>
      <w:pPr>
        <w:spacing w:after="0" w:line="191" w:lineRule="exact"/>
        <w:rPr>
          <w:sz w:val="20"/>
          <w:szCs w:val="20"/>
          <w:color w:val="auto"/>
        </w:rPr>
      </w:pPr>
    </w:p>
    <w:p>
      <w:pPr>
        <w:ind w:left="2320" w:right="2459"/>
        <w:spacing w:after="0" w:line="246" w:lineRule="auto"/>
        <w:rPr>
          <w:sz w:val="20"/>
          <w:szCs w:val="20"/>
          <w:color w:val="auto"/>
        </w:rPr>
      </w:pPr>
      <w:r>
        <w:rPr>
          <w:rFonts w:ascii="Courier New" w:cs="Courier New" w:eastAsia="Courier New" w:hAnsi="Courier New"/>
          <w:sz w:val="16"/>
          <w:szCs w:val="16"/>
          <w:color w:val="auto"/>
        </w:rPr>
        <w:t>incorporated by reference in quarterly reports on Form 10-Q under the Exchange Act; and said unaudited financial statements are not in conformity with generally accepted accounting principles applied on a basis substantially consistent with that of the audited financial statements included or incorporated by reference in the Registration Statement and the Final Prospectus;</w:t>
      </w:r>
    </w:p>
    <w:p>
      <w:pPr>
        <w:spacing w:after="0" w:line="191" w:lineRule="exact"/>
        <w:rPr>
          <w:sz w:val="20"/>
          <w:szCs w:val="20"/>
          <w:color w:val="auto"/>
        </w:rPr>
      </w:pPr>
    </w:p>
    <w:p>
      <w:pPr>
        <w:ind w:left="2320" w:right="2459" w:firstLine="868"/>
        <w:spacing w:after="0" w:line="246" w:lineRule="auto"/>
        <w:tabs>
          <w:tab w:leader="none" w:pos="358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period subsequent to September 30, 2000, there were any changes, at a specified date not more than five days prior to the date of the letter, in the long-term debt of the Company and its subsidiaries or capital stock of the Company or decreases in consolidated net current assets (working capital) or stockholders' equity of the Company as compared with the amounts shown on the September 30, 2000 consolidated balance sheet included or incorporated by reference in the Registration Statement and the Final Prospectus, or for the period from October 1, 2000 to December 31, 2000 there were any decreases, as compared with the corresponding period in the preceding quarter in consolidated revenues or in net income or earnings per share of the Company and its subsidiaries, or for the period from January 1 to such specified date there was any decrease, as compared with the corresponding period in the preceding quarter in consolidated revenues, except in all instances for changes or decreases set forth in such letter, in which case the letter shall be accompanied by an explanation by the Company as to the significance thereof unless said explanation is not deemed necessary by the Representatives; or</w:t>
      </w:r>
    </w:p>
    <w:p>
      <w:pPr>
        <w:spacing w:after="0" w:line="200" w:lineRule="exact"/>
        <w:rPr>
          <w:rFonts w:ascii="Courier New" w:cs="Courier New" w:eastAsia="Courier New" w:hAnsi="Courier New"/>
          <w:sz w:val="16"/>
          <w:szCs w:val="16"/>
          <w:color w:val="auto"/>
        </w:rPr>
      </w:pPr>
    </w:p>
    <w:p>
      <w:pPr>
        <w:ind w:left="2320" w:right="2459" w:firstLine="868"/>
        <w:spacing w:after="0" w:line="247" w:lineRule="auto"/>
        <w:tabs>
          <w:tab w:leader="none" w:pos="358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included or incorporated by reference in the Registration Statement and Final Prospectus in response to Regulation S-K, Item 301 (Selected Financial Data) and Item 503(d) (Ratio of Earnings to Fixed Charges) is not in conformity with the applicable disclosure requirements of Regulation S-K; and</w:t>
      </w:r>
    </w:p>
    <w:p>
      <w:pPr>
        <w:spacing w:after="0" w:line="185" w:lineRule="exact"/>
        <w:rPr>
          <w:rFonts w:ascii="Courier New" w:cs="Courier New" w:eastAsia="Courier New" w:hAnsi="Courier New"/>
          <w:sz w:val="16"/>
          <w:szCs w:val="16"/>
          <w:color w:val="auto"/>
        </w:rPr>
      </w:pPr>
    </w:p>
    <w:p>
      <w:pPr>
        <w:ind w:left="1440" w:right="2459" w:firstLine="876"/>
        <w:spacing w:after="0" w:line="246" w:lineRule="auto"/>
        <w:tabs>
          <w:tab w:leader="none" w:pos="289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subsidiaries) set forth in the Registration Statement and the Final Prospectus and in Exhibit 12 to the Registration Statement, the information included or incorporated by reference in Items 1, 2, 6, 7 and 11 of the Company's Annual Report on Form 10-K, incorporated by reference in the Registration Statement and the Final Prospectus, and the information included in the "Management's Discussion and Analysis of Financial Condition and Results of Operations" included or incorporated by reference in the Company's Quarterly Reports on Form 10-Q, incorporated by reference in the Registration Statement and the Final Prospectus, agrees with the accounting records of the Company and its subsidiaries, excluding any questions of legal interpretation.</w:t>
      </w:r>
    </w:p>
    <w:p>
      <w:pPr>
        <w:spacing w:after="0" w:line="197" w:lineRule="exact"/>
        <w:rPr>
          <w:rFonts w:ascii="Courier New" w:cs="Courier New" w:eastAsia="Courier New" w:hAnsi="Courier New"/>
          <w:sz w:val="16"/>
          <w:szCs w:val="16"/>
          <w:color w:val="auto"/>
        </w:rPr>
      </w:pPr>
    </w:p>
    <w:p>
      <w:pPr>
        <w:ind w:left="7060" w:hanging="190"/>
        <w:spacing w:after="0"/>
        <w:tabs>
          <w:tab w:leader="none" w:pos="7060"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17 -</w:t>
      </w:r>
    </w:p>
    <w:p>
      <w:pPr>
        <w:sectPr>
          <w:pgSz w:w="11900" w:h="16838" w:orient="portrait"/>
          <w:cols w:equalWidth="0" w:num="1">
            <w:col w:w="9919"/>
          </w:cols>
          <w:pgMar w:left="540" w:top="303"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18</w:t>
      </w:r>
    </w:p>
    <w:p>
      <w:pPr>
        <w:spacing w:after="0" w:line="19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References to the Final Prospectus in this paragraph (f)</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include any supplement thereto at the date of the letter.</w:t>
      </w:r>
    </w:p>
    <w:p>
      <w:pPr>
        <w:spacing w:after="0" w:line="191" w:lineRule="exact"/>
        <w:rPr>
          <w:sz w:val="20"/>
          <w:szCs w:val="20"/>
          <w:color w:val="auto"/>
        </w:rPr>
      </w:pPr>
    </w:p>
    <w:p>
      <w:pPr>
        <w:ind w:left="880" w:right="2459" w:firstLine="864"/>
        <w:spacing w:after="0" w:line="246" w:lineRule="auto"/>
        <w:tabs>
          <w:tab w:leader="none" w:pos="21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Execution Time or, if earlier, the dates as of which information is given in the Registration Statement (exclusive of any amendment thereof) and the Final Prospectus (exclusive of any supplement thereto), there shall not have been (i) any change or decrease specified in the letter or letters referred to in paragraph (f)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or contemplated in the Final Prospectus (exclusive of any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and the Final Prospectus (exclusive of any supplement thereto).</w:t>
      </w:r>
    </w:p>
    <w:p>
      <w:pPr>
        <w:spacing w:after="0" w:line="196" w:lineRule="exact"/>
        <w:rPr>
          <w:rFonts w:ascii="Courier New" w:cs="Courier New" w:eastAsia="Courier New" w:hAnsi="Courier New"/>
          <w:sz w:val="16"/>
          <w:szCs w:val="16"/>
          <w:color w:val="auto"/>
        </w:rPr>
      </w:pPr>
    </w:p>
    <w:p>
      <w:pPr>
        <w:ind w:left="880" w:right="2459" w:firstLine="864"/>
        <w:spacing w:after="0" w:line="247" w:lineRule="auto"/>
        <w:tabs>
          <w:tab w:leader="none" w:pos="21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Execution Time, there shall not have been any decrease in the rating of any of the Company's debt securities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185" w:lineRule="exact"/>
        <w:rPr>
          <w:rFonts w:ascii="Courier New" w:cs="Courier New" w:eastAsia="Courier New" w:hAnsi="Courier New"/>
          <w:sz w:val="16"/>
          <w:szCs w:val="16"/>
          <w:color w:val="auto"/>
        </w:rPr>
      </w:pPr>
    </w:p>
    <w:p>
      <w:pPr>
        <w:ind w:left="880" w:right="2459" w:firstLine="864"/>
        <w:spacing w:after="0" w:line="247" w:lineRule="auto"/>
        <w:tabs>
          <w:tab w:leader="none" w:pos="21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Closing Date, the Company shall have furnished to the Representatives such further information, certificates and documents as the Representatives may reasonably request.</w:t>
      </w:r>
    </w:p>
    <w:p>
      <w:pPr>
        <w:spacing w:after="0" w:line="186"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If any of the conditions specified in this Section 6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The documents required to be delivered by this Section 6 shall be delivered at the office of Baker Botts L.L.P., counsel for the Company, at One Shell Plaza, 910 Louisiana Street, Houston, Texas 77002, on the Closing Date.</w:t>
      </w:r>
    </w:p>
    <w:p>
      <w:pPr>
        <w:spacing w:after="0" w:line="186" w:lineRule="exact"/>
        <w:rPr>
          <w:sz w:val="20"/>
          <w:szCs w:val="20"/>
          <w:color w:val="auto"/>
        </w:rPr>
      </w:pPr>
    </w:p>
    <w:p>
      <w:pPr>
        <w:ind w:right="2559" w:firstLine="871"/>
        <w:spacing w:after="0" w:line="246" w:lineRule="auto"/>
        <w:tabs>
          <w:tab w:leader="none" w:pos="116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Reimbursement of Underwriters' Expenses. If the sale of the Securities provided for herein is not consummated because any condition to the obligations of the Underwriters set forth in Section 6 hereof is not satisfied, because of any termination pursuant to Section 10(i) hereof (other than as a result of the occurrence of the circumstances in Section 10(ii) hereof) or because of any refusal, inability or failure on the part of the Company to perform any agreement herein or comply with any provision hereof other than by reason of a default by any of the Underwriters, the Company will reimburse the Underwriters severally through Salomon Smith Barney Inc. on demand for all out-of-pocket expenses (including reasonable fees and</w:t>
      </w:r>
    </w:p>
    <w:p>
      <w:pPr>
        <w:spacing w:after="0" w:line="191" w:lineRule="exact"/>
        <w:rPr>
          <w:rFonts w:ascii="Courier New" w:cs="Courier New" w:eastAsia="Courier New" w:hAnsi="Courier New"/>
          <w:sz w:val="16"/>
          <w:szCs w:val="16"/>
          <w:color w:val="auto"/>
        </w:rPr>
      </w:pPr>
    </w:p>
    <w:p>
      <w:pPr>
        <w:ind w:left="7360" w:hanging="190"/>
        <w:spacing w:after="0"/>
        <w:tabs>
          <w:tab w:leader="none" w:pos="736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18 -</w:t>
      </w:r>
    </w:p>
    <w:p>
      <w:pPr>
        <w:sectPr>
          <w:pgSz w:w="11900" w:h="16838" w:orient="portrait"/>
          <w:cols w:equalWidth="0" w:num="1">
            <w:col w:w="10219"/>
          </w:cols>
          <w:pgMar w:left="240" w:top="303"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19</w:t>
      </w:r>
    </w:p>
    <w:p>
      <w:pPr>
        <w:spacing w:after="0" w:line="191"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disbursements of counsel) that shall have been incurred by them in connection with the proposed purchase and sale of the Securities.</w:t>
      </w:r>
    </w:p>
    <w:p>
      <w:pPr>
        <w:spacing w:after="0" w:line="184" w:lineRule="exact"/>
        <w:rPr>
          <w:sz w:val="20"/>
          <w:szCs w:val="20"/>
          <w:color w:val="auto"/>
        </w:rPr>
      </w:pPr>
    </w:p>
    <w:p>
      <w:pPr>
        <w:ind w:right="2459" w:firstLine="871"/>
        <w:spacing w:after="0" w:line="246" w:lineRule="auto"/>
        <w:tabs>
          <w:tab w:leader="none" w:pos="116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and Contribution. (a) The Company agrees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the Basic Prospectus, any Preliminary Final Prospectus or the Final Prospectus,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which the Company may otherwise have.</w:t>
      </w:r>
    </w:p>
    <w:p>
      <w:pPr>
        <w:spacing w:after="0" w:line="200" w:lineRule="exact"/>
        <w:rPr>
          <w:rFonts w:ascii="Courier New" w:cs="Courier New" w:eastAsia="Courier New" w:hAnsi="Courier New"/>
          <w:sz w:val="16"/>
          <w:szCs w:val="16"/>
          <w:color w:val="auto"/>
        </w:rPr>
      </w:pPr>
    </w:p>
    <w:p>
      <w:pPr>
        <w:ind w:right="2459" w:firstLine="1744"/>
        <w:spacing w:after="0" w:line="246" w:lineRule="auto"/>
        <w:tabs>
          <w:tab w:leader="none" w:pos="2132"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Underwriter severally and not jointly agrees to indemnify and hold harmless the Company, each of its directors, each of its officers who signs the Registration Statement, and each person who controls the Company within the meaning of either the Act or the Exchange Act, to the same extent as the foregoing indemnity from the Company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The Company acknowledges that the statements set forth in the last paragraph of the cover page regarding delivery of the Securities and, under the heading "Underwriting" or "Plan of Distribution," (i) the list of Underwriters and their respective participation in the sale of the Securities, (ii) the sentences related to concessions and reallowances and (iii) the paragraph related to stabilization, syndicate covering transactions and penalty bids in any Preliminary Final Prospectus and the Final Prospectus constitute the only information furnished in writing by or on behalf of the several Underwriters for inclusion in any Preliminary Final Prospectus or the Final Prospectus.</w:t>
      </w:r>
    </w:p>
    <w:p>
      <w:pPr>
        <w:spacing w:after="0" w:line="197" w:lineRule="exact"/>
        <w:rPr>
          <w:rFonts w:ascii="Courier New" w:cs="Courier New" w:eastAsia="Courier New" w:hAnsi="Courier New"/>
          <w:sz w:val="16"/>
          <w:szCs w:val="16"/>
          <w:color w:val="auto"/>
        </w:rPr>
      </w:pPr>
    </w:p>
    <w:p>
      <w:pPr>
        <w:ind w:right="2459" w:firstLine="1744"/>
        <w:spacing w:after="0" w:line="247" w:lineRule="auto"/>
        <w:tabs>
          <w:tab w:leader="none" w:pos="2132"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w:t>
      </w:r>
    </w:p>
    <w:p>
      <w:pPr>
        <w:spacing w:after="0" w:line="185" w:lineRule="exact"/>
        <w:rPr>
          <w:rFonts w:ascii="Courier New" w:cs="Courier New" w:eastAsia="Courier New" w:hAnsi="Courier New"/>
          <w:sz w:val="16"/>
          <w:szCs w:val="16"/>
          <w:color w:val="auto"/>
        </w:rPr>
      </w:pPr>
    </w:p>
    <w:p>
      <w:pPr>
        <w:ind w:left="7360" w:hanging="190"/>
        <w:spacing w:after="0"/>
        <w:tabs>
          <w:tab w:leader="none" w:pos="7360" w:val="left"/>
        </w:tabs>
        <w:numPr>
          <w:ilvl w:val="2"/>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19 -</w:t>
      </w:r>
    </w:p>
    <w:p>
      <w:pPr>
        <w:sectPr>
          <w:pgSz w:w="11900" w:h="16838" w:orient="portrait"/>
          <w:cols w:equalWidth="0" w:num="1">
            <w:col w:w="10219"/>
          </w:cols>
          <w:pgMar w:left="240" w:top="303"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20</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provided, however,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 indemnified party. An indemnifying party shall not be liable under this Section 8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211" w:lineRule="exact"/>
        <w:rPr>
          <w:sz w:val="20"/>
          <w:szCs w:val="20"/>
          <w:color w:val="auto"/>
        </w:rPr>
      </w:pPr>
    </w:p>
    <w:p>
      <w:pPr>
        <w:ind w:right="2459" w:firstLine="1744"/>
        <w:spacing w:after="0" w:line="246" w:lineRule="auto"/>
        <w:tabs>
          <w:tab w:leader="none" w:pos="213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indemnity provided in paragraph (a) or (b) of this Section 8 is unavailable to or insufficient to hold harmless an indemnified party for any reason, the Company and the Underwriters severally agree to contribute to the aggregate losses, claims, damages and liabilities (including legal or other expenses reasonably incurred in connection with investigating or defending same) (collectively, "Losses") to which the Company and one or more of the Underwriters may be subject in such proportion as is appropriate to reflect the relative benefits received by the Company on the one hand and by the Underwriters on the other from the offering of the Securities; provided, however, that in no case shall any Underwriter (except as may be provided in any agreement among underwriters relating to the offering of the Securities) be responsible for any amount in excess of the underwriting discount or commission applicable</w:t>
      </w:r>
    </w:p>
    <w:p>
      <w:pPr>
        <w:spacing w:after="0" w:line="193" w:lineRule="exact"/>
        <w:rPr>
          <w:rFonts w:ascii="Courier New" w:cs="Courier New" w:eastAsia="Courier New" w:hAnsi="Courier New"/>
          <w:sz w:val="16"/>
          <w:szCs w:val="16"/>
          <w:color w:val="auto"/>
        </w:rPr>
      </w:pPr>
    </w:p>
    <w:p>
      <w:pPr>
        <w:ind w:left="7360" w:hanging="190"/>
        <w:spacing w:after="0"/>
        <w:tabs>
          <w:tab w:leader="none" w:pos="736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20 -</w:t>
      </w:r>
    </w:p>
    <w:p>
      <w:pPr>
        <w:sectPr>
          <w:pgSz w:w="11900" w:h="16838" w:orient="portrait"/>
          <w:cols w:equalWidth="0" w:num="1">
            <w:col w:w="10219"/>
          </w:cols>
          <w:pgMar w:left="240" w:top="303" w:right="1440" w:bottom="1440" w:gutter="0" w:footer="0" w:header="0"/>
        </w:sectPr>
      </w:pPr>
    </w:p>
    <w:bookmarkStart w:id="24" w:name="page25"/>
    <w:bookmarkEnd w:id="24"/>
    <w:p>
      <w:pPr>
        <w:ind w:left="301"/>
        <w:spacing w:after="0"/>
        <w:rPr>
          <w:sz w:val="20"/>
          <w:szCs w:val="20"/>
          <w:color w:val="auto"/>
        </w:rPr>
      </w:pPr>
      <w:r>
        <w:rPr>
          <w:rFonts w:ascii="Courier New" w:cs="Courier New" w:eastAsia="Courier New" w:hAnsi="Courier New"/>
          <w:sz w:val="16"/>
          <w:szCs w:val="16"/>
          <w:color w:val="auto"/>
        </w:rPr>
        <w:t>21</w:t>
      </w:r>
    </w:p>
    <w:p>
      <w:pPr>
        <w:spacing w:after="0" w:line="191"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to the Securities purchased by such Underwriter hereunder. If the allocation provided by the immediately preceding sentence is unavailable for any reason,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The Underwriters' obligations in this paragraph</w:t>
      </w:r>
    </w:p>
    <w:p>
      <w:pPr>
        <w:spacing w:after="0" w:line="14" w:lineRule="exact"/>
        <w:rPr>
          <w:sz w:val="20"/>
          <w:szCs w:val="20"/>
          <w:color w:val="auto"/>
        </w:rPr>
      </w:pPr>
    </w:p>
    <w:p>
      <w:pPr>
        <w:ind w:left="1" w:right="2459" w:hanging="1"/>
        <w:spacing w:after="0" w:line="246" w:lineRule="auto"/>
        <w:tabs>
          <w:tab w:leader="none" w:pos="388"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contribute are several in proportion to their respective underwriting obligations and not joint. For purposes of this Section 8, each person who controls an Underwriter within the meaning of either the Act or the Exchange Act and each director, officer, employee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191" w:lineRule="exact"/>
        <w:rPr>
          <w:rFonts w:ascii="Courier New" w:cs="Courier New" w:eastAsia="Courier New" w:hAnsi="Courier New"/>
          <w:sz w:val="16"/>
          <w:szCs w:val="16"/>
          <w:color w:val="auto"/>
        </w:rPr>
      </w:pPr>
    </w:p>
    <w:p>
      <w:pPr>
        <w:ind w:left="1" w:right="2459" w:firstLine="871"/>
        <w:spacing w:after="0" w:line="246" w:lineRule="auto"/>
        <w:tabs>
          <w:tab w:leader="none" w:pos="1163"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by an Underwriter.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Securities set forth opposite their names in Schedule II hereto bears to the aggregate principal amount of Securities set forth opposite the names of all the remaining Underwriters) the Securities which the defaulting Underwriter or Underwriters agreed but failed to purchase; provided, however, that in the event that the aggregate principal amount of Securities which the defaulting Underwriter or Underwriters agreed but failed to purchase shall exceed 10% of the aggregate principal amount of Securities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or the Company. In the event of a default by any Underwriter as set forth in this Section 9, the Closing Date shall be postponed for such period, not exceeding five Business Days, as the Representatives shall determine in order that the required changes in the Registration Statement and the Final Prospectus or in any other documents or arrangements may be effected. Nothing contained in</w:t>
      </w:r>
    </w:p>
    <w:p>
      <w:pPr>
        <w:spacing w:after="0" w:line="198" w:lineRule="exact"/>
        <w:rPr>
          <w:rFonts w:ascii="Courier New" w:cs="Courier New" w:eastAsia="Courier New" w:hAnsi="Courier New"/>
          <w:sz w:val="16"/>
          <w:szCs w:val="16"/>
          <w:color w:val="auto"/>
        </w:rPr>
      </w:pPr>
    </w:p>
    <w:p>
      <w:pPr>
        <w:ind w:left="7361" w:hanging="190"/>
        <w:spacing w:after="0"/>
        <w:tabs>
          <w:tab w:leader="none" w:pos="7361" w:val="left"/>
        </w:tabs>
        <w:numPr>
          <w:ilvl w:val="2"/>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21 -</w:t>
      </w:r>
    </w:p>
    <w:p>
      <w:pPr>
        <w:sectPr>
          <w:pgSz w:w="11900" w:h="16838" w:orient="portrait"/>
          <w:cols w:equalWidth="0" w:num="1">
            <w:col w:w="10220"/>
          </w:cols>
          <w:pgMar w:left="239" w:top="303" w:right="1440" w:bottom="1440" w:gutter="0" w:footer="0" w:header="0"/>
        </w:sectPr>
      </w:pPr>
    </w:p>
    <w:bookmarkStart w:id="25" w:name="page26"/>
    <w:bookmarkEnd w:id="25"/>
    <w:p>
      <w:pPr>
        <w:ind w:left="301"/>
        <w:spacing w:after="0"/>
        <w:rPr>
          <w:sz w:val="20"/>
          <w:szCs w:val="20"/>
          <w:color w:val="auto"/>
        </w:rPr>
      </w:pPr>
      <w:r>
        <w:rPr>
          <w:rFonts w:ascii="Courier New" w:cs="Courier New" w:eastAsia="Courier New" w:hAnsi="Courier New"/>
          <w:sz w:val="16"/>
          <w:szCs w:val="16"/>
          <w:color w:val="auto"/>
        </w:rPr>
        <w:t>22</w:t>
      </w:r>
    </w:p>
    <w:p>
      <w:pPr>
        <w:spacing w:after="0" w:line="191"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this Agreement shall relieve any defaulting Underwriter of its liability, if any, to the Company and any nondefaulting Underwriter for damages occasioned by its default hereunder.</w:t>
      </w:r>
    </w:p>
    <w:p>
      <w:pPr>
        <w:spacing w:after="0" w:line="186" w:lineRule="exact"/>
        <w:rPr>
          <w:sz w:val="20"/>
          <w:szCs w:val="20"/>
          <w:color w:val="auto"/>
        </w:rPr>
      </w:pPr>
    </w:p>
    <w:p>
      <w:pPr>
        <w:ind w:left="1" w:right="2459" w:firstLine="871"/>
        <w:spacing w:after="0" w:line="246" w:lineRule="auto"/>
        <w:tabs>
          <w:tab w:leader="none" w:pos="126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This Agreement shall be subject to termination in the absolute discretion of the Representatives, by notice given to the Company prior to delivery of and payment for the Securities, if at any time prior to such time</w:t>
      </w:r>
    </w:p>
    <w:p>
      <w:pPr>
        <w:spacing w:after="0" w:line="1" w:lineRule="exact"/>
        <w:rPr>
          <w:rFonts w:ascii="Courier New" w:cs="Courier New" w:eastAsia="Courier New" w:hAnsi="Courier New"/>
          <w:sz w:val="16"/>
          <w:szCs w:val="16"/>
          <w:color w:val="auto"/>
        </w:rPr>
      </w:pPr>
    </w:p>
    <w:p>
      <w:pPr>
        <w:ind w:left="1" w:right="2559" w:hanging="1"/>
        <w:spacing w:after="0" w:line="246" w:lineRule="auto"/>
        <w:tabs>
          <w:tab w:leader="none" w:pos="38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trading in the Company's Common Stock shall have been suspended by the Commission, (ii) trading in securities generally on the New York Stock Exchange shall have been suspended or limited or minimum prices shall have been established on such Exchange, (iii) a banking moratorium shall have been declared either by Federal or New York State authorities or (iv) there shall have occurred any material change in the financial markets or any outbreak or escalation of hostilities,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the Final Prospectus (exclusive of any supplement thereto).</w:t>
      </w:r>
    </w:p>
    <w:p>
      <w:pPr>
        <w:spacing w:after="0" w:line="193" w:lineRule="exact"/>
        <w:rPr>
          <w:rFonts w:ascii="Courier New" w:cs="Courier New" w:eastAsia="Courier New" w:hAnsi="Courier New"/>
          <w:sz w:val="16"/>
          <w:szCs w:val="16"/>
          <w:color w:val="auto"/>
        </w:rPr>
      </w:pPr>
    </w:p>
    <w:p>
      <w:pPr>
        <w:ind w:left="1" w:right="2459" w:firstLine="871"/>
        <w:spacing w:after="0" w:line="246" w:lineRule="auto"/>
        <w:tabs>
          <w:tab w:leader="none" w:pos="126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Indemnities to Survive. The respective agreements, representations, warranties, indemnities and other statements of the Company or its officers and of the Underwriters set forth in or made pursuant to this Agreement will remain in full force and effect, regardless of any investigation made by or on behalf of any Underwriter or the Company or any of the officers, directors, employees, agents or controlling persons referred to in Section 8 hereof, and will survive delivery of and payment for the Securities. The provisions of Sections 7 and 8 hereof shall survive the termination or cancellation of this Agreement.</w:t>
      </w:r>
    </w:p>
    <w:p>
      <w:pPr>
        <w:spacing w:after="0" w:line="191" w:lineRule="exact"/>
        <w:rPr>
          <w:rFonts w:ascii="Courier New" w:cs="Courier New" w:eastAsia="Courier New" w:hAnsi="Courier New"/>
          <w:sz w:val="16"/>
          <w:szCs w:val="16"/>
          <w:color w:val="auto"/>
        </w:rPr>
      </w:pPr>
    </w:p>
    <w:p>
      <w:pPr>
        <w:ind w:left="1" w:right="2459" w:firstLine="871"/>
        <w:spacing w:after="0" w:line="246" w:lineRule="auto"/>
        <w:tabs>
          <w:tab w:leader="none" w:pos="126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communications hereunder will be in writing and effective only on receipt, and, if sent to the Representatives, will be mailed, delivered or telefaxed to the Salomon Smith Barney Inc. General Counsel (fax no.: (212) 816-7912) and confirmed to the General Counsel, Salomon Smith Barney Inc., at 388 Greenwich Street, New York, New York 10013, Attention: General Counsel; or, if sent to the Company, will be mailed, delivered or telefaxed to the Waste Management, Inc. General Counsel (fax no.: 713-209-9710) and confirmed to it at 1001 Fannin, Suite 4000, attention of the Legal Department.</w:t>
      </w:r>
    </w:p>
    <w:p>
      <w:pPr>
        <w:spacing w:after="0" w:line="190" w:lineRule="exact"/>
        <w:rPr>
          <w:rFonts w:ascii="Courier New" w:cs="Courier New" w:eastAsia="Courier New" w:hAnsi="Courier New"/>
          <w:sz w:val="16"/>
          <w:szCs w:val="16"/>
          <w:color w:val="auto"/>
        </w:rPr>
      </w:pPr>
    </w:p>
    <w:p>
      <w:pPr>
        <w:ind w:left="1" w:right="2759" w:firstLine="871"/>
        <w:spacing w:after="0" w:line="247" w:lineRule="auto"/>
        <w:tabs>
          <w:tab w:leader="none" w:pos="126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85" w:lineRule="exact"/>
        <w:rPr>
          <w:rFonts w:ascii="Courier New" w:cs="Courier New" w:eastAsia="Courier New" w:hAnsi="Courier New"/>
          <w:sz w:val="16"/>
          <w:szCs w:val="16"/>
          <w:color w:val="auto"/>
        </w:rPr>
      </w:pPr>
    </w:p>
    <w:p>
      <w:pPr>
        <w:ind w:left="1" w:right="2459" w:firstLine="871"/>
        <w:spacing w:after="0" w:line="247" w:lineRule="auto"/>
        <w:tabs>
          <w:tab w:leader="none" w:pos="126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Law. This Agreement will be governed by and construed in accordance with the laws of the State of New York applicable to contracts made and to be performed within the State of New York.</w:t>
      </w:r>
    </w:p>
    <w:p>
      <w:pPr>
        <w:spacing w:after="0" w:line="185" w:lineRule="exact"/>
        <w:rPr>
          <w:rFonts w:ascii="Courier New" w:cs="Courier New" w:eastAsia="Courier New" w:hAnsi="Courier New"/>
          <w:sz w:val="16"/>
          <w:szCs w:val="16"/>
          <w:color w:val="auto"/>
        </w:rPr>
      </w:pPr>
    </w:p>
    <w:p>
      <w:pPr>
        <w:ind w:left="1" w:right="3139" w:firstLine="871"/>
        <w:spacing w:after="0" w:line="247" w:lineRule="auto"/>
        <w:tabs>
          <w:tab w:leader="none" w:pos="126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signed in one or more counterparts, each of which shall constitute an original and all of which together shall constitute one and the same agreement.</w:t>
      </w:r>
    </w:p>
    <w:p>
      <w:pPr>
        <w:spacing w:after="0" w:line="185" w:lineRule="exact"/>
        <w:rPr>
          <w:rFonts w:ascii="Courier New" w:cs="Courier New" w:eastAsia="Courier New" w:hAnsi="Courier New"/>
          <w:sz w:val="16"/>
          <w:szCs w:val="16"/>
          <w:color w:val="auto"/>
        </w:rPr>
      </w:pPr>
    </w:p>
    <w:p>
      <w:pPr>
        <w:ind w:left="1" w:right="2459" w:firstLine="871"/>
        <w:spacing w:after="0" w:line="248" w:lineRule="auto"/>
        <w:tabs>
          <w:tab w:leader="none" w:pos="126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The section headings used herein are for convenience only and shall not affect the construction hereof.</w:t>
      </w:r>
    </w:p>
    <w:p>
      <w:pPr>
        <w:spacing w:after="0" w:line="184" w:lineRule="exact"/>
        <w:rPr>
          <w:rFonts w:ascii="Courier New" w:cs="Courier New" w:eastAsia="Courier New" w:hAnsi="Courier New"/>
          <w:sz w:val="16"/>
          <w:szCs w:val="16"/>
          <w:color w:val="auto"/>
        </w:rPr>
      </w:pPr>
    </w:p>
    <w:p>
      <w:pPr>
        <w:ind w:left="7361" w:hanging="190"/>
        <w:spacing w:after="0"/>
        <w:tabs>
          <w:tab w:leader="none" w:pos="7361" w:val="left"/>
        </w:tabs>
        <w:numPr>
          <w:ilvl w:val="2"/>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22 -</w:t>
      </w:r>
    </w:p>
    <w:p>
      <w:pPr>
        <w:sectPr>
          <w:pgSz w:w="11900" w:h="16838" w:orient="portrait"/>
          <w:cols w:equalWidth="0" w:num="1">
            <w:col w:w="10220"/>
          </w:cols>
          <w:pgMar w:left="239" w:top="303"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23</w:t>
      </w:r>
    </w:p>
    <w:p>
      <w:pPr>
        <w:spacing w:after="0" w:line="191" w:lineRule="exact"/>
        <w:rPr>
          <w:sz w:val="20"/>
          <w:szCs w:val="20"/>
          <w:color w:val="auto"/>
        </w:rPr>
      </w:pPr>
    </w:p>
    <w:p>
      <w:pPr>
        <w:ind w:right="2659" w:firstLine="871"/>
        <w:spacing w:after="0" w:line="248" w:lineRule="auto"/>
        <w:tabs>
          <w:tab w:leader="none" w:pos="12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The terms which follow, when used in this Agreement, shall have the meanings indicated.</w:t>
      </w:r>
    </w:p>
    <w:p>
      <w:pPr>
        <w:spacing w:after="0" w:line="184" w:lineRule="exact"/>
        <w:rPr>
          <w:sz w:val="20"/>
          <w:szCs w:val="20"/>
          <w:color w:val="auto"/>
        </w:rPr>
      </w:pPr>
    </w:p>
    <w:p>
      <w:pPr>
        <w:ind w:left="880" w:right="2659" w:firstLine="872"/>
        <w:spacing w:after="0" w:line="248" w:lineRule="auto"/>
        <w:rPr>
          <w:sz w:val="20"/>
          <w:szCs w:val="20"/>
          <w:color w:val="auto"/>
        </w:rPr>
      </w:pPr>
      <w:r>
        <w:rPr>
          <w:rFonts w:ascii="Courier New" w:cs="Courier New" w:eastAsia="Courier New" w:hAnsi="Courier New"/>
          <w:sz w:val="16"/>
          <w:szCs w:val="16"/>
          <w:color w:val="auto"/>
        </w:rPr>
        <w:t>"Act" shall mean the Securities Act of 1933, as amended, and the rules and regulations of the Commission promulgated thereunder.</w:t>
      </w:r>
    </w:p>
    <w:p>
      <w:pPr>
        <w:spacing w:after="0" w:line="184" w:lineRule="exact"/>
        <w:rPr>
          <w:sz w:val="20"/>
          <w:szCs w:val="20"/>
          <w:color w:val="auto"/>
        </w:rPr>
      </w:pPr>
    </w:p>
    <w:p>
      <w:pPr>
        <w:jc w:val="both"/>
        <w:ind w:left="880" w:right="2759" w:firstLine="872"/>
        <w:spacing w:after="0" w:line="247" w:lineRule="auto"/>
        <w:rPr>
          <w:sz w:val="20"/>
          <w:szCs w:val="20"/>
          <w:color w:val="auto"/>
        </w:rPr>
      </w:pPr>
      <w:r>
        <w:rPr>
          <w:rFonts w:ascii="Courier New" w:cs="Courier New" w:eastAsia="Courier New" w:hAnsi="Courier New"/>
          <w:sz w:val="16"/>
          <w:szCs w:val="16"/>
          <w:color w:val="auto"/>
        </w:rPr>
        <w:t>"Basic Prospectus" shall mean the prospectus referred to in paragraph 1(a) above contained in the Registration Statement at the Effective Date including any Preliminary Final Prospectus.</w:t>
      </w:r>
    </w:p>
    <w:p>
      <w:pPr>
        <w:spacing w:after="0" w:line="186" w:lineRule="exact"/>
        <w:rPr>
          <w:sz w:val="20"/>
          <w:szCs w:val="20"/>
          <w:color w:val="auto"/>
        </w:rPr>
      </w:pPr>
    </w:p>
    <w:p>
      <w:pPr>
        <w:ind w:left="880" w:right="2459" w:firstLine="872"/>
        <w:spacing w:after="0" w:line="247" w:lineRule="auto"/>
        <w:rPr>
          <w:sz w:val="20"/>
          <w:szCs w:val="20"/>
          <w:color w:val="auto"/>
        </w:rPr>
      </w:pPr>
      <w:r>
        <w:rPr>
          <w:rFonts w:ascii="Courier New" w:cs="Courier New" w:eastAsia="Courier New" w:hAnsi="Courier New"/>
          <w:sz w:val="16"/>
          <w:szCs w:val="16"/>
          <w:color w:val="auto"/>
        </w:rPr>
        <w:t>"Business Day" shall mean any day other than a Saturday, a Sunday or a legal holiday or a day on which banking institutions or trust companies are authorized or obligated by law to close in New York City or Houston, Texas.</w:t>
      </w:r>
    </w:p>
    <w:p>
      <w:pPr>
        <w:spacing w:after="0" w:line="186" w:lineRule="exact"/>
        <w:rPr>
          <w:sz w:val="20"/>
          <w:szCs w:val="20"/>
          <w:color w:val="auto"/>
        </w:rPr>
      </w:pPr>
    </w:p>
    <w:p>
      <w:pPr>
        <w:ind w:left="880" w:right="3539" w:firstLine="872"/>
        <w:spacing w:after="0" w:line="248" w:lineRule="auto"/>
        <w:rPr>
          <w:sz w:val="20"/>
          <w:szCs w:val="20"/>
          <w:color w:val="auto"/>
        </w:rPr>
      </w:pPr>
      <w:r>
        <w:rPr>
          <w:rFonts w:ascii="Courier New" w:cs="Courier New" w:eastAsia="Courier New" w:hAnsi="Courier New"/>
          <w:sz w:val="16"/>
          <w:szCs w:val="16"/>
          <w:color w:val="auto"/>
        </w:rPr>
        <w:t>"Commission" shall mean the Securities and Exchange Commission.</w:t>
      </w:r>
    </w:p>
    <w:p>
      <w:pPr>
        <w:spacing w:after="0" w:line="184" w:lineRule="exact"/>
        <w:rPr>
          <w:sz w:val="20"/>
          <w:szCs w:val="20"/>
          <w:color w:val="auto"/>
        </w:rPr>
      </w:pPr>
    </w:p>
    <w:p>
      <w:pPr>
        <w:ind w:left="880" w:right="2859" w:firstLine="872"/>
        <w:spacing w:after="0" w:line="247" w:lineRule="auto"/>
        <w:rPr>
          <w:sz w:val="20"/>
          <w:szCs w:val="20"/>
          <w:color w:val="auto"/>
        </w:rPr>
      </w:pPr>
      <w:r>
        <w:rPr>
          <w:rFonts w:ascii="Courier New" w:cs="Courier New" w:eastAsia="Courier New" w:hAnsi="Courier New"/>
          <w:sz w:val="16"/>
          <w:szCs w:val="16"/>
          <w:color w:val="auto"/>
        </w:rPr>
        <w:t>"Effective Date" shall mean each date and time that the Registration Statement, any post-effective amendment or amendments thereto and any Rule 462(b) Registration Statement became or become effective.</w:t>
      </w:r>
    </w:p>
    <w:p>
      <w:pPr>
        <w:spacing w:after="0" w:line="186" w:lineRule="exact"/>
        <w:rPr>
          <w:sz w:val="20"/>
          <w:szCs w:val="20"/>
          <w:color w:val="auto"/>
        </w:rPr>
      </w:pPr>
    </w:p>
    <w:p>
      <w:pPr>
        <w:jc w:val="both"/>
        <w:ind w:left="880" w:right="2459" w:firstLine="872"/>
        <w:spacing w:after="0" w:line="247" w:lineRule="auto"/>
        <w:rPr>
          <w:sz w:val="20"/>
          <w:szCs w:val="20"/>
          <w:color w:val="auto"/>
        </w:rPr>
      </w:pPr>
      <w:r>
        <w:rPr>
          <w:rFonts w:ascii="Courier New" w:cs="Courier New" w:eastAsia="Courier New" w:hAnsi="Courier New"/>
          <w:sz w:val="16"/>
          <w:szCs w:val="16"/>
          <w:color w:val="auto"/>
        </w:rPr>
        <w:t>"Exchange Act" shall mean the Securities Exchange Act of 1934, as amended, and the rules and regulations of the Commission promulgated thereunder.</w:t>
      </w:r>
    </w:p>
    <w:p>
      <w:pPr>
        <w:spacing w:after="0" w:line="186" w:lineRule="exact"/>
        <w:rPr>
          <w:sz w:val="20"/>
          <w:szCs w:val="20"/>
          <w:color w:val="auto"/>
        </w:rPr>
      </w:pPr>
    </w:p>
    <w:p>
      <w:pPr>
        <w:ind w:left="880" w:right="3139" w:firstLine="872"/>
        <w:spacing w:after="0" w:line="248" w:lineRule="auto"/>
        <w:rPr>
          <w:sz w:val="20"/>
          <w:szCs w:val="20"/>
          <w:color w:val="auto"/>
        </w:rPr>
      </w:pPr>
      <w:r>
        <w:rPr>
          <w:rFonts w:ascii="Courier New" w:cs="Courier New" w:eastAsia="Courier New" w:hAnsi="Courier New"/>
          <w:sz w:val="16"/>
          <w:szCs w:val="16"/>
          <w:color w:val="auto"/>
        </w:rPr>
        <w:t>"Execution Time" shall mean the date and time that this Agreement is executed and delivered by the parties hereto.</w:t>
      </w:r>
    </w:p>
    <w:p>
      <w:pPr>
        <w:spacing w:after="0" w:line="184" w:lineRule="exact"/>
        <w:rPr>
          <w:sz w:val="20"/>
          <w:szCs w:val="20"/>
          <w:color w:val="auto"/>
        </w:rPr>
      </w:pPr>
    </w:p>
    <w:p>
      <w:pPr>
        <w:ind w:left="880" w:right="2459" w:firstLine="872"/>
        <w:spacing w:after="0" w:line="247" w:lineRule="auto"/>
        <w:rPr>
          <w:sz w:val="20"/>
          <w:szCs w:val="20"/>
          <w:color w:val="auto"/>
        </w:rPr>
      </w:pPr>
      <w:r>
        <w:rPr>
          <w:rFonts w:ascii="Courier New" w:cs="Courier New" w:eastAsia="Courier New" w:hAnsi="Courier New"/>
          <w:sz w:val="16"/>
          <w:szCs w:val="16"/>
          <w:color w:val="auto"/>
        </w:rPr>
        <w:t>"Final Prospectus" shall mean the prospectus supplement relating to the Securities that was first filed pursuant to Rule 424(b) after the Execution Time, together with the Basic Prospectus.</w:t>
      </w:r>
    </w:p>
    <w:p>
      <w:pPr>
        <w:spacing w:after="0" w:line="186" w:lineRule="exact"/>
        <w:rPr>
          <w:sz w:val="20"/>
          <w:szCs w:val="20"/>
          <w:color w:val="auto"/>
        </w:rPr>
      </w:pPr>
    </w:p>
    <w:p>
      <w:pPr>
        <w:ind w:left="880" w:right="2659" w:firstLine="872"/>
        <w:spacing w:after="0" w:line="248" w:lineRule="auto"/>
        <w:rPr>
          <w:sz w:val="20"/>
          <w:szCs w:val="20"/>
          <w:color w:val="auto"/>
        </w:rPr>
      </w:pPr>
      <w:r>
        <w:rPr>
          <w:rFonts w:ascii="Courier New" w:cs="Courier New" w:eastAsia="Courier New" w:hAnsi="Courier New"/>
          <w:sz w:val="16"/>
          <w:szCs w:val="16"/>
          <w:color w:val="auto"/>
        </w:rPr>
        <w:t>"1935 Act" shall mean the Public Utility Holding Company Act of 1935, as amended.</w:t>
      </w:r>
    </w:p>
    <w:p>
      <w:pPr>
        <w:spacing w:after="0" w:line="184" w:lineRule="exact"/>
        <w:rPr>
          <w:sz w:val="20"/>
          <w:szCs w:val="20"/>
          <w:color w:val="auto"/>
        </w:rPr>
      </w:pPr>
    </w:p>
    <w:p>
      <w:pPr>
        <w:ind w:left="880" w:right="2559" w:firstLine="872"/>
        <w:spacing w:after="0" w:line="247" w:lineRule="auto"/>
        <w:rPr>
          <w:sz w:val="20"/>
          <w:szCs w:val="20"/>
          <w:color w:val="auto"/>
        </w:rPr>
      </w:pPr>
      <w:r>
        <w:rPr>
          <w:rFonts w:ascii="Courier New" w:cs="Courier New" w:eastAsia="Courier New" w:hAnsi="Courier New"/>
          <w:sz w:val="16"/>
          <w:szCs w:val="16"/>
          <w:color w:val="auto"/>
        </w:rPr>
        <w:t>"Preliminary Final Prospectus" shall mean any preliminary prospectus supplement to the Basic Prospectus which describes the Securities and the offering thereof and is used prior to filing of the Final Prospectus, together with the Basic Prospectus.</w:t>
      </w:r>
    </w:p>
    <w:p>
      <w:pPr>
        <w:spacing w:after="0" w:line="186" w:lineRule="exact"/>
        <w:rPr>
          <w:sz w:val="20"/>
          <w:szCs w:val="20"/>
          <w:color w:val="auto"/>
        </w:rPr>
      </w:pPr>
    </w:p>
    <w:p>
      <w:pPr>
        <w:ind w:left="880" w:right="2459" w:firstLine="872"/>
        <w:spacing w:after="0" w:line="246" w:lineRule="auto"/>
        <w:rPr>
          <w:sz w:val="20"/>
          <w:szCs w:val="20"/>
          <w:color w:val="auto"/>
        </w:rPr>
      </w:pPr>
      <w:r>
        <w:rPr>
          <w:rFonts w:ascii="Courier New" w:cs="Courier New" w:eastAsia="Courier New" w:hAnsi="Courier New"/>
          <w:sz w:val="16"/>
          <w:szCs w:val="16"/>
          <w:color w:val="auto"/>
        </w:rPr>
        <w:t>"Registration Statement" shall mean the registration statement referred to in paragraph 1(a) above, including exhibits and financial statements, as amended at the Execution Time (or, if not effective at the Execution Time, in the form in which it shall become effective) and, in the event any post-effective amendment thereto or any Rule 462(b) Registration Statement becomes effective prior to the Closing Date, shall also mean such registration statement as so amended or such Rule 462(b) Registration Statement, as the case may be. Such term shall include any Rule 430A Information deemed to be included therein at the Effective Date as provided by Rule 430A.</w:t>
      </w:r>
    </w:p>
    <w:p>
      <w:pPr>
        <w:spacing w:after="0" w:line="192"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- 23 -</w:t>
      </w:r>
    </w:p>
    <w:p>
      <w:pPr>
        <w:sectPr>
          <w:pgSz w:w="11900" w:h="16838" w:orient="portrait"/>
          <w:cols w:equalWidth="0" w:num="1">
            <w:col w:w="10219"/>
          </w:cols>
          <w:pgMar w:left="240" w:top="303"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24</w:t>
      </w:r>
    </w:p>
    <w:p>
      <w:pPr>
        <w:spacing w:after="0" w:line="191" w:lineRule="exact"/>
        <w:rPr>
          <w:sz w:val="20"/>
          <w:szCs w:val="20"/>
          <w:color w:val="auto"/>
        </w:rPr>
      </w:pPr>
    </w:p>
    <w:p>
      <w:pPr>
        <w:ind w:left="580" w:right="2759" w:firstLine="872"/>
        <w:spacing w:after="0" w:line="248" w:lineRule="auto"/>
        <w:rPr>
          <w:sz w:val="20"/>
          <w:szCs w:val="20"/>
          <w:color w:val="auto"/>
        </w:rPr>
      </w:pPr>
      <w:r>
        <w:rPr>
          <w:rFonts w:ascii="Courier New" w:cs="Courier New" w:eastAsia="Courier New" w:hAnsi="Courier New"/>
          <w:sz w:val="16"/>
          <w:szCs w:val="16"/>
          <w:color w:val="auto"/>
        </w:rPr>
        <w:t>"Rule 415," "Rule 424," "Rule 430A" and "Rule 462" refer to such rules under the Act.</w:t>
      </w:r>
    </w:p>
    <w:p>
      <w:pPr>
        <w:spacing w:after="0" w:line="184" w:lineRule="exact"/>
        <w:rPr>
          <w:sz w:val="20"/>
          <w:szCs w:val="20"/>
          <w:color w:val="auto"/>
        </w:rPr>
      </w:pPr>
    </w:p>
    <w:p>
      <w:pPr>
        <w:ind w:left="580" w:right="2459" w:firstLine="872"/>
        <w:spacing w:after="0" w:line="247" w:lineRule="auto"/>
        <w:rPr>
          <w:sz w:val="20"/>
          <w:szCs w:val="20"/>
          <w:color w:val="auto"/>
        </w:rPr>
      </w:pPr>
      <w:r>
        <w:rPr>
          <w:rFonts w:ascii="Courier New" w:cs="Courier New" w:eastAsia="Courier New" w:hAnsi="Courier New"/>
          <w:sz w:val="16"/>
          <w:szCs w:val="16"/>
          <w:color w:val="auto"/>
        </w:rPr>
        <w:t>"Rule 430A Information" shall mean information with respect to the Securities and the offering thereof permitted to be omitted from the Registration Statement when it becomes effective pursuant to Rule 430A.</w:t>
      </w:r>
    </w:p>
    <w:p>
      <w:pPr>
        <w:spacing w:after="0" w:line="186" w:lineRule="exact"/>
        <w:rPr>
          <w:sz w:val="20"/>
          <w:szCs w:val="20"/>
          <w:color w:val="auto"/>
        </w:rPr>
      </w:pPr>
    </w:p>
    <w:p>
      <w:pPr>
        <w:ind w:left="580" w:right="2459" w:firstLine="872"/>
        <w:spacing w:after="0" w:line="247" w:lineRule="auto"/>
        <w:rPr>
          <w:sz w:val="20"/>
          <w:szCs w:val="20"/>
          <w:color w:val="auto"/>
        </w:rPr>
      </w:pPr>
      <w:r>
        <w:rPr>
          <w:rFonts w:ascii="Courier New" w:cs="Courier New" w:eastAsia="Courier New" w:hAnsi="Courier New"/>
          <w:sz w:val="16"/>
          <w:szCs w:val="16"/>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186" w:lineRule="exact"/>
        <w:rPr>
          <w:sz w:val="20"/>
          <w:szCs w:val="20"/>
          <w:color w:val="auto"/>
        </w:rPr>
      </w:pPr>
    </w:p>
    <w:p>
      <w:pPr>
        <w:ind w:left="580" w:right="2759" w:firstLine="872"/>
        <w:spacing w:after="0" w:line="247" w:lineRule="auto"/>
        <w:rPr>
          <w:sz w:val="20"/>
          <w:szCs w:val="20"/>
          <w:color w:val="auto"/>
        </w:rPr>
      </w:pPr>
      <w:r>
        <w:rPr>
          <w:rFonts w:ascii="Courier New" w:cs="Courier New" w:eastAsia="Courier New" w:hAnsi="Courier New"/>
          <w:sz w:val="16"/>
          <w:szCs w:val="16"/>
          <w:color w:val="auto"/>
        </w:rPr>
        <w:t>"Trust Indenture Act" shall mean the Trust Indenture Act of 1939, as amended and the rules and regulations of the Commission promulgated thereunder.</w:t>
      </w:r>
    </w:p>
    <w:p>
      <w:pPr>
        <w:spacing w:after="0" w:line="186" w:lineRule="exact"/>
        <w:rPr>
          <w:sz w:val="20"/>
          <w:szCs w:val="20"/>
          <w:color w:val="auto"/>
        </w:rPr>
      </w:pPr>
    </w:p>
    <w:p>
      <w:pPr>
        <w:ind w:left="-300" w:right="2559" w:firstLine="871"/>
        <w:spacing w:after="0" w:line="247" w:lineRule="auto"/>
        <w:tabs>
          <w:tab w:leader="none" w:pos="9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to Representation. The Company and the Underwriters acknowledge that Vinson &amp; Elkins L.L.P., which is acting as counsel to the Underwriters in connection with the offer and sale of the Securities, also acts as counsel from time to time to the Company and certain of its affiliates in connection with unrelated matters. The Company and the Underwriters consent to Vinson &amp; Elkins L.L.P. so acting as counsel to the Underwriters.</w:t>
      </w:r>
    </w:p>
    <w:p>
      <w:pPr>
        <w:spacing w:after="0" w:line="185" w:lineRule="exact"/>
        <w:rPr>
          <w:rFonts w:ascii="Courier New" w:cs="Courier New" w:eastAsia="Courier New" w:hAnsi="Courier New"/>
          <w:sz w:val="16"/>
          <w:szCs w:val="16"/>
          <w:color w:val="auto"/>
        </w:rPr>
      </w:pPr>
    </w:p>
    <w:p>
      <w:pPr>
        <w:ind w:left="7060" w:hanging="190"/>
        <w:spacing w:after="0"/>
        <w:tabs>
          <w:tab w:leader="none" w:pos="706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24 -</w:t>
      </w:r>
    </w:p>
    <w:p>
      <w:pPr>
        <w:sectPr>
          <w:pgSz w:w="11900" w:h="16838" w:orient="portrait"/>
          <w:cols w:equalWidth="0" w:num="1">
            <w:col w:w="9919"/>
          </w:cols>
          <w:pgMar w:left="540" w:top="303" w:right="1440"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6"/>
          <w:szCs w:val="16"/>
          <w:color w:val="auto"/>
        </w:rPr>
        <w:t>25</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186"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Very truly yours,</w:t>
      </w:r>
    </w:p>
    <w:p>
      <w:pPr>
        <w:spacing w:after="0" w:line="191"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WASTE MANAGEMENT, INC.</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 Lawrence O'Donnall, III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tab/>
        <w:t>Lawrence O'Donnall, III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Sr. Vice President and</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General Counsel</w:t>
      </w:r>
    </w:p>
    <w:p>
      <w:pPr>
        <w:spacing w:after="0" w:line="200" w:lineRule="exact"/>
        <w:rPr>
          <w:sz w:val="20"/>
          <w:szCs w:val="20"/>
          <w:color w:val="auto"/>
        </w:rPr>
      </w:pPr>
    </w:p>
    <w:p>
      <w:pPr>
        <w:sectPr>
          <w:pgSz w:w="11900" w:h="16838" w:orient="portrait"/>
          <w:cols w:equalWidth="0" w:num="2">
            <w:col w:w="4360" w:space="0"/>
            <w:col w:w="5859"/>
          </w:cols>
          <w:pgMar w:left="240" w:top="303"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FOREGOING AGREEMENT IS HEREBY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CONFIRMED AND ACCEPTED AS OF THE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SPECIFIED IN SCHEDULE I HERETO.</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SALOMON SMITH BARNEY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SUISSE FIRST BOSTON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MERRILL LYNCH, PIERCE, FENNER &amp;</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SMITH INCORPORATED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BANC OF AMERICA SECURITIES LLC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DEUTSCHE BANC ALEX. BROWN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FLEET SECURITIES,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CHASE SECURITIES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LEHMAN BROTHERS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SALOMON SMITH BARNEY INC.</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Graeme A. Gilfillan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00"/>
        <w:spacing w:after="0"/>
        <w:tabs>
          <w:tab w:leader="none" w:pos="860" w:val="left"/>
        </w:tabs>
        <w:rPr>
          <w:sz w:val="20"/>
          <w:szCs w:val="20"/>
          <w:color w:val="auto"/>
        </w:rPr>
      </w:pPr>
      <w:r>
        <w:rPr>
          <w:rFonts w:ascii="Courier New" w:cs="Courier New" w:eastAsia="Courier New" w:hAnsi="Courier New"/>
          <w:sz w:val="16"/>
          <w:szCs w:val="16"/>
          <w:color w:val="auto"/>
        </w:rPr>
        <w:t>Name:</w:t>
        <w:tab/>
        <w:t>Graeme A. Gilfillan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Title: Managing Director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themselves and the other several Underwriters,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any, named in Schedule II to the foregoing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- 25 -</w:t>
      </w:r>
    </w:p>
    <w:p>
      <w:pPr>
        <w:sectPr>
          <w:pgSz w:w="11900" w:h="16838" w:orient="portrait"/>
          <w:cols w:equalWidth="0" w:num="1">
            <w:col w:w="10219"/>
          </w:cols>
          <w:pgMar w:left="240" w:top="303" w:right="1440" w:bottom="1440" w:gutter="0" w:footer="0" w:header="0"/>
          <w:type w:val="continuous"/>
        </w:sectPr>
      </w:pPr>
    </w:p>
    <w:bookmarkStart w:id="29" w:name="page30"/>
    <w:bookmarkEnd w:id="29"/>
    <w:p>
      <w:pPr>
        <w:ind w:left="300"/>
        <w:spacing w:after="0"/>
        <w:rPr>
          <w:sz w:val="20"/>
          <w:szCs w:val="20"/>
          <w:color w:val="auto"/>
        </w:rPr>
      </w:pPr>
      <w:r>
        <w:rPr>
          <w:rFonts w:ascii="Courier New" w:cs="Courier New" w:eastAsia="Courier New" w:hAnsi="Courier New"/>
          <w:sz w:val="16"/>
          <w:szCs w:val="16"/>
          <w:color w:val="auto"/>
        </w:rPr>
        <w:t>26</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SCHEDULE I</w:t>
      </w:r>
    </w:p>
    <w:p>
      <w:pPr>
        <w:spacing w:after="0" w:line="200" w:lineRule="exact"/>
        <w:rPr>
          <w:sz w:val="20"/>
          <w:szCs w:val="20"/>
          <w:color w:val="auto"/>
        </w:rPr>
      </w:pPr>
    </w:p>
    <w:p>
      <w:pPr>
        <w:spacing w:after="0" w:line="364"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6"/>
          <w:szCs w:val="16"/>
          <w:color w:val="auto"/>
        </w:rPr>
        <w:t>Underwriting Agreement dated:</w:t>
        <w:tab/>
        <w:t>February 2, 2001</w:t>
      </w:r>
    </w:p>
    <w:p>
      <w:pPr>
        <w:spacing w:after="0" w:line="191"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Registration Statement No.:</w:t>
        <w:tab/>
        <w:t>333-80063</w:t>
      </w:r>
    </w:p>
    <w:p>
      <w:pPr>
        <w:spacing w:after="0" w:line="191"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6"/>
          <w:szCs w:val="16"/>
          <w:color w:val="auto"/>
        </w:rPr>
        <w:t>Representative(s):</w:t>
        <w:tab/>
        <w:t>Salomon Smith Barney Inc.</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Credit Suisse First Boston Corporation</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Merrill Lynch, Pierce, Fenner &amp; Smith Incorporated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Purchase Price and Description of Securities:</w:t>
      </w:r>
    </w:p>
    <w:p>
      <w:pPr>
        <w:spacing w:after="0" w:line="191" w:lineRule="exact"/>
        <w:rPr>
          <w:sz w:val="20"/>
          <w:szCs w:val="20"/>
          <w:color w:val="auto"/>
        </w:rPr>
      </w:pPr>
    </w:p>
    <w:p>
      <w:pPr>
        <w:ind w:left="880"/>
        <w:spacing w:after="0"/>
        <w:tabs>
          <w:tab w:leader="none" w:pos="1620" w:val="left"/>
        </w:tabs>
        <w:rPr>
          <w:sz w:val="20"/>
          <w:szCs w:val="20"/>
          <w:color w:val="auto"/>
        </w:rPr>
      </w:pPr>
      <w:r>
        <w:rPr>
          <w:rFonts w:ascii="Courier New" w:cs="Courier New" w:eastAsia="Courier New" w:hAnsi="Courier New"/>
          <w:sz w:val="16"/>
          <w:szCs w:val="16"/>
          <w:color w:val="auto"/>
        </w:rPr>
        <w:t>Title:</w:t>
        <w:tab/>
        <w:t>7 3/8% Senior Notes Due 2010</w:t>
      </w:r>
    </w:p>
    <w:p>
      <w:pPr>
        <w:spacing w:after="0" w:line="191" w:lineRule="exact"/>
        <w:rPr>
          <w:sz w:val="20"/>
          <w:szCs w:val="20"/>
          <w:color w:val="auto"/>
        </w:rPr>
      </w:pPr>
    </w:p>
    <w:p>
      <w:pPr>
        <w:ind w:left="880"/>
        <w:spacing w:after="0"/>
        <w:tabs>
          <w:tab w:leader="none" w:pos="2700" w:val="left"/>
        </w:tabs>
        <w:rPr>
          <w:sz w:val="20"/>
          <w:szCs w:val="20"/>
          <w:color w:val="auto"/>
        </w:rPr>
      </w:pPr>
      <w:r>
        <w:rPr>
          <w:rFonts w:ascii="Courier New" w:cs="Courier New" w:eastAsia="Courier New" w:hAnsi="Courier New"/>
          <w:sz w:val="16"/>
          <w:szCs w:val="16"/>
          <w:color w:val="auto"/>
        </w:rPr>
        <w:t>Principal amount:</w:t>
        <w:tab/>
        <w:t>$600,000,000</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Purchase price (include accrued</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interest or amortization, if</w:t>
      </w:r>
    </w:p>
    <w:p>
      <w:pPr>
        <w:spacing w:after="0" w:line="5" w:lineRule="exact"/>
        <w:rPr>
          <w:sz w:val="20"/>
          <w:szCs w:val="20"/>
          <w:color w:val="auto"/>
        </w:rPr>
      </w:pPr>
    </w:p>
    <w:p>
      <w:pPr>
        <w:ind w:left="1060"/>
        <w:spacing w:after="0"/>
        <w:tabs>
          <w:tab w:leader="none" w:pos="3960" w:val="left"/>
        </w:tabs>
        <w:rPr>
          <w:sz w:val="20"/>
          <w:szCs w:val="20"/>
          <w:color w:val="auto"/>
        </w:rPr>
      </w:pPr>
      <w:r>
        <w:rPr>
          <w:rFonts w:ascii="Courier New" w:cs="Courier New" w:eastAsia="Courier New" w:hAnsi="Courier New"/>
          <w:sz w:val="16"/>
          <w:szCs w:val="16"/>
          <w:color w:val="auto"/>
        </w:rPr>
        <w:t>any, from February 9, 2001):</w:t>
        <w:tab/>
        <w:t>98.943%</w:t>
      </w:r>
    </w:p>
    <w:p>
      <w:pPr>
        <w:spacing w:after="0" w:line="191" w:lineRule="exact"/>
        <w:rPr>
          <w:sz w:val="20"/>
          <w:szCs w:val="20"/>
          <w:color w:val="auto"/>
        </w:rPr>
      </w:pPr>
    </w:p>
    <w:p>
      <w:pPr>
        <w:ind w:left="880"/>
        <w:spacing w:after="0"/>
        <w:tabs>
          <w:tab w:leader="none" w:pos="3380" w:val="left"/>
        </w:tabs>
        <w:rPr>
          <w:sz w:val="20"/>
          <w:szCs w:val="20"/>
          <w:color w:val="auto"/>
        </w:rPr>
      </w:pPr>
      <w:r>
        <w:rPr>
          <w:rFonts w:ascii="Courier New" w:cs="Courier New" w:eastAsia="Courier New" w:hAnsi="Courier New"/>
          <w:sz w:val="16"/>
          <w:szCs w:val="16"/>
          <w:color w:val="auto"/>
        </w:rPr>
        <w:t>Sinking fund provisions:</w:t>
      </w:r>
      <w:r>
        <w:rPr>
          <w:sz w:val="20"/>
          <w:szCs w:val="20"/>
          <w:color w:val="auto"/>
        </w:rPr>
        <w:tab/>
      </w:r>
      <w:r>
        <w:rPr>
          <w:rFonts w:ascii="Courier New" w:cs="Courier New" w:eastAsia="Courier New" w:hAnsi="Courier New"/>
          <w:sz w:val="15"/>
          <w:szCs w:val="15"/>
          <w:color w:val="auto"/>
        </w:rPr>
        <w:t>None</w:t>
      </w:r>
    </w:p>
    <w:p>
      <w:pPr>
        <w:spacing w:after="0" w:line="191" w:lineRule="exact"/>
        <w:rPr>
          <w:sz w:val="20"/>
          <w:szCs w:val="20"/>
          <w:color w:val="auto"/>
        </w:rPr>
      </w:pPr>
    </w:p>
    <w:p>
      <w:pPr>
        <w:ind w:left="880"/>
        <w:spacing w:after="0"/>
        <w:tabs>
          <w:tab w:leader="none" w:pos="3180" w:val="left"/>
        </w:tabs>
        <w:rPr>
          <w:sz w:val="20"/>
          <w:szCs w:val="20"/>
          <w:color w:val="auto"/>
        </w:rPr>
      </w:pPr>
      <w:r>
        <w:rPr>
          <w:rFonts w:ascii="Courier New" w:cs="Courier New" w:eastAsia="Courier New" w:hAnsi="Courier New"/>
          <w:sz w:val="16"/>
          <w:szCs w:val="16"/>
          <w:color w:val="auto"/>
        </w:rPr>
        <w:t>Redemption provisions:</w:t>
        <w:tab/>
        <w:t>Make Whole Call + 30bp</w:t>
      </w:r>
    </w:p>
    <w:p>
      <w:pPr>
        <w:spacing w:after="0" w:line="191" w:lineRule="exact"/>
        <w:rPr>
          <w:sz w:val="20"/>
          <w:szCs w:val="20"/>
          <w:color w:val="auto"/>
        </w:rPr>
      </w:pPr>
    </w:p>
    <w:p>
      <w:pPr>
        <w:ind w:left="880"/>
        <w:spacing w:after="0"/>
        <w:tabs>
          <w:tab w:leader="none" w:pos="2700" w:val="left"/>
        </w:tabs>
        <w:rPr>
          <w:sz w:val="20"/>
          <w:szCs w:val="20"/>
          <w:color w:val="auto"/>
        </w:rPr>
      </w:pPr>
      <w:r>
        <w:rPr>
          <w:rFonts w:ascii="Courier New" w:cs="Courier New" w:eastAsia="Courier New" w:hAnsi="Courier New"/>
          <w:sz w:val="16"/>
          <w:szCs w:val="16"/>
          <w:color w:val="auto"/>
        </w:rPr>
        <w:t>Other provisions:</w:t>
        <w:tab/>
        <w:t>As provided in the Indenture</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Closing Date, Time and Location: February 9, 2001 at 9:00 a.m. at the offices of Baker Botts L.L.P., One Shell Plaza, 910 Louisiana Street, Houston, Texas 77002</w:t>
      </w:r>
    </w:p>
    <w:p>
      <w:pPr>
        <w:spacing w:after="0" w:line="186"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6"/>
          <w:szCs w:val="16"/>
          <w:color w:val="auto"/>
        </w:rPr>
        <w:t>Type of Offering:</w:t>
        <w:tab/>
        <w:t>Non-delayed</w:t>
      </w:r>
    </w:p>
    <w:p>
      <w:pPr>
        <w:spacing w:after="0" w:line="191" w:lineRule="exact"/>
        <w:rPr>
          <w:sz w:val="20"/>
          <w:szCs w:val="20"/>
          <w:color w:val="auto"/>
        </w:rPr>
      </w:pPr>
    </w:p>
    <w:p>
      <w:pPr>
        <w:ind w:left="300" w:right="4699" w:hanging="290"/>
        <w:spacing w:after="0" w:line="246" w:lineRule="auto"/>
        <w:rPr>
          <w:sz w:val="20"/>
          <w:szCs w:val="20"/>
          <w:color w:val="auto"/>
        </w:rPr>
      </w:pPr>
      <w:r>
        <w:rPr>
          <w:rFonts w:ascii="Courier New" w:cs="Courier New" w:eastAsia="Courier New" w:hAnsi="Courier New"/>
          <w:sz w:val="16"/>
          <w:szCs w:val="16"/>
          <w:color w:val="auto"/>
        </w:rPr>
        <w:t>Date referred to in Section 5(f) after which the Company may offer or sell debt securities issued or guaranteed</w:t>
      </w:r>
    </w:p>
    <w:p>
      <w:pPr>
        <w:spacing w:after="0" w:line="1" w:lineRule="exact"/>
        <w:rPr>
          <w:sz w:val="20"/>
          <w:szCs w:val="20"/>
          <w:color w:val="auto"/>
        </w:rPr>
      </w:pPr>
    </w:p>
    <w:p>
      <w:pPr>
        <w:ind w:left="300"/>
        <w:spacing w:after="0"/>
        <w:tabs>
          <w:tab w:leader="none" w:pos="6280" w:val="left"/>
        </w:tabs>
        <w:rPr>
          <w:sz w:val="20"/>
          <w:szCs w:val="20"/>
          <w:color w:val="auto"/>
        </w:rPr>
      </w:pPr>
      <w:r>
        <w:rPr>
          <w:rFonts w:ascii="Courier New" w:cs="Courier New" w:eastAsia="Courier New" w:hAnsi="Courier New"/>
          <w:sz w:val="16"/>
          <w:szCs w:val="16"/>
          <w:color w:val="auto"/>
        </w:rPr>
        <w:t>by the Company without the consent of the Representative(s):</w:t>
        <w:tab/>
        <w:t>March 4, 2001</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Modification of items to be covered by the letter from</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Arthur Andersen LLP delivered pursuant to</w:t>
      </w:r>
    </w:p>
    <w:p>
      <w:pPr>
        <w:spacing w:after="0" w:line="5" w:lineRule="exact"/>
        <w:rPr>
          <w:sz w:val="20"/>
          <w:szCs w:val="20"/>
          <w:color w:val="auto"/>
        </w:rPr>
      </w:pPr>
    </w:p>
    <w:p>
      <w:pPr>
        <w:ind w:left="300"/>
        <w:spacing w:after="0"/>
        <w:tabs>
          <w:tab w:leader="none" w:pos="3860" w:val="left"/>
        </w:tabs>
        <w:rPr>
          <w:sz w:val="20"/>
          <w:szCs w:val="20"/>
          <w:color w:val="auto"/>
        </w:rPr>
      </w:pPr>
      <w:r>
        <w:rPr>
          <w:rFonts w:ascii="Courier New" w:cs="Courier New" w:eastAsia="Courier New" w:hAnsi="Courier New"/>
          <w:sz w:val="16"/>
          <w:szCs w:val="16"/>
          <w:color w:val="auto"/>
        </w:rPr>
        <w:t>Section 6(f) at the Execution Time:</w:t>
      </w:r>
      <w:r>
        <w:rPr>
          <w:sz w:val="20"/>
          <w:szCs w:val="20"/>
          <w:color w:val="auto"/>
        </w:rPr>
        <w:tab/>
      </w:r>
      <w:r>
        <w:rPr>
          <w:rFonts w:ascii="Courier New" w:cs="Courier New" w:eastAsia="Courier New" w:hAnsi="Courier New"/>
          <w:sz w:val="15"/>
          <w:szCs w:val="15"/>
          <w:color w:val="auto"/>
        </w:rPr>
        <w:t>None</w:t>
      </w:r>
    </w:p>
    <w:p>
      <w:pPr>
        <w:sectPr>
          <w:pgSz w:w="11900" w:h="16838" w:orient="portrait"/>
          <w:cols w:equalWidth="0" w:num="1">
            <w:col w:w="10219"/>
          </w:cols>
          <w:pgMar w:left="240" w:top="303"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27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160" w:type="dxa"/>
            <w:vAlign w:val="bottom"/>
          </w:tcPr>
          <w:p>
            <w:pPr>
              <w:ind w:left="3400"/>
              <w:spacing w:after="0"/>
              <w:rPr>
                <w:sz w:val="20"/>
                <w:szCs w:val="20"/>
                <w:color w:val="auto"/>
              </w:rPr>
            </w:pPr>
            <w:r>
              <w:rPr>
                <w:rFonts w:ascii="Courier New" w:cs="Courier New" w:eastAsia="Courier New" w:hAnsi="Courier New"/>
                <w:sz w:val="16"/>
                <w:szCs w:val="16"/>
                <w:color w:val="auto"/>
              </w:rPr>
              <w:t>SCHEDULE II</w:t>
            </w:r>
          </w:p>
        </w:tc>
        <w:tc>
          <w:tcPr>
            <w:tcW w:w="44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745"/>
        </w:trPr>
        <w:tc>
          <w:tcPr>
            <w:tcW w:w="9160" w:type="dxa"/>
            <w:vAlign w:val="bottom"/>
          </w:tcPr>
          <w:p>
            <w:pPr>
              <w:spacing w:after="0"/>
              <w:rPr>
                <w:sz w:val="24"/>
                <w:szCs w:val="24"/>
                <w:color w:val="auto"/>
              </w:rPr>
            </w:pPr>
          </w:p>
        </w:tc>
        <w:tc>
          <w:tcPr>
            <w:tcW w:w="21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PRINCIPAL AMOUNT</w:t>
            </w:r>
          </w:p>
        </w:tc>
      </w:tr>
      <w:tr>
        <w:trPr>
          <w:trHeight w:val="186"/>
        </w:trPr>
        <w:tc>
          <w:tcPr>
            <w:tcW w:w="9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4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9"/>
              </w:rPr>
              <w:t>OF SECURITIES</w:t>
            </w:r>
          </w:p>
        </w:tc>
      </w:tr>
      <w:tr>
        <w:trPr>
          <w:trHeight w:val="186"/>
        </w:trPr>
        <w:tc>
          <w:tcPr>
            <w:tcW w:w="9160" w:type="dxa"/>
            <w:vAlign w:val="bottom"/>
          </w:tcPr>
          <w:p>
            <w:pPr>
              <w:spacing w:after="0"/>
              <w:rPr>
                <w:sz w:val="20"/>
                <w:szCs w:val="20"/>
                <w:color w:val="auto"/>
              </w:rPr>
            </w:pPr>
            <w:r>
              <w:rPr>
                <w:rFonts w:ascii="Courier New" w:cs="Courier New" w:eastAsia="Courier New" w:hAnsi="Courier New"/>
                <w:sz w:val="16"/>
                <w:szCs w:val="16"/>
                <w:color w:val="auto"/>
              </w:rPr>
              <w:t>UNDERWRITERS</w:t>
            </w:r>
          </w:p>
        </w:tc>
        <w:tc>
          <w:tcPr>
            <w:tcW w:w="21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TO BE PURCHASED</w:t>
            </w:r>
          </w:p>
        </w:tc>
      </w:tr>
      <w:tr>
        <w:trPr>
          <w:trHeight w:val="186"/>
        </w:trPr>
        <w:tc>
          <w:tcPr>
            <w:tcW w:w="91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18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9160" w:type="dxa"/>
            <w:vAlign w:val="bottom"/>
          </w:tcPr>
          <w:p>
            <w:pPr>
              <w:spacing w:after="0"/>
              <w:rPr>
                <w:sz w:val="20"/>
                <w:szCs w:val="20"/>
                <w:color w:val="auto"/>
              </w:rPr>
            </w:pPr>
            <w:r>
              <w:rPr>
                <w:rFonts w:ascii="Courier New" w:cs="Courier New" w:eastAsia="Courier New" w:hAnsi="Courier New"/>
                <w:sz w:val="16"/>
                <w:szCs w:val="16"/>
                <w:color w:val="auto"/>
              </w:rPr>
              <w:t>Salomon Smith Barney Inc. ..................................................................</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17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160,000,000</w:t>
            </w:r>
          </w:p>
        </w:tc>
      </w:tr>
      <w:tr>
        <w:trPr>
          <w:trHeight w:val="186"/>
        </w:trPr>
        <w:tc>
          <w:tcPr>
            <w:tcW w:w="9160" w:type="dxa"/>
            <w:vAlign w:val="bottom"/>
          </w:tcPr>
          <w:p>
            <w:pPr>
              <w:spacing w:after="0"/>
              <w:rPr>
                <w:sz w:val="20"/>
                <w:szCs w:val="20"/>
                <w:color w:val="auto"/>
              </w:rPr>
            </w:pPr>
            <w:r>
              <w:rPr>
                <w:rFonts w:ascii="Courier New" w:cs="Courier New" w:eastAsia="Courier New" w:hAnsi="Courier New"/>
                <w:sz w:val="16"/>
                <w:szCs w:val="16"/>
                <w:color w:val="auto"/>
              </w:rPr>
              <w:t>Credit Suisse First Boston Corporation .....................................................</w:t>
            </w:r>
          </w:p>
        </w:tc>
        <w:tc>
          <w:tcPr>
            <w:tcW w:w="440" w:type="dxa"/>
            <w:vAlign w:val="bottom"/>
          </w:tcPr>
          <w:p>
            <w:pPr>
              <w:spacing w:after="0"/>
              <w:rPr>
                <w:sz w:val="16"/>
                <w:szCs w:val="16"/>
                <w:color w:val="auto"/>
              </w:rPr>
            </w:pPr>
          </w:p>
        </w:tc>
        <w:tc>
          <w:tcPr>
            <w:tcW w:w="17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160,000,000</w:t>
            </w:r>
          </w:p>
        </w:tc>
      </w:tr>
      <w:tr>
        <w:trPr>
          <w:trHeight w:val="186"/>
        </w:trPr>
        <w:tc>
          <w:tcPr>
            <w:tcW w:w="9160" w:type="dxa"/>
            <w:vAlign w:val="bottom"/>
          </w:tcPr>
          <w:p>
            <w:pPr>
              <w:spacing w:after="0"/>
              <w:rPr>
                <w:sz w:val="20"/>
                <w:szCs w:val="20"/>
                <w:color w:val="auto"/>
              </w:rPr>
            </w:pPr>
            <w:r>
              <w:rPr>
                <w:rFonts w:ascii="Courier New" w:cs="Courier New" w:eastAsia="Courier New" w:hAnsi="Courier New"/>
                <w:sz w:val="16"/>
                <w:szCs w:val="16"/>
                <w:color w:val="auto"/>
              </w:rPr>
              <w:t>Merrill Lynch, Pierce, Fenner &amp; Smith Incorporated .........................................</w:t>
            </w:r>
          </w:p>
        </w:tc>
        <w:tc>
          <w:tcPr>
            <w:tcW w:w="440" w:type="dxa"/>
            <w:vAlign w:val="bottom"/>
          </w:tcPr>
          <w:p>
            <w:pPr>
              <w:spacing w:after="0"/>
              <w:rPr>
                <w:sz w:val="16"/>
                <w:szCs w:val="16"/>
                <w:color w:val="auto"/>
              </w:rPr>
            </w:pPr>
          </w:p>
        </w:tc>
        <w:tc>
          <w:tcPr>
            <w:tcW w:w="17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160,000,000</w:t>
            </w:r>
          </w:p>
        </w:tc>
      </w:tr>
      <w:tr>
        <w:trPr>
          <w:trHeight w:val="186"/>
        </w:trPr>
        <w:tc>
          <w:tcPr>
            <w:tcW w:w="9160" w:type="dxa"/>
            <w:vAlign w:val="bottom"/>
          </w:tcPr>
          <w:p>
            <w:pPr>
              <w:spacing w:after="0"/>
              <w:rPr>
                <w:sz w:val="20"/>
                <w:szCs w:val="20"/>
                <w:color w:val="auto"/>
              </w:rPr>
            </w:pPr>
            <w:r>
              <w:rPr>
                <w:rFonts w:ascii="Courier New" w:cs="Courier New" w:eastAsia="Courier New" w:hAnsi="Courier New"/>
                <w:sz w:val="16"/>
                <w:szCs w:val="16"/>
                <w:color w:val="auto"/>
              </w:rPr>
              <w:t>Banc of America Securities LLC .............................................................</w:t>
            </w:r>
          </w:p>
        </w:tc>
        <w:tc>
          <w:tcPr>
            <w:tcW w:w="440" w:type="dxa"/>
            <w:vAlign w:val="bottom"/>
          </w:tcPr>
          <w:p>
            <w:pPr>
              <w:spacing w:after="0"/>
              <w:rPr>
                <w:sz w:val="16"/>
                <w:szCs w:val="16"/>
                <w:color w:val="auto"/>
              </w:rPr>
            </w:pPr>
          </w:p>
        </w:tc>
        <w:tc>
          <w:tcPr>
            <w:tcW w:w="17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20,000,000</w:t>
            </w:r>
          </w:p>
        </w:tc>
      </w:tr>
      <w:tr>
        <w:trPr>
          <w:trHeight w:val="186"/>
        </w:trPr>
        <w:tc>
          <w:tcPr>
            <w:tcW w:w="9160" w:type="dxa"/>
            <w:vAlign w:val="bottom"/>
          </w:tcPr>
          <w:p>
            <w:pPr>
              <w:spacing w:after="0"/>
              <w:rPr>
                <w:sz w:val="20"/>
                <w:szCs w:val="20"/>
                <w:color w:val="auto"/>
              </w:rPr>
            </w:pPr>
            <w:r>
              <w:rPr>
                <w:rFonts w:ascii="Courier New" w:cs="Courier New" w:eastAsia="Courier New" w:hAnsi="Courier New"/>
                <w:sz w:val="16"/>
                <w:szCs w:val="16"/>
                <w:color w:val="auto"/>
              </w:rPr>
              <w:t>Chase Securities Inc. ......................................................................</w:t>
            </w:r>
          </w:p>
        </w:tc>
        <w:tc>
          <w:tcPr>
            <w:tcW w:w="440" w:type="dxa"/>
            <w:vAlign w:val="bottom"/>
          </w:tcPr>
          <w:p>
            <w:pPr>
              <w:spacing w:after="0"/>
              <w:rPr>
                <w:sz w:val="16"/>
                <w:szCs w:val="16"/>
                <w:color w:val="auto"/>
              </w:rPr>
            </w:pPr>
          </w:p>
        </w:tc>
        <w:tc>
          <w:tcPr>
            <w:tcW w:w="17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20,000,000</w:t>
            </w:r>
          </w:p>
        </w:tc>
      </w:tr>
      <w:tr>
        <w:trPr>
          <w:trHeight w:val="186"/>
        </w:trPr>
        <w:tc>
          <w:tcPr>
            <w:tcW w:w="9160" w:type="dxa"/>
            <w:vAlign w:val="bottom"/>
          </w:tcPr>
          <w:p>
            <w:pPr>
              <w:spacing w:after="0"/>
              <w:rPr>
                <w:sz w:val="20"/>
                <w:szCs w:val="20"/>
                <w:color w:val="auto"/>
              </w:rPr>
            </w:pPr>
            <w:r>
              <w:rPr>
                <w:rFonts w:ascii="Courier New" w:cs="Courier New" w:eastAsia="Courier New" w:hAnsi="Courier New"/>
                <w:sz w:val="16"/>
                <w:szCs w:val="16"/>
                <w:color w:val="auto"/>
              </w:rPr>
              <w:t>Deutsche Banc Alex. Brown Inc. .............................................................</w:t>
            </w:r>
          </w:p>
        </w:tc>
        <w:tc>
          <w:tcPr>
            <w:tcW w:w="440" w:type="dxa"/>
            <w:vAlign w:val="bottom"/>
          </w:tcPr>
          <w:p>
            <w:pPr>
              <w:spacing w:after="0"/>
              <w:rPr>
                <w:sz w:val="16"/>
                <w:szCs w:val="16"/>
                <w:color w:val="auto"/>
              </w:rPr>
            </w:pPr>
          </w:p>
        </w:tc>
        <w:tc>
          <w:tcPr>
            <w:tcW w:w="17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20,000,000</w:t>
            </w:r>
          </w:p>
        </w:tc>
      </w:tr>
      <w:tr>
        <w:trPr>
          <w:trHeight w:val="186"/>
        </w:trPr>
        <w:tc>
          <w:tcPr>
            <w:tcW w:w="9160" w:type="dxa"/>
            <w:vAlign w:val="bottom"/>
          </w:tcPr>
          <w:p>
            <w:pPr>
              <w:spacing w:after="0"/>
              <w:rPr>
                <w:sz w:val="20"/>
                <w:szCs w:val="20"/>
                <w:color w:val="auto"/>
              </w:rPr>
            </w:pPr>
            <w:r>
              <w:rPr>
                <w:rFonts w:ascii="Courier New" w:cs="Courier New" w:eastAsia="Courier New" w:hAnsi="Courier New"/>
                <w:sz w:val="16"/>
                <w:szCs w:val="16"/>
                <w:color w:val="auto"/>
              </w:rPr>
              <w:t>Fleet Securities, Inc. .....................................................................</w:t>
            </w:r>
          </w:p>
        </w:tc>
        <w:tc>
          <w:tcPr>
            <w:tcW w:w="440" w:type="dxa"/>
            <w:vAlign w:val="bottom"/>
          </w:tcPr>
          <w:p>
            <w:pPr>
              <w:spacing w:after="0"/>
              <w:rPr>
                <w:sz w:val="16"/>
                <w:szCs w:val="16"/>
                <w:color w:val="auto"/>
              </w:rPr>
            </w:pPr>
          </w:p>
        </w:tc>
        <w:tc>
          <w:tcPr>
            <w:tcW w:w="17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20,000,000</w:t>
            </w:r>
          </w:p>
        </w:tc>
      </w:tr>
      <w:tr>
        <w:trPr>
          <w:trHeight w:val="186"/>
        </w:trPr>
        <w:tc>
          <w:tcPr>
            <w:tcW w:w="9160" w:type="dxa"/>
            <w:vAlign w:val="bottom"/>
          </w:tcPr>
          <w:p>
            <w:pPr>
              <w:spacing w:after="0"/>
              <w:rPr>
                <w:sz w:val="20"/>
                <w:szCs w:val="20"/>
                <w:color w:val="auto"/>
              </w:rPr>
            </w:pPr>
            <w:r>
              <w:rPr>
                <w:rFonts w:ascii="Courier New" w:cs="Courier New" w:eastAsia="Courier New" w:hAnsi="Courier New"/>
                <w:sz w:val="16"/>
                <w:szCs w:val="16"/>
                <w:color w:val="auto"/>
              </w:rPr>
              <w:t>Goldman, Sachs &amp; Co. .......................................................................</w:t>
            </w:r>
          </w:p>
        </w:tc>
        <w:tc>
          <w:tcPr>
            <w:tcW w:w="440" w:type="dxa"/>
            <w:vAlign w:val="bottom"/>
          </w:tcPr>
          <w:p>
            <w:pPr>
              <w:spacing w:after="0"/>
              <w:rPr>
                <w:sz w:val="16"/>
                <w:szCs w:val="16"/>
                <w:color w:val="auto"/>
              </w:rPr>
            </w:pPr>
          </w:p>
        </w:tc>
        <w:tc>
          <w:tcPr>
            <w:tcW w:w="17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20,000,000</w:t>
            </w:r>
          </w:p>
        </w:tc>
      </w:tr>
      <w:tr>
        <w:trPr>
          <w:trHeight w:val="186"/>
        </w:trPr>
        <w:tc>
          <w:tcPr>
            <w:tcW w:w="9160" w:type="dxa"/>
            <w:vAlign w:val="bottom"/>
          </w:tcPr>
          <w:p>
            <w:pPr>
              <w:spacing w:after="0"/>
              <w:rPr>
                <w:sz w:val="20"/>
                <w:szCs w:val="20"/>
                <w:color w:val="auto"/>
              </w:rPr>
            </w:pPr>
            <w:r>
              <w:rPr>
                <w:rFonts w:ascii="Courier New" w:cs="Courier New" w:eastAsia="Courier New" w:hAnsi="Courier New"/>
                <w:sz w:val="16"/>
                <w:szCs w:val="16"/>
                <w:color w:val="auto"/>
              </w:rPr>
              <w:t>Lehman Brothers Inc. .......................................................................</w:t>
            </w:r>
          </w:p>
        </w:tc>
        <w:tc>
          <w:tcPr>
            <w:tcW w:w="440" w:type="dxa"/>
            <w:vAlign w:val="bottom"/>
          </w:tcPr>
          <w:p>
            <w:pPr>
              <w:spacing w:after="0"/>
              <w:rPr>
                <w:sz w:val="16"/>
                <w:szCs w:val="16"/>
                <w:color w:val="auto"/>
              </w:rPr>
            </w:pPr>
          </w:p>
        </w:tc>
        <w:tc>
          <w:tcPr>
            <w:tcW w:w="17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20,000,000</w:t>
            </w:r>
          </w:p>
        </w:tc>
      </w:tr>
      <w:tr>
        <w:trPr>
          <w:trHeight w:val="186"/>
        </w:trPr>
        <w:tc>
          <w:tcPr>
            <w:tcW w:w="9160" w:type="dxa"/>
            <w:vAlign w:val="bottom"/>
          </w:tcPr>
          <w:p>
            <w:pPr>
              <w:spacing w:after="0"/>
              <w:rPr>
                <w:sz w:val="16"/>
                <w:szCs w:val="16"/>
                <w:color w:val="auto"/>
              </w:rPr>
            </w:pPr>
          </w:p>
        </w:tc>
        <w:tc>
          <w:tcPr>
            <w:tcW w:w="21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r>
        <w:trPr>
          <w:trHeight w:val="186"/>
        </w:trPr>
        <w:tc>
          <w:tcPr>
            <w:tcW w:w="9160" w:type="dxa"/>
            <w:vAlign w:val="bottom"/>
          </w:tcPr>
          <w:p>
            <w:pPr>
              <w:ind w:left="1740"/>
              <w:spacing w:after="0"/>
              <w:rPr>
                <w:sz w:val="20"/>
                <w:szCs w:val="20"/>
                <w:color w:val="auto"/>
              </w:rPr>
            </w:pPr>
            <w:r>
              <w:rPr>
                <w:rFonts w:ascii="Courier New" w:cs="Courier New" w:eastAsia="Courier New" w:hAnsi="Courier New"/>
                <w:sz w:val="16"/>
                <w:szCs w:val="16"/>
                <w:color w:val="auto"/>
              </w:rPr>
              <w:t>TOTAL ....................................................................</w:t>
            </w:r>
          </w:p>
        </w:tc>
        <w:tc>
          <w:tcPr>
            <w:tcW w:w="440" w:type="dxa"/>
            <w:vAlign w:val="bottom"/>
          </w:tcPr>
          <w:p>
            <w:pPr>
              <w:ind w:left="340"/>
              <w:spacing w:after="0"/>
              <w:rPr>
                <w:sz w:val="20"/>
                <w:szCs w:val="20"/>
                <w:color w:val="auto"/>
              </w:rPr>
            </w:pPr>
            <w:r>
              <w:rPr>
                <w:rFonts w:ascii="Courier New" w:cs="Courier New" w:eastAsia="Courier New" w:hAnsi="Courier New"/>
                <w:sz w:val="16"/>
                <w:szCs w:val="16"/>
                <w:color w:val="auto"/>
                <w:w w:val="82"/>
              </w:rPr>
              <w:t>$</w:t>
            </w:r>
          </w:p>
        </w:tc>
        <w:tc>
          <w:tcPr>
            <w:tcW w:w="17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600,000,000</w:t>
            </w:r>
          </w:p>
        </w:tc>
      </w:tr>
      <w:tr>
        <w:trPr>
          <w:trHeight w:val="186"/>
        </w:trPr>
        <w:tc>
          <w:tcPr>
            <w:tcW w:w="9160" w:type="dxa"/>
            <w:vAlign w:val="bottom"/>
          </w:tcPr>
          <w:p>
            <w:pPr>
              <w:spacing w:after="0"/>
              <w:rPr>
                <w:sz w:val="16"/>
                <w:szCs w:val="16"/>
                <w:color w:val="auto"/>
              </w:rPr>
            </w:pPr>
          </w:p>
        </w:tc>
        <w:tc>
          <w:tcPr>
            <w:tcW w:w="218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340"/>
          </w:cols>
          <w:pgMar w:left="240" w:top="303" w:right="319"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4.1</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BOOK-ENTRY SECURITY</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0219"/>
          </w:cols>
          <w:pgMar w:left="240" w:top="142" w:right="1440"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RGN-1</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w:t>
      </w:r>
    </w:p>
    <w:p>
      <w:pPr>
        <w:spacing w:after="0" w:line="191" w:lineRule="exact"/>
        <w:rPr>
          <w:sz w:val="20"/>
          <w:szCs w:val="20"/>
          <w:color w:val="auto"/>
        </w:rPr>
      </w:pPr>
    </w:p>
    <w:p>
      <w:pPr>
        <w:sectPr>
          <w:pgSz w:w="11900" w:h="16838" w:orient="portrait"/>
          <w:cols w:equalWidth="0" w:num="2">
            <w:col w:w="5480" w:space="720"/>
            <w:col w:w="4019"/>
          </w:cols>
          <w:pgMar w:left="240" w:top="142" w:right="1440" w:bottom="1440" w:gutter="0" w:footer="0" w:header="0"/>
          <w:type w:val="continuous"/>
        </w:sectPr>
      </w:pPr>
    </w:p>
    <w:p>
      <w:pPr>
        <w:ind w:left="2900"/>
        <w:spacing w:after="0"/>
        <w:rPr>
          <w:sz w:val="20"/>
          <w:szCs w:val="20"/>
          <w:color w:val="auto"/>
        </w:rPr>
      </w:pPr>
      <w:r>
        <w:rPr>
          <w:rFonts w:ascii="Courier New" w:cs="Courier New" w:eastAsia="Courier New" w:hAnsi="Courier New"/>
          <w:sz w:val="16"/>
          <w:szCs w:val="16"/>
          <w:color w:val="auto"/>
        </w:rPr>
        <w:t>WASTE MANAGEMENT,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U.S. $___________</w:t>
      </w:r>
    </w:p>
    <w:p>
      <w:pPr>
        <w:spacing w:after="0" w:line="191" w:lineRule="exact"/>
        <w:rPr>
          <w:sz w:val="20"/>
          <w:szCs w:val="20"/>
          <w:color w:val="auto"/>
        </w:rPr>
      </w:pPr>
    </w:p>
    <w:p>
      <w:pPr>
        <w:sectPr>
          <w:pgSz w:w="11900" w:h="16838" w:orient="portrait"/>
          <w:cols w:equalWidth="0" w:num="2">
            <w:col w:w="5380" w:space="720"/>
            <w:col w:w="4119"/>
          </w:cols>
          <w:pgMar w:left="240" w:top="142" w:right="1440" w:bottom="1440" w:gutter="0" w:footer="0" w:header="0"/>
          <w:type w:val="continuous"/>
        </w:sectPr>
      </w:pPr>
    </w:p>
    <w:p>
      <w:pPr>
        <w:ind w:left="2520"/>
        <w:spacing w:after="0"/>
        <w:rPr>
          <w:sz w:val="20"/>
          <w:szCs w:val="20"/>
          <w:color w:val="auto"/>
        </w:rPr>
      </w:pPr>
      <w:r>
        <w:rPr>
          <w:rFonts w:ascii="Courier New" w:cs="Courier New" w:eastAsia="Courier New" w:hAnsi="Courier New"/>
          <w:sz w:val="16"/>
          <w:szCs w:val="16"/>
          <w:color w:val="auto"/>
        </w:rPr>
        <w:t>7 3/8% SENIOR NOTES DUE 2010</w:t>
      </w:r>
    </w:p>
    <w:p>
      <w:pPr>
        <w:spacing w:after="0" w:line="191" w:lineRule="exact"/>
        <w:rPr>
          <w:sz w:val="20"/>
          <w:szCs w:val="20"/>
          <w:color w:val="auto"/>
        </w:rPr>
      </w:pPr>
    </w:p>
    <w:p>
      <w:pPr>
        <w:ind w:left="6000"/>
        <w:spacing w:after="0"/>
        <w:rPr>
          <w:sz w:val="20"/>
          <w:szCs w:val="20"/>
          <w:color w:val="auto"/>
        </w:rPr>
      </w:pPr>
      <w:r>
        <w:rPr>
          <w:rFonts w:ascii="Courier New" w:cs="Courier New" w:eastAsia="Courier New" w:hAnsi="Courier New"/>
          <w:sz w:val="16"/>
          <w:szCs w:val="16"/>
          <w:color w:val="auto"/>
        </w:rPr>
        <w:t>CUSIP 94106L AK 5</w:t>
      </w:r>
    </w:p>
    <w:p>
      <w:pPr>
        <w:sectPr>
          <w:pgSz w:w="11900" w:h="16838" w:orient="portrait"/>
          <w:cols w:equalWidth="0" w:num="1">
            <w:col w:w="10219"/>
          </w:cols>
          <w:pgMar w:left="240" w:top="142" w:right="1440" w:bottom="1440" w:gutter="0" w:footer="0" w:header="0"/>
          <w:type w:val="continuous"/>
        </w:sectPr>
      </w:pPr>
    </w:p>
    <w:p>
      <w:pPr>
        <w:spacing w:after="0" w:line="191" w:lineRule="exact"/>
        <w:rPr>
          <w:sz w:val="20"/>
          <w:szCs w:val="20"/>
          <w:color w:val="auto"/>
        </w:rPr>
      </w:pPr>
    </w:p>
    <w:p>
      <w:pPr>
        <w:ind w:right="2659" w:firstLine="872"/>
        <w:spacing w:after="0" w:line="246" w:lineRule="auto"/>
        <w:rPr>
          <w:sz w:val="20"/>
          <w:szCs w:val="20"/>
          <w:color w:val="auto"/>
        </w:rPr>
      </w:pPr>
      <w:r>
        <w:rPr>
          <w:rFonts w:ascii="Courier New" w:cs="Courier New" w:eastAsia="Courier New" w:hAnsi="Courier New"/>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 $______________ U.S.</w:t>
      </w:r>
    </w:p>
    <w:p>
      <w:pPr>
        <w:spacing w:after="0" w:line="2"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dollars, or such lesser principal sum as is shown on the attached Schedule of Exchanges of Definitive Security, on August 1, 2010 in such coin or currency of the United States of America as at the time of payment shall be legal tender for the payment of public and private debts, and to pay interest at an annual rate of 7 3/8% payable on February 1 and August 1 of each year, to the person in whose name this Security is registered at the close of business on the record date for such interest, which shall be the preceding January 15 or July 15, respectively, payable commencing August 1, 2001 with interest consisting of interest accrued from February 9, 2001.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42" w:right="1440" w:bottom="1440" w:gutter="0" w:footer="0" w:header="0"/>
          <w:type w:val="continuous"/>
        </w:sectPr>
      </w:pPr>
    </w:p>
    <w:bookmarkStart w:id="32" w:name="page33"/>
    <w:bookmarkEnd w:id="32"/>
    <w:p>
      <w:pPr>
        <w:ind w:left="300"/>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jc w:val="both"/>
        <w:ind w:right="2559" w:firstLine="872"/>
        <w:spacing w:after="0" w:line="247" w:lineRule="auto"/>
        <w:rPr>
          <w:sz w:val="20"/>
          <w:szCs w:val="20"/>
          <w:color w:val="auto"/>
        </w:rPr>
      </w:pPr>
      <w:r>
        <w:rPr>
          <w:rFonts w:ascii="Courier New" w:cs="Courier New" w:eastAsia="Courier New" w:hAnsi="Courier New"/>
          <w:sz w:val="16"/>
          <w:szCs w:val="16"/>
          <w:color w:val="auto"/>
        </w:rPr>
        <w:t>Reference is made to the further provisions of this Security set forth on the reverse hereof. Such further provisions shall for all purposes have the same effect as though fully set forth at this place.</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86"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This Security is issued in respect of a series of Securities of an aggregate of U.S. $600,000,000 in principal amount designated as the 7 3/8% Senior Notes due 2010 of the Company and is governed by the Indenture dated as of September 10, 1997, duly executed and delivered by the Company, formerly known as USA Waste Services, Inc., to The Chase Manhattan Bank, as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93" w:lineRule="exact"/>
        <w:rPr>
          <w:sz w:val="20"/>
          <w:szCs w:val="20"/>
          <w:color w:val="auto"/>
        </w:rPr>
      </w:pPr>
    </w:p>
    <w:p>
      <w:pPr>
        <w:ind w:right="2859" w:firstLine="872"/>
        <w:spacing w:after="0" w:line="247" w:lineRule="auto"/>
        <w:rPr>
          <w:sz w:val="20"/>
          <w:szCs w:val="20"/>
          <w:color w:val="auto"/>
        </w:rPr>
      </w:pPr>
      <w:r>
        <w:rPr>
          <w:rFonts w:ascii="Courier New" w:cs="Courier New" w:eastAsia="Courier New" w:hAnsi="Courier New"/>
          <w:sz w:val="16"/>
          <w:szCs w:val="16"/>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5" w:lineRule="exact"/>
        <w:rPr>
          <w:sz w:val="20"/>
          <w:szCs w:val="20"/>
          <w:color w:val="auto"/>
        </w:rPr>
      </w:pPr>
    </w:p>
    <w:p>
      <w:pPr>
        <w:ind w:right="2859" w:firstLine="872"/>
        <w:spacing w:after="0" w:line="247" w:lineRule="auto"/>
        <w:rPr>
          <w:sz w:val="20"/>
          <w:szCs w:val="20"/>
          <w:color w:val="auto"/>
        </w:rPr>
      </w:pPr>
      <w:r>
        <w:rPr>
          <w:rFonts w:ascii="Courier New" w:cs="Courier New" w:eastAsia="Courier New" w:hAnsi="Courier New"/>
          <w:sz w:val="16"/>
          <w:szCs w:val="16"/>
          <w:color w:val="auto"/>
        </w:rPr>
        <w:t>The Company hereby irrevocably undertakes to the Holder hereof to exchange this Security in accordance with the terms of the Indenture without charge.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3"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jc w:val="both"/>
        <w:ind w:right="2659" w:firstLine="872"/>
        <w:spacing w:after="0" w:line="247" w:lineRule="auto"/>
        <w:rPr>
          <w:sz w:val="20"/>
          <w:szCs w:val="20"/>
          <w:color w:val="auto"/>
        </w:rPr>
      </w:pPr>
      <w:r>
        <w:rPr>
          <w:rFonts w:ascii="Courier New" w:cs="Courier New" w:eastAsia="Courier New" w:hAnsi="Courier New"/>
          <w:sz w:val="16"/>
          <w:szCs w:val="16"/>
          <w:color w:val="auto"/>
        </w:rPr>
        <w:t>This Security shall not be valid or become obligatory for any purpose until the Certificate of Authentication hereon shall have been manually signed by the Trustee under the Indenture.</w:t>
      </w:r>
    </w:p>
    <w:p>
      <w:pPr>
        <w:spacing w:after="0" w:line="186" w:lineRule="exact"/>
        <w:rPr>
          <w:sz w:val="20"/>
          <w:szCs w:val="20"/>
          <w:color w:val="auto"/>
        </w:rPr>
      </w:pPr>
    </w:p>
    <w:p>
      <w:pPr>
        <w:jc w:val="both"/>
        <w:ind w:right="2659" w:firstLine="872"/>
        <w:spacing w:after="0" w:line="248" w:lineRule="auto"/>
        <w:rPr>
          <w:sz w:val="20"/>
          <w:szCs w:val="20"/>
          <w:color w:val="auto"/>
        </w:rPr>
      </w:pPr>
      <w:r>
        <w:rPr>
          <w:rFonts w:ascii="Courier New" w:cs="Courier New" w:eastAsia="Courier New" w:hAnsi="Courier New"/>
          <w:sz w:val="16"/>
          <w:szCs w:val="16"/>
          <w:color w:val="auto"/>
        </w:rPr>
        <w:t>IN WITNESS WHEREOF, the Company has caused this instrument to be duly executed under its corporate seal.</w:t>
      </w:r>
    </w:p>
    <w:p>
      <w:pPr>
        <w:sectPr>
          <w:pgSz w:w="11900" w:h="16838" w:orient="portrait"/>
          <w:cols w:equalWidth="0" w:num="1">
            <w:col w:w="10219"/>
          </w:cols>
          <w:pgMar w:left="240" w:top="303" w:right="1440" w:bottom="1440" w:gutter="0" w:footer="0" w:header="0"/>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9, 2001</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Delaware corporation</w:t>
      </w:r>
    </w:p>
    <w:p>
      <w:pPr>
        <w:spacing w:after="0" w:line="200" w:lineRule="exact"/>
        <w:rPr>
          <w:sz w:val="20"/>
          <w:szCs w:val="20"/>
          <w:color w:val="auto"/>
        </w:rPr>
      </w:pPr>
    </w:p>
    <w:p>
      <w:pPr>
        <w:sectPr>
          <w:pgSz w:w="11900" w:h="16838" w:orient="portrait"/>
          <w:cols w:equalWidth="0" w:num="3">
            <w:col w:w="580" w:space="200"/>
            <w:col w:w="2180" w:space="720"/>
            <w:col w:w="6539"/>
          </w:cols>
          <w:pgMar w:left="240" w:top="303" w:right="1440" w:bottom="1440" w:gutter="0" w:footer="0" w:header="0"/>
          <w:type w:val="continuous"/>
        </w:sectPr>
      </w:pP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Attest:</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03" w:right="1440" w:bottom="1440" w:gutter="0" w:footer="0" w:header="0"/>
          <w:type w:val="continuous"/>
        </w:sect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 OF AUTHENTICATION</w:t>
      </w:r>
    </w:p>
    <w:p>
      <w:pPr>
        <w:spacing w:after="0" w:line="191"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This is one of the Securities of the series designated therein referred to in the within-mentioned Indenture.</w:t>
      </w:r>
    </w:p>
    <w:p>
      <w:pPr>
        <w:sectPr>
          <w:pgSz w:w="11900" w:h="16838" w:orient="portrait"/>
          <w:cols w:equalWidth="0" w:num="1">
            <w:col w:w="10219"/>
          </w:cols>
          <w:pgMar w:left="240" w:top="303" w:right="1440" w:bottom="144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Authentication: 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CHASE MANHATTAN BANK,</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as Trustee</w:t>
      </w:r>
    </w:p>
    <w:p>
      <w:pPr>
        <w:spacing w:after="0" w:line="191" w:lineRule="exact"/>
        <w:rPr>
          <w:sz w:val="20"/>
          <w:szCs w:val="20"/>
          <w:color w:val="auto"/>
        </w:rPr>
      </w:pPr>
    </w:p>
    <w:p>
      <w:pPr>
        <w:sectPr>
          <w:pgSz w:w="11900" w:h="16838" w:orient="portrait"/>
          <w:cols w:equalWidth="0" w:num="2">
            <w:col w:w="3880" w:space="380"/>
            <w:col w:w="5959"/>
          </w:cols>
          <w:pgMar w:left="240" w:top="303" w:right="1440" w:bottom="1440" w:gutter="0" w:footer="0" w:header="0"/>
          <w:type w:val="continuous"/>
        </w:sectPr>
      </w:pPr>
    </w:p>
    <w:p>
      <w:pPr>
        <w:ind w:left="436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50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040"/>
        <w:spacing w:after="0"/>
        <w:rPr>
          <w:sz w:val="20"/>
          <w:szCs w:val="20"/>
          <w:color w:val="auto"/>
        </w:rPr>
      </w:pPr>
      <w:r>
        <w:rPr>
          <w:rFonts w:ascii="Courier New" w:cs="Courier New" w:eastAsia="Courier New" w:hAnsi="Courier New"/>
          <w:sz w:val="16"/>
          <w:szCs w:val="16"/>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3" w:right="1440" w:bottom="1440" w:gutter="0" w:footer="0" w:header="0"/>
          <w:type w:val="continuous"/>
        </w:sectPr>
      </w:pPr>
    </w:p>
    <w:bookmarkStart w:id="34" w:name="page35"/>
    <w:bookmarkEnd w:id="34"/>
    <w:p>
      <w:pPr>
        <w:ind w:left="301"/>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REVERSE OF BOOK-ENTRY SECURITY</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WASTE MANAGEMENT, INC.</w:t>
      </w:r>
    </w:p>
    <w:p>
      <w:pPr>
        <w:spacing w:after="0" w:line="191" w:lineRule="exact"/>
        <w:rPr>
          <w:sz w:val="20"/>
          <w:szCs w:val="20"/>
          <w:color w:val="auto"/>
        </w:rPr>
      </w:pPr>
    </w:p>
    <w:p>
      <w:pPr>
        <w:ind w:left="2521"/>
        <w:spacing w:after="0"/>
        <w:rPr>
          <w:sz w:val="20"/>
          <w:szCs w:val="20"/>
          <w:color w:val="auto"/>
        </w:rPr>
      </w:pPr>
      <w:r>
        <w:rPr>
          <w:rFonts w:ascii="Courier New" w:cs="Courier New" w:eastAsia="Courier New" w:hAnsi="Courier New"/>
          <w:sz w:val="16"/>
          <w:szCs w:val="16"/>
          <w:color w:val="auto"/>
        </w:rPr>
        <w:t>7 3/8% SENIOR NOTES DUE 2010</w:t>
      </w:r>
    </w:p>
    <w:p>
      <w:pPr>
        <w:spacing w:after="0" w:line="378"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7 3/8% Senior Notes due 2010 of the Company, limited in aggregate principal amount to $600,000,000 (the "Securities").</w:t>
      </w:r>
    </w:p>
    <w:p>
      <w:pPr>
        <w:spacing w:after="0" w:line="194" w:lineRule="exact"/>
        <w:rPr>
          <w:sz w:val="20"/>
          <w:szCs w:val="20"/>
          <w:color w:val="auto"/>
        </w:rPr>
      </w:pPr>
    </w:p>
    <w:p>
      <w:pPr>
        <w:ind w:left="881" w:hanging="881"/>
        <w:spacing w:after="0"/>
        <w:tabs>
          <w:tab w:leader="none" w:pos="88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w:t>
      </w:r>
    </w:p>
    <w:p>
      <w:pPr>
        <w:spacing w:after="0" w:line="191" w:lineRule="exact"/>
        <w:rPr>
          <w:sz w:val="20"/>
          <w:szCs w:val="20"/>
          <w:color w:val="auto"/>
        </w:rPr>
      </w:pPr>
    </w:p>
    <w:p>
      <w:pPr>
        <w:ind w:left="1" w:right="2759" w:firstLine="872"/>
        <w:spacing w:after="0" w:line="248" w:lineRule="auto"/>
        <w:rPr>
          <w:sz w:val="20"/>
          <w:szCs w:val="20"/>
          <w:color w:val="auto"/>
        </w:rPr>
      </w:pPr>
      <w:r>
        <w:rPr>
          <w:rFonts w:ascii="Courier New" w:cs="Courier New" w:eastAsia="Courier New" w:hAnsi="Courier New"/>
          <w:sz w:val="16"/>
          <w:szCs w:val="16"/>
          <w:color w:val="auto"/>
        </w:rPr>
        <w:t>The Company promises to pay interest on the principal amount of this Security at the rate of 7 3/8% per annum.</w:t>
      </w:r>
    </w:p>
    <w:p>
      <w:pPr>
        <w:spacing w:after="0" w:line="184" w:lineRule="exact"/>
        <w:rPr>
          <w:sz w:val="20"/>
          <w:szCs w:val="20"/>
          <w:color w:val="auto"/>
        </w:rPr>
      </w:pPr>
    </w:p>
    <w:p>
      <w:pPr>
        <w:ind w:left="1" w:right="2559" w:firstLine="872"/>
        <w:spacing w:after="0" w:line="247" w:lineRule="auto"/>
        <w:rPr>
          <w:sz w:val="20"/>
          <w:szCs w:val="20"/>
          <w:color w:val="auto"/>
        </w:rPr>
      </w:pPr>
      <w:r>
        <w:rPr>
          <w:rFonts w:ascii="Courier New" w:cs="Courier New" w:eastAsia="Courier New" w:hAnsi="Courier New"/>
          <w:sz w:val="16"/>
          <w:szCs w:val="16"/>
          <w:color w:val="auto"/>
        </w:rPr>
        <w:t>The Company will pay interest semi-annually on February 1 and August 1 of each year (each an "Interest Payment Date"), commencing August 1, 2001. Interest on the Securities will accrue from the most recent date to which interest has been paid or, if no interest has been paid on the Securities, from February 9, 2001. Interest will be computed on the basis of a 360-day year consisting of twelve 30-day months.</w:t>
      </w:r>
    </w:p>
    <w:p>
      <w:pPr>
        <w:spacing w:after="0" w:line="185" w:lineRule="exact"/>
        <w:rPr>
          <w:sz w:val="20"/>
          <w:szCs w:val="20"/>
          <w:color w:val="auto"/>
        </w:rPr>
      </w:pPr>
    </w:p>
    <w:p>
      <w:pPr>
        <w:ind w:left="881" w:hanging="881"/>
        <w:spacing w:after="0"/>
        <w:tabs>
          <w:tab w:leader="none" w:pos="88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Payment.</w:t>
      </w:r>
    </w:p>
    <w:p>
      <w:pPr>
        <w:spacing w:after="0" w:line="191"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or at the option of the Company, payment of interest may be made by check mailed to the Holders on the Regular</w:t>
      </w:r>
    </w:p>
    <w:p>
      <w:pPr>
        <w:spacing w:after="0" w:line="200" w:lineRule="exact"/>
        <w:rPr>
          <w:sz w:val="20"/>
          <w:szCs w:val="20"/>
          <w:color w:val="auto"/>
        </w:rPr>
      </w:pPr>
    </w:p>
    <w:p>
      <w:pPr>
        <w:spacing w:after="0" w:line="370"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0"/>
          </w:cols>
          <w:pgMar w:left="239" w:top="303" w:right="1440" w:bottom="1440" w:gutter="0" w:footer="0" w:header="0"/>
        </w:sectPr>
      </w:pPr>
    </w:p>
    <w:bookmarkStart w:id="35" w:name="page36"/>
    <w:bookmarkEnd w:id="35"/>
    <w:p>
      <w:pPr>
        <w:ind w:left="301"/>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ind w:left="1" w:right="2759"/>
        <w:spacing w:after="0" w:line="248" w:lineRule="auto"/>
        <w:rPr>
          <w:sz w:val="20"/>
          <w:szCs w:val="20"/>
          <w:color w:val="auto"/>
        </w:rPr>
      </w:pPr>
      <w:r>
        <w:rPr>
          <w:rFonts w:ascii="Courier New" w:cs="Courier New" w:eastAsia="Courier New" w:hAnsi="Courier New"/>
          <w:sz w:val="16"/>
          <w:szCs w:val="16"/>
          <w:color w:val="auto"/>
        </w:rPr>
        <w:t>Record Date or on the Special Record Date at their addresses set forth in the Security Register of Holders.</w:t>
      </w:r>
    </w:p>
    <w:p>
      <w:pPr>
        <w:spacing w:after="0" w:line="184" w:lineRule="exact"/>
        <w:rPr>
          <w:sz w:val="20"/>
          <w:szCs w:val="20"/>
          <w:color w:val="auto"/>
        </w:rPr>
      </w:pPr>
    </w:p>
    <w:p>
      <w:pPr>
        <w:ind w:left="881" w:hanging="881"/>
        <w:spacing w:after="0"/>
        <w:tabs>
          <w:tab w:leader="none" w:pos="88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Paying Agent and Registrar.</w:t>
      </w:r>
    </w:p>
    <w:p>
      <w:pPr>
        <w:spacing w:after="0" w:line="191"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Initially, The Chase Manhattan Bank (the "Trustee")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85" w:lineRule="exact"/>
        <w:rPr>
          <w:sz w:val="20"/>
          <w:szCs w:val="20"/>
          <w:color w:val="auto"/>
        </w:rPr>
      </w:pPr>
    </w:p>
    <w:p>
      <w:pPr>
        <w:ind w:left="881" w:hanging="881"/>
        <w:spacing w:after="0"/>
        <w:tabs>
          <w:tab w:leader="none" w:pos="88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Indenture.</w:t>
      </w:r>
    </w:p>
    <w:p>
      <w:pPr>
        <w:spacing w:after="0" w:line="191" w:lineRule="exact"/>
        <w:rPr>
          <w:sz w:val="20"/>
          <w:szCs w:val="20"/>
          <w:color w:val="auto"/>
        </w:rPr>
      </w:pPr>
    </w:p>
    <w:p>
      <w:pPr>
        <w:jc w:val="both"/>
        <w:ind w:left="1" w:right="2659" w:firstLine="872"/>
        <w:spacing w:after="0" w:line="248" w:lineRule="auto"/>
        <w:rPr>
          <w:sz w:val="20"/>
          <w:szCs w:val="20"/>
          <w:color w:val="auto"/>
        </w:rPr>
      </w:pPr>
      <w:r>
        <w:rPr>
          <w:rFonts w:ascii="Courier New" w:cs="Courier New" w:eastAsia="Courier New" w:hAnsi="Courier New"/>
          <w:sz w:val="16"/>
          <w:szCs w:val="16"/>
          <w:color w:val="auto"/>
        </w:rPr>
        <w:t>This Security is one of a duly authorized issue of Debt Securities of the Company issued and to be issued in one or more series under the Indenture.</w:t>
      </w:r>
    </w:p>
    <w:p>
      <w:pPr>
        <w:spacing w:after="0" w:line="184"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Capitalized terms herein are used as defined in the Indenture unless otherwise defined herein. The terms of the Securities include those stated in the Indenture,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April 30, 1999 and March 14, 1999 (the "Resolutions"). The Securities are subject to all such terms, and Holders of Securities are referred to the Indenture, all indentures supplemental thereto, said Act and said Resolutions and Officers' Certificate for a statement of them. The Securities of this series are general unsecured obligations of the Company limited in aggregate principal amount to $600,000,000.</w:t>
      </w:r>
    </w:p>
    <w:p>
      <w:pPr>
        <w:spacing w:after="0" w:line="193" w:lineRule="exact"/>
        <w:rPr>
          <w:sz w:val="20"/>
          <w:szCs w:val="20"/>
          <w:color w:val="auto"/>
        </w:rPr>
      </w:pPr>
    </w:p>
    <w:p>
      <w:pPr>
        <w:ind w:left="881" w:hanging="881"/>
        <w:spacing w:after="0"/>
        <w:tabs>
          <w:tab w:leader="none" w:pos="88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w:t>
      </w:r>
    </w:p>
    <w:p>
      <w:pPr>
        <w:spacing w:after="0" w:line="191"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The Securities will be redeemable,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(at the rate in effect on the date of calculation of the Redemption Price) on the Securities (exclusive of interest accrued to the Redemption Date) discounted to the Redemption Date on a semi-annual basis (assuming a 360-day year consisting of twelve 30-day months) at the applicable Treasury Yield plus 30 basis points; plus, in either case, accrued interest to the Redemption Date.</w:t>
      </w:r>
    </w:p>
    <w:p>
      <w:pPr>
        <w:spacing w:after="0" w:line="192"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 redeemed, the Redemption Date,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0"/>
          </w:cols>
          <w:pgMar w:left="239" w:top="303" w:right="1440" w:bottom="1440" w:gutter="0" w:footer="0" w:header="0"/>
        </w:sectPr>
      </w:pPr>
    </w:p>
    <w:bookmarkStart w:id="36" w:name="page37"/>
    <w:bookmarkEnd w:id="36"/>
    <w:p>
      <w:pPr>
        <w:ind w:left="301"/>
        <w:spacing w:after="0"/>
        <w:rPr>
          <w:sz w:val="20"/>
          <w:szCs w:val="20"/>
          <w:color w:val="auto"/>
        </w:rPr>
      </w:pPr>
      <w:r>
        <w:rPr>
          <w:rFonts w:ascii="Courier New" w:cs="Courier New" w:eastAsia="Courier New" w:hAnsi="Courier New"/>
          <w:sz w:val="16"/>
          <w:szCs w:val="16"/>
          <w:color w:val="auto"/>
        </w:rPr>
        <w:t>6</w:t>
      </w:r>
    </w:p>
    <w:p>
      <w:pPr>
        <w:spacing w:after="0" w:line="191" w:lineRule="exact"/>
        <w:rPr>
          <w:sz w:val="20"/>
          <w:szCs w:val="20"/>
          <w:color w:val="auto"/>
        </w:rPr>
      </w:pPr>
    </w:p>
    <w:p>
      <w:pPr>
        <w:ind w:left="1" w:right="3239" w:firstLine="872"/>
        <w:spacing w:after="0" w:line="248" w:lineRule="auto"/>
        <w:rPr>
          <w:sz w:val="20"/>
          <w:szCs w:val="20"/>
          <w:color w:val="auto"/>
        </w:rPr>
      </w:pPr>
      <w:r>
        <w:rPr>
          <w:rFonts w:ascii="Courier New" w:cs="Courier New" w:eastAsia="Courier New" w:hAnsi="Courier New"/>
          <w:sz w:val="16"/>
          <w:szCs w:val="16"/>
          <w:color w:val="auto"/>
        </w:rPr>
        <w:t>For purposes of determining the Make-Whole Price, the following definitions are applicable:</w:t>
      </w:r>
    </w:p>
    <w:p>
      <w:pPr>
        <w:spacing w:after="0" w:line="184" w:lineRule="exact"/>
        <w:rPr>
          <w:sz w:val="20"/>
          <w:szCs w:val="20"/>
          <w:color w:val="auto"/>
        </w:rPr>
      </w:pPr>
    </w:p>
    <w:p>
      <w:pPr>
        <w:ind w:left="1" w:right="2559" w:firstLine="872"/>
        <w:spacing w:after="0" w:line="247" w:lineRule="auto"/>
        <w:rPr>
          <w:sz w:val="20"/>
          <w:szCs w:val="20"/>
          <w:color w:val="auto"/>
        </w:rPr>
      </w:pPr>
      <w:r>
        <w:rPr>
          <w:rFonts w:ascii="Courier New" w:cs="Courier New" w:eastAsia="Courier New" w:hAnsi="Courier New"/>
          <w:sz w:val="16"/>
          <w:szCs w:val="16"/>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185" w:lineRule="exact"/>
        <w:rPr>
          <w:sz w:val="20"/>
          <w:szCs w:val="20"/>
          <w:color w:val="auto"/>
        </w:rPr>
      </w:pPr>
    </w:p>
    <w:p>
      <w:pPr>
        <w:ind w:left="1" w:right="2559" w:firstLine="872"/>
        <w:spacing w:after="0" w:line="247" w:lineRule="auto"/>
        <w:rPr>
          <w:sz w:val="20"/>
          <w:szCs w:val="20"/>
          <w:color w:val="auto"/>
        </w:rPr>
      </w:pPr>
      <w:r>
        <w:rPr>
          <w:rFonts w:ascii="Courier New" w:cs="Courier New" w:eastAsia="Courier New" w:hAnsi="Courier New"/>
          <w:sz w:val="16"/>
          <w:szCs w:val="16"/>
          <w:color w:val="auto"/>
        </w:rPr>
        <w:t>"Comparable Treasury Issue" means the United States Treasury security selected by an Independent Investment Banker as having a maturity comparable to the remaining term of the Securities that would be utilized, at the time of selection and in accordance with customary financial practice, in pricing new issues of corporate debt securities of comparable maturity to the remaining terms of the Securities.</w:t>
      </w:r>
    </w:p>
    <w:p>
      <w:pPr>
        <w:spacing w:after="0" w:line="185"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"Independent Investment Banker" means Salomon Smith Barney Inc. (and its successor), or, if such firm is unwilling or unable to select the applicable Comparable Treasury Issue, an independent investment banking institution of national standing appointed by the Trustee and reasonably acceptable to the Company.</w:t>
      </w:r>
    </w:p>
    <w:p>
      <w:pPr>
        <w:spacing w:after="0" w:line="18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"Comparable Treasury Price" means, with respect to any Redemption Date,</w:t>
      </w:r>
    </w:p>
    <w:p>
      <w:pPr>
        <w:spacing w:after="0" w:line="5" w:lineRule="exact"/>
        <w:rPr>
          <w:sz w:val="20"/>
          <w:szCs w:val="20"/>
          <w:color w:val="auto"/>
        </w:rPr>
      </w:pPr>
    </w:p>
    <w:p>
      <w:pPr>
        <w:ind w:left="1" w:right="2559" w:hanging="1"/>
        <w:spacing w:after="0" w:line="246" w:lineRule="auto"/>
        <w:tabs>
          <w:tab w:leader="none" w:pos="38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bid price for the Comparable Treasury Issue (expressed as a percentage of its principal amount) at 4:00 p.m. on the third business day preceding such Redemption Date, as set forth on "Telerate Page 500" (or such other page as may replace Telerate Page 500), or (ii) if such page (or any successor page) is not displayed or does not contain such bid prices at such time (a) the average of the Reference Treasury Dealer Quotations obtained by the Trustee for such Redemption Date, after excluding the highest and lowest of all Reference Treasury Dealer Quotations obtained, or (b) if the Trustee obtains fewer than four such Reference Treasury Dealer Quotations, the average of all Reference Treasury Dealer Quotations obtained by the Trustee.</w:t>
      </w:r>
    </w:p>
    <w:p>
      <w:pPr>
        <w:spacing w:after="0" w:line="192"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"Reference Treasury Dealer" means (i) Salomon Smith Barney Inc., Credit Suisse First Boston Corporation and Merrill Lynch, Pierce, Fenner &amp; Smith Incorporated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85" w:lineRule="exact"/>
        <w:rPr>
          <w:sz w:val="20"/>
          <w:szCs w:val="20"/>
          <w:color w:val="auto"/>
        </w:rPr>
      </w:pPr>
    </w:p>
    <w:p>
      <w:pPr>
        <w:ind w:left="1" w:right="2859" w:firstLine="872"/>
        <w:spacing w:after="0" w:line="247" w:lineRule="auto"/>
        <w:rPr>
          <w:sz w:val="20"/>
          <w:szCs w:val="20"/>
          <w:color w:val="auto"/>
        </w:rPr>
      </w:pPr>
      <w:r>
        <w:rPr>
          <w:rFonts w:ascii="Courier New" w:cs="Courier New" w:eastAsia="Courier New" w:hAnsi="Courier New"/>
          <w:sz w:val="16"/>
          <w:szCs w:val="16"/>
          <w:color w:val="auto"/>
        </w:rPr>
        <w:t>"Reference Treasury Dealer Quotations" means, with respect to each Reference Treasury Dealer and any Redemption Date for the Securities, an average, as determined by the Trustee, of the bid and asked prices for the Comparable Treasury Issue for the Securities (expressed in each case as a percentage of its principal amount) quoted in writing to the Trustee by such Reference Treasury Dealer at 5:00 p.m., New York City time, on the third business day preceding such Redemption Date.</w:t>
      </w:r>
    </w:p>
    <w:p>
      <w:pPr>
        <w:spacing w:after="0" w:line="185" w:lineRule="exact"/>
        <w:rPr>
          <w:sz w:val="20"/>
          <w:szCs w:val="20"/>
          <w:color w:val="auto"/>
        </w:rPr>
      </w:pPr>
    </w:p>
    <w:p>
      <w:pPr>
        <w:ind w:left="1" w:right="2559" w:firstLine="872"/>
        <w:spacing w:after="0" w:line="248" w:lineRule="auto"/>
        <w:rPr>
          <w:sz w:val="20"/>
          <w:szCs w:val="20"/>
          <w:color w:val="auto"/>
        </w:rPr>
      </w:pPr>
      <w:r>
        <w:rPr>
          <w:rFonts w:ascii="Courier New" w:cs="Courier New" w:eastAsia="Courier New" w:hAnsi="Courier New"/>
          <w:sz w:val="16"/>
          <w:szCs w:val="16"/>
          <w:color w:val="auto"/>
        </w:rPr>
        <w:t>Except as set forth above, the Securities will not be redeemable prior to maturity and will not be entitled to the benefit of any sinking fund.</w:t>
      </w:r>
    </w:p>
    <w:p>
      <w:pPr>
        <w:spacing w:after="0" w:line="184"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The Securities may be redeemed in part in multiplies of $1,000 only.</w:t>
      </w:r>
    </w:p>
    <w:p>
      <w:pPr>
        <w:spacing w:after="0" w:line="200" w:lineRule="exact"/>
        <w:rPr>
          <w:sz w:val="20"/>
          <w:szCs w:val="20"/>
          <w:color w:val="auto"/>
        </w:rPr>
      </w:pPr>
    </w:p>
    <w:p>
      <w:pPr>
        <w:spacing w:after="0" w:line="36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0"/>
          </w:cols>
          <w:pgMar w:left="239" w:top="303" w:right="1440" w:bottom="1440" w:gutter="0" w:footer="0" w:header="0"/>
        </w:sectPr>
      </w:pPr>
    </w:p>
    <w:bookmarkStart w:id="37" w:name="page38"/>
    <w:bookmarkEnd w:id="37"/>
    <w:p>
      <w:pPr>
        <w:ind w:left="301"/>
        <w:spacing w:after="0"/>
        <w:rPr>
          <w:sz w:val="20"/>
          <w:szCs w:val="20"/>
          <w:color w:val="auto"/>
        </w:rPr>
      </w:pPr>
      <w:r>
        <w:rPr>
          <w:rFonts w:ascii="Courier New" w:cs="Courier New" w:eastAsia="Courier New" w:hAnsi="Courier New"/>
          <w:sz w:val="16"/>
          <w:szCs w:val="16"/>
          <w:color w:val="auto"/>
        </w:rPr>
        <w:t>7</w:t>
      </w:r>
    </w:p>
    <w:p>
      <w:pPr>
        <w:spacing w:after="0" w:line="191" w:lineRule="exact"/>
        <w:rPr>
          <w:sz w:val="20"/>
          <w:szCs w:val="20"/>
          <w:color w:val="auto"/>
        </w:rPr>
      </w:pPr>
    </w:p>
    <w:p>
      <w:pPr>
        <w:ind w:left="1" w:right="3239" w:firstLine="872"/>
        <w:spacing w:after="0" w:line="248" w:lineRule="auto"/>
        <w:rPr>
          <w:sz w:val="20"/>
          <w:szCs w:val="20"/>
          <w:color w:val="auto"/>
        </w:rPr>
      </w:pPr>
      <w:r>
        <w:rPr>
          <w:rFonts w:ascii="Courier New" w:cs="Courier New" w:eastAsia="Courier New" w:hAnsi="Courier New"/>
          <w:sz w:val="16"/>
          <w:szCs w:val="16"/>
          <w:color w:val="auto"/>
        </w:rPr>
        <w:t>Any such redemption will also comply with Article Eleven of the Indenture.</w:t>
      </w:r>
    </w:p>
    <w:p>
      <w:pPr>
        <w:spacing w:after="0" w:line="184" w:lineRule="exact"/>
        <w:rPr>
          <w:sz w:val="20"/>
          <w:szCs w:val="20"/>
          <w:color w:val="auto"/>
        </w:rPr>
      </w:pPr>
    </w:p>
    <w:p>
      <w:pPr>
        <w:ind w:left="881" w:hanging="881"/>
        <w:spacing w:after="0"/>
        <w:tabs>
          <w:tab w:leader="none" w:pos="88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Denominations; Transfer; Exchange.</w:t>
      </w:r>
    </w:p>
    <w:p>
      <w:pPr>
        <w:spacing w:after="0" w:line="191" w:lineRule="exact"/>
        <w:rPr>
          <w:sz w:val="20"/>
          <w:szCs w:val="20"/>
          <w:color w:val="auto"/>
        </w:rPr>
      </w:pPr>
    </w:p>
    <w:p>
      <w:pPr>
        <w:ind w:left="1" w:right="2559" w:firstLine="872"/>
        <w:spacing w:after="0" w:line="247" w:lineRule="auto"/>
        <w:rPr>
          <w:sz w:val="20"/>
          <w:szCs w:val="20"/>
          <w:color w:val="auto"/>
        </w:rPr>
      </w:pPr>
      <w:r>
        <w:rPr>
          <w:rFonts w:ascii="Courier New" w:cs="Courier New" w:eastAsia="Courier New" w:hAnsi="Courier New"/>
          <w:sz w:val="16"/>
          <w:szCs w:val="16"/>
          <w:color w:val="auto"/>
        </w:rPr>
        <w:t>The Securities are issued in registered form, without coupons, in denominations of $1,000 and integral multiples of $1,000.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85" w:lineRule="exact"/>
        <w:rPr>
          <w:sz w:val="20"/>
          <w:szCs w:val="20"/>
          <w:color w:val="auto"/>
        </w:rPr>
      </w:pPr>
    </w:p>
    <w:p>
      <w:pPr>
        <w:ind w:left="881" w:hanging="881"/>
        <w:spacing w:after="0"/>
        <w:tabs>
          <w:tab w:leader="none" w:pos="88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Deemed Owners.</w:t>
      </w:r>
    </w:p>
    <w:p>
      <w:pPr>
        <w:spacing w:after="0" w:line="191" w:lineRule="exact"/>
        <w:rPr>
          <w:sz w:val="20"/>
          <w:szCs w:val="20"/>
          <w:color w:val="auto"/>
        </w:rPr>
      </w:pPr>
    </w:p>
    <w:p>
      <w:pPr>
        <w:ind w:left="1" w:right="2659" w:firstLine="872"/>
        <w:spacing w:after="0" w:line="248" w:lineRule="auto"/>
        <w:rPr>
          <w:sz w:val="20"/>
          <w:szCs w:val="20"/>
          <w:color w:val="auto"/>
        </w:rPr>
      </w:pPr>
      <w:r>
        <w:rPr>
          <w:rFonts w:ascii="Courier New" w:cs="Courier New" w:eastAsia="Courier New" w:hAnsi="Courier New"/>
          <w:sz w:val="16"/>
          <w:szCs w:val="16"/>
          <w:color w:val="auto"/>
        </w:rPr>
        <w:t>The registered Holder of a Security may be treated as the owner of it for all purposes.</w:t>
      </w:r>
    </w:p>
    <w:p>
      <w:pPr>
        <w:spacing w:after="0" w:line="184" w:lineRule="exact"/>
        <w:rPr>
          <w:sz w:val="20"/>
          <w:szCs w:val="20"/>
          <w:color w:val="auto"/>
        </w:rPr>
      </w:pPr>
    </w:p>
    <w:p>
      <w:pPr>
        <w:ind w:left="881" w:hanging="881"/>
        <w:spacing w:after="0"/>
        <w:tabs>
          <w:tab w:leader="none" w:pos="88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Supplement; Waiver.</w:t>
      </w:r>
    </w:p>
    <w:p>
      <w:pPr>
        <w:spacing w:after="0" w:line="191"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rights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94" w:lineRule="exact"/>
        <w:rPr>
          <w:sz w:val="20"/>
          <w:szCs w:val="20"/>
          <w:color w:val="auto"/>
        </w:rPr>
      </w:pPr>
    </w:p>
    <w:p>
      <w:pPr>
        <w:ind w:left="881" w:hanging="881"/>
        <w:spacing w:after="0"/>
        <w:tabs>
          <w:tab w:leader="none" w:pos="88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Defaults and Remedies.</w:t>
      </w:r>
    </w:p>
    <w:p>
      <w:pPr>
        <w:spacing w:after="0" w:line="191" w:lineRule="exact"/>
        <w:rPr>
          <w:sz w:val="20"/>
          <w:szCs w:val="20"/>
          <w:color w:val="auto"/>
        </w:rPr>
      </w:pPr>
    </w:p>
    <w:p>
      <w:pPr>
        <w:ind w:left="1" w:right="2559" w:firstLine="872"/>
        <w:spacing w:after="0" w:line="246" w:lineRule="auto"/>
        <w:rPr>
          <w:sz w:val="20"/>
          <w:szCs w:val="20"/>
          <w:color w:val="auto"/>
        </w:rPr>
      </w:pPr>
      <w:r>
        <w:rPr>
          <w:rFonts w:ascii="Courier New" w:cs="Courier New" w:eastAsia="Courier New" w:hAnsi="Courier New"/>
          <w:sz w:val="16"/>
          <w:szCs w:val="16"/>
          <w:color w:val="auto"/>
        </w:rPr>
        <w:t>If an Event of Default occurs with respect to the Securities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any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w:t>
      </w:r>
    </w:p>
    <w:p>
      <w:pPr>
        <w:spacing w:after="0" w:line="7" w:lineRule="exact"/>
        <w:rPr>
          <w:sz w:val="20"/>
          <w:szCs w:val="20"/>
          <w:color w:val="auto"/>
        </w:rPr>
      </w:pPr>
    </w:p>
    <w:p>
      <w:pPr>
        <w:ind w:left="1" w:right="2559" w:hanging="1"/>
        <w:spacing w:after="0" w:line="246" w:lineRule="auto"/>
        <w:tabs>
          <w:tab w:leader="none" w:pos="38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default or shall impair any right consequent thereon. Holders of Securities may</w:t>
      </w:r>
    </w:p>
    <w:p>
      <w:pPr>
        <w:spacing w:after="0" w:line="379"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0"/>
          </w:cols>
          <w:pgMar w:left="239" w:top="303" w:right="1440" w:bottom="1440" w:gutter="0" w:footer="0" w:header="0"/>
        </w:sectPr>
      </w:pPr>
    </w:p>
    <w:bookmarkStart w:id="38" w:name="page39"/>
    <w:bookmarkEnd w:id="38"/>
    <w:p>
      <w:pPr>
        <w:ind w:left="301"/>
        <w:spacing w:after="0"/>
        <w:rPr>
          <w:sz w:val="20"/>
          <w:szCs w:val="20"/>
          <w:color w:val="auto"/>
        </w:rPr>
      </w:pPr>
      <w:r>
        <w:rPr>
          <w:rFonts w:ascii="Courier New" w:cs="Courier New" w:eastAsia="Courier New" w:hAnsi="Courier New"/>
          <w:sz w:val="16"/>
          <w:szCs w:val="16"/>
          <w:color w:val="auto"/>
        </w:rPr>
        <w:t>8</w:t>
      </w:r>
    </w:p>
    <w:p>
      <w:pPr>
        <w:spacing w:after="0" w:line="191"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185" w:lineRule="exact"/>
        <w:rPr>
          <w:sz w:val="20"/>
          <w:szCs w:val="20"/>
          <w:color w:val="auto"/>
        </w:rPr>
      </w:pPr>
    </w:p>
    <w:p>
      <w:pPr>
        <w:ind w:left="881" w:hanging="881"/>
        <w:spacing w:after="0"/>
        <w:tabs>
          <w:tab w:leader="none" w:pos="8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Trustee Dealings with Company.</w:t>
      </w:r>
    </w:p>
    <w:p>
      <w:pPr>
        <w:spacing w:after="0" w:line="191"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The Trustee under the Indenture, in its individual or any other capacity, may make loans to, accept deposits from, and perform services for the Company or its Affiliates or any subsidiary of the Company's Affiliates, and may otherwise deal with the Company or its Affiliates as if it were not the Trustee.</w:t>
      </w:r>
    </w:p>
    <w:p>
      <w:pPr>
        <w:spacing w:after="0" w:line="186" w:lineRule="exact"/>
        <w:rPr>
          <w:sz w:val="20"/>
          <w:szCs w:val="20"/>
          <w:color w:val="auto"/>
        </w:rPr>
      </w:pPr>
    </w:p>
    <w:p>
      <w:pPr>
        <w:ind w:left="881" w:hanging="881"/>
        <w:spacing w:after="0"/>
        <w:tabs>
          <w:tab w:leader="none" w:pos="88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Authentication.</w:t>
      </w:r>
    </w:p>
    <w:p>
      <w:pPr>
        <w:spacing w:after="0" w:line="191" w:lineRule="exact"/>
        <w:rPr>
          <w:sz w:val="20"/>
          <w:szCs w:val="20"/>
          <w:color w:val="auto"/>
        </w:rPr>
      </w:pPr>
    </w:p>
    <w:p>
      <w:pPr>
        <w:ind w:left="1" w:right="2759" w:firstLine="872"/>
        <w:spacing w:after="0" w:line="247" w:lineRule="auto"/>
        <w:rPr>
          <w:sz w:val="20"/>
          <w:szCs w:val="20"/>
          <w:color w:val="auto"/>
        </w:rPr>
      </w:pPr>
      <w:r>
        <w:rPr>
          <w:rFonts w:ascii="Courier New" w:cs="Courier New" w:eastAsia="Courier New" w:hAnsi="Courier New"/>
          <w:sz w:val="16"/>
          <w:szCs w:val="16"/>
          <w:color w:val="auto"/>
        </w:rPr>
        <w:t>This Security shall not be valid until the Trustee or authenticating agent signs the certificate of authentication on the other side of this Security.</w:t>
      </w:r>
    </w:p>
    <w:p>
      <w:pPr>
        <w:spacing w:after="0" w:line="186" w:lineRule="exact"/>
        <w:rPr>
          <w:sz w:val="20"/>
          <w:szCs w:val="20"/>
          <w:color w:val="auto"/>
        </w:rPr>
      </w:pPr>
    </w:p>
    <w:p>
      <w:pPr>
        <w:ind w:left="881" w:hanging="881"/>
        <w:spacing w:after="0"/>
        <w:tabs>
          <w:tab w:leader="none" w:pos="88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Abbreviations and Defined Terms.</w:t>
      </w:r>
    </w:p>
    <w:p>
      <w:pPr>
        <w:spacing w:after="0" w:line="191"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6" w:lineRule="exact"/>
        <w:rPr>
          <w:sz w:val="20"/>
          <w:szCs w:val="20"/>
          <w:color w:val="auto"/>
        </w:rPr>
      </w:pPr>
    </w:p>
    <w:p>
      <w:pPr>
        <w:ind w:left="881" w:hanging="881"/>
        <w:spacing w:after="0"/>
        <w:tabs>
          <w:tab w:leader="none" w:pos="88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Numbers.</w:t>
      </w:r>
    </w:p>
    <w:p>
      <w:pPr>
        <w:spacing w:after="0" w:line="191" w:lineRule="exact"/>
        <w:rPr>
          <w:sz w:val="20"/>
          <w:szCs w:val="20"/>
          <w:color w:val="auto"/>
        </w:rPr>
      </w:pPr>
    </w:p>
    <w:p>
      <w:pPr>
        <w:ind w:left="1" w:right="2559" w:firstLine="872"/>
        <w:spacing w:after="0" w:line="247" w:lineRule="auto"/>
        <w:rPr>
          <w:sz w:val="20"/>
          <w:szCs w:val="20"/>
          <w:color w:val="auto"/>
        </w:rPr>
      </w:pPr>
      <w:r>
        <w:rPr>
          <w:rFonts w:ascii="Courier New" w:cs="Courier New" w:eastAsia="Courier New" w:hAnsi="Courier New"/>
          <w:sz w:val="16"/>
          <w:szCs w:val="16"/>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85" w:lineRule="exact"/>
        <w:rPr>
          <w:sz w:val="20"/>
          <w:szCs w:val="20"/>
          <w:color w:val="auto"/>
        </w:rPr>
      </w:pPr>
    </w:p>
    <w:p>
      <w:pPr>
        <w:ind w:left="881" w:hanging="881"/>
        <w:spacing w:after="0"/>
        <w:tabs>
          <w:tab w:leader="none" w:pos="88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Absolute Obligation.</w:t>
      </w:r>
    </w:p>
    <w:p>
      <w:pPr>
        <w:spacing w:after="0" w:line="191" w:lineRule="exact"/>
        <w:rPr>
          <w:sz w:val="20"/>
          <w:szCs w:val="20"/>
          <w:color w:val="auto"/>
        </w:rPr>
      </w:pPr>
    </w:p>
    <w:p>
      <w:pPr>
        <w:ind w:left="1" w:right="2559" w:firstLine="872"/>
        <w:spacing w:after="0" w:line="247" w:lineRule="auto"/>
        <w:rPr>
          <w:sz w:val="20"/>
          <w:szCs w:val="20"/>
          <w:color w:val="auto"/>
        </w:rPr>
      </w:pPr>
      <w:r>
        <w:rPr>
          <w:rFonts w:ascii="Courier New" w:cs="Courier New" w:eastAsia="Courier New" w:hAnsi="Courier New"/>
          <w:sz w:val="16"/>
          <w:szCs w:val="16"/>
          <w:color w:val="auto"/>
        </w:rPr>
        <w:t>No reference herein to the Indenture and no provision of this Security or the Indenture shall alter or impair the obligation of the Company, which is absolute and unconditional, to pay the principal of and interest on this Security in the manner, at the respective times, at the rate and in the coin or currency herein prescribed.</w:t>
      </w:r>
    </w:p>
    <w:p>
      <w:pPr>
        <w:spacing w:after="0" w:line="185" w:lineRule="exact"/>
        <w:rPr>
          <w:sz w:val="20"/>
          <w:szCs w:val="20"/>
          <w:color w:val="auto"/>
        </w:rPr>
      </w:pPr>
    </w:p>
    <w:p>
      <w:pPr>
        <w:ind w:left="881" w:hanging="881"/>
        <w:spacing w:after="0"/>
        <w:tabs>
          <w:tab w:leader="none" w:pos="8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Recourse.</w:t>
      </w:r>
    </w:p>
    <w:p>
      <w:pPr>
        <w:spacing w:after="0" w:line="191"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w:t>
      </w:r>
    </w:p>
    <w:p>
      <w:pPr>
        <w:spacing w:after="0" w:line="200" w:lineRule="exact"/>
        <w:rPr>
          <w:sz w:val="20"/>
          <w:szCs w:val="20"/>
          <w:color w:val="auto"/>
        </w:rPr>
      </w:pPr>
    </w:p>
    <w:p>
      <w:pPr>
        <w:spacing w:after="0" w:line="36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0"/>
          </w:cols>
          <w:pgMar w:left="239" w:top="303" w:right="1440" w:bottom="1440" w:gutter="0" w:footer="0" w:header="0"/>
        </w:sectPr>
      </w:pPr>
    </w:p>
    <w:bookmarkStart w:id="39" w:name="page40"/>
    <w:bookmarkEnd w:id="39"/>
    <w:p>
      <w:pPr>
        <w:ind w:left="301"/>
        <w:spacing w:after="0"/>
        <w:rPr>
          <w:sz w:val="20"/>
          <w:szCs w:val="20"/>
          <w:color w:val="auto"/>
        </w:rPr>
      </w:pPr>
      <w:r>
        <w:rPr>
          <w:rFonts w:ascii="Courier New" w:cs="Courier New" w:eastAsia="Courier New" w:hAnsi="Courier New"/>
          <w:sz w:val="16"/>
          <w:szCs w:val="16"/>
          <w:color w:val="auto"/>
        </w:rPr>
        <w:t>9</w:t>
      </w:r>
    </w:p>
    <w:p>
      <w:pPr>
        <w:spacing w:after="0" w:line="191" w:lineRule="exact"/>
        <w:rPr>
          <w:sz w:val="20"/>
          <w:szCs w:val="20"/>
          <w:color w:val="auto"/>
        </w:rPr>
      </w:pPr>
    </w:p>
    <w:p>
      <w:pPr>
        <w:ind w:left="1" w:right="2759"/>
        <w:spacing w:after="0" w:line="247" w:lineRule="auto"/>
        <w:rPr>
          <w:sz w:val="20"/>
          <w:szCs w:val="20"/>
          <w:color w:val="auto"/>
        </w:rPr>
      </w:pPr>
      <w:r>
        <w:rPr>
          <w:rFonts w:ascii="Courier New" w:cs="Courier New" w:eastAsia="Courier New" w:hAnsi="Courier New"/>
          <w:sz w:val="16"/>
          <w:szCs w:val="16"/>
          <w:color w:val="auto"/>
        </w:rPr>
        <w:t>otherwise, all such liability being expressly waived and released by the acceptance of the Security by the Holder and as part of the consideration for the issue of the Security.</w:t>
      </w:r>
    </w:p>
    <w:p>
      <w:pPr>
        <w:spacing w:after="0" w:line="186" w:lineRule="exact"/>
        <w:rPr>
          <w:sz w:val="20"/>
          <w:szCs w:val="20"/>
          <w:color w:val="auto"/>
        </w:rPr>
      </w:pPr>
    </w:p>
    <w:p>
      <w:pPr>
        <w:ind w:left="881" w:hanging="881"/>
        <w:spacing w:after="0"/>
        <w:tabs>
          <w:tab w:leader="none" w:pos="88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91" w:lineRule="exact"/>
        <w:rPr>
          <w:sz w:val="20"/>
          <w:szCs w:val="20"/>
          <w:color w:val="auto"/>
        </w:rPr>
      </w:pPr>
    </w:p>
    <w:p>
      <w:pPr>
        <w:ind w:left="1" w:right="2459" w:firstLine="872"/>
        <w:spacing w:after="0" w:line="248" w:lineRule="auto"/>
        <w:rPr>
          <w:sz w:val="20"/>
          <w:szCs w:val="20"/>
          <w:color w:val="auto"/>
        </w:rPr>
      </w:pPr>
      <w:r>
        <w:rPr>
          <w:rFonts w:ascii="Courier New" w:cs="Courier New" w:eastAsia="Courier New" w:hAnsi="Courier New"/>
          <w:sz w:val="16"/>
          <w:szCs w:val="16"/>
          <w:color w:val="auto"/>
        </w:rPr>
        <w:t>This Security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0"/>
          </w:cols>
          <w:pgMar w:left="239" w:top="303" w:right="1440" w:bottom="1440" w:gutter="0" w:footer="0" w:header="0"/>
        </w:sectPr>
      </w:pPr>
    </w:p>
    <w:bookmarkStart w:id="40" w:name="page41"/>
    <w:bookmarkEnd w:id="40"/>
    <w:p>
      <w:pPr>
        <w:ind w:left="300"/>
        <w:spacing w:after="0"/>
        <w:rPr>
          <w:sz w:val="20"/>
          <w:szCs w:val="20"/>
          <w:color w:val="auto"/>
        </w:rPr>
      </w:pPr>
      <w:r>
        <w:rPr>
          <w:rFonts w:ascii="Courier New" w:cs="Courier New" w:eastAsia="Courier New" w:hAnsi="Courier New"/>
          <w:sz w:val="16"/>
          <w:szCs w:val="16"/>
          <w:color w:val="auto"/>
        </w:rPr>
        <w:t>10</w:t>
      </w:r>
    </w:p>
    <w:p>
      <w:pPr>
        <w:spacing w:after="0" w:line="19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SCHEDULE OF EXCHANGES OF DEFINITIVE SECURITY</w:t>
      </w:r>
    </w:p>
    <w:p>
      <w:pPr>
        <w:spacing w:after="0" w:line="191" w:lineRule="exact"/>
        <w:rPr>
          <w:sz w:val="20"/>
          <w:szCs w:val="20"/>
          <w:color w:val="auto"/>
        </w:rPr>
      </w:pPr>
    </w:p>
    <w:p>
      <w:pPr>
        <w:ind w:right="4060"/>
        <w:spacing w:after="0" w:line="248" w:lineRule="auto"/>
        <w:rPr>
          <w:sz w:val="20"/>
          <w:szCs w:val="20"/>
          <w:color w:val="auto"/>
        </w:rPr>
      </w:pPr>
      <w:r>
        <w:rPr>
          <w:rFonts w:ascii="Courier New" w:cs="Courier New" w:eastAsia="Courier New" w:hAnsi="Courier New"/>
          <w:sz w:val="16"/>
          <w:szCs w:val="16"/>
          <w:color w:val="auto"/>
        </w:rPr>
        <w:t>The following exchanges of a part of this Global Security for Securities have been made:</w:t>
      </w:r>
    </w:p>
    <w:p>
      <w:pPr>
        <w:spacing w:after="0" w:line="200" w:lineRule="exact"/>
        <w:rPr>
          <w:sz w:val="20"/>
          <w:szCs w:val="20"/>
          <w:color w:val="auto"/>
        </w:rPr>
      </w:pPr>
    </w:p>
    <w:p>
      <w:pPr>
        <w:spacing w:after="0" w:line="357"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1640" w:type="dxa"/>
            <w:vAlign w:val="bottom"/>
          </w:tcPr>
          <w:p>
            <w:pPr>
              <w:spacing w:after="0"/>
              <w:rPr>
                <w:sz w:val="15"/>
                <w:szCs w:val="15"/>
                <w:color w:val="auto"/>
              </w:rPr>
            </w:pPr>
          </w:p>
        </w:tc>
        <w:tc>
          <w:tcPr>
            <w:tcW w:w="286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Amount of</w:t>
            </w:r>
          </w:p>
        </w:tc>
        <w:tc>
          <w:tcPr>
            <w:tcW w:w="2380" w:type="dxa"/>
            <w:vAlign w:val="bottom"/>
          </w:tcPr>
          <w:p>
            <w:pPr>
              <w:jc w:val="center"/>
              <w:ind w:left="59"/>
              <w:spacing w:after="0"/>
              <w:rPr>
                <w:sz w:val="20"/>
                <w:szCs w:val="20"/>
                <w:color w:val="auto"/>
              </w:rPr>
            </w:pPr>
            <w:r>
              <w:rPr>
                <w:rFonts w:ascii="Courier New" w:cs="Courier New" w:eastAsia="Courier New" w:hAnsi="Courier New"/>
                <w:sz w:val="16"/>
                <w:szCs w:val="16"/>
                <w:color w:val="auto"/>
              </w:rPr>
              <w:t>Amount of</w:t>
            </w:r>
          </w:p>
        </w:tc>
        <w:tc>
          <w:tcPr>
            <w:tcW w:w="2460" w:type="dxa"/>
            <w:vAlign w:val="bottom"/>
          </w:tcPr>
          <w:p>
            <w:pPr>
              <w:ind w:left="480"/>
              <w:spacing w:after="0"/>
              <w:rPr>
                <w:sz w:val="20"/>
                <w:szCs w:val="20"/>
                <w:color w:val="auto"/>
              </w:rPr>
            </w:pPr>
            <w:r>
              <w:rPr>
                <w:rFonts w:ascii="Courier New" w:cs="Courier New" w:eastAsia="Courier New" w:hAnsi="Courier New"/>
                <w:sz w:val="16"/>
                <w:szCs w:val="16"/>
                <w:color w:val="auto"/>
              </w:rPr>
              <w:t>Principal Amount</w:t>
            </w:r>
          </w:p>
        </w:tc>
        <w:tc>
          <w:tcPr>
            <w:tcW w:w="20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Signature of</w:t>
            </w:r>
          </w:p>
        </w:tc>
      </w:tr>
      <w:tr>
        <w:trPr>
          <w:trHeight w:val="186"/>
        </w:trPr>
        <w:tc>
          <w:tcPr>
            <w:tcW w:w="1640" w:type="dxa"/>
            <w:vAlign w:val="bottom"/>
          </w:tcPr>
          <w:p>
            <w:pPr>
              <w:spacing w:after="0"/>
              <w:rPr>
                <w:sz w:val="16"/>
                <w:szCs w:val="16"/>
                <w:color w:val="auto"/>
              </w:rPr>
            </w:pPr>
          </w:p>
        </w:tc>
        <w:tc>
          <w:tcPr>
            <w:tcW w:w="286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decrease in</w:t>
            </w:r>
          </w:p>
        </w:tc>
        <w:tc>
          <w:tcPr>
            <w:tcW w:w="2380" w:type="dxa"/>
            <w:vAlign w:val="bottom"/>
          </w:tcPr>
          <w:p>
            <w:pPr>
              <w:jc w:val="center"/>
              <w:ind w:left="59"/>
              <w:spacing w:after="0"/>
              <w:rPr>
                <w:sz w:val="20"/>
                <w:szCs w:val="20"/>
                <w:color w:val="auto"/>
              </w:rPr>
            </w:pPr>
            <w:r>
              <w:rPr>
                <w:rFonts w:ascii="Courier New" w:cs="Courier New" w:eastAsia="Courier New" w:hAnsi="Courier New"/>
                <w:sz w:val="16"/>
                <w:szCs w:val="16"/>
                <w:color w:val="auto"/>
              </w:rPr>
              <w:t>increase in</w:t>
            </w:r>
          </w:p>
        </w:tc>
        <w:tc>
          <w:tcPr>
            <w:tcW w:w="2460" w:type="dxa"/>
            <w:vAlign w:val="bottom"/>
          </w:tcPr>
          <w:p>
            <w:pPr>
              <w:ind w:left="580"/>
              <w:spacing w:after="0"/>
              <w:rPr>
                <w:sz w:val="20"/>
                <w:szCs w:val="20"/>
                <w:color w:val="auto"/>
              </w:rPr>
            </w:pPr>
            <w:r>
              <w:rPr>
                <w:rFonts w:ascii="Courier New" w:cs="Courier New" w:eastAsia="Courier New" w:hAnsi="Courier New"/>
                <w:sz w:val="16"/>
                <w:szCs w:val="16"/>
                <w:color w:val="auto"/>
              </w:rPr>
              <w:t>of this Global</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authorized officer</w:t>
            </w:r>
          </w:p>
        </w:tc>
      </w:tr>
      <w:tr>
        <w:trPr>
          <w:trHeight w:val="186"/>
        </w:trPr>
        <w:tc>
          <w:tcPr>
            <w:tcW w:w="1640" w:type="dxa"/>
            <w:vAlign w:val="bottom"/>
          </w:tcPr>
          <w:p>
            <w:pPr>
              <w:spacing w:after="0"/>
              <w:rPr>
                <w:sz w:val="16"/>
                <w:szCs w:val="16"/>
                <w:color w:val="auto"/>
              </w:rPr>
            </w:pPr>
          </w:p>
        </w:tc>
        <w:tc>
          <w:tcPr>
            <w:tcW w:w="2860" w:type="dxa"/>
            <w:vAlign w:val="bottom"/>
          </w:tcPr>
          <w:p>
            <w:pPr>
              <w:jc w:val="center"/>
              <w:ind w:left="359"/>
              <w:spacing w:after="0"/>
              <w:rPr>
                <w:sz w:val="20"/>
                <w:szCs w:val="20"/>
                <w:color w:val="auto"/>
              </w:rPr>
            </w:pPr>
            <w:r>
              <w:rPr>
                <w:rFonts w:ascii="Courier New" w:cs="Courier New" w:eastAsia="Courier New" w:hAnsi="Courier New"/>
                <w:sz w:val="16"/>
                <w:szCs w:val="16"/>
                <w:color w:val="auto"/>
              </w:rPr>
              <w:t>Principal Amount</w:t>
            </w:r>
          </w:p>
        </w:tc>
        <w:tc>
          <w:tcPr>
            <w:tcW w:w="2380" w:type="dxa"/>
            <w:vAlign w:val="bottom"/>
          </w:tcPr>
          <w:p>
            <w:pPr>
              <w:jc w:val="center"/>
              <w:spacing w:after="0"/>
              <w:rPr>
                <w:sz w:val="20"/>
                <w:szCs w:val="20"/>
                <w:color w:val="auto"/>
              </w:rPr>
            </w:pPr>
            <w:r>
              <w:rPr>
                <w:rFonts w:ascii="Courier New" w:cs="Courier New" w:eastAsia="Courier New" w:hAnsi="Courier New"/>
                <w:sz w:val="16"/>
                <w:szCs w:val="16"/>
                <w:color w:val="auto"/>
              </w:rPr>
              <w:t>Principal Amount</w:t>
            </w:r>
          </w:p>
        </w:tc>
        <w:tc>
          <w:tcPr>
            <w:tcW w:w="2460" w:type="dxa"/>
            <w:vAlign w:val="bottom"/>
          </w:tcPr>
          <w:p>
            <w:pPr>
              <w:ind w:left="380"/>
              <w:spacing w:after="0"/>
              <w:rPr>
                <w:sz w:val="20"/>
                <w:szCs w:val="20"/>
                <w:color w:val="auto"/>
              </w:rPr>
            </w:pPr>
            <w:r>
              <w:rPr>
                <w:rFonts w:ascii="Courier New" w:cs="Courier New" w:eastAsia="Courier New" w:hAnsi="Courier New"/>
                <w:sz w:val="16"/>
                <w:szCs w:val="16"/>
                <w:color w:val="auto"/>
              </w:rPr>
              <w:t>Security following</w:t>
            </w:r>
          </w:p>
        </w:tc>
        <w:tc>
          <w:tcPr>
            <w:tcW w:w="20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of Trustee or</w:t>
            </w:r>
          </w:p>
        </w:tc>
      </w:tr>
      <w:tr>
        <w:trPr>
          <w:trHeight w:val="186"/>
        </w:trPr>
        <w:tc>
          <w:tcPr>
            <w:tcW w:w="164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Date of</w:t>
            </w:r>
          </w:p>
        </w:tc>
        <w:tc>
          <w:tcPr>
            <w:tcW w:w="2860" w:type="dxa"/>
            <w:vAlign w:val="bottom"/>
          </w:tcPr>
          <w:p>
            <w:pPr>
              <w:jc w:val="center"/>
              <w:ind w:left="359"/>
              <w:spacing w:after="0"/>
              <w:rPr>
                <w:sz w:val="20"/>
                <w:szCs w:val="20"/>
                <w:color w:val="auto"/>
              </w:rPr>
            </w:pPr>
            <w:r>
              <w:rPr>
                <w:rFonts w:ascii="Courier New" w:cs="Courier New" w:eastAsia="Courier New" w:hAnsi="Courier New"/>
                <w:sz w:val="16"/>
                <w:szCs w:val="16"/>
                <w:color w:val="auto"/>
                <w:w w:val="99"/>
              </w:rPr>
              <w:t>of this Global</w:t>
            </w:r>
          </w:p>
        </w:tc>
        <w:tc>
          <w:tcPr>
            <w:tcW w:w="2380" w:type="dxa"/>
            <w:vAlign w:val="bottom"/>
          </w:tcPr>
          <w:p>
            <w:pPr>
              <w:jc w:val="center"/>
              <w:spacing w:after="0"/>
              <w:rPr>
                <w:sz w:val="20"/>
                <w:szCs w:val="20"/>
                <w:color w:val="auto"/>
              </w:rPr>
            </w:pPr>
            <w:r>
              <w:rPr>
                <w:rFonts w:ascii="Courier New" w:cs="Courier New" w:eastAsia="Courier New" w:hAnsi="Courier New"/>
                <w:sz w:val="16"/>
                <w:szCs w:val="16"/>
                <w:color w:val="auto"/>
              </w:rPr>
              <w:t>of this Global</w:t>
            </w:r>
          </w:p>
        </w:tc>
        <w:tc>
          <w:tcPr>
            <w:tcW w:w="2460" w:type="dxa"/>
            <w:vAlign w:val="bottom"/>
          </w:tcPr>
          <w:p>
            <w:pPr>
              <w:ind w:left="580"/>
              <w:spacing w:after="0"/>
              <w:rPr>
                <w:sz w:val="20"/>
                <w:szCs w:val="20"/>
                <w:color w:val="auto"/>
              </w:rPr>
            </w:pPr>
            <w:r>
              <w:rPr>
                <w:rFonts w:ascii="Courier New" w:cs="Courier New" w:eastAsia="Courier New" w:hAnsi="Courier New"/>
                <w:sz w:val="16"/>
                <w:szCs w:val="16"/>
                <w:color w:val="auto"/>
              </w:rPr>
              <w:t>such decrease</w:t>
            </w:r>
          </w:p>
        </w:tc>
        <w:tc>
          <w:tcPr>
            <w:tcW w:w="2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Security</w:t>
            </w:r>
          </w:p>
        </w:tc>
      </w:tr>
      <w:tr>
        <w:trPr>
          <w:trHeight w:val="186"/>
        </w:trPr>
        <w:tc>
          <w:tcPr>
            <w:tcW w:w="1640" w:type="dxa"/>
            <w:vAlign w:val="bottom"/>
          </w:tcPr>
          <w:p>
            <w:pPr>
              <w:jc w:val="right"/>
              <w:ind w:right="779"/>
              <w:spacing w:after="0"/>
              <w:rPr>
                <w:sz w:val="20"/>
                <w:szCs w:val="20"/>
                <w:color w:val="auto"/>
              </w:rPr>
            </w:pPr>
            <w:r>
              <w:rPr>
                <w:rFonts w:ascii="Courier New" w:cs="Courier New" w:eastAsia="Courier New" w:hAnsi="Courier New"/>
                <w:sz w:val="16"/>
                <w:szCs w:val="16"/>
                <w:color w:val="auto"/>
                <w:w w:val="98"/>
              </w:rPr>
              <w:t>Exchange</w:t>
            </w:r>
          </w:p>
        </w:tc>
        <w:tc>
          <w:tcPr>
            <w:tcW w:w="2860" w:type="dxa"/>
            <w:vAlign w:val="bottom"/>
          </w:tcPr>
          <w:p>
            <w:pPr>
              <w:jc w:val="center"/>
              <w:ind w:left="359"/>
              <w:spacing w:after="0"/>
              <w:rPr>
                <w:sz w:val="20"/>
                <w:szCs w:val="20"/>
                <w:color w:val="auto"/>
              </w:rPr>
            </w:pPr>
            <w:r>
              <w:rPr>
                <w:rFonts w:ascii="Courier New" w:cs="Courier New" w:eastAsia="Courier New" w:hAnsi="Courier New"/>
                <w:sz w:val="16"/>
                <w:szCs w:val="16"/>
                <w:color w:val="auto"/>
              </w:rPr>
              <w:t>Security</w:t>
            </w:r>
          </w:p>
        </w:tc>
        <w:tc>
          <w:tcPr>
            <w:tcW w:w="2380" w:type="dxa"/>
            <w:vAlign w:val="bottom"/>
          </w:tcPr>
          <w:p>
            <w:pPr>
              <w:jc w:val="center"/>
              <w:spacing w:after="0"/>
              <w:rPr>
                <w:sz w:val="20"/>
                <w:szCs w:val="20"/>
                <w:color w:val="auto"/>
              </w:rPr>
            </w:pPr>
            <w:r>
              <w:rPr>
                <w:rFonts w:ascii="Courier New" w:cs="Courier New" w:eastAsia="Courier New" w:hAnsi="Courier New"/>
                <w:sz w:val="16"/>
                <w:szCs w:val="16"/>
                <w:color w:val="auto"/>
              </w:rPr>
              <w:t>Security</w:t>
            </w:r>
          </w:p>
        </w:tc>
        <w:tc>
          <w:tcPr>
            <w:tcW w:w="2460" w:type="dxa"/>
            <w:vAlign w:val="bottom"/>
          </w:tcPr>
          <w:p>
            <w:pPr>
              <w:ind w:left="580"/>
              <w:spacing w:after="0"/>
              <w:rPr>
                <w:sz w:val="20"/>
                <w:szCs w:val="20"/>
                <w:color w:val="auto"/>
              </w:rPr>
            </w:pPr>
            <w:r>
              <w:rPr>
                <w:rFonts w:ascii="Courier New" w:cs="Courier New" w:eastAsia="Courier New" w:hAnsi="Courier New"/>
                <w:sz w:val="16"/>
                <w:szCs w:val="16"/>
                <w:color w:val="auto"/>
              </w:rPr>
              <w:t>(or increase)</w:t>
            </w:r>
          </w:p>
        </w:tc>
        <w:tc>
          <w:tcPr>
            <w:tcW w:w="2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Custodian</w:t>
            </w:r>
          </w:p>
        </w:tc>
      </w:tr>
      <w:tr>
        <w:trPr>
          <w:trHeight w:val="186"/>
        </w:trPr>
        <w:tc>
          <w:tcPr>
            <w:tcW w:w="1640" w:type="dxa"/>
            <w:vAlign w:val="bottom"/>
          </w:tcPr>
          <w:p>
            <w:pPr>
              <w:jc w:val="right"/>
              <w:ind w:right="779"/>
              <w:spacing w:after="0"/>
              <w:rPr>
                <w:sz w:val="20"/>
                <w:szCs w:val="20"/>
                <w:color w:val="auto"/>
              </w:rPr>
            </w:pPr>
            <w:r>
              <w:rPr>
                <w:rFonts w:ascii="Courier New" w:cs="Courier New" w:eastAsia="Courier New" w:hAnsi="Courier New"/>
                <w:sz w:val="16"/>
                <w:szCs w:val="16"/>
                <w:color w:val="auto"/>
                <w:w w:val="98"/>
              </w:rPr>
              <w:t>--------</w:t>
            </w:r>
          </w:p>
        </w:tc>
        <w:tc>
          <w:tcPr>
            <w:tcW w:w="2860" w:type="dxa"/>
            <w:vAlign w:val="bottom"/>
          </w:tcPr>
          <w:p>
            <w:pPr>
              <w:jc w:val="center"/>
              <w:ind w:left="359"/>
              <w:spacing w:after="0"/>
              <w:rPr>
                <w:sz w:val="20"/>
                <w:szCs w:val="20"/>
                <w:color w:val="auto"/>
              </w:rPr>
            </w:pPr>
            <w:r>
              <w:rPr>
                <w:rFonts w:ascii="Courier New" w:cs="Courier New" w:eastAsia="Courier New" w:hAnsi="Courier New"/>
                <w:sz w:val="16"/>
                <w:szCs w:val="16"/>
                <w:color w:val="auto"/>
              </w:rPr>
              <w:t>--------</w:t>
            </w:r>
          </w:p>
        </w:tc>
        <w:tc>
          <w:tcPr>
            <w:tcW w:w="23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246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1520"/>
          </w:cols>
          <w:pgMar w:left="240" w:top="303" w:right="139" w:bottom="1440" w:gutter="0" w:footer="0" w:header="0"/>
        </w:sectPr>
      </w:pPr>
    </w:p>
    <w:bookmarkStart w:id="41" w:name="page42"/>
    <w:bookmarkEnd w:id="41"/>
    <w:p>
      <w:pPr>
        <w:ind w:left="30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4.2</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WASTE MANAGEMENT, INC.</w:t>
      </w:r>
    </w:p>
    <w:p>
      <w:pPr>
        <w:spacing w:after="0" w:line="19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OFFICERS' CERTIFICATE DELIVERED PURSUANT TO</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SECTION 301 OF THE INDENTURE DATED AS OF SEPTEMBER 10, 1997</w:t>
      </w:r>
    </w:p>
    <w:p>
      <w:pPr>
        <w:spacing w:after="0" w:line="191"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undersigned, the Senior Vice President and Chief Financial Officer, and the Senior Vice President, General Counsel and Secretary of Waste Management, Inc. (the "Company"), hereby certify that:</w:t>
      </w:r>
    </w:p>
    <w:p>
      <w:pPr>
        <w:spacing w:after="0" w:line="186" w:lineRule="exact"/>
        <w:rPr>
          <w:sz w:val="20"/>
          <w:szCs w:val="20"/>
          <w:color w:val="auto"/>
        </w:rPr>
      </w:pPr>
    </w:p>
    <w:p>
      <w:pPr>
        <w:ind w:left="480" w:right="2459" w:firstLine="391"/>
        <w:spacing w:after="0" w:line="246" w:lineRule="auto"/>
        <w:tabs>
          <w:tab w:leader="none" w:pos="1158"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Certificate is delivered to The Chase Manhattan Bank, as successor to Texas Commerce Bank National Association, as trustee (the "Trustee"), pursuant to Sections 102 and 301 of the Indenture dated as of September 10, 1997 between the Company, formerly known as USA Waste Services, Inc., and the Trustee in connection with the Company Order dated February 9, 2001 (the "Order") for the authentication and delivery by the Trustee of $600,000,000 aggregate principal amount of 7 3/8% Notes due 2010 ("Notes").</w:t>
      </w:r>
    </w:p>
    <w:p>
      <w:pPr>
        <w:spacing w:after="0" w:line="190" w:lineRule="exact"/>
        <w:rPr>
          <w:rFonts w:ascii="Courier New" w:cs="Courier New" w:eastAsia="Courier New" w:hAnsi="Courier New"/>
          <w:sz w:val="16"/>
          <w:szCs w:val="16"/>
          <w:color w:val="auto"/>
        </w:rPr>
      </w:pPr>
    </w:p>
    <w:p>
      <w:pPr>
        <w:ind w:left="480" w:right="2959" w:firstLine="391"/>
        <w:spacing w:after="0" w:line="248" w:lineRule="auto"/>
        <w:tabs>
          <w:tab w:leader="none" w:pos="1158"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have read Sections 102, 103, 301 and 303 of the Indenture and the definitions in the Indenture relating thereto.</w:t>
      </w:r>
    </w:p>
    <w:p>
      <w:pPr>
        <w:spacing w:after="0" w:line="184" w:lineRule="exact"/>
        <w:rPr>
          <w:rFonts w:ascii="Courier New" w:cs="Courier New" w:eastAsia="Courier New" w:hAnsi="Courier New"/>
          <w:sz w:val="16"/>
          <w:szCs w:val="16"/>
          <w:color w:val="auto"/>
        </w:rPr>
      </w:pPr>
    </w:p>
    <w:p>
      <w:pPr>
        <w:ind w:left="480" w:right="2459" w:firstLine="391"/>
        <w:spacing w:after="0" w:line="247" w:lineRule="auto"/>
        <w:tabs>
          <w:tab w:leader="none" w:pos="1158"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5" w:lineRule="exact"/>
        <w:rPr>
          <w:rFonts w:ascii="Courier New" w:cs="Courier New" w:eastAsia="Courier New" w:hAnsi="Courier New"/>
          <w:sz w:val="16"/>
          <w:szCs w:val="16"/>
          <w:color w:val="auto"/>
        </w:rPr>
      </w:pPr>
    </w:p>
    <w:p>
      <w:pPr>
        <w:ind w:left="480" w:right="2559" w:firstLine="391"/>
        <w:spacing w:after="0" w:line="248" w:lineRule="auto"/>
        <w:tabs>
          <w:tab w:leader="none" w:pos="1158"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have examined the Order, and they have examined the covenants, conditions and provisions of the Indenture relating thereto.</w:t>
      </w:r>
    </w:p>
    <w:p>
      <w:pPr>
        <w:spacing w:after="0" w:line="184" w:lineRule="exact"/>
        <w:rPr>
          <w:rFonts w:ascii="Courier New" w:cs="Courier New" w:eastAsia="Courier New" w:hAnsi="Courier New"/>
          <w:sz w:val="16"/>
          <w:szCs w:val="16"/>
          <w:color w:val="auto"/>
        </w:rPr>
      </w:pPr>
    </w:p>
    <w:p>
      <w:pPr>
        <w:ind w:left="480" w:right="2759" w:firstLine="391"/>
        <w:spacing w:after="0" w:line="247" w:lineRule="auto"/>
        <w:tabs>
          <w:tab w:leader="none" w:pos="1158"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opinion of the persons making this Certificate, they have made such examination or investigation as is necessary to enable them to express an informed opinion as to whether or not all conditions provided for in the Indenture with respect to the Order have been complied with.</w:t>
      </w:r>
    </w:p>
    <w:p>
      <w:pPr>
        <w:spacing w:after="0" w:line="185" w:lineRule="exact"/>
        <w:rPr>
          <w:rFonts w:ascii="Courier New" w:cs="Courier New" w:eastAsia="Courier New" w:hAnsi="Courier New"/>
          <w:sz w:val="16"/>
          <w:szCs w:val="16"/>
          <w:color w:val="auto"/>
        </w:rPr>
      </w:pPr>
    </w:p>
    <w:p>
      <w:pPr>
        <w:ind w:left="480" w:right="2459" w:firstLine="391"/>
        <w:spacing w:after="0" w:line="247" w:lineRule="auto"/>
        <w:tabs>
          <w:tab w:leader="none" w:pos="1158"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conditions precedent provided in the Indenture to the authentication by the Trustee of $600,000,000 aggregate principal amount of Notes have been complied with, and such Debt Securities may be delivered in accordance with the Order as provided in the Indenture.</w:t>
      </w:r>
    </w:p>
    <w:p>
      <w:pPr>
        <w:spacing w:after="0" w:line="185" w:lineRule="exact"/>
        <w:rPr>
          <w:rFonts w:ascii="Courier New" w:cs="Courier New" w:eastAsia="Courier New" w:hAnsi="Courier New"/>
          <w:sz w:val="16"/>
          <w:szCs w:val="16"/>
          <w:color w:val="auto"/>
        </w:rPr>
      </w:pPr>
    </w:p>
    <w:p>
      <w:pPr>
        <w:ind w:left="480" w:right="2459" w:firstLine="391"/>
        <w:spacing w:after="0" w:line="247" w:lineRule="auto"/>
        <w:tabs>
          <w:tab w:leader="none" w:pos="1158"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of the Notes (including the Form of Note) as set forth in Annex A to this Officers' Certificate have been approved by officers of the Company as duly authorized by the Board of Directors of the Company as of April 30, 1999 and May 14, 1999.</w:t>
      </w:r>
    </w:p>
    <w:p>
      <w:pPr>
        <w:sectPr>
          <w:pgSz w:w="11900" w:h="16838" w:orient="portrait"/>
          <w:cols w:equalWidth="0" w:num="1">
            <w:col w:w="10219"/>
          </w:cols>
          <w:pgMar w:left="240" w:top="142" w:right="1440" w:bottom="1440" w:gutter="0" w:footer="0" w:header="0"/>
        </w:sectPr>
      </w:pPr>
    </w:p>
    <w:bookmarkStart w:id="42" w:name="page43"/>
    <w:bookmarkEnd w:id="42"/>
    <w:p>
      <w:pPr>
        <w:ind w:left="300"/>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ind w:right="3339" w:firstLine="872"/>
        <w:spacing w:after="0" w:line="248" w:lineRule="auto"/>
        <w:rPr>
          <w:sz w:val="20"/>
          <w:szCs w:val="20"/>
          <w:color w:val="auto"/>
        </w:rPr>
      </w:pPr>
      <w:r>
        <w:rPr>
          <w:rFonts w:ascii="Courier New" w:cs="Courier New" w:eastAsia="Courier New" w:hAnsi="Courier New"/>
          <w:sz w:val="16"/>
          <w:szCs w:val="16"/>
          <w:color w:val="auto"/>
        </w:rPr>
        <w:t>IN WITNESS WHEREOF, the undersigned has hereunto executed this Certificate as of February 9, 2001.</w:t>
      </w:r>
    </w:p>
    <w:p>
      <w:pPr>
        <w:spacing w:after="0" w:line="200" w:lineRule="exact"/>
        <w:rPr>
          <w:sz w:val="20"/>
          <w:szCs w:val="20"/>
          <w:color w:val="auto"/>
        </w:rPr>
      </w:pPr>
    </w:p>
    <w:p>
      <w:pPr>
        <w:spacing w:after="0" w:line="357"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William L. Trubeck</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Senior Vice President and</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pacing w:after="0" w:line="364"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Lawrence O'Donnell, III</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Senior Vice President, General Counsel</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and Secretary</w:t>
      </w:r>
    </w:p>
    <w:p>
      <w:pPr>
        <w:sectPr>
          <w:pgSz w:w="11900" w:h="16838" w:orient="portrait"/>
          <w:cols w:equalWidth="0" w:num="1">
            <w:col w:w="10219"/>
          </w:cols>
          <w:pgMar w:left="240" w:top="303" w:right="1440" w:bottom="1440" w:gutter="0" w:footer="0" w:header="0"/>
        </w:sectPr>
      </w:pPr>
    </w:p>
    <w:bookmarkStart w:id="43" w:name="page44"/>
    <w:bookmarkEnd w:id="43"/>
    <w:p>
      <w:pPr>
        <w:ind w:left="300"/>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ANNEX A</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TERMS OF THE NOTES</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Pursuant to authority granted by the Board of Directors of the Company on April 30, 1999 and May 14, 1999,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Chase Manhattan Bank, as successor to Texas Commerce Bank National Association, as trustee (the "Trustee"), the terms of which are set forth below. Capitalized terms used but not defined herein are used herein as defined in the Indenture.</w:t>
      </w:r>
    </w:p>
    <w:p>
      <w:pPr>
        <w:spacing w:after="0" w:line="191" w:lineRule="exact"/>
        <w:rPr>
          <w:sz w:val="20"/>
          <w:szCs w:val="20"/>
          <w:color w:val="auto"/>
        </w:rPr>
      </w:pPr>
    </w:p>
    <w:p>
      <w:pPr>
        <w:ind w:left="1260" w:right="2459" w:hanging="389"/>
        <w:spacing w:after="0" w:line="248" w:lineRule="auto"/>
        <w:tabs>
          <w:tab w:leader="none" w:pos="12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of the series of Securities shall be "7 3/8% Senior Notes due 2010" (the "Notes").</w:t>
      </w:r>
    </w:p>
    <w:p>
      <w:pPr>
        <w:spacing w:after="0" w:line="184" w:lineRule="exact"/>
        <w:rPr>
          <w:rFonts w:ascii="Courier New" w:cs="Courier New" w:eastAsia="Courier New" w:hAnsi="Courier New"/>
          <w:sz w:val="16"/>
          <w:szCs w:val="16"/>
          <w:color w:val="auto"/>
        </w:rPr>
      </w:pPr>
    </w:p>
    <w:p>
      <w:pPr>
        <w:ind w:left="1260" w:right="2859" w:hanging="389"/>
        <w:spacing w:after="0" w:line="248" w:lineRule="auto"/>
        <w:tabs>
          <w:tab w:leader="none" w:pos="12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shall be general unsecured, senior obligations of the Company.</w:t>
      </w:r>
    </w:p>
    <w:p>
      <w:pPr>
        <w:spacing w:after="0" w:line="184" w:lineRule="exact"/>
        <w:rPr>
          <w:rFonts w:ascii="Courier New" w:cs="Courier New" w:eastAsia="Courier New" w:hAnsi="Courier New"/>
          <w:sz w:val="16"/>
          <w:szCs w:val="16"/>
          <w:color w:val="auto"/>
        </w:rPr>
      </w:pPr>
    </w:p>
    <w:p>
      <w:pPr>
        <w:ind w:left="1260" w:right="2459" w:hanging="389"/>
        <w:spacing w:after="0" w:line="247" w:lineRule="auto"/>
        <w:tabs>
          <w:tab w:leader="none" w:pos="12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principal amount of the Notes which may be authenticated and delivered under the Indenture shall be limited to $600,000,000 (except for Notes authenticated and delivered upon registration of transfer of, or in exchange for, or in lieu of, other Notes pursuant to Section 304, 305, 306, 907 or 1107 of the Indenture).</w:t>
      </w:r>
    </w:p>
    <w:p>
      <w:pPr>
        <w:spacing w:after="0" w:line="185" w:lineRule="exact"/>
        <w:rPr>
          <w:rFonts w:ascii="Courier New" w:cs="Courier New" w:eastAsia="Courier New" w:hAnsi="Courier New"/>
          <w:sz w:val="16"/>
          <w:szCs w:val="16"/>
          <w:color w:val="auto"/>
        </w:rPr>
      </w:pPr>
    </w:p>
    <w:p>
      <w:pPr>
        <w:ind w:left="1260" w:right="2859" w:hanging="389"/>
        <w:spacing w:after="0" w:line="248" w:lineRule="auto"/>
        <w:tabs>
          <w:tab w:leader="none" w:pos="12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each Note shall be payable on August 1, 2010.</w:t>
      </w:r>
    </w:p>
    <w:p>
      <w:pPr>
        <w:spacing w:after="0" w:line="184" w:lineRule="exact"/>
        <w:rPr>
          <w:rFonts w:ascii="Courier New" w:cs="Courier New" w:eastAsia="Courier New" w:hAnsi="Courier New"/>
          <w:sz w:val="16"/>
          <w:szCs w:val="16"/>
          <w:color w:val="auto"/>
        </w:rPr>
      </w:pPr>
    </w:p>
    <w:p>
      <w:pPr>
        <w:ind w:left="1260" w:right="2459" w:hanging="389"/>
        <w:spacing w:after="0" w:line="246" w:lineRule="auto"/>
        <w:tabs>
          <w:tab w:leader="none" w:pos="12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Note shall bear interest from February 9, 2001 at the fixed rate of 7 3/8% per annum; the interest payment dates on which such interest shall be payable shall be February 1 and August 1 ("Interest Payment Dates"), of each year, commencing August 1, 2001, until maturity unless such date falls on a day that is not a Business Day, in which case, such payment shall be made on the next day that is a Business Day; the record date for the determination of Holders to whom interest is payable shall be January 15 or July 15, respectively, immediately preceding such date, as the case may be.</w:t>
      </w:r>
    </w:p>
    <w:p>
      <w:pPr>
        <w:spacing w:after="0" w:line="191" w:lineRule="exact"/>
        <w:rPr>
          <w:rFonts w:ascii="Courier New" w:cs="Courier New" w:eastAsia="Courier New" w:hAnsi="Courier New"/>
          <w:sz w:val="16"/>
          <w:szCs w:val="16"/>
          <w:color w:val="auto"/>
        </w:rPr>
      </w:pPr>
    </w:p>
    <w:p>
      <w:pPr>
        <w:ind w:left="1260" w:right="2459" w:hanging="389"/>
        <w:spacing w:after="0" w:line="247" w:lineRule="auto"/>
        <w:tabs>
          <w:tab w:leader="none" w:pos="12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are to be issued as Registered Securities. Each Note is to be issued as a book-entry note ("Book-Entry Note") but in certain circumstances may be represented by Notes in definitive form. The Book-Entry Notes shall be issued, in whole or in part, in the form of one or more Notes as contemplated by Section 203 of the Indenture. The Depositary for such Notes shall be The Depository Trust Company, New York, New York.</w:t>
      </w:r>
    </w:p>
    <w:p>
      <w:pPr>
        <w:sectPr>
          <w:pgSz w:w="11900" w:h="16838" w:orient="portrait"/>
          <w:cols w:equalWidth="0" w:num="1">
            <w:col w:w="10219"/>
          </w:cols>
          <w:pgMar w:left="240" w:top="303"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4</w:t>
      </w:r>
    </w:p>
    <w:p>
      <w:pPr>
        <w:spacing w:after="0" w:line="191" w:lineRule="exact"/>
        <w:rPr>
          <w:sz w:val="20"/>
          <w:szCs w:val="20"/>
          <w:color w:val="auto"/>
        </w:rPr>
      </w:pPr>
    </w:p>
    <w:p>
      <w:pPr>
        <w:ind w:left="1060" w:right="2459" w:hanging="489"/>
        <w:spacing w:after="0" w:line="246" w:lineRule="auto"/>
        <w:tabs>
          <w:tab w:leader="none" w:pos="10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90" w:lineRule="exact"/>
        <w:rPr>
          <w:rFonts w:ascii="Courier New" w:cs="Courier New" w:eastAsia="Courier New" w:hAnsi="Courier New"/>
          <w:sz w:val="16"/>
          <w:szCs w:val="16"/>
          <w:color w:val="auto"/>
        </w:rPr>
      </w:pPr>
    </w:p>
    <w:p>
      <w:pPr>
        <w:ind w:left="1060" w:right="2459" w:hanging="489"/>
        <w:spacing w:after="0" w:line="246" w:lineRule="auto"/>
        <w:tabs>
          <w:tab w:leader="none" w:pos="10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will be redeemable, at the option of the Company, at any time in whole, or from time to time in part, at a Redemption Price equal to the greater of (i) 100% of the principal amount of the Notes to be redeemed or (ii) the sum of the present value of the remaining scheduled payments of principal and interest (at the rate in effect on the date of calculation of the Redemption Price) thereon (exclusive of interest accrued to the Redemption Date) discounted to the Redemption Date on a semiannual basis (assuming a 360 day year consisting of twelve 30-day months) at the applicable Treasury Yield (as defined in the Notes) plus 30 basis points; plus, in either case, accrued interest to the Redemption Date.</w:t>
      </w:r>
    </w:p>
    <w:p>
      <w:pPr>
        <w:spacing w:after="0" w:line="193" w:lineRule="exact"/>
        <w:rPr>
          <w:rFonts w:ascii="Courier New" w:cs="Courier New" w:eastAsia="Courier New" w:hAnsi="Courier New"/>
          <w:sz w:val="16"/>
          <w:szCs w:val="16"/>
          <w:color w:val="auto"/>
        </w:rPr>
      </w:pPr>
    </w:p>
    <w:p>
      <w:pPr>
        <w:ind w:left="1060" w:right="2859" w:hanging="489"/>
        <w:spacing w:after="0" w:line="248" w:lineRule="auto"/>
        <w:tabs>
          <w:tab w:leader="none" w:pos="10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shall not be redeemable through the operation of any sinking fund or analogous provision.</w:t>
      </w:r>
    </w:p>
    <w:p>
      <w:pPr>
        <w:spacing w:after="0" w:line="184" w:lineRule="exact"/>
        <w:rPr>
          <w:rFonts w:ascii="Courier New" w:cs="Courier New" w:eastAsia="Courier New" w:hAnsi="Courier New"/>
          <w:sz w:val="16"/>
          <w:szCs w:val="16"/>
          <w:color w:val="auto"/>
        </w:rPr>
      </w:pPr>
    </w:p>
    <w:p>
      <w:pPr>
        <w:ind w:left="1060" w:right="2959" w:hanging="489"/>
        <w:spacing w:after="0" w:line="247" w:lineRule="auto"/>
        <w:tabs>
          <w:tab w:leader="none" w:pos="10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will be subject to defeasance and discharge as contemplated by Section 1302 of the Indenture and to covenant defeasance under Section 1303 of the Indenture.</w:t>
      </w:r>
    </w:p>
    <w:p>
      <w:pPr>
        <w:spacing w:after="0" w:line="185" w:lineRule="exact"/>
        <w:rPr>
          <w:rFonts w:ascii="Courier New" w:cs="Courier New" w:eastAsia="Courier New" w:hAnsi="Courier New"/>
          <w:sz w:val="16"/>
          <w:szCs w:val="16"/>
          <w:color w:val="auto"/>
        </w:rPr>
      </w:pPr>
    </w:p>
    <w:p>
      <w:pPr>
        <w:ind w:left="1060" w:right="3139" w:hanging="489"/>
        <w:spacing w:after="0" w:line="248" w:lineRule="auto"/>
        <w:tabs>
          <w:tab w:leader="none" w:pos="10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shall be entitled to the benefit of the covenants contained in Sections 1008 and 1009 of the Indenture.</w:t>
      </w:r>
    </w:p>
    <w:p>
      <w:pPr>
        <w:spacing w:after="0" w:line="184" w:lineRule="exact"/>
        <w:rPr>
          <w:rFonts w:ascii="Courier New" w:cs="Courier New" w:eastAsia="Courier New" w:hAnsi="Courier New"/>
          <w:sz w:val="16"/>
          <w:szCs w:val="16"/>
          <w:color w:val="auto"/>
        </w:rPr>
      </w:pPr>
    </w:p>
    <w:p>
      <w:pPr>
        <w:ind w:left="1060" w:right="2759" w:hanging="489"/>
        <w:spacing w:after="0" w:line="248" w:lineRule="auto"/>
        <w:tabs>
          <w:tab w:leader="none" w:pos="10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serve initially as Security Registrar for the Notes.</w:t>
      </w:r>
    </w:p>
    <w:p>
      <w:pPr>
        <w:spacing w:after="0" w:line="184" w:lineRule="exact"/>
        <w:rPr>
          <w:rFonts w:ascii="Courier New" w:cs="Courier New" w:eastAsia="Courier New" w:hAnsi="Courier New"/>
          <w:sz w:val="16"/>
          <w:szCs w:val="16"/>
          <w:color w:val="auto"/>
        </w:rPr>
      </w:pPr>
    </w:p>
    <w:p>
      <w:pPr>
        <w:ind w:left="1060" w:hanging="489"/>
        <w:spacing w:after="0"/>
        <w:tabs>
          <w:tab w:leader="none" w:pos="10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shall be substantially in the form of Exhibit A hereto.</w:t>
      </w:r>
    </w:p>
    <w:p>
      <w:pPr>
        <w:sectPr>
          <w:pgSz w:w="11900" w:h="16838" w:orient="portrait"/>
          <w:cols w:equalWidth="0" w:num="1">
            <w:col w:w="9919"/>
          </w:cols>
          <w:pgMar w:left="540" w:top="303"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EXHIBIT A</w:t>
      </w:r>
    </w:p>
    <w:p>
      <w:pPr>
        <w:spacing w:after="0" w:line="191"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TO</w:t>
      </w:r>
    </w:p>
    <w:p>
      <w:pPr>
        <w:spacing w:after="0" w:line="191"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TERMS OF THE NOTES</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(FORM OF NOTE)</w:t>
      </w:r>
    </w:p>
    <w:p>
      <w:pPr>
        <w:sectPr>
          <w:pgSz w:w="11900" w:h="16838" w:orient="portrait"/>
          <w:cols w:equalWidth="0" w:num="1">
            <w:col w:w="9919"/>
          </w:cols>
          <w:pgMar w:left="540" w:top="303" w:right="1440" w:bottom="1440" w:gutter="0" w:footer="0" w:header="0"/>
        </w:sectPr>
      </w:pPr>
    </w:p>
    <w:bookmarkStart w:id="46" w:name="page47"/>
    <w:bookmarkEnd w:id="46"/>
    <w:p>
      <w:pPr>
        <w:ind w:left="30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5.1</w:t>
      </w:r>
    </w:p>
    <w:p>
      <w:pPr>
        <w:spacing w:after="0" w:line="378"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[Letterhead of Baker Botts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5, 2001</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1001 Fannin Street, Suite 4000</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6"/>
          <w:szCs w:val="16"/>
          <w:color w:val="auto"/>
        </w:rPr>
        <w:t>Houston, Texas</w:t>
        <w:tab/>
        <w:t>77002</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We have acted as counsel for Waste Management, Inc., a Delaware corporation (the "Company"), in connection with the preparation of the prospectus supplement dated February 2, 2001 (the "Prospectus Supplement") with respect to the Registration Statement on Form S-3 filed by the Company with the Securities and Exchange Commission (the "Commission") under the Securities Act of 1933, as amended (the "Securities Act"), relating to the issuance and sale of $600,000,000 aggregate principal amount of the Company's 7 3/8% Senior Notes Due 2010 (the "Notes"), to be issued under an Indenture, dated as of September 10, 1997 (the "Indenture"), between the Company, formerly known as USA Waste Services, Inc., and The Chase Manhattan Bank, as successor to Texas Commerce Bank National Association, as trustee (the "Trustee").</w:t>
      </w:r>
    </w:p>
    <w:p>
      <w:pPr>
        <w:spacing w:after="0" w:line="193"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In our capacity as your counsel in the connection referred to above, we have examined the Restated Certificate of Incorporation and Bylaws of the Company, each as amended to date, and have examined the originals, or copies certified or otherwise identified, of the Indenture and corporate records of the Company, including minute books of the Company as furnished to us by the Company, certificates of public officials and of representatives of the Company, statutes and other instruments and documents, as a basis for the opinions hereinafter expressed. In giving such opinions, we have relied upon certificates of officers of the Company with respect to the accuracy of the material factual matters contained in such certificates. In making our examination, we have assumed that all signatures on documents examined by us are genuine, that all documents submitted to us as originals are authentic and that all documents submitted to us as certified or photostatic copies conform with the original copies of such documents.</w:t>
      </w:r>
    </w:p>
    <w:p>
      <w:pPr>
        <w:spacing w:after="0" w:line="194"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On the basis of the foregoing, and subject to the assumptions, limitations and qualifications set forth herein, we are of the opinion that the Notes, when duly executed, authenticated, issued and delivered in accordance with the provisions of the Indenture and the provisions of the Underwriting Agreement and upon payment of the consideration therefor provided for therein, will constitute legal, valid and binding obligations of</w:t>
      </w:r>
    </w:p>
    <w:p>
      <w:pPr>
        <w:sectPr>
          <w:pgSz w:w="11900" w:h="16838" w:orient="portrait"/>
          <w:cols w:equalWidth="0" w:num="1">
            <w:col w:w="10219"/>
          </w:cols>
          <w:pgMar w:left="240" w:top="142"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3"/>
        </w:trPr>
        <w:tc>
          <w:tcPr>
            <w:tcW w:w="2900" w:type="dxa"/>
            <w:vAlign w:val="bottom"/>
          </w:tcPr>
          <w:p>
            <w:pPr>
              <w:jc w:val="right"/>
              <w:ind w:right="2439"/>
              <w:spacing w:after="0"/>
              <w:rPr>
                <w:sz w:val="20"/>
                <w:szCs w:val="20"/>
                <w:color w:val="auto"/>
              </w:rPr>
            </w:pPr>
            <w:r>
              <w:rPr>
                <w:rFonts w:ascii="Courier New" w:cs="Courier New" w:eastAsia="Courier New" w:hAnsi="Courier New"/>
                <w:sz w:val="16"/>
                <w:szCs w:val="16"/>
                <w:color w:val="auto"/>
              </w:rPr>
              <w:t>2</w:t>
            </w:r>
          </w:p>
        </w:tc>
        <w:tc>
          <w:tcPr>
            <w:tcW w:w="218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186"/>
        </w:trPr>
        <w:tc>
          <w:tcPr>
            <w:tcW w:w="290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Waste Management, Inc.</w:t>
            </w:r>
          </w:p>
        </w:tc>
        <w:tc>
          <w:tcPr>
            <w:tcW w:w="2180" w:type="dxa"/>
            <w:vAlign w:val="bottom"/>
          </w:tcPr>
          <w:p>
            <w:pPr>
              <w:jc w:val="right"/>
              <w:ind w:right="1019"/>
              <w:spacing w:after="0"/>
              <w:rPr>
                <w:sz w:val="20"/>
                <w:szCs w:val="20"/>
                <w:color w:val="auto"/>
              </w:rPr>
            </w:pPr>
            <w:r>
              <w:rPr>
                <w:rFonts w:ascii="Courier New" w:cs="Courier New" w:eastAsia="Courier New" w:hAnsi="Courier New"/>
                <w:sz w:val="16"/>
                <w:szCs w:val="16"/>
                <w:color w:val="auto"/>
              </w:rPr>
              <w:t>-2-</w:t>
            </w:r>
          </w:p>
        </w:tc>
        <w:tc>
          <w:tcPr>
            <w:tcW w:w="2680" w:type="dxa"/>
            <w:vAlign w:val="bottom"/>
          </w:tcPr>
          <w:p>
            <w:pPr>
              <w:ind w:left="1120"/>
              <w:spacing w:after="0"/>
              <w:rPr>
                <w:sz w:val="20"/>
                <w:szCs w:val="20"/>
                <w:color w:val="auto"/>
              </w:rPr>
            </w:pPr>
            <w:r>
              <w:rPr>
                <w:rFonts w:ascii="Courier New" w:cs="Courier New" w:eastAsia="Courier New" w:hAnsi="Courier New"/>
                <w:sz w:val="16"/>
                <w:szCs w:val="16"/>
                <w:color w:val="auto"/>
              </w:rPr>
              <w:t>February 5, 2001</w:t>
            </w:r>
          </w:p>
        </w:tc>
      </w:tr>
    </w:tbl>
    <w:p>
      <w:pPr>
        <w:spacing w:after="0" w:line="377"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Company, enforceable against the Company in accordance with their terms, except as the enforceability thereof is subject to the effect of (x) bankruptcy, insolvency, reorganization, moratorium, fraudulent transfer or other laws relating to or affecting creditors' rights generally and (y) general principles of equity (regardless of whether such enforceability is considered in a proceeding in equity or at law).</w:t>
      </w:r>
    </w:p>
    <w:p>
      <w:pPr>
        <w:spacing w:after="0" w:line="185"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The opinions set forth above are limited in all respects to matters of the Delaware General Corporation Law and the contract law of the State of New York as in effect on the date hereof. At your request, this opinion is being furnished to you for filing as Exhibit 5 to a Form 8-K to be filed with the Commission. Additionally, we hereby consent to the reference to our Firm under the caption "Legal Matters" in the Prospectus Supplement. In giving such consent, we do not thereby concede that we are within the category of persons whose consent is required under Section 7 of the Securities Act or the rules and regulations of the Commission promulgated thereunder.</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Very truly yours,</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Baker Botts L.L.P.</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JDK/ERH</w:t>
      </w:r>
    </w:p>
    <w:p>
      <w:pPr>
        <w:sectPr>
          <w:pgSz w:w="11900" w:h="16838" w:orient="portrait"/>
          <w:cols w:equalWidth="0" w:num="1">
            <w:col w:w="10219"/>
          </w:cols>
          <w:pgMar w:left="240" w:top="303" w:right="1440" w:bottom="1440" w:gutter="0" w:footer="0" w:header="0"/>
        </w:sectPr>
      </w:pPr>
    </w:p>
    <w:bookmarkStart w:id="48" w:name="page49"/>
    <w:bookmarkEnd w:id="48"/>
    <w:p>
      <w:pPr>
        <w:ind w:left="30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23.1</w:t>
      </w:r>
    </w:p>
    <w:p>
      <w:pPr>
        <w:spacing w:after="0" w:line="191"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378"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As independent public accountants, we hereby consent to (i) the incorporation by reference of our report dated March 27, 2000, included in Waste Management, Inc.'s Annual Report on Form 10-K for the year ended December 31, 1999, into the Prospectus Supplement dated February 2, 2001 relating to the Registration Statement on Form S-3 (Registration No. 333-80063) and (ii) all references to our Firm included in the Prospectus Supplement and Registration Statement.</w:t>
      </w:r>
    </w:p>
    <w:p>
      <w:pPr>
        <w:spacing w:after="0" w:line="372"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ARTHUR ANDERSEN LLP</w:t>
      </w:r>
    </w:p>
    <w:p>
      <w:pPr>
        <w:spacing w:after="0" w:line="191"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/s/ ARTHUR ANDERSEN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5, 2001</w:t>
      </w:r>
    </w:p>
    <w:p>
      <w:pPr>
        <w:sectPr>
          <w:pgSz w:w="11900" w:h="16838" w:orient="portrait"/>
          <w:cols w:equalWidth="0" w:num="1">
            <w:col w:w="10219"/>
          </w:cols>
          <w:pgMar w:left="240" w:top="142" w:right="1440" w:bottom="1440" w:gutter="0" w:footer="0" w:header="0"/>
        </w:sectPr>
      </w:pPr>
    </w:p>
    <w:bookmarkStart w:id="49" w:name="page50"/>
    <w:bookmarkEnd w:id="49"/>
    <w:p>
      <w:pPr>
        <w:ind w:left="30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23.2</w:t>
      </w:r>
    </w:p>
    <w:p>
      <w:pPr>
        <w:spacing w:after="0" w:line="378"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78"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We hereby consent to the incorporation by reference in the prospectus supplement to the Registration Statement on Form S-3 (Registration No. 333-80063) of Waste Management, Inc. of our report dated March 16, 1998 relating to the consolidated financial statements of the operations, stockholders' equity, and cash flows of USA Waste Services, Inc. for the year ended December 31, 1997 which appear in Waste Management, Inc.'s Annual Report on Form 10-K for the year ended December 31, 1999. We also consent to the reference to us under the heading "Experts" in the prospectus supplement, which is part of such Registration Statement.</w:t>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 2001</w:t>
      </w:r>
    </w:p>
    <w:p>
      <w:pPr>
        <w:sectPr>
          <w:pgSz w:w="11900" w:h="16838" w:orient="portrait"/>
          <w:cols w:equalWidth="0" w:num="1">
            <w:col w:w="10219"/>
          </w:cols>
          <w:pgMar w:left="240" w:top="142" w:right="1440" w:bottom="1440" w:gutter="0" w:footer="0" w:header="0"/>
        </w:sectPr>
      </w:pPr>
    </w:p>
    <w:bookmarkStart w:id="50" w:name="page51"/>
    <w:bookmarkEnd w:id="50"/>
    <w:p>
      <w:pPr>
        <w:ind w:left="30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ind w:left="6300"/>
        <w:spacing w:after="0"/>
        <w:rPr>
          <w:sz w:val="20"/>
          <w:szCs w:val="20"/>
          <w:color w:val="auto"/>
        </w:rPr>
      </w:pPr>
      <w:r>
        <w:rPr>
          <w:rFonts w:ascii="Courier New" w:cs="Courier New" w:eastAsia="Courier New" w:hAnsi="Courier New"/>
          <w:sz w:val="16"/>
          <w:szCs w:val="16"/>
          <w:color w:val="auto"/>
        </w:rPr>
        <w:t>Exhibit 99.1</w:t>
      </w:r>
    </w:p>
    <w:p>
      <w:pPr>
        <w:spacing w:after="0" w:line="191" w:lineRule="exact"/>
        <w:rPr>
          <w:sz w:val="20"/>
          <w:szCs w:val="20"/>
          <w:color w:val="auto"/>
        </w:rPr>
      </w:pPr>
    </w:p>
    <w:p>
      <w:pPr>
        <w:ind w:right="3400" w:firstLine="581"/>
        <w:spacing w:after="0" w:line="248" w:lineRule="auto"/>
        <w:rPr>
          <w:sz w:val="20"/>
          <w:szCs w:val="20"/>
          <w:color w:val="auto"/>
        </w:rPr>
      </w:pPr>
      <w:r>
        <w:rPr>
          <w:rFonts w:ascii="Courier New" w:cs="Courier New" w:eastAsia="Courier New" w:hAnsi="Courier New"/>
          <w:sz w:val="16"/>
          <w:szCs w:val="16"/>
          <w:color w:val="auto"/>
        </w:rPr>
        <w:t>The information below was derived from reports we have previously filed with the SEC.</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40" w:type="dxa"/>
            <w:vAlign w:val="bottom"/>
            <w:gridSpan w:val="2"/>
          </w:tcPr>
          <w:p>
            <w:pPr>
              <w:ind w:left="400"/>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8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YEARS ENDED DECEMBER 31,</w:t>
            </w: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34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2280" w:type="dxa"/>
            <w:vAlign w:val="bottom"/>
          </w:tcPr>
          <w:p>
            <w:pPr>
              <w:spacing w:after="0"/>
              <w:rPr>
                <w:sz w:val="16"/>
                <w:szCs w:val="16"/>
                <w:color w:val="auto"/>
              </w:rPr>
            </w:pPr>
          </w:p>
        </w:tc>
        <w:tc>
          <w:tcPr>
            <w:tcW w:w="6240" w:type="dxa"/>
            <w:vAlign w:val="bottom"/>
            <w:gridSpan w:val="8"/>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3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1995</w:t>
            </w:r>
          </w:p>
        </w:tc>
        <w:tc>
          <w:tcPr>
            <w:tcW w:w="140" w:type="dxa"/>
            <w:vAlign w:val="bottom"/>
          </w:tcPr>
          <w:p>
            <w:pPr>
              <w:spacing w:after="0"/>
              <w:rPr>
                <w:sz w:val="16"/>
                <w:szCs w:val="16"/>
                <w:color w:val="auto"/>
              </w:rPr>
            </w:pPr>
          </w:p>
        </w:tc>
        <w:tc>
          <w:tcPr>
            <w:tcW w:w="11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1996</w:t>
            </w: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1997</w:t>
            </w:r>
          </w:p>
        </w:tc>
        <w:tc>
          <w:tcPr>
            <w:tcW w:w="12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1998</w:t>
            </w:r>
          </w:p>
        </w:tc>
        <w:tc>
          <w:tcPr>
            <w:tcW w:w="60" w:type="dxa"/>
            <w:vAlign w:val="bottom"/>
          </w:tcPr>
          <w:p>
            <w:pPr>
              <w:spacing w:after="0"/>
              <w:rPr>
                <w:sz w:val="16"/>
                <w:szCs w:val="16"/>
                <w:color w:val="auto"/>
              </w:rPr>
            </w:pPr>
          </w:p>
        </w:tc>
        <w:tc>
          <w:tcPr>
            <w:tcW w:w="12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1999</w:t>
            </w:r>
          </w:p>
        </w:tc>
        <w:tc>
          <w:tcPr>
            <w:tcW w:w="1220" w:type="dxa"/>
            <w:vAlign w:val="bottom"/>
          </w:tcPr>
          <w:p>
            <w:pPr>
              <w:ind w:left="400"/>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2280" w:type="dxa"/>
            <w:vAlign w:val="bottom"/>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40" w:type="dxa"/>
            <w:vAlign w:val="bottom"/>
            <w:gridSpan w:val="5"/>
          </w:tcPr>
          <w:p>
            <w:pPr>
              <w:jc w:val="right"/>
              <w:ind w:right="299"/>
              <w:spacing w:after="0"/>
              <w:rPr>
                <w:sz w:val="20"/>
                <w:szCs w:val="20"/>
                <w:color w:val="auto"/>
              </w:rPr>
            </w:pPr>
            <w:r>
              <w:rPr>
                <w:rFonts w:ascii="Courier New" w:cs="Courier New" w:eastAsia="Courier New" w:hAnsi="Courier New"/>
                <w:sz w:val="16"/>
                <w:szCs w:val="16"/>
                <w:color w:val="auto"/>
              </w:rPr>
              <w:t>(IN THOUSANDS, EXCEPT PER SHARE AMOUNTS)</w:t>
            </w: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3"/>
        </w:trPr>
        <w:tc>
          <w:tcPr>
            <w:tcW w:w="2280" w:type="dxa"/>
            <w:vAlign w:val="bottom"/>
          </w:tcPr>
          <w:p>
            <w:pPr>
              <w:spacing w:after="0"/>
              <w:rPr>
                <w:sz w:val="20"/>
                <w:szCs w:val="20"/>
                <w:color w:val="auto"/>
              </w:rPr>
            </w:pPr>
            <w:r>
              <w:rPr>
                <w:rFonts w:ascii="Courier New" w:cs="Courier New" w:eastAsia="Courier New" w:hAnsi="Courier New"/>
                <w:sz w:val="16"/>
                <w:szCs w:val="16"/>
                <w:color w:val="auto"/>
              </w:rPr>
              <w:t>STATEMENT OF</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OPERATIONS DATA:</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10,432,775</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$10,998,602</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$11,972,498</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$12,625,769</w:t>
            </w:r>
          </w:p>
        </w:tc>
        <w:tc>
          <w:tcPr>
            <w:tcW w:w="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$13,126,920</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$9,790,462</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$9,607,669</w:t>
            </w:r>
          </w:p>
        </w:tc>
      </w:tr>
      <w:tr>
        <w:trPr>
          <w:trHeight w:val="186"/>
        </w:trPr>
        <w:tc>
          <w:tcPr>
            <w:tcW w:w="2280" w:type="dxa"/>
            <w:vAlign w:val="bottom"/>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Operating (exclusive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ind w:left="380"/>
              <w:spacing w:after="0"/>
              <w:rPr>
                <w:sz w:val="20"/>
                <w:szCs w:val="20"/>
                <w:color w:val="auto"/>
              </w:rPr>
            </w:pPr>
            <w:r>
              <w:rPr>
                <w:rFonts w:ascii="Courier New" w:cs="Courier New" w:eastAsia="Courier New" w:hAnsi="Courier New"/>
                <w:sz w:val="16"/>
                <w:szCs w:val="16"/>
                <w:color w:val="auto"/>
              </w:rPr>
              <w:t>of depreciation</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ind w:left="380"/>
              <w:spacing w:after="0"/>
              <w:rPr>
                <w:sz w:val="20"/>
                <w:szCs w:val="20"/>
                <w:color w:val="auto"/>
              </w:rPr>
            </w:pPr>
            <w:r>
              <w:rPr>
                <w:rFonts w:ascii="Courier New" w:cs="Courier New" w:eastAsia="Courier New" w:hAnsi="Courier New"/>
                <w:sz w:val="16"/>
                <w:szCs w:val="16"/>
                <w:color w:val="auto"/>
              </w:rPr>
              <w:t>and amortization</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ind w:left="380"/>
              <w:spacing w:after="0"/>
              <w:rPr>
                <w:sz w:val="20"/>
                <w:szCs w:val="20"/>
                <w:color w:val="auto"/>
              </w:rPr>
            </w:pPr>
            <w:r>
              <w:rPr>
                <w:rFonts w:ascii="Courier New" w:cs="Courier New" w:eastAsia="Courier New" w:hAnsi="Courier New"/>
                <w:sz w:val="16"/>
                <w:szCs w:val="16"/>
                <w:color w:val="auto"/>
              </w:rPr>
              <w:t>shown below).......</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6,261,745</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6,564,234</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7,482,273</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7,283,251</w:t>
            </w:r>
          </w:p>
        </w:tc>
        <w:tc>
          <w:tcPr>
            <w:tcW w:w="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8,269,021</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6,075,317</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5,775,907</w:t>
            </w: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General and</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ind w:left="380"/>
              <w:spacing w:after="0"/>
              <w:rPr>
                <w:sz w:val="20"/>
                <w:szCs w:val="20"/>
                <w:color w:val="auto"/>
              </w:rPr>
            </w:pPr>
            <w:r>
              <w:rPr>
                <w:rFonts w:ascii="Courier New" w:cs="Courier New" w:eastAsia="Courier New" w:hAnsi="Courier New"/>
                <w:sz w:val="16"/>
                <w:szCs w:val="16"/>
                <w:color w:val="auto"/>
              </w:rPr>
              <w:t>administrative.....</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1,279,719</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1,316,480</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1,438,501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1,332,736</w:t>
            </w:r>
          </w:p>
        </w:tc>
        <w:tc>
          <w:tcPr>
            <w:tcW w:w="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1,920,309</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1,344,829</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1,350,026</w:t>
            </w: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ind w:left="380"/>
              <w:spacing w:after="0"/>
              <w:rPr>
                <w:sz w:val="20"/>
                <w:szCs w:val="20"/>
                <w:color w:val="auto"/>
              </w:rPr>
            </w:pPr>
            <w:r>
              <w:rPr>
                <w:rFonts w:ascii="Courier New" w:cs="Courier New" w:eastAsia="Courier New" w:hAnsi="Courier New"/>
                <w:sz w:val="16"/>
                <w:szCs w:val="16"/>
                <w:color w:val="auto"/>
              </w:rPr>
              <w:t>amortization.......</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1,186,492</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1,264,196</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1,391,810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1,498,712</w:t>
            </w:r>
          </w:p>
        </w:tc>
        <w:tc>
          <w:tcPr>
            <w:tcW w:w="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1,614,165</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1,202,735</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1,079,332</w:t>
            </w: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Merger costs.........</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26,539</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126,626</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112,748</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1,807,245</w:t>
            </w:r>
          </w:p>
        </w:tc>
        <w:tc>
          <w:tcPr>
            <w:tcW w:w="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44,634</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111,263</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Asset impairments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ind w:left="380"/>
              <w:spacing w:after="0"/>
              <w:rPr>
                <w:sz w:val="20"/>
                <w:szCs w:val="20"/>
                <w:color w:val="auto"/>
              </w:rPr>
            </w:pPr>
            <w:r>
              <w:rPr>
                <w:rFonts w:ascii="Courier New" w:cs="Courier New" w:eastAsia="Courier New" w:hAnsi="Courier New"/>
                <w:sz w:val="16"/>
                <w:szCs w:val="16"/>
                <w:color w:val="auto"/>
              </w:rPr>
              <w:t>and unusual items..</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394,092</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529,768</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1,771,145</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864,063</w:t>
            </w:r>
          </w:p>
        </w:tc>
        <w:tc>
          <w:tcPr>
            <w:tcW w:w="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738,837</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700,034</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671,248</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(Income) loss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from continuing</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operations held</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for sale, net of</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minority interest....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(25,110)</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(315)</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9,930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151</w:t>
            </w:r>
          </w:p>
        </w:tc>
        <w:tc>
          <w:tcPr>
            <w:tcW w:w="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9,123,477</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9,800,989</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12,206,407</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12,786,158</w:t>
            </w:r>
          </w:p>
        </w:tc>
        <w:tc>
          <w:tcPr>
            <w:tcW w:w="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12,586,966</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9,434,178</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8,876,513</w:t>
            </w:r>
          </w:p>
        </w:tc>
      </w:tr>
      <w:tr>
        <w:trPr>
          <w:trHeight w:val="186"/>
        </w:trPr>
        <w:tc>
          <w:tcPr>
            <w:tcW w:w="2280" w:type="dxa"/>
            <w:vAlign w:val="bottom"/>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operations...........</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1,309,298</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1,197,613</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(233,909)</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(160,389)</w:t>
            </w: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539,954</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356,284</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731,156</w:t>
            </w:r>
          </w:p>
        </w:tc>
      </w:tr>
      <w:tr>
        <w:trPr>
          <w:trHeight w:val="186"/>
        </w:trPr>
        <w:tc>
          <w:tcPr>
            <w:tcW w:w="2280" w:type="dxa"/>
            <w:vAlign w:val="bottom"/>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(534,964)</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(525,340)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(555,576)</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(681,457)</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(769,655)</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(549,702)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(588,260)</w:t>
            </w: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Interest income......</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41,565</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34,603</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45,214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26,829</w:t>
            </w:r>
          </w:p>
        </w:tc>
        <w:tc>
          <w:tcPr>
            <w:tcW w:w="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38,497</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28,822</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23,212</w:t>
            </w: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Minority interest....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(81,367)</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(41,289)</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(45,442)</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(24,254)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(24,181)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(17,706)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(18,188)</w:t>
            </w: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Other income, net....</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257,773</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108,645</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127,216</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139,392</w:t>
            </w:r>
          </w:p>
        </w:tc>
        <w:tc>
          <w:tcPr>
            <w:tcW w:w="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52,653</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39,269</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17,319</w:t>
            </w:r>
          </w:p>
        </w:tc>
      </w:tr>
      <w:tr>
        <w:trPr>
          <w:trHeight w:val="186"/>
        </w:trPr>
        <w:tc>
          <w:tcPr>
            <w:tcW w:w="2280" w:type="dxa"/>
            <w:vAlign w:val="bottom"/>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6"/>
                <w:szCs w:val="16"/>
                <w:color w:val="auto"/>
              </w:rPr>
            </w:pPr>
          </w:p>
        </w:tc>
        <w:tc>
          <w:tcPr>
            <w:tcW w:w="24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 ----------</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(316,993)</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(423,381)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(428,588)</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(539,490)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(702,686)</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(499,317)</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(565,917)</w:t>
            </w:r>
          </w:p>
        </w:tc>
      </w:tr>
      <w:tr>
        <w:trPr>
          <w:trHeight w:val="186"/>
        </w:trPr>
        <w:tc>
          <w:tcPr>
            <w:tcW w:w="2280" w:type="dxa"/>
            <w:vAlign w:val="bottom"/>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Income (loss)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from continuing</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operations before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income taxes.........</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992,305</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774,232</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(662,497)</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(699,879)</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(162,732)</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(143,033)</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165,239</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Provision for income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taxes................</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493,375</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486,700</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363,341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66,923</w:t>
            </w:r>
          </w:p>
        </w:tc>
        <w:tc>
          <w:tcPr>
            <w:tcW w:w="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232,319</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139,790</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300,763</w:t>
            </w:r>
          </w:p>
        </w:tc>
      </w:tr>
      <w:tr>
        <w:trPr>
          <w:trHeight w:val="186"/>
        </w:trPr>
        <w:tc>
          <w:tcPr>
            <w:tcW w:w="2280" w:type="dxa"/>
            <w:vAlign w:val="bottom"/>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Income (loss)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from continuing</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operations...........</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498,930</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287,532</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(1,025,838)</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(766,802)</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(395,051)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(282,823)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(135,524)</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discontinued</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2280" w:type="dxa"/>
            <w:vAlign w:val="bottom"/>
          </w:tcPr>
          <w:p>
            <w:pPr>
              <w:ind w:left="200"/>
              <w:spacing w:after="0"/>
              <w:rPr>
                <w:sz w:val="20"/>
                <w:szCs w:val="20"/>
                <w:color w:val="auto"/>
              </w:rPr>
            </w:pPr>
            <w:r>
              <w:rPr>
                <w:rFonts w:ascii="Courier New" w:cs="Courier New" w:eastAsia="Courier New" w:hAnsi="Courier New"/>
                <w:sz w:val="16"/>
                <w:szCs w:val="16"/>
                <w:color w:val="auto"/>
              </w:rPr>
              <w:t>operations...........</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4,863</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(263,301)</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95,688</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Extraordinary item.....</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(6,809)</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(3,900)</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(2,513)</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Accounting change......</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(1,936)</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503,793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24,231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  (938,895)</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(770,702)</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  (397,564)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 (282,823)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(135,524)</w:t>
            </w:r>
          </w:p>
        </w:tc>
      </w:tr>
      <w:tr>
        <w:trPr>
          <w:trHeight w:val="186"/>
        </w:trPr>
        <w:tc>
          <w:tcPr>
            <w:tcW w:w="2280" w:type="dxa"/>
            <w:vAlign w:val="bottom"/>
          </w:tcPr>
          <w:p>
            <w:pPr>
              <w:spacing w:after="0"/>
              <w:rPr>
                <w:sz w:val="16"/>
                <w:szCs w:val="16"/>
                <w:color w:val="auto"/>
              </w:rPr>
            </w:pP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6"/>
                <w:szCs w:val="16"/>
                <w:color w:val="auto"/>
              </w:rPr>
            </w:pPr>
          </w:p>
        </w:tc>
        <w:tc>
          <w:tcPr>
            <w:tcW w:w="12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559"/>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860"/>
          </w:cols>
          <w:pgMar w:left="240" w:top="142" w:right="79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20" w:type="dxa"/>
            <w:vAlign w:val="bottom"/>
          </w:tcPr>
          <w:p>
            <w:pPr>
              <w:ind w:left="300"/>
              <w:spacing w:after="0"/>
              <w:rPr>
                <w:sz w:val="20"/>
                <w:szCs w:val="20"/>
                <w:color w:val="auto"/>
              </w:rPr>
            </w:pPr>
            <w:r>
              <w:rPr>
                <w:rFonts w:ascii="Courier New" w:cs="Courier New" w:eastAsia="Courier New" w:hAnsi="Courier New"/>
                <w:sz w:val="16"/>
                <w:szCs w:val="16"/>
                <w:color w:val="auto"/>
              </w:rPr>
              <w:t>2</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745"/>
        </w:trPr>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80" w:type="dxa"/>
            <w:vAlign w:val="bottom"/>
            <w:gridSpan w:val="6"/>
          </w:tcPr>
          <w:p>
            <w:pPr>
              <w:jc w:val="right"/>
              <w:ind w:right="599"/>
              <w:spacing w:after="0"/>
              <w:rPr>
                <w:sz w:val="20"/>
                <w:szCs w:val="20"/>
                <w:color w:val="auto"/>
              </w:rPr>
            </w:pPr>
            <w:r>
              <w:rPr>
                <w:rFonts w:ascii="Courier New" w:cs="Courier New" w:eastAsia="Courier New" w:hAnsi="Courier New"/>
                <w:sz w:val="16"/>
                <w:szCs w:val="16"/>
                <w:color w:val="auto"/>
              </w:rPr>
              <w:t>YEARS ENDED DECEMBER 31,</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60" w:type="dxa"/>
            <w:vAlign w:val="bottom"/>
            <w:gridSpan w:val="3"/>
          </w:tcPr>
          <w:p>
            <w:pPr>
              <w:jc w:val="right"/>
              <w:ind w:right="499"/>
              <w:spacing w:after="0"/>
              <w:rPr>
                <w:sz w:val="20"/>
                <w:szCs w:val="20"/>
                <w:color w:val="auto"/>
              </w:rPr>
            </w:pPr>
            <w:r>
              <w:rPr>
                <w:rFonts w:ascii="Courier New" w:cs="Courier New" w:eastAsia="Courier New" w:hAnsi="Courier New"/>
                <w:sz w:val="16"/>
                <w:szCs w:val="16"/>
                <w:color w:val="auto"/>
              </w:rPr>
              <w:t>SEPTEMBER 30,</w:t>
            </w:r>
          </w:p>
        </w:tc>
      </w:tr>
      <w:tr>
        <w:trPr>
          <w:trHeight w:val="186"/>
        </w:trPr>
        <w:tc>
          <w:tcPr>
            <w:tcW w:w="232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Courier New" w:cs="Courier New" w:eastAsia="Courier New" w:hAnsi="Courier New"/>
                <w:sz w:val="4"/>
                <w:szCs w:val="4"/>
                <w:color w:val="auto"/>
                <w:w w:val="79"/>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0" w:type="dxa"/>
            <w:vAlign w:val="bottom"/>
            <w:gridSpan w:val="4"/>
          </w:tcPr>
          <w:p>
            <w:pPr>
              <w:ind w:left="200"/>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1995</w:t>
            </w:r>
          </w:p>
        </w:tc>
        <w:tc>
          <w:tcPr>
            <w:tcW w:w="24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1996</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1997</w:t>
            </w:r>
          </w:p>
        </w:tc>
        <w:tc>
          <w:tcPr>
            <w:tcW w:w="20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1998</w:t>
            </w:r>
          </w:p>
        </w:tc>
        <w:tc>
          <w:tcPr>
            <w:tcW w:w="200" w:type="dxa"/>
            <w:vAlign w:val="bottom"/>
          </w:tcPr>
          <w:p>
            <w:pPr>
              <w:spacing w:after="0"/>
              <w:rPr>
                <w:sz w:val="16"/>
                <w:szCs w:val="16"/>
                <w:color w:val="auto"/>
              </w:rPr>
            </w:pPr>
          </w:p>
        </w:tc>
        <w:tc>
          <w:tcPr>
            <w:tcW w:w="1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1999</w:t>
            </w:r>
          </w:p>
        </w:tc>
        <w:tc>
          <w:tcPr>
            <w:tcW w:w="440" w:type="dxa"/>
            <w:vAlign w:val="bottom"/>
          </w:tcPr>
          <w:p>
            <w:pPr>
              <w:spacing w:after="0"/>
              <w:rPr>
                <w:sz w:val="16"/>
                <w:szCs w:val="16"/>
                <w:color w:val="auto"/>
              </w:rPr>
            </w:pPr>
          </w:p>
        </w:tc>
        <w:tc>
          <w:tcPr>
            <w:tcW w:w="10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1999</w:t>
            </w:r>
          </w:p>
        </w:tc>
        <w:tc>
          <w:tcPr>
            <w:tcW w:w="38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2320" w:type="dxa"/>
            <w:vAlign w:val="bottom"/>
          </w:tcPr>
          <w:p>
            <w:pPr>
              <w:spacing w:after="0"/>
              <w:rPr>
                <w:sz w:val="16"/>
                <w:szCs w:val="16"/>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6"/>
                <w:szCs w:val="16"/>
                <w:color w:val="auto"/>
              </w:rPr>
            </w:pPr>
          </w:p>
        </w:tc>
        <w:tc>
          <w:tcPr>
            <w:tcW w:w="13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w w:val="98"/>
              </w:rPr>
              <w:t>-----------</w:t>
            </w:r>
          </w:p>
        </w:tc>
        <w:tc>
          <w:tcPr>
            <w:tcW w:w="14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6"/>
        </w:trPr>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40" w:type="dxa"/>
            <w:vAlign w:val="bottom"/>
            <w:gridSpan w:val="8"/>
          </w:tcPr>
          <w:p>
            <w:pPr>
              <w:jc w:val="right"/>
              <w:ind w:right="499"/>
              <w:spacing w:after="0"/>
              <w:rPr>
                <w:sz w:val="20"/>
                <w:szCs w:val="20"/>
                <w:color w:val="auto"/>
              </w:rPr>
            </w:pPr>
            <w:r>
              <w:rPr>
                <w:rFonts w:ascii="Courier New" w:cs="Courier New" w:eastAsia="Courier New" w:hAnsi="Courier New"/>
                <w:sz w:val="16"/>
                <w:szCs w:val="16"/>
                <w:color w:val="auto"/>
              </w:rPr>
              <w:t>(IN THOUSANDS, EXCEPT PER SHARE AMOUNTS)</w:t>
            </w: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3"/>
        </w:trPr>
        <w:tc>
          <w:tcPr>
            <w:tcW w:w="2320" w:type="dxa"/>
            <w:vAlign w:val="bottom"/>
          </w:tcPr>
          <w:p>
            <w:pPr>
              <w:spacing w:after="0"/>
              <w:rPr>
                <w:sz w:val="20"/>
                <w:szCs w:val="20"/>
                <w:color w:val="auto"/>
              </w:rPr>
            </w:pPr>
            <w:r>
              <w:rPr>
                <w:rFonts w:ascii="Courier New" w:cs="Courier New" w:eastAsia="Courier New" w:hAnsi="Courier New"/>
                <w:sz w:val="16"/>
                <w:szCs w:val="16"/>
                <w:color w:val="auto"/>
              </w:rPr>
              <w:t>Basic earnings (loss)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6"/>
        </w:trPr>
        <w:tc>
          <w:tcPr>
            <w:tcW w:w="2320" w:type="dxa"/>
            <w:vAlign w:val="bottom"/>
          </w:tcPr>
          <w:p>
            <w:pPr>
              <w:ind w:left="100"/>
              <w:spacing w:after="0"/>
              <w:rPr>
                <w:sz w:val="20"/>
                <w:szCs w:val="20"/>
                <w:color w:val="auto"/>
              </w:rPr>
            </w:pPr>
            <w:r>
              <w:rPr>
                <w:rFonts w:ascii="Courier New" w:cs="Courier New" w:eastAsia="Courier New" w:hAnsi="Courier New"/>
                <w:sz w:val="16"/>
                <w:szCs w:val="16"/>
                <w:color w:val="auto"/>
              </w:rPr>
              <w:t>per common share:</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Continuing</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320" w:type="dxa"/>
            <w:vAlign w:val="bottom"/>
          </w:tcPr>
          <w:p>
            <w:pPr>
              <w:ind w:left="380"/>
              <w:spacing w:after="0"/>
              <w:rPr>
                <w:sz w:val="20"/>
                <w:szCs w:val="20"/>
                <w:color w:val="auto"/>
              </w:rPr>
            </w:pPr>
            <w:r>
              <w:rPr>
                <w:rFonts w:ascii="Courier New" w:cs="Courier New" w:eastAsia="Courier New" w:hAnsi="Courier New"/>
                <w:sz w:val="16"/>
                <w:szCs w:val="16"/>
                <w:color w:val="auto"/>
              </w:rPr>
              <w:t>operations........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0.99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0.54</w:t>
            </w:r>
          </w:p>
        </w:tc>
        <w:tc>
          <w:tcPr>
            <w:tcW w:w="60" w:type="dxa"/>
            <w:vAlign w:val="bottom"/>
          </w:tcPr>
          <w:p>
            <w:pPr>
              <w:spacing w:after="0"/>
              <w:rPr>
                <w:sz w:val="16"/>
                <w:szCs w:val="16"/>
                <w:color w:val="auto"/>
              </w:rPr>
            </w:pP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(1.84)</w:t>
            </w:r>
          </w:p>
        </w:tc>
        <w:tc>
          <w:tcPr>
            <w:tcW w:w="2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(1.31)</w:t>
            </w:r>
          </w:p>
        </w:tc>
        <w:tc>
          <w:tcPr>
            <w:tcW w:w="2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(0.64)</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(0.46)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(0.22)</w:t>
            </w:r>
          </w:p>
        </w:tc>
      </w:tr>
      <w:tr>
        <w:trPr>
          <w:trHeight w:val="186"/>
        </w:trPr>
        <w:tc>
          <w:tcPr>
            <w:tcW w:w="2320" w:type="dxa"/>
            <w:vAlign w:val="bottom"/>
          </w:tcPr>
          <w:p>
            <w:pPr>
              <w:ind w:left="300"/>
              <w:spacing w:after="0"/>
              <w:rPr>
                <w:sz w:val="20"/>
                <w:szCs w:val="20"/>
                <w:color w:val="auto"/>
              </w:rPr>
            </w:pPr>
            <w:r>
              <w:rPr>
                <w:rFonts w:ascii="Courier New" w:cs="Courier New" w:eastAsia="Courier New" w:hAnsi="Courier New"/>
                <w:sz w:val="16"/>
                <w:szCs w:val="16"/>
                <w:color w:val="auto"/>
              </w:rPr>
              <w:t>Discontinued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320" w:type="dxa"/>
            <w:vAlign w:val="bottom"/>
          </w:tcPr>
          <w:p>
            <w:pPr>
              <w:ind w:left="380"/>
              <w:spacing w:after="0"/>
              <w:rPr>
                <w:sz w:val="20"/>
                <w:szCs w:val="20"/>
                <w:color w:val="auto"/>
              </w:rPr>
            </w:pPr>
            <w:r>
              <w:rPr>
                <w:rFonts w:ascii="Courier New" w:cs="Courier New" w:eastAsia="Courier New" w:hAnsi="Courier New"/>
                <w:sz w:val="16"/>
                <w:szCs w:val="16"/>
                <w:color w:val="auto"/>
              </w:rPr>
              <w:t>operations........</w:t>
            </w:r>
          </w:p>
        </w:tc>
        <w:tc>
          <w:tcPr>
            <w:tcW w:w="2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0.01</w:t>
            </w:r>
          </w:p>
        </w:tc>
        <w:tc>
          <w:tcPr>
            <w:tcW w:w="2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(0.49)</w:t>
            </w:r>
          </w:p>
        </w:tc>
        <w:tc>
          <w:tcPr>
            <w:tcW w:w="24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0.17</w:t>
            </w:r>
          </w:p>
        </w:tc>
        <w:tc>
          <w:tcPr>
            <w:tcW w:w="2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Extraordinary item..</w:t>
            </w:r>
          </w:p>
        </w:tc>
        <w:tc>
          <w:tcPr>
            <w:tcW w:w="2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(0.01)</w:t>
            </w:r>
          </w:p>
        </w:tc>
        <w:tc>
          <w:tcPr>
            <w:tcW w:w="20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(0.01)</w:t>
            </w:r>
          </w:p>
        </w:tc>
        <w:tc>
          <w:tcPr>
            <w:tcW w:w="20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(0.01)</w:t>
            </w:r>
          </w:p>
        </w:tc>
        <w:tc>
          <w:tcPr>
            <w:tcW w:w="440" w:type="dxa"/>
            <w:vAlign w:val="bottom"/>
          </w:tcPr>
          <w:p>
            <w:pPr>
              <w:spacing w:after="0"/>
              <w:rPr>
                <w:sz w:val="16"/>
                <w:szCs w:val="16"/>
                <w:color w:val="auto"/>
              </w:rPr>
            </w:pP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Accounting change...</w:t>
            </w:r>
          </w:p>
        </w:tc>
        <w:tc>
          <w:tcPr>
            <w:tcW w:w="2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320" w:type="dxa"/>
            <w:vAlign w:val="bottom"/>
          </w:tcPr>
          <w:p>
            <w:pPr>
              <w:spacing w:after="0"/>
              <w:rPr>
                <w:sz w:val="16"/>
                <w:szCs w:val="16"/>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6"/>
                <w:szCs w:val="16"/>
                <w:color w:val="auto"/>
              </w:rPr>
            </w:pPr>
          </w:p>
        </w:tc>
        <w:tc>
          <w:tcPr>
            <w:tcW w:w="13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w w:val="98"/>
              </w:rPr>
              <w:t>-----------</w:t>
            </w: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Net income (loss)...</w:t>
            </w:r>
          </w:p>
        </w:tc>
        <w:tc>
          <w:tcPr>
            <w:tcW w:w="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1.00</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0.05</w:t>
            </w:r>
          </w:p>
        </w:tc>
        <w:tc>
          <w:tcPr>
            <w:tcW w:w="60" w:type="dxa"/>
            <w:vAlign w:val="bottom"/>
          </w:tcPr>
          <w:p>
            <w:pPr>
              <w:spacing w:after="0"/>
              <w:rPr>
                <w:sz w:val="16"/>
                <w:szCs w:val="16"/>
                <w:color w:val="auto"/>
              </w:rPr>
            </w:pP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(1.68)</w:t>
            </w:r>
          </w:p>
        </w:tc>
        <w:tc>
          <w:tcPr>
            <w:tcW w:w="2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(1.32)</w:t>
            </w:r>
          </w:p>
        </w:tc>
        <w:tc>
          <w:tcPr>
            <w:tcW w:w="2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(0.65)</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(0.46)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(0.22)</w:t>
            </w:r>
          </w:p>
        </w:tc>
      </w:tr>
      <w:tr>
        <w:trPr>
          <w:trHeight w:val="186"/>
        </w:trPr>
        <w:tc>
          <w:tcPr>
            <w:tcW w:w="2320" w:type="dxa"/>
            <w:vAlign w:val="bottom"/>
          </w:tcPr>
          <w:p>
            <w:pPr>
              <w:spacing w:after="0"/>
              <w:rPr>
                <w:sz w:val="16"/>
                <w:szCs w:val="16"/>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3"/>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2620" w:type="dxa"/>
            <w:vAlign w:val="bottom"/>
            <w:gridSpan w:val="4"/>
          </w:tcPr>
          <w:p>
            <w:pPr>
              <w:jc w:val="right"/>
              <w:ind w:right="219"/>
              <w:spacing w:after="0"/>
              <w:rPr>
                <w:sz w:val="20"/>
                <w:szCs w:val="20"/>
                <w:color w:val="auto"/>
              </w:rPr>
            </w:pPr>
            <w:r>
              <w:rPr>
                <w:rFonts w:ascii="Courier New" w:cs="Courier New" w:eastAsia="Courier New" w:hAnsi="Courier New"/>
                <w:sz w:val="16"/>
                <w:szCs w:val="16"/>
                <w:color w:val="auto"/>
                <w:w w:val="99"/>
              </w:rPr>
              <w:t>===========  ===========</w:t>
            </w: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320" w:type="dxa"/>
            <w:vAlign w:val="bottom"/>
          </w:tcPr>
          <w:p>
            <w:pPr>
              <w:spacing w:after="0"/>
              <w:rPr>
                <w:sz w:val="20"/>
                <w:szCs w:val="20"/>
                <w:color w:val="auto"/>
              </w:rPr>
            </w:pPr>
            <w:r>
              <w:rPr>
                <w:rFonts w:ascii="Courier New" w:cs="Courier New" w:eastAsia="Courier New" w:hAnsi="Courier New"/>
                <w:sz w:val="16"/>
                <w:szCs w:val="16"/>
                <w:color w:val="auto"/>
              </w:rPr>
              <w:t>Diluted earnings (loss)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6"/>
        </w:trPr>
        <w:tc>
          <w:tcPr>
            <w:tcW w:w="2320" w:type="dxa"/>
            <w:vAlign w:val="bottom"/>
          </w:tcPr>
          <w:p>
            <w:pPr>
              <w:ind w:left="100"/>
              <w:spacing w:after="0"/>
              <w:rPr>
                <w:sz w:val="20"/>
                <w:szCs w:val="20"/>
                <w:color w:val="auto"/>
              </w:rPr>
            </w:pPr>
            <w:r>
              <w:rPr>
                <w:rFonts w:ascii="Courier New" w:cs="Courier New" w:eastAsia="Courier New" w:hAnsi="Courier New"/>
                <w:sz w:val="16"/>
                <w:szCs w:val="16"/>
                <w:color w:val="auto"/>
              </w:rPr>
              <w:t>per common share:</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Continuing</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320" w:type="dxa"/>
            <w:vAlign w:val="bottom"/>
          </w:tcPr>
          <w:p>
            <w:pPr>
              <w:ind w:left="380"/>
              <w:spacing w:after="0"/>
              <w:rPr>
                <w:sz w:val="20"/>
                <w:szCs w:val="20"/>
                <w:color w:val="auto"/>
              </w:rPr>
            </w:pPr>
            <w:r>
              <w:rPr>
                <w:rFonts w:ascii="Courier New" w:cs="Courier New" w:eastAsia="Courier New" w:hAnsi="Courier New"/>
                <w:sz w:val="16"/>
                <w:szCs w:val="16"/>
                <w:color w:val="auto"/>
              </w:rPr>
              <w:t>operations.........</w:t>
            </w:r>
          </w:p>
        </w:tc>
        <w:tc>
          <w:tcPr>
            <w:tcW w:w="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0.97</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0.53</w:t>
            </w:r>
          </w:p>
        </w:tc>
        <w:tc>
          <w:tcPr>
            <w:tcW w:w="60" w:type="dxa"/>
            <w:vAlign w:val="bottom"/>
          </w:tcPr>
          <w:p>
            <w:pPr>
              <w:spacing w:after="0"/>
              <w:rPr>
                <w:sz w:val="16"/>
                <w:szCs w:val="16"/>
                <w:color w:val="auto"/>
              </w:rPr>
            </w:pP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(1.84)</w:t>
            </w:r>
          </w:p>
        </w:tc>
        <w:tc>
          <w:tcPr>
            <w:tcW w:w="2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(1.31)</w:t>
            </w:r>
          </w:p>
        </w:tc>
        <w:tc>
          <w:tcPr>
            <w:tcW w:w="2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(0.64)</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(0.46)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(0.22)</w:t>
            </w:r>
          </w:p>
        </w:tc>
      </w:tr>
      <w:tr>
        <w:trPr>
          <w:trHeight w:val="186"/>
        </w:trPr>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Discontinued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320" w:type="dxa"/>
            <w:vAlign w:val="bottom"/>
          </w:tcPr>
          <w:p>
            <w:pPr>
              <w:ind w:left="380"/>
              <w:spacing w:after="0"/>
              <w:rPr>
                <w:sz w:val="20"/>
                <w:szCs w:val="20"/>
                <w:color w:val="auto"/>
              </w:rPr>
            </w:pPr>
            <w:r>
              <w:rPr>
                <w:rFonts w:ascii="Courier New" w:cs="Courier New" w:eastAsia="Courier New" w:hAnsi="Courier New"/>
                <w:sz w:val="16"/>
                <w:szCs w:val="16"/>
                <w:color w:val="auto"/>
              </w:rPr>
              <w:t>operations.........</w:t>
            </w:r>
          </w:p>
        </w:tc>
        <w:tc>
          <w:tcPr>
            <w:tcW w:w="2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0.01</w:t>
            </w:r>
          </w:p>
        </w:tc>
        <w:tc>
          <w:tcPr>
            <w:tcW w:w="2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(0.49)</w:t>
            </w:r>
          </w:p>
        </w:tc>
        <w:tc>
          <w:tcPr>
            <w:tcW w:w="24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0.17</w:t>
            </w:r>
          </w:p>
        </w:tc>
        <w:tc>
          <w:tcPr>
            <w:tcW w:w="2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Extraordinary item...</w:t>
            </w:r>
          </w:p>
        </w:tc>
        <w:tc>
          <w:tcPr>
            <w:tcW w:w="2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(0.01)</w:t>
            </w:r>
          </w:p>
        </w:tc>
        <w:tc>
          <w:tcPr>
            <w:tcW w:w="20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(0.01)</w:t>
            </w:r>
          </w:p>
        </w:tc>
        <w:tc>
          <w:tcPr>
            <w:tcW w:w="20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(0.01)</w:t>
            </w:r>
          </w:p>
        </w:tc>
        <w:tc>
          <w:tcPr>
            <w:tcW w:w="440" w:type="dxa"/>
            <w:vAlign w:val="bottom"/>
          </w:tcPr>
          <w:p>
            <w:pPr>
              <w:spacing w:after="0"/>
              <w:rPr>
                <w:sz w:val="16"/>
                <w:szCs w:val="16"/>
                <w:color w:val="auto"/>
              </w:rPr>
            </w:pP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Accounting change....</w:t>
            </w:r>
          </w:p>
        </w:tc>
        <w:tc>
          <w:tcPr>
            <w:tcW w:w="2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320" w:type="dxa"/>
            <w:vAlign w:val="bottom"/>
          </w:tcPr>
          <w:p>
            <w:pPr>
              <w:spacing w:after="0"/>
              <w:rPr>
                <w:sz w:val="16"/>
                <w:szCs w:val="16"/>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6"/>
                <w:szCs w:val="16"/>
                <w:color w:val="auto"/>
              </w:rPr>
            </w:pPr>
          </w:p>
        </w:tc>
        <w:tc>
          <w:tcPr>
            <w:tcW w:w="13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w w:val="98"/>
              </w:rPr>
              <w:t>-----------</w:t>
            </w: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320" w:type="dxa"/>
            <w:vAlign w:val="bottom"/>
          </w:tcPr>
          <w:p>
            <w:pPr>
              <w:ind w:left="200"/>
              <w:spacing w:after="0"/>
              <w:rPr>
                <w:sz w:val="20"/>
                <w:szCs w:val="20"/>
                <w:color w:val="auto"/>
              </w:rPr>
            </w:pPr>
            <w:r>
              <w:rPr>
                <w:rFonts w:ascii="Courier New" w:cs="Courier New" w:eastAsia="Courier New" w:hAnsi="Courier New"/>
                <w:sz w:val="16"/>
                <w:szCs w:val="16"/>
                <w:color w:val="auto"/>
              </w:rPr>
              <w:t>Net income (loss)....</w:t>
            </w:r>
          </w:p>
        </w:tc>
        <w:tc>
          <w:tcPr>
            <w:tcW w:w="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0.98</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0.04</w:t>
            </w:r>
          </w:p>
        </w:tc>
        <w:tc>
          <w:tcPr>
            <w:tcW w:w="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(1.68)</w:t>
            </w:r>
          </w:p>
        </w:tc>
        <w:tc>
          <w:tcPr>
            <w:tcW w:w="2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(1.32)</w:t>
            </w:r>
          </w:p>
        </w:tc>
        <w:tc>
          <w:tcPr>
            <w:tcW w:w="2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(0.65)</w:t>
            </w:r>
          </w:p>
        </w:tc>
        <w:tc>
          <w:tcPr>
            <w:tcW w:w="4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(0.46)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(0.22)</w:t>
            </w:r>
          </w:p>
        </w:tc>
      </w:tr>
      <w:tr>
        <w:trPr>
          <w:trHeight w:val="186"/>
        </w:trPr>
        <w:tc>
          <w:tcPr>
            <w:tcW w:w="2320" w:type="dxa"/>
            <w:vAlign w:val="bottom"/>
          </w:tcPr>
          <w:p>
            <w:pPr>
              <w:spacing w:after="0"/>
              <w:rPr>
                <w:sz w:val="16"/>
                <w:szCs w:val="16"/>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6"/>
                <w:szCs w:val="16"/>
                <w:color w:val="auto"/>
              </w:rPr>
            </w:pPr>
          </w:p>
        </w:tc>
        <w:tc>
          <w:tcPr>
            <w:tcW w:w="13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w w:val="98"/>
              </w:rPr>
              <w:t>===========</w:t>
            </w: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Cash dividends per</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320" w:type="dxa"/>
            <w:vAlign w:val="bottom"/>
          </w:tcPr>
          <w:p>
            <w:pPr>
              <w:ind w:left="100"/>
              <w:spacing w:after="0"/>
              <w:rPr>
                <w:sz w:val="20"/>
                <w:szCs w:val="20"/>
                <w:color w:val="auto"/>
              </w:rPr>
            </w:pPr>
            <w:r>
              <w:rPr>
                <w:rFonts w:ascii="Courier New" w:cs="Courier New" w:eastAsia="Courier New" w:hAnsi="Courier New"/>
                <w:sz w:val="16"/>
                <w:szCs w:val="16"/>
                <w:color w:val="auto"/>
              </w:rPr>
              <w:t>common share..........</w:t>
            </w:r>
          </w:p>
        </w:tc>
        <w:tc>
          <w:tcPr>
            <w:tcW w:w="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0.58</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0.57</w:t>
            </w:r>
          </w:p>
        </w:tc>
        <w:tc>
          <w:tcPr>
            <w:tcW w:w="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0.56</w:t>
            </w:r>
          </w:p>
        </w:tc>
        <w:tc>
          <w:tcPr>
            <w:tcW w:w="2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0.16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0.01</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0.01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r>
      <w:tr>
        <w:trPr>
          <w:trHeight w:val="186"/>
        </w:trPr>
        <w:tc>
          <w:tcPr>
            <w:tcW w:w="2320" w:type="dxa"/>
            <w:vAlign w:val="bottom"/>
          </w:tcPr>
          <w:p>
            <w:pPr>
              <w:spacing w:after="0"/>
              <w:rPr>
                <w:sz w:val="16"/>
                <w:szCs w:val="16"/>
                <w:color w:val="auto"/>
              </w:rPr>
            </w:pP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3980" w:type="dxa"/>
            <w:vAlign w:val="bottom"/>
            <w:gridSpan w:val="7"/>
          </w:tcPr>
          <w:p>
            <w:pPr>
              <w:jc w:val="right"/>
              <w:ind w:right="219"/>
              <w:spacing w:after="0"/>
              <w:rPr>
                <w:sz w:val="20"/>
                <w:szCs w:val="20"/>
                <w:color w:val="auto"/>
              </w:rPr>
            </w:pPr>
            <w:r>
              <w:rPr>
                <w:rFonts w:ascii="Courier New" w:cs="Courier New" w:eastAsia="Courier New" w:hAnsi="Courier New"/>
                <w:sz w:val="16"/>
                <w:szCs w:val="16"/>
                <w:color w:val="auto"/>
              </w:rPr>
              <w:t>===========  ===========  ===========</w:t>
            </w: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320" w:type="dxa"/>
            <w:vAlign w:val="bottom"/>
          </w:tcPr>
          <w:p>
            <w:pPr>
              <w:ind w:left="100"/>
              <w:spacing w:after="0"/>
              <w:rPr>
                <w:sz w:val="20"/>
                <w:szCs w:val="20"/>
                <w:color w:val="auto"/>
              </w:rPr>
            </w:pPr>
            <w:r>
              <w:rPr>
                <w:rFonts w:ascii="Courier New" w:cs="Courier New" w:eastAsia="Courier New" w:hAnsi="Courier New"/>
                <w:sz w:val="16"/>
                <w:szCs w:val="16"/>
                <w:color w:val="auto"/>
              </w:rPr>
              <w:t>(AT END OF PERIOD):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320" w:type="dxa"/>
            <w:vAlign w:val="bottom"/>
          </w:tcPr>
          <w:p>
            <w:pPr>
              <w:ind w:left="100"/>
              <w:spacing w:after="0"/>
              <w:rPr>
                <w:sz w:val="20"/>
                <w:szCs w:val="20"/>
                <w:color w:val="auto"/>
              </w:rPr>
            </w:pPr>
            <w:r>
              <w:rPr>
                <w:rFonts w:ascii="Courier New" w:cs="Courier New" w:eastAsia="Courier New" w:hAnsi="Courier New"/>
                <w:sz w:val="16"/>
                <w:szCs w:val="16"/>
                <w:color w:val="auto"/>
              </w:rPr>
              <w:t>(deficit).............</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$(1,027,093)</w:t>
            </w:r>
          </w:p>
        </w:tc>
        <w:tc>
          <w:tcPr>
            <w:tcW w:w="2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(258,210)</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$(1,967,278)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(412,269)</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$(1,268,910)</w:t>
            </w:r>
          </w:p>
        </w:tc>
        <w:tc>
          <w:tcPr>
            <w:tcW w:w="14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$(1,086,024)</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(833,213)</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Intangible assets, net..</w:t>
            </w:r>
          </w:p>
        </w:tc>
        <w:tc>
          <w:tcPr>
            <w:tcW w:w="2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4,329,909</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4,681,381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4,848,176</w:t>
            </w:r>
          </w:p>
        </w:tc>
        <w:tc>
          <w:tcPr>
            <w:tcW w:w="20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6,250,324</w:t>
            </w:r>
          </w:p>
        </w:tc>
        <w:tc>
          <w:tcPr>
            <w:tcW w:w="20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5,356,677</w:t>
            </w: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5,505,362</w:t>
            </w: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5,245,954</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Total assets............</w:t>
            </w:r>
          </w:p>
        </w:tc>
        <w:tc>
          <w:tcPr>
            <w:tcW w:w="122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19,950,426</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20,727,524</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20,156,424</w:t>
            </w:r>
          </w:p>
        </w:tc>
        <w:tc>
          <w:tcPr>
            <w:tcW w:w="20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22,882,164</w:t>
            </w:r>
          </w:p>
        </w:tc>
        <w:tc>
          <w:tcPr>
            <w:tcW w:w="20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22,681,424</w:t>
            </w: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21,425,014</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19,175,693</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320" w:type="dxa"/>
            <w:vAlign w:val="bottom"/>
          </w:tcPr>
          <w:p>
            <w:pPr>
              <w:ind w:left="100"/>
              <w:spacing w:after="0"/>
              <w:rPr>
                <w:sz w:val="20"/>
                <w:szCs w:val="20"/>
                <w:color w:val="auto"/>
              </w:rPr>
            </w:pPr>
            <w:r>
              <w:rPr>
                <w:rFonts w:ascii="Courier New" w:cs="Courier New" w:eastAsia="Courier New" w:hAnsi="Courier New"/>
                <w:sz w:val="16"/>
                <w:szCs w:val="16"/>
                <w:color w:val="auto"/>
              </w:rPr>
              <w:t>including current</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320" w:type="dxa"/>
            <w:vAlign w:val="bottom"/>
          </w:tcPr>
          <w:p>
            <w:pPr>
              <w:ind w:left="100"/>
              <w:spacing w:after="0"/>
              <w:rPr>
                <w:sz w:val="20"/>
                <w:szCs w:val="20"/>
                <w:color w:val="auto"/>
              </w:rPr>
            </w:pPr>
            <w:r>
              <w:rPr>
                <w:rFonts w:ascii="Courier New" w:cs="Courier New" w:eastAsia="Courier New" w:hAnsi="Courier New"/>
                <w:sz w:val="16"/>
                <w:szCs w:val="16"/>
                <w:color w:val="auto"/>
                <w:w w:val="99"/>
              </w:rPr>
              <w:t>maturities.............</w:t>
            </w:r>
          </w:p>
        </w:tc>
        <w:tc>
          <w:tcPr>
            <w:tcW w:w="2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8,404,034</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9,064,566</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9,479,961</w:t>
            </w:r>
          </w:p>
        </w:tc>
        <w:tc>
          <w:tcPr>
            <w:tcW w:w="20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11,732,361</w:t>
            </w:r>
          </w:p>
        </w:tc>
        <w:tc>
          <w:tcPr>
            <w:tcW w:w="20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11,498,088</w:t>
            </w: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11,403,244</w:t>
            </w: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9,007,166</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Stockholders' equity....</w:t>
            </w:r>
          </w:p>
        </w:tc>
        <w:tc>
          <w:tcPr>
            <w:tcW w:w="20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5,184,104</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5,201,610</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3,854,929</w:t>
            </w:r>
          </w:p>
        </w:tc>
        <w:tc>
          <w:tcPr>
            <w:tcW w:w="20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4,372,496</w:t>
            </w:r>
          </w:p>
        </w:tc>
        <w:tc>
          <w:tcPr>
            <w:tcW w:w="20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4,402,612</w:t>
            </w: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4,553,048</w:t>
            </w: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9"/>
              </w:rPr>
              <w:t>4,628,891</w:t>
            </w:r>
          </w:p>
        </w:tc>
      </w:tr>
      <w:tr>
        <w:trPr>
          <w:trHeight w:val="559"/>
        </w:trPr>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779"/>
              <w:spacing w:after="0"/>
              <w:rPr>
                <w:sz w:val="20"/>
                <w:szCs w:val="20"/>
                <w:color w:val="auto"/>
              </w:rPr>
            </w:pPr>
            <w:r>
              <w:rPr>
                <w:rFonts w:ascii="Courier New" w:cs="Courier New" w:eastAsia="Courier New" w:hAnsi="Courier New"/>
                <w:sz w:val="16"/>
                <w:szCs w:val="16"/>
                <w:color w:val="auto"/>
                <w:w w:val="82"/>
              </w:rPr>
              <w:t>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520"/>
      </w:cols>
      <w:pgMar w:left="240" w:top="303"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lowerLetter"/>
      <w:start w:val="1"/>
    </w:lvl>
  </w:abstractNum>
  <w:abstractNum w:abstractNumId="1">
    <w:nsid w:val="836C40E"/>
    <w:multiLevelType w:val="hybridMultilevel"/>
    <w:lvl w:ilvl="0">
      <w:lvlJc w:val="left"/>
      <w:lvlText w:val="%1."/>
      <w:numFmt w:val="decimal"/>
      <w:start w:val="1"/>
    </w:lvl>
    <w:lvl w:ilvl="1">
      <w:lvlJc w:val="left"/>
      <w:lvlText w:val="(%2)"/>
      <w:numFmt w:val="lowerLetter"/>
      <w:start w:val="1"/>
    </w:lvl>
  </w:abstractNum>
  <w:abstractNum w:abstractNumId="2">
    <w:nsid w:val="2901D82"/>
    <w:multiLevelType w:val="hybridMultilevel"/>
    <w:lvl w:ilvl="0">
      <w:lvlJc w:val="left"/>
      <w:lvlText w:val="(%1)"/>
      <w:numFmt w:val="decimal"/>
      <w:start w:val="2"/>
    </w:lvl>
    <w:lvl w:ilvl="1">
      <w:lvlJc w:val="left"/>
      <w:lvlText w:val="(%2)"/>
      <w:numFmt w:val="lowerLetter"/>
      <w:start w:val="2"/>
    </w:lvl>
    <w:lvl w:ilvl="2">
      <w:lvlJc w:val="left"/>
      <w:lvlText w:val="-"/>
      <w:numFmt w:val="bullet"/>
      <w:start w:val="1"/>
    </w:lvl>
  </w:abstractNum>
  <w:abstractNum w:abstractNumId="3">
    <w:nsid w:val="3A95F874"/>
    <w:multiLevelType w:val="hybridMultilevel"/>
    <w:lvl w:ilvl="0">
      <w:lvlJc w:val="left"/>
      <w:lvlText w:val="(%1)"/>
      <w:numFmt w:val="lowerLetter"/>
      <w:start w:val="3"/>
    </w:lvl>
    <w:lvl w:ilvl="1">
      <w:lvlJc w:val="left"/>
      <w:lvlText w:val="-"/>
      <w:numFmt w:val="bullet"/>
      <w:start w:val="1"/>
    </w:lvl>
  </w:abstractNum>
  <w:abstractNum w:abstractNumId="4">
    <w:nsid w:val="8138641"/>
    <w:multiLevelType w:val="hybridMultilevel"/>
    <w:lvl w:ilvl="0">
      <w:lvlJc w:val="left"/>
      <w:lvlText w:val="(%1)"/>
      <w:numFmt w:val="lowerLetter"/>
      <w:start w:val="7"/>
    </w:lvl>
    <w:lvl w:ilvl="1">
      <w:lvlJc w:val="left"/>
      <w:lvlText w:val="-"/>
      <w:numFmt w:val="bullet"/>
      <w:start w:val="1"/>
    </w:lvl>
  </w:abstractNum>
  <w:abstractNum w:abstractNumId="5">
    <w:nsid w:val="1E7FF521"/>
    <w:multiLevelType w:val="hybridMultilevel"/>
    <w:lvl w:ilvl="0">
      <w:lvlJc w:val="left"/>
      <w:lvlText w:val="%1"/>
      <w:numFmt w:val="lowerLetter"/>
      <w:start w:val="1"/>
    </w:lvl>
    <w:lvl w:ilvl="1">
      <w:lvlJc w:val="left"/>
      <w:lvlText w:val="(%2)"/>
      <w:numFmt w:val="lowerLetter"/>
      <w:start w:val="11"/>
    </w:lvl>
    <w:lvl w:ilvl="2">
      <w:lvlJc w:val="left"/>
      <w:lvlText w:val="-"/>
      <w:numFmt w:val="bullet"/>
      <w:start w:val="1"/>
    </w:lvl>
  </w:abstractNum>
  <w:abstractNum w:abstractNumId="6">
    <w:nsid w:val="7C3DBD3D"/>
    <w:multiLevelType w:val="hybridMultilevel"/>
    <w:lvl w:ilvl="0">
      <w:lvlJc w:val="left"/>
      <w:lvlText w:val="(%1)"/>
      <w:numFmt w:val="lowerLetter"/>
      <w:start w:val="9"/>
    </w:lvl>
    <w:lvl w:ilvl="1">
      <w:lvlJc w:val="left"/>
      <w:lvlText w:val="(%2)"/>
      <w:numFmt w:val="lowerLetter"/>
      <w:start w:val="13"/>
    </w:lvl>
    <w:lvl w:ilvl="2">
      <w:lvlJc w:val="left"/>
      <w:lvlText w:val="-"/>
      <w:numFmt w:val="bullet"/>
      <w:start w:val="1"/>
    </w:lvl>
  </w:abstractNum>
  <w:abstractNum w:abstractNumId="7">
    <w:nsid w:val="737B8DDC"/>
    <w:multiLevelType w:val="hybridMultilevel"/>
    <w:lvl w:ilvl="0">
      <w:lvlJc w:val="left"/>
      <w:lvlText w:val="(%1)"/>
      <w:numFmt w:val="lowerLetter"/>
      <w:start w:val="18"/>
    </w:lvl>
    <w:lvl w:ilvl="1">
      <w:lvlJc w:val="left"/>
      <w:lvlText w:val="-"/>
      <w:numFmt w:val="bullet"/>
      <w:start w:val="1"/>
    </w:lvl>
  </w:abstractNum>
  <w:abstractNum w:abstractNumId="8">
    <w:nsid w:val="6CEAF087"/>
    <w:multiLevelType w:val="hybridMultilevel"/>
    <w:lvl w:ilvl="0">
      <w:lvlJc w:val="left"/>
      <w:lvlText w:val="%1"/>
      <w:numFmt w:val="lowerRoman"/>
      <w:start w:val="1"/>
    </w:lvl>
    <w:lvl w:ilvl="1">
      <w:lvlJc w:val="left"/>
      <w:lvlText w:val="(%2)"/>
      <w:numFmt w:val="lowerLetter"/>
      <w:start w:val="24"/>
    </w:lvl>
    <w:lvl w:ilvl="2">
      <w:lvlJc w:val="left"/>
      <w:lvlText w:val="-"/>
      <w:numFmt w:val="bullet"/>
      <w:start w:val="1"/>
    </w:lvl>
  </w:abstractNum>
  <w:abstractNum w:abstractNumId="9">
    <w:nsid w:val="22221A70"/>
    <w:multiLevelType w:val="hybridMultilevel"/>
    <w:lvl w:ilvl="0">
      <w:lvlJc w:val="left"/>
      <w:lvlText w:val="(%1)"/>
      <w:numFmt w:val="lowerRoman"/>
      <w:start w:val="4"/>
    </w:lvl>
    <w:lvl w:ilvl="1">
      <w:lvlJc w:val="left"/>
      <w:lvlText w:val="(%2)"/>
      <w:numFmt w:val="lowerLetter"/>
      <w:start w:val="27"/>
    </w:lvl>
    <w:lvl w:ilvl="2">
      <w:lvlJc w:val="left"/>
      <w:lvlText w:val="-"/>
      <w:numFmt w:val="bullet"/>
      <w:start w:val="1"/>
    </w:lvl>
  </w:abstractNum>
  <w:abstractNum w:abstractNumId="10">
    <w:nsid w:val="4516DDE9"/>
    <w:multiLevelType w:val="hybridMultilevel"/>
    <w:lvl w:ilvl="0">
      <w:lvlJc w:val="left"/>
      <w:lvlText w:val="(%1)"/>
      <w:numFmt w:val="lowerLetter"/>
      <w:start w:val="28"/>
    </w:lvl>
  </w:abstractNum>
  <w:abstractNum w:abstractNumId="11">
    <w:nsid w:val="3006C83E"/>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2">
    <w:nsid w:val="614FD4A1"/>
    <w:multiLevelType w:val="hybridMultilevel"/>
    <w:lvl w:ilvl="0">
      <w:lvlJc w:val="left"/>
      <w:lvlText w:val="(%1)"/>
      <w:numFmt w:val="lowerLetter"/>
      <w:start w:val="2"/>
    </w:lvl>
    <w:lvl w:ilvl="1">
      <w:lvlJc w:val="left"/>
      <w:lvlText w:val="-"/>
      <w:numFmt w:val="bullet"/>
      <w:start w:val="1"/>
    </w:lvl>
  </w:abstractNum>
  <w:abstractNum w:abstractNumId="13">
    <w:nsid w:val="419AC241"/>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lvl w:ilvl="3">
      <w:lvlJc w:val="left"/>
      <w:lvlText w:val="-"/>
      <w:numFmt w:val="bullet"/>
      <w:start w:val="1"/>
    </w:lvl>
  </w:abstractNum>
  <w:abstractNum w:abstractNumId="14">
    <w:nsid w:val="5577F8E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5">
    <w:nsid w:val="440BADFC"/>
    <w:multiLevelType w:val="hybridMultilevel"/>
    <w:lvl w:ilvl="0">
      <w:lvlJc w:val="left"/>
      <w:lvlText w:val="(%1)"/>
      <w:numFmt w:val="lowerRoman"/>
      <w:start w:val="3"/>
    </w:lvl>
    <w:lvl w:ilvl="1">
      <w:lvlJc w:val="left"/>
      <w:lvlText w:val="-"/>
      <w:numFmt w:val="bullet"/>
      <w:start w:val="1"/>
    </w:lvl>
  </w:abstractNum>
  <w:abstractNum w:abstractNumId="16">
    <w:nsid w:val="5072367"/>
    <w:multiLevelType w:val="hybridMultilevel"/>
    <w:lvl w:ilvl="0">
      <w:lvlJc w:val="left"/>
      <w:lvlText w:val="(%1)"/>
      <w:numFmt w:val="lowerRoman"/>
      <w:start w:val="10"/>
    </w:lvl>
  </w:abstractNum>
  <w:abstractNum w:abstractNumId="17">
    <w:nsid w:val="3804823E"/>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8">
    <w:nsid w:val="77465F01"/>
    <w:multiLevelType w:val="hybridMultilevel"/>
    <w:lvl w:ilvl="0">
      <w:lvlJc w:val="left"/>
      <w:lvlText w:val="%1"/>
      <w:numFmt w:val="lowerLetter"/>
      <w:start w:val="1"/>
    </w:lvl>
    <w:lvl w:ilvl="1">
      <w:lvlJc w:val="left"/>
      <w:lvlText w:val="(%2)"/>
      <w:numFmt w:val="lowerRoman"/>
      <w:start w:val="5"/>
    </w:lvl>
    <w:lvl w:ilvl="2">
      <w:lvlJc w:val="left"/>
      <w:lvlText w:val="-"/>
      <w:numFmt w:val="bullet"/>
      <w:start w:val="1"/>
    </w:lvl>
  </w:abstractNum>
  <w:abstractNum w:abstractNumId="19">
    <w:nsid w:val="7724C67E"/>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20">
    <w:nsid w:val="5C482A97"/>
    <w:multiLevelType w:val="hybridMultilevel"/>
    <w:lvl w:ilvl="0">
      <w:lvlJc w:val="left"/>
      <w:lvlText w:val="%1"/>
      <w:numFmt w:val="lowerLetter"/>
      <w:start w:val="1"/>
    </w:lvl>
    <w:lvl w:ilvl="1">
      <w:lvlJc w:val="left"/>
      <w:lvlText w:val="(%2)"/>
      <w:numFmt w:val="lowerLetter"/>
      <w:start w:val="61"/>
    </w:lvl>
  </w:abstractNum>
  <w:abstractNum w:abstractNumId="21">
    <w:nsid w:val="2463B9EA"/>
    <w:multiLevelType w:val="hybridMultilevel"/>
    <w:lvl w:ilvl="0">
      <w:lvlJc w:val="left"/>
      <w:lvlText w:val="(%1)"/>
      <w:numFmt w:val="lowerLetter"/>
      <w:start w:val="6"/>
    </w:lvl>
    <w:lvl w:ilvl="1">
      <w:lvlJc w:val="left"/>
      <w:lvlText w:val="(%2)"/>
      <w:numFmt w:val="lowerLetter"/>
      <w:start w:val="9"/>
    </w:lvl>
  </w:abstractNum>
  <w:abstractNum w:abstractNumId="22">
    <w:nsid w:val="5E884ADC"/>
    <w:multiLevelType w:val="hybridMultilevel"/>
    <w:lvl w:ilvl="0">
      <w:lvlJc w:val="left"/>
      <w:lvlText w:val="(%1)"/>
      <w:numFmt w:val="lowerRoman"/>
      <w:start w:val="2"/>
    </w:lvl>
    <w:lvl w:ilvl="1">
      <w:lvlJc w:val="left"/>
      <w:lvlText w:val="(%2)"/>
      <w:numFmt w:val="decimal"/>
      <w:start w:val="1"/>
    </w:lvl>
    <w:lvl w:ilvl="2">
      <w:lvlJc w:val="left"/>
      <w:lvlText w:val="-"/>
      <w:numFmt w:val="bullet"/>
      <w:start w:val="1"/>
    </w:lvl>
  </w:abstractNum>
  <w:abstractNum w:abstractNumId="23">
    <w:nsid w:val="51EAD36B"/>
    <w:multiLevelType w:val="hybridMultilevel"/>
    <w:lvl w:ilvl="0">
      <w:lvlJc w:val="left"/>
      <w:lvlText w:val="%1"/>
      <w:numFmt w:val="lowerRoman"/>
      <w:start w:val="1"/>
    </w:lvl>
    <w:lvl w:ilvl="1">
      <w:lvlJc w:val="left"/>
      <w:lvlText w:val="(%2)"/>
      <w:numFmt w:val="decimal"/>
      <w:start w:val="2"/>
    </w:lvl>
    <w:lvl w:ilvl="2">
      <w:lvlJc w:val="left"/>
      <w:lvlText w:val="-"/>
      <w:numFmt w:val="bullet"/>
      <w:start w:val="1"/>
    </w:lvl>
  </w:abstractNum>
  <w:abstractNum w:abstractNumId="24">
    <w:nsid w:val="2D517796"/>
    <w:multiLevelType w:val="hybridMultilevel"/>
    <w:lvl w:ilvl="0">
      <w:lvlJc w:val="left"/>
      <w:lvlText w:val="(%1)"/>
      <w:numFmt w:val="lowerRoman"/>
      <w:start w:val="3"/>
    </w:lvl>
    <w:lvl w:ilvl="1">
      <w:lvlJc w:val="left"/>
      <w:lvlText w:val="%2"/>
      <w:numFmt w:val="decimal"/>
      <w:start w:val="1"/>
    </w:lvl>
    <w:lvl w:ilvl="2">
      <w:lvlJc w:val="left"/>
      <w:lvlText w:val="-"/>
      <w:numFmt w:val="bullet"/>
      <w:start w:val="1"/>
    </w:lvl>
  </w:abstractNum>
  <w:abstractNum w:abstractNumId="25">
    <w:nsid w:val="580BD78F"/>
    <w:multiLevelType w:val="hybridMultilevel"/>
    <w:lvl w:ilvl="0">
      <w:lvlJc w:val="left"/>
      <w:lvlText w:val="(%1)"/>
      <w:numFmt w:val="lowerLetter"/>
      <w:start w:val="7"/>
    </w:lvl>
  </w:abstractNum>
  <w:abstractNum w:abstractNumId="26">
    <w:nsid w:val="153EA438"/>
    <w:multiLevelType w:val="hybridMultilevel"/>
    <w:lvl w:ilvl="0">
      <w:lvlJc w:val="left"/>
      <w:lvlText w:val="%1."/>
      <w:numFmt w:val="decimal"/>
      <w:start w:val="7"/>
    </w:lvl>
    <w:lvl w:ilvl="1">
      <w:lvlJc w:val="left"/>
      <w:lvlText w:val="-"/>
      <w:numFmt w:val="bullet"/>
      <w:start w:val="1"/>
    </w:lvl>
  </w:abstractNum>
  <w:abstractNum w:abstractNumId="27">
    <w:nsid w:val="3855585C"/>
    <w:multiLevelType w:val="hybridMultilevel"/>
    <w:lvl w:ilvl="0">
      <w:lvlJc w:val="left"/>
      <w:lvlText w:val="%1."/>
      <w:numFmt w:val="decimal"/>
      <w:start w:val="8"/>
    </w:lvl>
    <w:lvl w:ilvl="1">
      <w:lvlJc w:val="left"/>
      <w:lvlText w:val="(%2)"/>
      <w:numFmt w:val="lowerLetter"/>
      <w:start w:val="2"/>
    </w:lvl>
    <w:lvl w:ilvl="2">
      <w:lvlJc w:val="left"/>
      <w:lvlText w:val="-"/>
      <w:numFmt w:val="bullet"/>
      <w:start w:val="1"/>
    </w:lvl>
  </w:abstractNum>
  <w:abstractNum w:abstractNumId="28">
    <w:nsid w:val="70A64E2A"/>
    <w:multiLevelType w:val="hybridMultilevel"/>
    <w:lvl w:ilvl="0">
      <w:lvlJc w:val="left"/>
      <w:lvlText w:val="(%1)"/>
      <w:numFmt w:val="lowerLetter"/>
      <w:start w:val="4"/>
    </w:lvl>
    <w:lvl w:ilvl="1">
      <w:lvlJc w:val="left"/>
      <w:lvlText w:val="-"/>
      <w:numFmt w:val="bullet"/>
      <w:start w:val="1"/>
    </w:lvl>
  </w:abstractNum>
  <w:abstractNum w:abstractNumId="29">
    <w:nsid w:val="6A2342EC"/>
    <w:multiLevelType w:val="hybridMultilevel"/>
    <w:lvl w:ilvl="0">
      <w:lvlJc w:val="left"/>
      <w:lvlText w:val="(%1)"/>
      <w:numFmt w:val="lowerLetter"/>
      <w:start w:val="4"/>
    </w:lvl>
    <w:lvl w:ilvl="1">
      <w:lvlJc w:val="left"/>
      <w:lvlText w:val="%2."/>
      <w:numFmt w:val="decimal"/>
      <w:start w:val="9"/>
    </w:lvl>
    <w:lvl w:ilvl="2">
      <w:lvlJc w:val="left"/>
      <w:lvlText w:val="-"/>
      <w:numFmt w:val="bullet"/>
      <w:start w:val="1"/>
    </w:lvl>
  </w:abstractNum>
  <w:abstractNum w:abstractNumId="30">
    <w:nsid w:val="2A487CB0"/>
    <w:multiLevelType w:val="hybridMultilevel"/>
    <w:lvl w:ilvl="0">
      <w:lvlJc w:val="left"/>
      <w:lvlText w:val="%1"/>
      <w:numFmt w:val="lowerRoman"/>
      <w:start w:val="1"/>
    </w:lvl>
    <w:lvl w:ilvl="1">
      <w:lvlJc w:val="left"/>
      <w:lvlText w:val="%2."/>
      <w:numFmt w:val="decimal"/>
      <w:start w:val="10"/>
    </w:lvl>
    <w:lvl w:ilvl="2">
      <w:lvlJc w:val="left"/>
      <w:lvlText w:val="-"/>
      <w:numFmt w:val="bullet"/>
      <w:start w:val="1"/>
    </w:lvl>
  </w:abstractNum>
  <w:abstractNum w:abstractNumId="31">
    <w:nsid w:val="1D4ED43B"/>
    <w:multiLevelType w:val="hybridMultilevel"/>
    <w:lvl w:ilvl="0">
      <w:lvlJc w:val="left"/>
      <w:lvlText w:val="(%1)"/>
      <w:numFmt w:val="lowerRoman"/>
      <w:start w:val="1"/>
    </w:lvl>
    <w:lvl w:ilvl="1">
      <w:lvlJc w:val="left"/>
      <w:lvlText w:val="%2."/>
      <w:numFmt w:val="decimal"/>
      <w:start w:val="11"/>
    </w:lvl>
    <w:lvl w:ilvl="2">
      <w:lvlJc w:val="left"/>
      <w:lvlText w:val="-"/>
      <w:numFmt w:val="bullet"/>
      <w:start w:val="1"/>
    </w:lvl>
  </w:abstractNum>
  <w:abstractNum w:abstractNumId="32">
    <w:nsid w:val="725A06FB"/>
    <w:multiLevelType w:val="hybridMultilevel"/>
    <w:lvl w:ilvl="0">
      <w:lvlJc w:val="left"/>
      <w:lvlText w:val="%1."/>
      <w:numFmt w:val="decimal"/>
      <w:start w:val="17"/>
    </w:lvl>
  </w:abstractNum>
  <w:abstractNum w:abstractNumId="33">
    <w:nsid w:val="2CD89A32"/>
    <w:multiLevelType w:val="hybridMultilevel"/>
    <w:lvl w:ilvl="0">
      <w:lvlJc w:val="left"/>
      <w:lvlText w:val="%1."/>
      <w:numFmt w:val="decimal"/>
      <w:start w:val="18"/>
    </w:lvl>
    <w:lvl w:ilvl="1">
      <w:lvlJc w:val="left"/>
      <w:lvlText w:val="-"/>
      <w:numFmt w:val="bullet"/>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2"/>
    </w:lvl>
  </w:abstractNum>
  <w:abstractNum w:abstractNumId="36">
    <w:nsid w:val="4B588F54"/>
    <w:multiLevelType w:val="hybridMultilevel"/>
    <w:lvl w:ilvl="0">
      <w:lvlJc w:val="left"/>
      <w:lvlText w:val="%1."/>
      <w:numFmt w:val="decimal"/>
      <w:start w:val="3"/>
    </w:lvl>
  </w:abstractNum>
  <w:abstractNum w:abstractNumId="37">
    <w:nsid w:val="542289EC"/>
    <w:multiLevelType w:val="hybridMultilevel"/>
    <w:lvl w:ilvl="0">
      <w:lvlJc w:val="left"/>
      <w:lvlText w:val="%1."/>
      <w:numFmt w:val="decimal"/>
      <w:start w:val="4"/>
    </w:lvl>
  </w:abstractNum>
  <w:abstractNum w:abstractNumId="38">
    <w:nsid w:val="6DE91B18"/>
    <w:multiLevelType w:val="hybridMultilevel"/>
    <w:lvl w:ilvl="0">
      <w:lvlJc w:val="left"/>
      <w:lvlText w:val="%1."/>
      <w:numFmt w:val="decimal"/>
      <w:start w:val="5"/>
    </w:lvl>
  </w:abstractNum>
  <w:abstractNum w:abstractNumId="39">
    <w:nsid w:val="38437FDB"/>
    <w:multiLevelType w:val="hybridMultilevel"/>
    <w:lvl w:ilvl="0">
      <w:lvlJc w:val="left"/>
      <w:lvlText w:val="(%1)"/>
      <w:numFmt w:val="lowerRoman"/>
      <w:start w:val="1"/>
    </w:lvl>
  </w:abstractNum>
  <w:abstractNum w:abstractNumId="40">
    <w:nsid w:val="7644A45C"/>
    <w:multiLevelType w:val="hybridMultilevel"/>
    <w:lvl w:ilvl="0">
      <w:lvlJc w:val="left"/>
      <w:lvlText w:val="%1."/>
      <w:numFmt w:val="decimal"/>
      <w:start w:val="6"/>
    </w:lvl>
  </w:abstractNum>
  <w:abstractNum w:abstractNumId="41">
    <w:nsid w:val="32FFF902"/>
    <w:multiLevelType w:val="hybridMultilevel"/>
    <w:lvl w:ilvl="0">
      <w:lvlJc w:val="left"/>
      <w:lvlText w:val="%1."/>
      <w:numFmt w:val="decimal"/>
      <w:start w:val="7"/>
    </w:lvl>
  </w:abstractNum>
  <w:abstractNum w:abstractNumId="42">
    <w:nsid w:val="684A481A"/>
    <w:multiLevelType w:val="hybridMultilevel"/>
    <w:lvl w:ilvl="0">
      <w:lvlJc w:val="left"/>
      <w:lvlText w:val="%1."/>
      <w:numFmt w:val="decimal"/>
      <w:start w:val="8"/>
    </w:lvl>
  </w:abstractNum>
  <w:abstractNum w:abstractNumId="43">
    <w:nsid w:val="579478FE"/>
    <w:multiLevelType w:val="hybridMultilevel"/>
    <w:lvl w:ilvl="0">
      <w:lvlJc w:val="left"/>
      <w:lvlText w:val="%1."/>
      <w:numFmt w:val="decimal"/>
      <w:start w:val="9"/>
    </w:lvl>
  </w:abstractNum>
  <w:abstractNum w:abstractNumId="44">
    <w:nsid w:val="749ABB43"/>
    <w:multiLevelType w:val="hybridMultilevel"/>
    <w:lvl w:ilvl="0">
      <w:lvlJc w:val="left"/>
      <w:lvlText w:val="(%1)"/>
      <w:numFmt w:val="upperLetter"/>
      <w:start w:val="2"/>
    </w:lvl>
  </w:abstractNum>
  <w:abstractNum w:abstractNumId="45">
    <w:nsid w:val="3DC240FB"/>
    <w:multiLevelType w:val="hybridMultilevel"/>
    <w:lvl w:ilvl="0">
      <w:lvlJc w:val="left"/>
      <w:lvlText w:val="%1."/>
      <w:numFmt w:val="decimal"/>
      <w:start w:val="10"/>
    </w:lvl>
  </w:abstractNum>
  <w:abstractNum w:abstractNumId="46">
    <w:nsid w:val="1BA026FA"/>
    <w:multiLevelType w:val="hybridMultilevel"/>
    <w:lvl w:ilvl="0">
      <w:lvlJc w:val="left"/>
      <w:lvlText w:val="%1."/>
      <w:numFmt w:val="decimal"/>
      <w:start w:val="11"/>
    </w:lvl>
  </w:abstractNum>
  <w:abstractNum w:abstractNumId="47">
    <w:nsid w:val="79A1DEAA"/>
    <w:multiLevelType w:val="hybridMultilevel"/>
    <w:lvl w:ilvl="0">
      <w:lvlJc w:val="left"/>
      <w:lvlText w:val="%1."/>
      <w:numFmt w:val="decimal"/>
      <w:start w:val="12"/>
    </w:lvl>
  </w:abstractNum>
  <w:abstractNum w:abstractNumId="48">
    <w:nsid w:val="75C6C33A"/>
    <w:multiLevelType w:val="hybridMultilevel"/>
    <w:lvl w:ilvl="0">
      <w:lvlJc w:val="left"/>
      <w:lvlText w:val="%1."/>
      <w:numFmt w:val="decimal"/>
      <w:start w:val="13"/>
    </w:lvl>
  </w:abstractNum>
  <w:abstractNum w:abstractNumId="49">
    <w:nsid w:val="12E685FB"/>
    <w:multiLevelType w:val="hybridMultilevel"/>
    <w:lvl w:ilvl="0">
      <w:lvlJc w:val="left"/>
      <w:lvlText w:val="%1."/>
      <w:numFmt w:val="decimal"/>
      <w:start w:val="14"/>
    </w:lvl>
  </w:abstractNum>
  <w:abstractNum w:abstractNumId="50">
    <w:nsid w:val="70C6A529"/>
    <w:multiLevelType w:val="hybridMultilevel"/>
    <w:lvl w:ilvl="0">
      <w:lvlJc w:val="left"/>
      <w:lvlText w:val="%1."/>
      <w:numFmt w:val="decimal"/>
      <w:start w:val="15"/>
    </w:lvl>
  </w:abstractNum>
  <w:abstractNum w:abstractNumId="51">
    <w:nsid w:val="520EEDD1"/>
    <w:multiLevelType w:val="hybridMultilevel"/>
    <w:lvl w:ilvl="0">
      <w:lvlJc w:val="left"/>
      <w:lvlText w:val="%1."/>
      <w:numFmt w:val="decimal"/>
      <w:start w:val="16"/>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2019-12-12T11:10:06Z</dcterms:created>
  <dcterms:modified xsi:type="dcterms:W3CDTF">2019-12-12T11:10:06Z</dcterms:modified>
</cp:coreProperties>
</file>