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30,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This Amendment (this “Amendment”) to the Current Report on Form 8-K of Waste Management, Inc. (the “Company”) dated and furnished with the Securities Exchange Commission on July 30, 2009 (the “Original Report”) is being furnished to (i) set forth the correct date of the quarter for which earnings were announced, which is June 30, 2009, not March 31, 2009, as set forth in Item 2.02 of the Original Report; (ii) correct the access code to be used to access the conference call, which is 16261765, not 90934084, as was set forth in Item 2.02 the Original Report; and (iii) add the telephone number to call to listen to the archived replay of the conference call. Item 2.02 is corrected and restated in its entirety; there were no changes to the other information set forth in the Form 8-K or the exhibit attached to the Original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announcing its earnings for the quarter ended June 30, 2009, a copy of which is attached hereto as exhibit 99.1.</w:t>
      </w:r>
    </w:p>
    <w:p>
      <w:pPr>
        <w:spacing w:after="0" w:line="62"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16261765. The replay of the call can be listened to by dialing (800) 642-1687 and entering the access code 16261765.</w:t>
      </w:r>
    </w:p>
    <w:p>
      <w:pPr>
        <w:spacing w:after="0" w:line="282"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results of operations using certain non-GAAP financial measures that are included in the Company’s press release. The Company has provided information regarding its use of these non-GAAP measures and reconciliations of them to their most comparable GAAP measures in the press release that is attached to this Form 8-K as exhibit 99.1 and the schedules thereto.</w:t>
      </w:r>
    </w:p>
    <w:p>
      <w:pPr>
        <w:spacing w:after="0" w:line="3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Management also is expected to discuss operating expenses as a percentage of revenue as adjusted for the negative impact of the costs to withdraw from an underfunded multi-employer pension plan. Management believes that a discussion of this non-GAAP measure provides investors with information to enable them to evaluate the Company’s ability to manage its normal operating costs as revenues have declined. The non-GAAP information should not be considered a substitute for financial information presented in accordance with GAAP.</w:t>
      </w:r>
    </w:p>
    <w:p>
      <w:pPr>
        <w:spacing w:after="0" w:line="79"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 reconciliation of operating expenses as a percentage of revenue to the adjusted measure is shown below (dollars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Quarters Ended June 30,</w:t>
            </w:r>
          </w:p>
        </w:tc>
      </w:tr>
      <w:tr>
        <w:trPr>
          <w:trHeight w:val="142"/>
        </w:trPr>
        <w:tc>
          <w:tcPr>
            <w:tcW w:w="8700" w:type="dxa"/>
            <w:vAlign w:val="bottom"/>
          </w:tcPr>
          <w:p>
            <w:pPr>
              <w:spacing w:after="0"/>
              <w:rPr>
                <w:sz w:val="12"/>
                <w:szCs w:val="12"/>
                <w:color w:val="auto"/>
              </w:rPr>
            </w:pPr>
          </w:p>
        </w:tc>
        <w:tc>
          <w:tcPr>
            <w:tcW w:w="108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2009</w:t>
            </w:r>
          </w:p>
        </w:tc>
        <w:tc>
          <w:tcPr>
            <w:tcW w:w="16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$2,952</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$3,489</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$1,786</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$2,181</w:t>
            </w: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Operating Expenses as a percent of Revenues</w:t>
            </w:r>
          </w:p>
        </w:tc>
        <w:tc>
          <w:tcPr>
            <w:tcW w:w="1080" w:type="dxa"/>
            <w:vAlign w:val="bottom"/>
          </w:tcPr>
          <w:p>
            <w:pPr>
              <w:jc w:val="right"/>
              <w:ind w:right="77"/>
              <w:spacing w:after="0"/>
              <w:rPr>
                <w:sz w:val="20"/>
                <w:szCs w:val="20"/>
                <w:color w:val="auto"/>
              </w:rPr>
            </w:pPr>
            <w:r>
              <w:rPr>
                <w:rFonts w:ascii="Arial" w:cs="Arial" w:eastAsia="Arial" w:hAnsi="Arial"/>
                <w:sz w:val="18"/>
                <w:szCs w:val="18"/>
                <w:b w:val="1"/>
                <w:bCs w:val="1"/>
                <w:color w:val="auto"/>
              </w:rPr>
              <w:t>60.5%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62.5%</w:t>
            </w:r>
          </w:p>
        </w:tc>
      </w:tr>
      <w:tr>
        <w:trPr>
          <w:trHeight w:val="632"/>
        </w:trPr>
        <w:tc>
          <w:tcPr>
            <w:tcW w:w="87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 Impact of multi-employer pension withdrawal costs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88"/>
              </w:rPr>
              <w:t>2,952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3,489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5"/>
              <w:spacing w:after="0"/>
              <w:rPr>
                <w:sz w:val="20"/>
                <w:szCs w:val="20"/>
                <w:color w:val="auto"/>
              </w:rPr>
            </w:pPr>
            <w:r>
              <w:rPr>
                <w:rFonts w:ascii="Arial" w:cs="Arial" w:eastAsia="Arial" w:hAnsi="Arial"/>
                <w:sz w:val="18"/>
                <w:szCs w:val="18"/>
                <w:color w:val="auto"/>
                <w:w w:val="88"/>
              </w:rPr>
              <w:t>1,777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2,181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as a percent of Revenues (a)</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60.2%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 in Operating Expenses as a percent of Revenues, as adjusted, of 230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30, 2009</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 w:lineRule="exact"/>
        <w:rPr>
          <w:sz w:val="20"/>
          <w:szCs w:val="20"/>
          <w:color w:val="auto"/>
        </w:rPr>
      </w:pP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2019-12-10T08:04:46Z</dcterms:created>
  <dcterms:modified xsi:type="dcterms:W3CDTF">2019-12-10T08:04:46Z</dcterms:modified>
</cp:coreProperties>
</file>