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524d1_s8.htm"/>
      <w:bookmarkStart w:id="1" w:name="kstm2621524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WASTE MANAGEMENT,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3275"/>
        <w:gridCol w:w="1535"/>
      </w:tblGrid>
      <w:tr>
        <w:trPr/>
        <w:tc>
          <w:tcPr>
            <w:tcW w:w="32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73-1309529</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 or Organization)</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r>
        <w:trPr/>
        <w:tc>
          <w:tcPr>
            <w:tcW w:w="3275"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r>
              <w:rPr>
                <w:b/>
              </w:rPr>
              <w:t>800 Capitol Street, Suite 3000</w:t>
            </w:r>
            <w:r>
              <w:rPr/>
              <w:t xml:space="preserve"> </w:t>
            </w:r>
            <w:r>
              <w:rPr>
                <w:b/>
              </w:rPr>
              <w:br/>
              <w:t>Houston, Texas</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77002</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 EMPLOYEE STOCK PURCHASE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Amended and Restated Effective May 12,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Charles C. Boettcher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Capitol Street, Suite 3000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 77002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512-6200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In accordance with General Instruction E of Form S-8 under the Securities Act, the Registrant has filed this registration statement on Form S-8 to register the issuance of an additional 3,000,000 shares of common stock of the Registrant, par value $0.01 per share (“Common Stock”) pursuant to the Waste Management, Inc. Employee Stock Purchase Plan (the “Plan”). The contents of the Registration Statement on Form S-8 (Registration No. 333-135379) filed by the Registrant with the Securities and Exchange Commission (the “Commission”) on </w:t>
      </w:r>
      <w:hyperlink r:id="rId2">
        <w:r>
          <w:rPr>
            <w:rStyle w:val="InternetLink"/>
            <w:rFonts w:ascii="Times New Roman;Times;Serif" w:hAnsi="Times New Roman;Times;Serif"/>
            <w:b w:val="false"/>
            <w:i w:val="false"/>
            <w:caps w:val="false"/>
            <w:smallCaps w:val="false"/>
            <w:sz w:val="20"/>
          </w:rPr>
          <w:t>June 27, 2006</w:t>
        </w:r>
      </w:hyperlink>
      <w:r>
        <w:rPr>
          <w:rFonts w:ascii="Times New Roman;Times;Serif" w:hAnsi="Times New Roman;Times;Serif"/>
          <w:b w:val="false"/>
          <w:i w:val="false"/>
          <w:caps w:val="false"/>
          <w:smallCaps w:val="false"/>
          <w:sz w:val="20"/>
        </w:rPr>
        <w:t xml:space="preserve">, the Registration Statement on Form S-8 (Registration No. 333-159475) filed by the Registrant with the Commission on </w:t>
      </w:r>
      <w:hyperlink r:id="rId3">
        <w:r>
          <w:rPr>
            <w:rStyle w:val="InternetLink"/>
            <w:rFonts w:ascii="Times New Roman;Times;Serif" w:hAnsi="Times New Roman;Times;Serif"/>
            <w:b w:val="false"/>
            <w:i w:val="false"/>
            <w:caps w:val="false"/>
            <w:smallCaps w:val="false"/>
            <w:sz w:val="20"/>
          </w:rPr>
          <w:t>May 26, 2009</w:t>
        </w:r>
      </w:hyperlink>
      <w:r>
        <w:rPr>
          <w:rFonts w:ascii="Times New Roman;Times;Serif" w:hAnsi="Times New Roman;Times;Serif"/>
          <w:b w:val="false"/>
          <w:i w:val="false"/>
          <w:caps w:val="false"/>
          <w:smallCaps w:val="false"/>
          <w:sz w:val="20"/>
        </w:rPr>
        <w:t xml:space="preserve">, the Registration Statement on Form S-8 (Registration No. 333-181335) filed by the Registrant with the Commission on </w:t>
      </w:r>
      <w:hyperlink r:id="rId4">
        <w:r>
          <w:rPr>
            <w:rStyle w:val="InternetLink"/>
            <w:rFonts w:ascii="Times New Roman;Times;Serif" w:hAnsi="Times New Roman;Times;Serif"/>
            <w:b w:val="false"/>
            <w:i w:val="false"/>
            <w:caps w:val="false"/>
            <w:smallCaps w:val="false"/>
            <w:sz w:val="20"/>
          </w:rPr>
          <w:t>May 11, 2012</w:t>
        </w:r>
      </w:hyperlink>
      <w:r>
        <w:rPr>
          <w:rFonts w:ascii="Times New Roman;Times;Serif" w:hAnsi="Times New Roman;Times;Serif"/>
          <w:b w:val="false"/>
          <w:i w:val="false"/>
          <w:caps w:val="false"/>
          <w:smallCaps w:val="false"/>
          <w:sz w:val="20"/>
        </w:rPr>
        <w:t xml:space="preserve">, the Registration Statement on Form S-8 (Registration No. 333-204319) filed by the Registrant with the Commission on </w:t>
      </w:r>
      <w:hyperlink r:id="rId5">
        <w:r>
          <w:rPr>
            <w:rStyle w:val="InternetLink"/>
            <w:rFonts w:ascii="Times New Roman;Times;Serif" w:hAnsi="Times New Roman;Times;Serif"/>
            <w:b w:val="false"/>
            <w:i w:val="false"/>
            <w:caps w:val="false"/>
            <w:smallCaps w:val="false"/>
            <w:sz w:val="20"/>
          </w:rPr>
          <w:t>May 20, 2015</w:t>
        </w:r>
      </w:hyperlink>
      <w:r>
        <w:rPr>
          <w:rFonts w:ascii="Times New Roman;Times;Serif" w:hAnsi="Times New Roman;Times;Serif"/>
          <w:b w:val="false"/>
          <w:i w:val="false"/>
          <w:caps w:val="false"/>
          <w:smallCaps w:val="false"/>
          <w:sz w:val="20"/>
        </w:rPr>
        <w:t xml:space="preserve">, and the Registration Statement on Form S-8 (Registration No. 333-240211) filed by the Registrant with the Commission on </w:t>
      </w:r>
      <w:hyperlink r:id="rId6">
        <w:r>
          <w:rPr>
            <w:rStyle w:val="InternetLink"/>
            <w:rFonts w:ascii="Times New Roman;Times;Serif" w:hAnsi="Times New Roman;Times;Serif"/>
            <w:b w:val="false"/>
            <w:i w:val="false"/>
            <w:caps w:val="false"/>
            <w:smallCaps w:val="false"/>
            <w:sz w:val="20"/>
          </w:rPr>
          <w:t>July 30, 2020</w:t>
        </w:r>
      </w:hyperlink>
      <w:r>
        <w:rPr>
          <w:rFonts w:ascii="Times New Roman;Times;Serif" w:hAnsi="Times New Roman;Times;Serif"/>
          <w:b w:val="false"/>
          <w:i w:val="false"/>
          <w:caps w:val="false"/>
          <w:smallCaps w:val="false"/>
          <w:sz w:val="20"/>
        </w:rPr>
        <w:t>, are incorporated herein by reference except to the extent otherwise updated or modified by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with the Commission by the Registrant are hereby incorporated by reference into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1" w:type="dxa"/>
            <w:tcBorders/>
            <w:vAlign w:val="center"/>
          </w:tcPr>
          <w:p>
            <w:pPr>
              <w:pStyle w:val="TableContents"/>
              <w:bidi w:val="0"/>
              <w:spacing w:before="0" w:after="283"/>
              <w:jc w:val="left"/>
              <w:rPr/>
            </w:pPr>
            <w:hyperlink r:id="rId7">
              <w:r>
                <w:rPr>
                  <w:rStyle w:val="InternetLink"/>
                  <w:rFonts w:ascii="Times New Roman;Times;Serif" w:hAnsi="Times New Roman;Times;Serif"/>
                  <w:sz w:val="20"/>
                </w:rPr>
                <w:t>Annual Report on Form 10-K for the fiscal year ended December 31, 2025.</w:t>
              </w:r>
            </w:hyperlink>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1" w:type="dxa"/>
            <w:tcBorders/>
            <w:vAlign w:val="center"/>
          </w:tcPr>
          <w:p>
            <w:pPr>
              <w:pStyle w:val="TableContents"/>
              <w:bidi w:val="0"/>
              <w:spacing w:before="0" w:after="283"/>
              <w:jc w:val="left"/>
              <w:rPr/>
            </w:pPr>
            <w:r>
              <w:rPr>
                <w:rFonts w:ascii="Times New Roman;Times;Serif" w:hAnsi="Times New Roman;Times;Serif"/>
                <w:sz w:val="20"/>
              </w:rPr>
              <w:t xml:space="preserve">Quarterly Report on Form 10-Q for the quarters ended </w:t>
            </w:r>
            <w:hyperlink r:id="rId8">
              <w:r>
                <w:rPr>
                  <w:rStyle w:val="InternetLink"/>
                  <w:rFonts w:ascii="Times New Roman;Times;Serif" w:hAnsi="Times New Roman;Times;Serif"/>
                  <w:sz w:val="20"/>
                </w:rPr>
                <w:t>March 31, 2026</w:t>
              </w:r>
            </w:hyperlink>
            <w:r>
              <w:rPr>
                <w:rFonts w:ascii="Times New Roman;Times;Serif" w:hAnsi="Times New Roman;Times;Serif"/>
                <w:sz w:val="20"/>
              </w:rPr>
              <w:t xml:space="preserve">, and </w:t>
            </w:r>
            <w:hyperlink r:id="rId9">
              <w:r>
                <w:rPr>
                  <w:rStyle w:val="InternetLink"/>
                  <w:rFonts w:ascii="Times New Roman;Times;Serif" w:hAnsi="Times New Roman;Times;Serif"/>
                  <w:sz w:val="20"/>
                </w:rPr>
                <w:t>June 30, 2026</w:t>
              </w:r>
            </w:hyperlink>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1" w:type="dxa"/>
            <w:tcBorders/>
            <w:vAlign w:val="center"/>
          </w:tcPr>
          <w:p>
            <w:pPr>
              <w:pStyle w:val="TableContents"/>
              <w:bidi w:val="0"/>
              <w:spacing w:before="0" w:after="283"/>
              <w:jc w:val="left"/>
              <w:rPr/>
            </w:pPr>
            <w:r>
              <w:rPr>
                <w:rFonts w:ascii="Times New Roman;Times;Serif" w:hAnsi="Times New Roman;Times;Serif"/>
                <w:sz w:val="20"/>
              </w:rPr>
              <w:t xml:space="preserve">The description of the Registrant’s Common Stock on </w:t>
            </w:r>
            <w:hyperlink r:id="rId10">
              <w:r>
                <w:rPr>
                  <w:rStyle w:val="InternetLink"/>
                  <w:rFonts w:ascii="Times New Roman;Times;Serif" w:hAnsi="Times New Roman;Times;Serif"/>
                  <w:sz w:val="20"/>
                </w:rPr>
                <w:t>Exhibit 4.6</w:t>
              </w:r>
            </w:hyperlink>
            <w:r>
              <w:rPr>
                <w:rFonts w:ascii="Times New Roman;Times;Serif" w:hAnsi="Times New Roman;Times;Serif"/>
                <w:sz w:val="20"/>
              </w:rPr>
              <w:t xml:space="preserve"> of the Registrant’s Annual Report on Form 10-K for the fiscal year ended December 31, 2024.</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1" w:type="dxa"/>
            <w:tcBorders/>
            <w:vAlign w:val="center"/>
          </w:tcPr>
          <w:p>
            <w:pPr>
              <w:pStyle w:val="TableContents"/>
              <w:bidi w:val="0"/>
              <w:spacing w:before="0" w:after="283"/>
              <w:jc w:val="left"/>
              <w:rPr/>
            </w:pPr>
            <w:r>
              <w:rPr>
                <w:rFonts w:ascii="Times New Roman;Times;Serif" w:hAnsi="Times New Roman;Times;Serif"/>
                <w:sz w:val="20"/>
              </w:rPr>
              <w:t xml:space="preserve">Current Reports on Form 8-K filed with the Commission on </w:t>
            </w:r>
            <w:hyperlink r:id="rId11">
              <w:r>
                <w:rPr>
                  <w:rStyle w:val="InternetLink"/>
                  <w:rFonts w:ascii="Times New Roman;Times;Serif" w:hAnsi="Times New Roman;Times;Serif"/>
                  <w:sz w:val="20"/>
                </w:rPr>
                <w:t>March 6, 2026</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March 13, 2026</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March 25, 2026</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May 13, 2026</w:t>
              </w:r>
            </w:hyperlink>
            <w:r>
              <w:rPr>
                <w:rFonts w:ascii="Times New Roman;Times;Serif" w:hAnsi="Times New Roman;Times;Serif"/>
                <w:sz w:val="20"/>
              </w:rPr>
              <w:t xml:space="preserve">, and </w:t>
            </w:r>
            <w:hyperlink r:id="rId15">
              <w:r>
                <w:rPr>
                  <w:rStyle w:val="InternetLink"/>
                  <w:rFonts w:ascii="Times New Roman;Times;Serif" w:hAnsi="Times New Roman;Times;Serif"/>
                  <w:sz w:val="20"/>
                </w:rPr>
                <w:t>May 14, 2026</w:t>
              </w:r>
            </w:hyperlink>
            <w:r>
              <w:rPr>
                <w:rFonts w:ascii="Times New Roman;Times;Serif" w:hAnsi="Times New Roman;Times;Serif"/>
                <w:sz w:val="20"/>
              </w:rPr>
              <w:t>.</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subsequently filed by the Registrant pursuant to Sections 13(a), 13(c), 14 and 15(d) of the Exchange Act,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 The Registrant is not, however, incorporating, in each case, any documents or information that the Registrant is deemed to furnish and not file in accordance with Commission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provides that a director or officer of the Registrant shall not be liable to the Registrant or its stockholders for monetary damages for breach of fiduciary duty as a director or officer, except to the extent such exemption from liability or limitation thereof is not permitted under the General Corporation Law of the State of Delaware (“DGCL”) as the same exists or may hereafter be amended. Any amendment, modification or repeal of this provision will not adversely affect any right or protection of a director or officer of the Registrant in respect of any act or omission occurring prior to the time of such amendment, modification or repeal.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and By-laws require that it provide indemnification to the maximum extent permitted from time to time under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Registrant or any of its direct or indirect subsidiaries or while such a director or officer is or was serving at the request of the Registrant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Registrant is not required to indemnify or advance expenses to any person in connection with any action, suit, proceeding, claim or counterclaim initiated by or on behalf of such person. Such indemnification is not to be exclusive of other indemnification rights arising under its By-laws, agreement, vote of directors or stockholders or otherwise and shall inure to the benefit of the heirs and legal representatives of such person. Additionally, the Registrant has direct contractual obligations to provide indemnification to each of the members of its Board of Directors and each of its executive officers. These agreements provide directors and executive officers with the same indemnification by the Registrant as described above and assure directors and executive officers that indemnification will continue to be provided despite future changes in the By-laws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4"/>
        <w:gridCol w:w="341"/>
        <w:gridCol w:w="9210"/>
      </w:tblGrid>
      <w:tr>
        <w:trPr/>
        <w:tc>
          <w:tcPr>
            <w:tcW w:w="995"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9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54"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b w:val="false"/>
                  <w:i w:val="false"/>
                  <w:caps w:val="false"/>
                  <w:smallCaps w:val="false"/>
                  <w:sz w:val="20"/>
                </w:rPr>
                <w:t>4.1</w:t>
              </w:r>
            </w:hyperlink>
          </w:p>
        </w:tc>
        <w:tc>
          <w:tcPr>
            <w:tcW w:w="341" w:type="dxa"/>
            <w:tcBorders/>
            <w:tcMar>
              <w:bottom w:w="0" w:type="dxa"/>
            </w:tcMar>
            <w:vAlign w:val="center"/>
          </w:tcPr>
          <w:p>
            <w:pPr>
              <w:pStyle w:val="TableContents"/>
              <w:bidi w:val="0"/>
              <w:spacing w:before="0" w:after="283"/>
              <w:jc w:val="left"/>
              <w:rPr/>
            </w:pPr>
            <w:hyperlink r:id="rId17">
              <w:r>
                <w:rPr>
                  <w:rStyle w:val="InternetLink"/>
                  <w:caps w:val="false"/>
                  <w:smallCaps w:val="false"/>
                </w:rPr>
                <w:t>—</w:t>
              </w:r>
            </w:hyperlink>
          </w:p>
        </w:tc>
        <w:tc>
          <w:tcPr>
            <w:tcW w:w="9210"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b w:val="false"/>
                  <w:i w:val="false"/>
                  <w:caps w:val="false"/>
                  <w:smallCaps w:val="false"/>
                  <w:sz w:val="20"/>
                </w:rPr>
                <w:t>Fourth Restated Certificate of Incorporation of Waste Management, Inc. (incorporated by reference to Exhibit 3.2 to Form 8-K dated May 14, 2024).</w:t>
              </w:r>
            </w:hyperlink>
          </w:p>
        </w:tc>
      </w:tr>
      <w:tr>
        <w:trPr/>
        <w:tc>
          <w:tcPr>
            <w:tcW w:w="654" w:type="dxa"/>
            <w:tcBorders/>
            <w:tcMar>
              <w:bottom w:w="0" w:type="dxa"/>
            </w:tcMar>
            <w:vAlign w:val="center"/>
          </w:tcPr>
          <w:p>
            <w:pPr>
              <w:pStyle w:val="TableContents"/>
              <w:bidi w:val="0"/>
              <w:spacing w:before="0" w:after="283"/>
              <w:jc w:val="left"/>
              <w:rPr/>
            </w:pPr>
            <w:r>
              <w:rPr/>
              <w:t> </w:t>
            </w:r>
          </w:p>
        </w:tc>
        <w:tc>
          <w:tcPr>
            <w:tcW w:w="341"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654" w:type="dxa"/>
            <w:tcBorders/>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b w:val="false"/>
                  <w:i w:val="false"/>
                  <w:caps w:val="false"/>
                  <w:smallCaps w:val="false"/>
                  <w:sz w:val="20"/>
                </w:rPr>
                <w:t>4.2</w:t>
              </w:r>
            </w:hyperlink>
          </w:p>
        </w:tc>
        <w:tc>
          <w:tcPr>
            <w:tcW w:w="341" w:type="dxa"/>
            <w:tcBorders/>
            <w:tcMar>
              <w:bottom w:w="0" w:type="dxa"/>
            </w:tcMar>
            <w:vAlign w:val="center"/>
          </w:tcPr>
          <w:p>
            <w:pPr>
              <w:pStyle w:val="TableContents"/>
              <w:bidi w:val="0"/>
              <w:spacing w:before="0" w:after="283"/>
              <w:jc w:val="left"/>
              <w:rPr/>
            </w:pPr>
            <w:hyperlink r:id="rId20">
              <w:r>
                <w:rPr>
                  <w:rStyle w:val="InternetLink"/>
                  <w:caps w:val="false"/>
                  <w:smallCaps w:val="false"/>
                </w:rPr>
                <w:t>—</w:t>
              </w:r>
            </w:hyperlink>
          </w:p>
        </w:tc>
        <w:tc>
          <w:tcPr>
            <w:tcW w:w="9210" w:type="dxa"/>
            <w:tcBorders/>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b w:val="false"/>
                  <w:i w:val="false"/>
                  <w:caps w:val="false"/>
                  <w:smallCaps w:val="false"/>
                  <w:sz w:val="20"/>
                </w:rPr>
                <w:t>Amended and Restated By-laws of Waste Management, Inc. (incorporated by reference to Exhibit 3.2 to Form 8-K dated November 6, 2023).</w:t>
              </w:r>
            </w:hyperlink>
          </w:p>
        </w:tc>
      </w:tr>
      <w:tr>
        <w:trPr/>
        <w:tc>
          <w:tcPr>
            <w:tcW w:w="654" w:type="dxa"/>
            <w:tcBorders/>
            <w:tcMar>
              <w:bottom w:w="0" w:type="dxa"/>
            </w:tcMar>
            <w:vAlign w:val="center"/>
          </w:tcPr>
          <w:p>
            <w:pPr>
              <w:pStyle w:val="TableContents"/>
              <w:bidi w:val="0"/>
              <w:spacing w:before="0" w:after="283"/>
              <w:jc w:val="left"/>
              <w:rPr/>
            </w:pPr>
            <w:r>
              <w:rPr/>
              <w:t> </w:t>
            </w:r>
          </w:p>
        </w:tc>
        <w:tc>
          <w:tcPr>
            <w:tcW w:w="341"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654" w:type="dxa"/>
            <w:tcBorders/>
            <w:tcMar>
              <w:bottom w:w="0" w:type="dxa"/>
            </w:tcMar>
            <w:vAlign w:val="center"/>
          </w:tcPr>
          <w:p>
            <w:pPr>
              <w:pStyle w:val="TableContents"/>
              <w:bidi w:val="0"/>
              <w:spacing w:before="0" w:after="283"/>
              <w:jc w:val="left"/>
              <w:rPr/>
            </w:pPr>
            <w:hyperlink w:anchor="tm2621524d1_ex5-1.htm">
              <w:r>
                <w:rPr>
                  <w:rStyle w:val="InternetLink"/>
                  <w:rFonts w:ascii="Times New Roman;Times;Serif" w:hAnsi="Times New Roman;Times;Serif"/>
                  <w:b w:val="false"/>
                  <w:i w:val="false"/>
                  <w:caps w:val="false"/>
                  <w:smallCaps w:val="false"/>
                  <w:sz w:val="20"/>
                </w:rPr>
                <w:t>5.1*</w:t>
              </w:r>
            </w:hyperlink>
          </w:p>
        </w:tc>
        <w:tc>
          <w:tcPr>
            <w:tcW w:w="341" w:type="dxa"/>
            <w:tcBorders/>
            <w:tcMar>
              <w:bottom w:w="0" w:type="dxa"/>
            </w:tcMar>
            <w:vAlign w:val="center"/>
          </w:tcPr>
          <w:p>
            <w:pPr>
              <w:pStyle w:val="TableContents"/>
              <w:bidi w:val="0"/>
              <w:spacing w:before="0" w:after="283"/>
              <w:jc w:val="left"/>
              <w:rPr/>
            </w:pPr>
            <w:hyperlink w:anchor="tm2621524d1_ex5-1.htm">
              <w:r>
                <w:rPr>
                  <w:rStyle w:val="InternetLink"/>
                  <w:caps w:val="false"/>
                  <w:smallCaps w:val="false"/>
                </w:rPr>
                <w:t>—</w:t>
              </w:r>
            </w:hyperlink>
          </w:p>
        </w:tc>
        <w:tc>
          <w:tcPr>
            <w:tcW w:w="9210" w:type="dxa"/>
            <w:tcBorders/>
            <w:tcMar>
              <w:bottom w:w="0" w:type="dxa"/>
            </w:tcMar>
            <w:vAlign w:val="center"/>
          </w:tcPr>
          <w:p>
            <w:pPr>
              <w:pStyle w:val="TableContents"/>
              <w:bidi w:val="0"/>
              <w:spacing w:before="0" w:after="283"/>
              <w:jc w:val="left"/>
              <w:rPr/>
            </w:pPr>
            <w:hyperlink w:anchor="tm2621524d1_ex5-1.htm">
              <w:r>
                <w:rPr>
                  <w:rStyle w:val="InternetLink"/>
                  <w:rFonts w:ascii="Times New Roman;Times;Serif" w:hAnsi="Times New Roman;Times;Serif"/>
                  <w:b w:val="false"/>
                  <w:i w:val="false"/>
                  <w:caps w:val="false"/>
                  <w:smallCaps w:val="false"/>
                  <w:sz w:val="20"/>
                </w:rPr>
                <w:t>Opinion of Courtney Tippy.</w:t>
              </w:r>
            </w:hyperlink>
          </w:p>
        </w:tc>
      </w:tr>
      <w:tr>
        <w:trPr/>
        <w:tc>
          <w:tcPr>
            <w:tcW w:w="654" w:type="dxa"/>
            <w:tcBorders/>
            <w:tcMar>
              <w:bottom w:w="0" w:type="dxa"/>
            </w:tcMar>
            <w:vAlign w:val="center"/>
          </w:tcPr>
          <w:p>
            <w:pPr>
              <w:pStyle w:val="TableContents"/>
              <w:bidi w:val="0"/>
              <w:spacing w:before="0" w:after="283"/>
              <w:jc w:val="left"/>
              <w:rPr/>
            </w:pPr>
            <w:r>
              <w:rPr/>
              <w:t> </w:t>
            </w:r>
          </w:p>
        </w:tc>
        <w:tc>
          <w:tcPr>
            <w:tcW w:w="341"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654" w:type="dxa"/>
            <w:tcBorders/>
            <w:tcMar>
              <w:bottom w:w="0" w:type="dxa"/>
            </w:tcMar>
            <w:vAlign w:val="center"/>
          </w:tcPr>
          <w:p>
            <w:pPr>
              <w:pStyle w:val="TableContents"/>
              <w:bidi w:val="0"/>
              <w:spacing w:before="0" w:after="283"/>
              <w:jc w:val="left"/>
              <w:rPr/>
            </w:pPr>
            <w:hyperlink w:anchor="tm2621524d1_ex23-1.htm">
              <w:r>
                <w:rPr>
                  <w:rStyle w:val="InternetLink"/>
                  <w:rFonts w:ascii="Times New Roman;Times;Serif" w:hAnsi="Times New Roman;Times;Serif"/>
                  <w:b w:val="false"/>
                  <w:i w:val="false"/>
                  <w:caps w:val="false"/>
                  <w:smallCaps w:val="false"/>
                  <w:sz w:val="20"/>
                </w:rPr>
                <w:t>23.1*</w:t>
              </w:r>
            </w:hyperlink>
          </w:p>
        </w:tc>
        <w:tc>
          <w:tcPr>
            <w:tcW w:w="341" w:type="dxa"/>
            <w:tcBorders/>
            <w:tcMar>
              <w:bottom w:w="0" w:type="dxa"/>
            </w:tcMar>
            <w:vAlign w:val="center"/>
          </w:tcPr>
          <w:p>
            <w:pPr>
              <w:pStyle w:val="TableContents"/>
              <w:bidi w:val="0"/>
              <w:spacing w:before="0" w:after="283"/>
              <w:jc w:val="left"/>
              <w:rPr/>
            </w:pPr>
            <w:hyperlink w:anchor="tm2621524d1_ex23-1.htm">
              <w:r>
                <w:rPr>
                  <w:rStyle w:val="InternetLink"/>
                  <w:caps w:val="false"/>
                  <w:smallCaps w:val="false"/>
                </w:rPr>
                <w:t>—</w:t>
              </w:r>
            </w:hyperlink>
          </w:p>
        </w:tc>
        <w:tc>
          <w:tcPr>
            <w:tcW w:w="9210" w:type="dxa"/>
            <w:tcBorders/>
            <w:tcMar>
              <w:bottom w:w="0" w:type="dxa"/>
            </w:tcMar>
            <w:vAlign w:val="center"/>
          </w:tcPr>
          <w:p>
            <w:pPr>
              <w:pStyle w:val="TableContents"/>
              <w:bidi w:val="0"/>
              <w:spacing w:before="0" w:after="283"/>
              <w:jc w:val="left"/>
              <w:rPr/>
            </w:pPr>
            <w:hyperlink w:anchor="tm2621524d1_ex23-1.htm">
              <w:r>
                <w:rPr>
                  <w:rStyle w:val="InternetLink"/>
                  <w:rFonts w:ascii="Times New Roman;Times;Serif" w:hAnsi="Times New Roman;Times;Serif"/>
                  <w:b w:val="false"/>
                  <w:i w:val="false"/>
                  <w:caps w:val="false"/>
                  <w:smallCaps w:val="false"/>
                  <w:sz w:val="20"/>
                </w:rPr>
                <w:t>Consent of Ernst &amp; Young LLP.</w:t>
              </w:r>
            </w:hyperlink>
          </w:p>
        </w:tc>
      </w:tr>
      <w:tr>
        <w:trPr/>
        <w:tc>
          <w:tcPr>
            <w:tcW w:w="654" w:type="dxa"/>
            <w:tcBorders/>
            <w:tcMar>
              <w:bottom w:w="0" w:type="dxa"/>
            </w:tcMar>
            <w:vAlign w:val="center"/>
          </w:tcPr>
          <w:p>
            <w:pPr>
              <w:pStyle w:val="TableContents"/>
              <w:bidi w:val="0"/>
              <w:spacing w:before="0" w:after="283"/>
              <w:jc w:val="left"/>
              <w:rPr/>
            </w:pPr>
            <w:r>
              <w:rPr/>
              <w:t> </w:t>
            </w:r>
          </w:p>
        </w:tc>
        <w:tc>
          <w:tcPr>
            <w:tcW w:w="341"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654" w:type="dxa"/>
            <w:tcBorders/>
            <w:tcMar>
              <w:bottom w:w="0" w:type="dxa"/>
            </w:tcMar>
            <w:vAlign w:val="center"/>
          </w:tcPr>
          <w:p>
            <w:pPr>
              <w:pStyle w:val="TableContents"/>
              <w:bidi w:val="0"/>
              <w:spacing w:before="0" w:after="283"/>
              <w:jc w:val="left"/>
              <w:rPr/>
            </w:pPr>
            <w:hyperlink w:anchor="tm2621524d1_ex5-1.htm">
              <w:r>
                <w:rPr>
                  <w:rStyle w:val="InternetLink"/>
                  <w:rFonts w:ascii="Times New Roman;Times;Serif" w:hAnsi="Times New Roman;Times;Serif"/>
                  <w:b w:val="false"/>
                  <w:i w:val="false"/>
                  <w:caps w:val="false"/>
                  <w:smallCaps w:val="false"/>
                  <w:sz w:val="20"/>
                </w:rPr>
                <w:t>23.2*</w:t>
              </w:r>
            </w:hyperlink>
          </w:p>
        </w:tc>
        <w:tc>
          <w:tcPr>
            <w:tcW w:w="341" w:type="dxa"/>
            <w:tcBorders/>
            <w:tcMar>
              <w:bottom w:w="0" w:type="dxa"/>
            </w:tcMar>
            <w:vAlign w:val="center"/>
          </w:tcPr>
          <w:p>
            <w:pPr>
              <w:pStyle w:val="TableContents"/>
              <w:bidi w:val="0"/>
              <w:spacing w:before="0" w:after="283"/>
              <w:jc w:val="left"/>
              <w:rPr/>
            </w:pPr>
            <w:hyperlink w:anchor="tm2621524d1_ex5-1.htm">
              <w:r>
                <w:rPr>
                  <w:rStyle w:val="InternetLink"/>
                  <w:caps w:val="false"/>
                  <w:smallCaps w:val="false"/>
                </w:rPr>
                <w:t>—</w:t>
              </w:r>
            </w:hyperlink>
          </w:p>
        </w:tc>
        <w:tc>
          <w:tcPr>
            <w:tcW w:w="9210" w:type="dxa"/>
            <w:tcBorders/>
            <w:tcMar>
              <w:bottom w:w="0" w:type="dxa"/>
            </w:tcMar>
            <w:vAlign w:val="center"/>
          </w:tcPr>
          <w:p>
            <w:pPr>
              <w:pStyle w:val="TableContents"/>
              <w:bidi w:val="0"/>
              <w:spacing w:before="0" w:after="283"/>
              <w:jc w:val="left"/>
              <w:rPr/>
            </w:pPr>
            <w:hyperlink w:anchor="tm2621524d1_ex5-1.htm">
              <w:r>
                <w:rPr>
                  <w:rStyle w:val="InternetLink"/>
                  <w:rFonts w:ascii="Times New Roman;Times;Serif" w:hAnsi="Times New Roman;Times;Serif"/>
                  <w:b w:val="false"/>
                  <w:i w:val="false"/>
                  <w:caps w:val="false"/>
                  <w:smallCaps w:val="false"/>
                  <w:sz w:val="20"/>
                </w:rPr>
                <w:t>Consent of Courtney A. Tippy (included in Exhibit 5.1).</w:t>
              </w:r>
            </w:hyperlink>
          </w:p>
        </w:tc>
      </w:tr>
      <w:tr>
        <w:trPr/>
        <w:tc>
          <w:tcPr>
            <w:tcW w:w="654" w:type="dxa"/>
            <w:tcBorders/>
            <w:tcMar>
              <w:bottom w:w="0" w:type="dxa"/>
            </w:tcMar>
            <w:vAlign w:val="center"/>
          </w:tcPr>
          <w:p>
            <w:pPr>
              <w:pStyle w:val="TableContents"/>
              <w:bidi w:val="0"/>
              <w:spacing w:before="0" w:after="283"/>
              <w:jc w:val="left"/>
              <w:rPr/>
            </w:pPr>
            <w:r>
              <w:rPr/>
              <w:t> </w:t>
            </w:r>
          </w:p>
        </w:tc>
        <w:tc>
          <w:tcPr>
            <w:tcW w:w="341" w:type="dxa"/>
            <w:tcBorders/>
            <w:tcMar>
              <w:bottom w:w="0" w:type="dxa"/>
            </w:tcMar>
            <w:vAlign w:val="center"/>
          </w:tcPr>
          <w:p>
            <w:pPr>
              <w:pStyle w:val="TableContents"/>
              <w:bidi w:val="0"/>
              <w:spacing w:before="0" w:after="283"/>
              <w:jc w:val="left"/>
              <w:rPr/>
            </w:pPr>
            <w:r>
              <w:rPr/>
              <w:t> </w:t>
            </w:r>
          </w:p>
        </w:tc>
        <w:tc>
          <w:tcPr>
            <w:tcW w:w="9210" w:type="dxa"/>
            <w:tcBorders/>
            <w:tcMar>
              <w:bottom w:w="0" w:type="dxa"/>
            </w:tcMar>
            <w:vAlign w:val="center"/>
          </w:tcPr>
          <w:p>
            <w:pPr>
              <w:pStyle w:val="TableContents"/>
              <w:bidi w:val="0"/>
              <w:spacing w:before="0" w:after="283"/>
              <w:jc w:val="left"/>
              <w:rPr/>
            </w:pPr>
            <w:r>
              <w:rPr/>
              <w:t> </w:t>
            </w:r>
          </w:p>
        </w:tc>
      </w:tr>
      <w:tr>
        <w:trPr/>
        <w:tc>
          <w:tcPr>
            <w:tcW w:w="654"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24.1*</w:t>
              </w:r>
            </w:hyperlink>
          </w:p>
        </w:tc>
        <w:tc>
          <w:tcPr>
            <w:tcW w:w="341" w:type="dxa"/>
            <w:tcBorders/>
            <w:tcMar>
              <w:bottom w:w="0" w:type="dxa"/>
            </w:tcMar>
            <w:vAlign w:val="center"/>
          </w:tcPr>
          <w:p>
            <w:pPr>
              <w:pStyle w:val="TableContents"/>
              <w:bidi w:val="0"/>
              <w:spacing w:before="0" w:after="283"/>
              <w:jc w:val="left"/>
              <w:rPr/>
            </w:pPr>
            <w:hyperlink w:anchor="a_001">
              <w:r>
                <w:rPr>
                  <w:rStyle w:val="InternetLink"/>
                  <w:caps w:val="false"/>
                  <w:smallCaps w:val="false"/>
                </w:rPr>
                <w:t>—</w:t>
              </w:r>
            </w:hyperlink>
          </w:p>
        </w:tc>
        <w:tc>
          <w:tcPr>
            <w:tcW w:w="9210"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Powers of Attorney (included on the signature page of this Registration Statement).</w:t>
              </w:r>
            </w:hyperlink>
          </w:p>
        </w:tc>
      </w:tr>
      <w:tr>
        <w:trPr/>
        <w:tc>
          <w:tcPr>
            <w:tcW w:w="6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54" w:type="dxa"/>
            <w:tcBorders/>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b w:val="false"/>
                  <w:i w:val="false"/>
                  <w:caps w:val="false"/>
                  <w:smallCaps w:val="false"/>
                  <w:sz w:val="20"/>
                </w:rPr>
                <w:t>99.1</w:t>
              </w:r>
            </w:hyperlink>
          </w:p>
        </w:tc>
        <w:tc>
          <w:tcPr>
            <w:tcW w:w="341" w:type="dxa"/>
            <w:tcBorders/>
            <w:tcMar>
              <w:bottom w:w="0" w:type="dxa"/>
            </w:tcMar>
            <w:vAlign w:val="center"/>
          </w:tcPr>
          <w:p>
            <w:pPr>
              <w:pStyle w:val="TableContents"/>
              <w:bidi w:val="0"/>
              <w:spacing w:before="0" w:after="283"/>
              <w:jc w:val="left"/>
              <w:rPr/>
            </w:pPr>
            <w:hyperlink r:id="rId23">
              <w:r>
                <w:rPr>
                  <w:rStyle w:val="InternetLink"/>
                  <w:caps w:val="false"/>
                  <w:smallCaps w:val="false"/>
                </w:rPr>
                <w:t>—</w:t>
              </w:r>
            </w:hyperlink>
          </w:p>
        </w:tc>
        <w:tc>
          <w:tcPr>
            <w:tcW w:w="9210" w:type="dxa"/>
            <w:tcBorders/>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b w:val="false"/>
                  <w:i w:val="false"/>
                  <w:caps w:val="false"/>
                  <w:smallCaps w:val="false"/>
                  <w:sz w:val="20"/>
                </w:rPr>
                <w:t>Waste Management, Inc. Employee Stock Purchase Plan (incorporated by reference to Exhibit 10.1 to Form 8-K dated May 14, 2026).</w:t>
              </w:r>
            </w:hyperlink>
          </w:p>
        </w:tc>
      </w:tr>
      <w:tr>
        <w:trPr/>
        <w:tc>
          <w:tcPr>
            <w:tcW w:w="65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54" w:type="dxa"/>
            <w:tcBorders/>
            <w:tcMar>
              <w:bottom w:w="0" w:type="dxa"/>
            </w:tcMar>
            <w:vAlign w:val="center"/>
          </w:tcPr>
          <w:p>
            <w:pPr>
              <w:pStyle w:val="TableContents"/>
              <w:bidi w:val="0"/>
              <w:spacing w:before="0" w:after="283"/>
              <w:jc w:val="left"/>
              <w:rPr/>
            </w:pPr>
            <w:hyperlink w:anchor="tm2621524d1_ex-filingfees.htm">
              <w:r>
                <w:rPr>
                  <w:rStyle w:val="InternetLink"/>
                  <w:rFonts w:ascii="Times New Roman;Times;Serif" w:hAnsi="Times New Roman;Times;Serif"/>
                  <w:b w:val="false"/>
                  <w:i w:val="false"/>
                  <w:caps w:val="false"/>
                  <w:smallCaps w:val="false"/>
                  <w:sz w:val="20"/>
                </w:rPr>
                <w:t>107.1*</w:t>
              </w:r>
            </w:hyperlink>
          </w:p>
        </w:tc>
        <w:tc>
          <w:tcPr>
            <w:tcW w:w="341" w:type="dxa"/>
            <w:tcBorders/>
            <w:tcMar>
              <w:bottom w:w="0" w:type="dxa"/>
            </w:tcMar>
            <w:vAlign w:val="center"/>
          </w:tcPr>
          <w:p>
            <w:pPr>
              <w:pStyle w:val="TableContents"/>
              <w:bidi w:val="0"/>
              <w:spacing w:before="0" w:after="283"/>
              <w:jc w:val="left"/>
              <w:rPr/>
            </w:pPr>
            <w:hyperlink w:anchor="tm2621524d1_ex-filingfees.htm">
              <w:r>
                <w:rPr>
                  <w:rStyle w:val="InternetLink"/>
                  <w:caps w:val="false"/>
                  <w:smallCaps w:val="false"/>
                </w:rPr>
                <w:t>—</w:t>
              </w:r>
            </w:hyperlink>
          </w:p>
        </w:tc>
        <w:tc>
          <w:tcPr>
            <w:tcW w:w="9210" w:type="dxa"/>
            <w:tcBorders/>
            <w:tcMar>
              <w:bottom w:w="0" w:type="dxa"/>
            </w:tcMar>
            <w:vAlign w:val="center"/>
          </w:tcPr>
          <w:p>
            <w:pPr>
              <w:pStyle w:val="TableContents"/>
              <w:bidi w:val="0"/>
              <w:spacing w:before="0" w:after="283"/>
              <w:jc w:val="left"/>
              <w:rPr/>
            </w:pPr>
            <w:hyperlink w:anchor="tm2621524d1_ex-filingfees.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requirements for filing on Form S-8 and has duly caused this registration statement to be signed on its behalf by the undersigned, thereunto duly authorized, in the City of Houston, State of Texas on the 31</w:t>
      </w:r>
      <w:r>
        <w:rPr>
          <w:rFonts w:ascii="Times New Roman;Times;Serif" w:hAnsi="Times New Roman;Times;Serif"/>
          <w:b w:val="false"/>
          <w:i w:val="false"/>
          <w:caps w:val="false"/>
          <w:smallCaps w:val="false"/>
          <w:position w:val="7"/>
          <w:sz w:val="16"/>
          <w:sz w:val="20"/>
        </w:rPr>
        <w:t xml:space="preserve">st </w:t>
      </w:r>
      <w:r>
        <w:rPr>
          <w:rFonts w:ascii="Times New Roman;Times;Serif" w:hAnsi="Times New Roman;Times;Serif"/>
          <w:b w:val="false"/>
          <w:i w:val="false"/>
          <w:caps w:val="false"/>
          <w:smallCaps w:val="false"/>
          <w:sz w:val="20"/>
        </w:rPr>
        <w:t>day of July, 2026.</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365"/>
        <w:gridCol w:w="300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WASTE MANAGEMENT, INC.</w:t>
            </w:r>
            <w:r>
              <w:rPr>
                <w:rFonts w:ascii="Times New Roman;Times;Serif" w:hAnsi="Times New Roman;Times;Serif"/>
                <w:sz w:val="20"/>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05" w:type="dxa"/>
            <w:tcBorders>
              <w:bottom w:val="single" w:sz="8" w:space="0" w:color="000000"/>
            </w:tcBorders>
            <w:tcMar>
              <w:bottom w:w="28" w:type="dxa"/>
            </w:tcMar>
            <w:vAlign w:val="center"/>
          </w:tcPr>
          <w:p>
            <w:pPr>
              <w:pStyle w:val="TableContents"/>
              <w:bidi w:val="0"/>
              <w:spacing w:before="0" w:after="283"/>
              <w:jc w:val="left"/>
              <w:rPr>
                <w:i/>
              </w:rPr>
            </w:pPr>
            <w:r>
              <w:rPr>
                <w:i/>
              </w:rPr>
              <w:t>/s/ James C. Fish, Jr.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C. Fish, Jr.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James C. Fish Jr., John J. Morris, Jr., David L. Reed and Charles C. Boettcher, and each of them severally, his or her true and lawful attorney-in-fact, with the power of substitution, for him or her in any and all capacities, to sign any amendments (including post-effective amendments) to this registration statement, and to file the same, with exhibits thereto and other documents in connection therewith, with the Securities and Exchange Commission, hereby ratifying and confirming all that said attorneys-in-fact, or their substitute or substitutes, may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3020"/>
        <w:gridCol w:w="60"/>
        <w:gridCol w:w="3635"/>
        <w:gridCol w:w="60"/>
        <w:gridCol w:w="1145"/>
      </w:tblGrid>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30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JAMES C. FISH, JR.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James C. Fish, Jr.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DAVID L. REED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Executive Vice President and</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David L. Reed</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JOHN CARROLL</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Vice President and Chief Accounting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John Carroll</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THOMAS L. BENÉ</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Thomas L. Bené</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BRUCE E. CHINN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Bruce E. Chinn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ANDRÉS R. GLUSKI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Andrés R. Gluski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VICTORIA M. HOLT</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Victoria M. Holt</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KATHLEEN M. MAZZARELLA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 of the Board and 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Kathleen M. Mazzarella</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SEAN E. MENKE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Sean E. Menke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WILLIAM B. PLUMMER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William B. Plummer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r>
        <w:trPr/>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MARYROSE T. SYLVESTER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31, 2026</w:t>
            </w:r>
          </w:p>
        </w:tc>
      </w:tr>
      <w:tr>
        <w:trPr/>
        <w:tc>
          <w:tcPr>
            <w:tcW w:w="30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Maryrose T. Sylvester</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 w:name="tm2621524d1_ex5-1.htm"/>
      <w:bookmarkStart w:id="4" w:name="kstm2621524d1_ex51"/>
      <w:bookmarkEnd w:id="3"/>
      <w:bookmarkEnd w:id="4"/>
      <w:r>
        <w:rPr>
          <w:b/>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2325"/>
        <w:gridCol w:w="1865"/>
      </w:tblGrid>
      <w:tr>
        <w:trPr/>
        <w:tc>
          <w:tcPr>
            <w:tcW w:w="2325" w:type="dxa"/>
            <w:tcBorders/>
            <w:vAlign w:val="center"/>
          </w:tcPr>
          <w:p>
            <w:pPr>
              <w:pStyle w:val="TableContents"/>
              <w:bidi w:val="0"/>
              <w:spacing w:before="0" w:after="283"/>
              <w:jc w:val="left"/>
              <w:rPr/>
            </w:pPr>
            <w:r>
              <w:rPr/>
              <w:drawing>
                <wp:inline distT="0" distB="0" distL="0" distR="0">
                  <wp:extent cx="14287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5"/>
                          <a:stretch>
                            <a:fillRect/>
                          </a:stretch>
                        </pic:blipFill>
                        <pic:spPr bwMode="auto">
                          <a:xfrm>
                            <a:off x="0" y="0"/>
                            <a:ext cx="1428750" cy="419100"/>
                          </a:xfrm>
                          <a:prstGeom prst="rect">
                            <a:avLst/>
                          </a:prstGeom>
                        </pic:spPr>
                      </pic:pic>
                    </a:graphicData>
                  </a:graphic>
                </wp:inline>
              </w:drawing>
            </w:r>
            <w:r>
              <w:rPr/>
              <w:t> </w:t>
            </w:r>
          </w:p>
        </w:tc>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Waste Management</w:t>
            </w:r>
            <w:r>
              <w:rPr>
                <w:rFonts w:ascii="Times New Roman;Times;Serif" w:hAnsi="Times New Roman;Times;Serif"/>
                <w:b w:val="false"/>
                <w:i w:val="false"/>
                <w:caps w:val="false"/>
                <w:smallCaps w:val="false"/>
                <w:sz w:val="20"/>
              </w:rPr>
              <w:br/>
              <w:t>800 Capitol Street</w:t>
              <w:br/>
              <w:t>Suite 3000</w:t>
              <w:br/>
              <w:t>Houston, Texas 77002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Capital Street, Suite 3000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Vice President, General Counsel – Securities &amp; Governance and Corporate Secretary for Waste Management, Inc., a Delaware corporation (the “Company”), and have acted in such capacity in connection with the registration under the Securities Act of 1933, as amended (the “Act”), of 3,000,000 shares of the Company’s common stock, $0.01 par value (the “Common Stock”), to be offered pursuant to the Company’s Employee Stock Purchase Plan and upon the terms and subject to the conditions set forth in the Registration Statement on Form S-8 (the “Registration Statement”) relating thereto to be filed with the Securities and Exchange Commission on or about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I have examined originals or copies certified or otherwise identified to my satisfaction of the Registration Statement, the Certificate of Incorporation of the Company, as restated to date, the By-laws of the Company, as amended and restated to date, the Waste Management, Inc. Employee Stock Purchase Plan, as amended and restated to date (the “Plan”), the resolutions of the Board of Directors and records of the Annual Meeting of Stockholders of the Company relating to adoption and approval of the amendment and restatement of the Plan, and such other documents and instruments as I have deemed necessary or appropriate for the expression of the opinions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assumed the genuineness of all signatures, the authenticity and completeness of all records, certificates and other instruments submitted to me as originals, the conformity to original documents of all records, certificates and other instruments submitted to me as copies, the correctness of all statements of fact contained in all records, certificates and other instruments that I have examined and the legal capacity to sign of all individuals executing records, certificates and other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having a regard for such legal considerations as I have deemed relevant, I am of the opinion that the shares of Common Stock have been duly authorized, and when issued and sold in accordance with the Plan, will be legally and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consent to the filing of this opinion as an exhibit to the Registration Statement, and I further consent to the use of my name in the Registration Statement and the prospectus that forms a part thereof. In giving this consent, I do not admit thereby that I come within the category of person whose consent is required under Section 7 of the Act or the rules and regulations of the Securities and Exchange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75"/>
        <w:gridCol w:w="6845"/>
      </w:tblGrid>
      <w:tr>
        <w:trPr/>
        <w:tc>
          <w:tcPr>
            <w:tcW w:w="75"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845" w:type="dxa"/>
            <w:tcBorders>
              <w:bottom w:val="single" w:sz="8" w:space="0" w:color="000000"/>
            </w:tcBorders>
            <w:tcMar>
              <w:bottom w:w="28" w:type="dxa"/>
            </w:tcMar>
            <w:vAlign w:val="center"/>
          </w:tcPr>
          <w:p>
            <w:pPr>
              <w:pStyle w:val="TableContents"/>
              <w:bidi w:val="0"/>
              <w:spacing w:before="0" w:after="283"/>
              <w:jc w:val="left"/>
              <w:rPr>
                <w:i/>
              </w:rPr>
            </w:pPr>
            <w:r>
              <w:rPr>
                <w:i/>
              </w:rPr>
              <w:t>/s/ Courtney A. Tippy</w:t>
            </w:r>
          </w:p>
        </w:tc>
      </w:tr>
      <w:tr>
        <w:trPr/>
        <w:tc>
          <w:tcPr>
            <w:tcW w:w="75"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Courtney A. Tippy</w:t>
            </w:r>
          </w:p>
        </w:tc>
      </w:tr>
      <w:tr>
        <w:trPr/>
        <w:tc>
          <w:tcPr>
            <w:tcW w:w="75"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General Counsel – Securities &amp; Governance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621524d1_ex23-1.htm"/>
      <w:bookmarkStart w:id="6" w:name="kstm2621524d1_ex231"/>
      <w:bookmarkEnd w:id="5"/>
      <w:bookmarkEnd w:id="6"/>
      <w:r>
        <w:rPr/>
        <w:t> </w:t>
      </w:r>
      <w:r>
        <w:br w:type="page"/>
      </w:r>
    </w:p>
    <w:p>
      <w:pPr>
        <w:pStyle w:val="TextBody"/>
        <w:bidi w:val="0"/>
        <w:spacing w:before="0" w:after="0"/>
        <w:ind w:left="72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333333"/>
          <w:sz w:val="20"/>
          <w:shd w:fill="FFFFFF" w:val="clear"/>
        </w:rPr>
      </w:pPr>
      <w:r>
        <w:rPr>
          <w:rFonts w:ascii="Times New Roman;Times;Serif" w:hAnsi="Times New Roman;Times;Serif"/>
          <w:b w:val="false"/>
          <w:i w:val="false"/>
          <w:caps w:val="false"/>
          <w:smallCaps w:val="false"/>
          <w:color w:val="333333"/>
          <w:sz w:val="20"/>
          <w:shd w:fill="FFFFFF" w:val="clear"/>
        </w:rPr>
        <w:t>We consent to the incorporation by reference in the Registration Statement (Form S-8) pertaining to the Waste Management, Inc. Employee Stock Purchase Plan of our reports dated February 9, 2026, with respect to the consolidated financial statements of Waste Management, Inc., and the effectiveness of internal control over financial reporting of Waste Management, Inc.,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1955" w:type="dxa"/>
        <w:jc w:val="left"/>
        <w:tblInd w:w="0" w:type="dxa"/>
        <w:tblLayout w:type="fixed"/>
        <w:tblCellMar>
          <w:top w:w="0" w:type="dxa"/>
          <w:left w:w="0" w:type="dxa"/>
          <w:bottom w:w="0" w:type="dxa"/>
          <w:right w:w="0" w:type="dxa"/>
        </w:tblCellMar>
      </w:tblPr>
      <w:tblGrid>
        <w:gridCol w:w="75"/>
        <w:gridCol w:w="1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tm2621524d1_ex-filingfees.htm"/>
      <w:bookmarkStart w:id="8" w:name="kstm2621524d1_exfilingfees"/>
      <w:bookmarkStart w:id="9" w:name="tm2621524d1_ex-filingfees.htm"/>
      <w:bookmarkStart w:id="10" w:name="kstm2621524d1_exfilingfees"/>
      <w:bookmarkEnd w:id="9"/>
      <w:bookmarkEnd w:id="10"/>
      <w:r>
        <w:br w:type="page"/>
      </w:r>
    </w:p>
    <w:tbl>
      <w:tblPr>
        <w:tblW w:w="3635" w:type="dxa"/>
        <w:jc w:val="left"/>
        <w:tblInd w:w="0" w:type="dxa"/>
        <w:tblLayout w:type="fixed"/>
        <w:tblCellMar>
          <w:top w:w="28" w:type="dxa"/>
          <w:left w:w="28" w:type="dxa"/>
          <w:bottom w:w="28" w:type="dxa"/>
          <w:right w:w="28" w:type="dxa"/>
        </w:tblCellMar>
      </w:tblPr>
      <w:tblGrid>
        <w:gridCol w:w="3481"/>
        <w:gridCol w:w="154"/>
      </w:tblGrid>
      <w:tr>
        <w:trPr/>
        <w:tc>
          <w:tcPr>
            <w:tcW w:w="363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8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81" w:type="dxa"/>
            <w:tcBorders/>
            <w:vAlign w:val="center"/>
          </w:tcPr>
          <w:p>
            <w:pPr>
              <w:pStyle w:val="TableContents"/>
              <w:bidi w:val="0"/>
              <w:spacing w:before="0" w:after="283"/>
              <w:jc w:val="left"/>
              <w:rPr>
                <w:b/>
              </w:rPr>
            </w:pPr>
            <w:r>
              <w:rPr>
                <w:b/>
              </w:rPr>
              <w:t xml:space="preserve">WASTE MANAGEMENT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5"/>
        <w:gridCol w:w="1283"/>
        <w:gridCol w:w="1193"/>
        <w:gridCol w:w="1183"/>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par value $0.01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3,000,000 </w:t>
            </w:r>
          </w:p>
        </w:tc>
        <w:tc>
          <w:tcPr>
            <w:tcW w:w="1183" w:type="dxa"/>
            <w:tcBorders/>
            <w:shd w:fill="E7E7E2" w:val="clear"/>
            <w:vAlign w:val="center"/>
          </w:tcPr>
          <w:p>
            <w:pPr>
              <w:pStyle w:val="TableContents"/>
              <w:bidi w:val="0"/>
              <w:spacing w:before="0" w:after="283"/>
              <w:jc w:val="right"/>
              <w:rPr/>
            </w:pPr>
            <w:r>
              <w:rPr/>
              <w:t xml:space="preserve">$ 193.91 </w:t>
            </w:r>
          </w:p>
        </w:tc>
        <w:tc>
          <w:tcPr>
            <w:tcW w:w="1801" w:type="dxa"/>
            <w:tcBorders/>
            <w:shd w:fill="E7E7E2" w:val="clear"/>
            <w:vAlign w:val="center"/>
          </w:tcPr>
          <w:p>
            <w:pPr>
              <w:pStyle w:val="TableContents"/>
              <w:bidi w:val="0"/>
              <w:spacing w:before="0" w:after="283"/>
              <w:jc w:val="right"/>
              <w:rPr/>
            </w:pPr>
            <w:r>
              <w:rPr/>
              <w:t xml:space="preserve">$ 581,730,000.00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$ 80,336.91 </w:t>
            </w:r>
          </w:p>
        </w:tc>
      </w:tr>
      <w:tr>
        <w:trPr/>
        <w:tc>
          <w:tcPr>
            <w:tcW w:w="4682" w:type="dxa"/>
            <w:gridSpan w:val="5"/>
            <w:tcBorders/>
            <w:vAlign w:val="center"/>
          </w:tcPr>
          <w:p>
            <w:pPr>
              <w:pStyle w:val="TableContents"/>
              <w:bidi w:val="0"/>
              <w:spacing w:before="0" w:after="0"/>
              <w:ind w:left="0" w:right="0" w:hanging="0"/>
              <w:jc w:val="right"/>
              <w:rPr/>
            </w:pPr>
            <w:r>
              <w:rPr/>
              <w:t>Total Offering Amounts:</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1" w:name="MaxAggtOfferingPrice"/>
            <w:bookmarkEnd w:id="11"/>
            <w:r>
              <w:rPr/>
              <w:t xml:space="preserve">$ 581,730,000.00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$ 80,336.91 </w:t>
            </w:r>
          </w:p>
        </w:tc>
      </w:tr>
      <w:tr>
        <w:trPr/>
        <w:tc>
          <w:tcPr>
            <w:tcW w:w="4682" w:type="dxa"/>
            <w:gridSpan w:val="5"/>
            <w:tcBorders/>
            <w:vAlign w:val="center"/>
          </w:tcPr>
          <w:p>
            <w:pPr>
              <w:pStyle w:val="TableContents"/>
              <w:bidi w:val="0"/>
              <w:spacing w:before="0" w:after="0"/>
              <w:ind w:left="0" w:right="0" w:hanging="0"/>
              <w:jc w:val="right"/>
              <w:rPr/>
            </w:pPr>
            <w:r>
              <w:rPr/>
              <w:t xml:space="preserve">Total Fee Offsets: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682" w:type="dxa"/>
            <w:gridSpan w:val="5"/>
            <w:tcBorders/>
            <w:vAlign w:val="center"/>
          </w:tcPr>
          <w:p>
            <w:pPr>
              <w:pStyle w:val="TableContents"/>
              <w:bidi w:val="0"/>
              <w:spacing w:before="0" w:after="0"/>
              <w:ind w:left="0" w:right="0" w:hanging="0"/>
              <w:jc w:val="right"/>
              <w:rPr/>
            </w:pPr>
            <w:r>
              <w:rPr/>
              <w:t xml:space="preserve">Net Fee Due: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4" w:name="NetFeeAmt"/>
            <w:bookmarkEnd w:id="14"/>
            <w:r>
              <w:rPr/>
              <w:t xml:space="preserve">$ 80,336.91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8"/>
        <w:gridCol w:w="8706"/>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Represents 3,000,000 shares of Common Stock reserved for issuance under the Waste Management, Inc. Employee Stock Purchase Plan, as amended and restated May 12, 2026 (the "ESPP"). Estimated in accordance with Rules 457(c) and 457(h) under the Securities Act of 1933, as amended (the "Securities Act") solely for the purpose of calculating the registration fee, on the basis of the average of the high and low sales prices of the Common Stock as reported on the NYSE on July 30, 2026, multiplied by 85%, which is the percentage of the trading price per share applicable to purchasers under the ESPP. Pursuant to Rule 416(a) under the Securities Act, this Registration Statement on Form S-8 shall also cover such indeterminate number of additional shares of Common Stock that become issuable under the ESPP by reason of any stock dividend, stock split, recapitalization or other similar transaction pursuant to the adjustment or antidilution provisions thereof.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3768/000095012906006711/h37353sv8.htm" TargetMode="External"/><Relationship Id="rId3" Type="http://schemas.openxmlformats.org/officeDocument/2006/relationships/hyperlink" Target="https://www.sec.gov/Archives/edgar/data/823768/000095012909001765/h66893sv8.htm" TargetMode="External"/><Relationship Id="rId4" Type="http://schemas.openxmlformats.org/officeDocument/2006/relationships/hyperlink" Target="https://www.sec.gov/Archives/edgar/data/823768/000119312512227650/d350312ds8.htm" TargetMode="External"/><Relationship Id="rId5" Type="http://schemas.openxmlformats.org/officeDocument/2006/relationships/hyperlink" Target="https://www.sec.gov/Archives/edgar/data/823768/000119312515194549/d929789ds8.htm" TargetMode="External"/><Relationship Id="rId6" Type="http://schemas.openxmlformats.org/officeDocument/2006/relationships/hyperlink" Target="https://www.sec.gov/Archives/edgar/data/823768/000110465920088488/tm2025005d1_s8.htm" TargetMode="External"/><Relationship Id="rId7" Type="http://schemas.openxmlformats.org/officeDocument/2006/relationships/hyperlink" Target="https://www.sec.gov/ix?doc=/Archives/edgar/data/823768/000110465926012049/wm-20251231x10k.htm" TargetMode="External"/><Relationship Id="rId8" Type="http://schemas.openxmlformats.org/officeDocument/2006/relationships/hyperlink" Target="https://www.sec.gov/ix?doc=/Archives/edgar/data/823768/000110465926051283/wm-20260331x10q.htm" TargetMode="External"/><Relationship Id="rId9" Type="http://schemas.openxmlformats.org/officeDocument/2006/relationships/hyperlink" Target="https://www.sec.gov/ix?doc=/Archives/edgar/data/823768/000110465926088016/wm-20260630x10q.htm" TargetMode="External"/><Relationship Id="rId10" Type="http://schemas.openxmlformats.org/officeDocument/2006/relationships/hyperlink" Target="https://www.sec.gov/Archives/edgar/data/823768/000155837025001132/wm-20241231xex4d6.htm" TargetMode="External"/><Relationship Id="rId11" Type="http://schemas.openxmlformats.org/officeDocument/2006/relationships/hyperlink" Target="https://www.sec.gov/ix?doc=/Archives/edgar/data/823768/000110465926024739/tm268015d1_8k.htm" TargetMode="External"/><Relationship Id="rId12" Type="http://schemas.openxmlformats.org/officeDocument/2006/relationships/hyperlink" Target="https://www.sec.gov/ix?doc=/Archives/edgar/data/823768/000110465926027703/tm268718d1_8k.htm" TargetMode="External"/><Relationship Id="rId13" Type="http://schemas.openxmlformats.org/officeDocument/2006/relationships/hyperlink" Target="https://www.sec.gov/ix?doc=/Archives/edgar/data/823768/000110465926034537/tm269616d1_8k.htm" TargetMode="External"/><Relationship Id="rId14" Type="http://schemas.openxmlformats.org/officeDocument/2006/relationships/hyperlink" Target="https://www.sec.gov/ix?doc=/Archives/edgar/data/823768/000110465926059860/tm2614440d1_8k.htm" TargetMode="External"/><Relationship Id="rId15" Type="http://schemas.openxmlformats.org/officeDocument/2006/relationships/hyperlink" Target="https://www.sec.gov/ix?doc=/Archives/edgar/data/823768/000110465926060755/tm2614440d2_8k.htm" TargetMode="External"/><Relationship Id="rId16" Type="http://schemas.openxmlformats.org/officeDocument/2006/relationships/hyperlink" Target="https://www.sec.gov/Archives/edgar/data/823768/000110465924063047/tm2412128d3_ex3-2.htm" TargetMode="External"/><Relationship Id="rId17" Type="http://schemas.openxmlformats.org/officeDocument/2006/relationships/hyperlink" Target="https://www.sec.gov/Archives/edgar/data/823768/000110465924063047/tm2412128d3_ex3-2.htm" TargetMode="External"/><Relationship Id="rId18" Type="http://schemas.openxmlformats.org/officeDocument/2006/relationships/hyperlink" Target="https://www.sec.gov/Archives/edgar/data/823768/000110465924063047/tm2412128d3_ex3-2.htm" TargetMode="External"/><Relationship Id="rId19" Type="http://schemas.openxmlformats.org/officeDocument/2006/relationships/hyperlink" Target="https://www.sec.gov/Archives/edgar/data/823768/000110465923115047/tm2329883d1_ex3-2.htm" TargetMode="External"/><Relationship Id="rId20" Type="http://schemas.openxmlformats.org/officeDocument/2006/relationships/hyperlink" Target="https://www.sec.gov/Archives/edgar/data/823768/000110465923115047/tm2329883d1_ex3-2.htm" TargetMode="External"/><Relationship Id="rId21" Type="http://schemas.openxmlformats.org/officeDocument/2006/relationships/hyperlink" Target="https://www.sec.gov/Archives/edgar/data/823768/000110465923115047/tm2329883d1_ex3-2.htm" TargetMode="External"/><Relationship Id="rId22" Type="http://schemas.openxmlformats.org/officeDocument/2006/relationships/hyperlink" Target="https://www.sec.gov/Archives/edgar/data/823768/000110465926060755/tm2614440d2_ex10-1.htm" TargetMode="External"/><Relationship Id="rId23" Type="http://schemas.openxmlformats.org/officeDocument/2006/relationships/hyperlink" Target="https://www.sec.gov/Archives/edgar/data/823768/000110465926060755/tm2614440d2_ex10-1.htm" TargetMode="External"/><Relationship Id="rId24" Type="http://schemas.openxmlformats.org/officeDocument/2006/relationships/hyperlink" Target="https://www.sec.gov/Archives/edgar/data/823768/000110465926060755/tm2614440d2_ex10-1.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2454</Words>
  <Characters>13194</Characters>
  <CharactersWithSpaces>15781</CharactersWithSpaces>
  <Paragraphs>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