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50" w:lineRule="exact"/>
        <w:rPr>
          <w:sz w:val="24"/>
          <w:szCs w:val="24"/>
          <w:color w:val="auto"/>
        </w:rPr>
      </w:pPr>
    </w:p>
    <w:p>
      <w:pPr>
        <w:sectPr>
          <w:pgSz w:w="11900" w:h="16838" w:orient="portrait"/>
          <w:cols w:equalWidth="0" w:num="3">
            <w:col w:w="4820" w:space="720"/>
            <w:col w:w="2900" w:space="720"/>
            <w:col w:w="2140"/>
          </w:cols>
          <w:pgMar w:left="240" w:top="517" w:right="359" w:bottom="1440" w:gutter="0" w:footer="0" w:header="0"/>
          <w:type w:val="continuous"/>
        </w:sectPr>
      </w:pPr>
    </w:p>
    <w:p>
      <w:pPr>
        <w:ind w:left="54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280" w:space="720"/>
            <w:col w:w="2820" w:space="720"/>
            <w:col w:w="2760"/>
          </w:cols>
          <w:pgMar w:left="240" w:top="517" w:right="359" w:bottom="1440" w:gutter="0" w:footer="0" w:header="0"/>
          <w:type w:val="continuous"/>
        </w:sectPr>
      </w:pPr>
    </w:p>
    <w:p>
      <w:pPr>
        <w:spacing w:after="0" w:line="24"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77002</w:t>
      </w:r>
    </w:p>
    <w:p>
      <w:pPr>
        <w:spacing w:after="0" w:line="61" w:lineRule="exact"/>
        <w:rPr>
          <w:sz w:val="24"/>
          <w:szCs w:val="24"/>
          <w:color w:val="auto"/>
        </w:rPr>
      </w:pPr>
    </w:p>
    <w:p>
      <w:pPr>
        <w:sectPr>
          <w:pgSz w:w="11900" w:h="16838" w:orient="portrait"/>
          <w:cols w:equalWidth="0" w:num="2">
            <w:col w:w="7680" w:space="720"/>
            <w:col w:w="2900"/>
          </w:cols>
          <w:pgMar w:left="240" w:top="517" w:right="359" w:bottom="1440" w:gutter="0" w:footer="0" w:header="0"/>
          <w:type w:val="continuous"/>
        </w:sect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580" w:space="720"/>
            <w:col w:w="3000"/>
          </w:cols>
          <w:pgMar w:left="240" w:top="517"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On July 10, 2015, Waste Management, Inc. (the “Company”) amended and restated its revolving credit agreement with a syndicate of banks (the “Banks”), Bank of America, N.A. (“BofA”), as administrative agent, JPMorgan Chase Bank, N.A. and Barclays Bank PLC, as syndication agents, BNP Paribas, Citibank, N.A., Deutsche Bank Securities Inc., The Bank of Tokyo-Mitsubishi UFJ, Ltd., Mizuho Bank, Ltd., U.S. Bank National Association and Wells Fargo Bank, National Association, as co-documentation agents and J.P. Morgan Securities LLC, Merrill Lynch, Pierce, Fenner &amp; Smith Incorporated, and Barclays Bank PLC, as lead arrangers and joint bookrunners (the “Third Amended and Restated Credit Agreement”). The Third Amended and Restated Credit Agreement maintained the total commitment under the facility at $2.25 billion and extended the maturity date to July 10, 2020. Waste Management Holdings, Inc., a wholly-owned subsidiary of the Company, guarantees all of the Company’s obligations under the Third Amended and Restated Credit Agreement.</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the Third Amended and Restated Credit Agreement, the Company is required to pay, quarterly in arrears, (a) a facility fee in an amount ranging from .07% to .20% of the $2.25 billion in letter of credit and borrowing availability under the agreement (the “Facility Fee”) and (b) letter of credit fees in an amount ranging from .805% to 1.30% of outstanding letters of credit issued under the agreement (the “L/C Fee”). Additionally, any borrowings under the Third Amended and Restated Credit Agreement will bear interest at either (x) the Eurodollar London Interbank Offered Rate (“LIBOR”) for the applicable interest period, plus a spread ranging from .805% to 1.30% per annum (a “Eurodollar Loan”), or (y) a base rate equal to the highest of (i) the U.S. Federal Funds Rate plus 1/2 of 1%, (ii) BofA’s announced prime rate, or (iii) the Eurodollar Rate plus 1%, plus a spread ranging from zero to .30% per annum (a “Base Rate Loan”). The Facility Fee and the L/C Fee percentages and the spread applicable to Eurodollar Loans and Base Rate Loans depend on the Company’s senior public debt rating as determined by Standard &amp; Poor’s and Moody’s. Based on the Company’s current senior public debt rating, the Facility Fee is .10% per annum, the L/C Fee is 1.0% per annum, and the spreads applicable to Eurodollar Loans and Base Rate Loans are 1.0% and zero per annum, respectively.</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At closing, the Company had $833 million of letters of credit outstanding under the Third Amended &amp; Restated Credit Agreement. The Company had unused and available credit capacity of $1.417 billion.</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Third Amended and Restated Credit Agreement contains customary representations and warranties and affirmative and negative covenants. The Third Amended and Restated Credit Agreement requires the Company to maintain a minimum interest coverage ratio and a maximum total debt to consolidated earnings before interest, taxes and depreciation and amortization (“EBITDA”) ratio. The interest coverage covenant requires that the ratio of the Company’s consolidated earnings before interest and taxes (or EBIT) for the preceding four fiscal quarters to its consolidated total interest expense for such period shall not be less than 2.75 to 1. The total debt to EBTIDA covenant requires that the ratio of the Company’s total debt to its EBITDA for the preceding four fiscal quarters shall not be more than 3.5 to 1. The calculation of all components used in the covenants are as defined in the Third Amended and Restated Credit Agreement. The Third Amended and Restated Credit Agreement contains certain restrictions on the ability of the Company’s subsidiaries to incur additional indebtedness as well as restrictions on the ability of the Company and its subsidiaries to, among other things, incur liens; engage in sale-leaseback transactions; make certain investments; and engage in mergers and consolidations.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jc w:val="both"/>
        <w:ind w:right="1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Third Amended and Restated Credit Agreement contains customary events of default, including nonpayment of principal when due; nonpayment of interest, fees or other amounts after a stated grace period; inaccuracy of representations and warranties; violations of covenants, subject in certain cases to negotiated grace periods; certain bankruptcies and liquidations; a cross-default of more than $75 million; certain unsatisfied judgments of more than</w:t>
      </w:r>
    </w:p>
    <w:p>
      <w:pPr>
        <w:ind w:right="80"/>
        <w:spacing w:after="0" w:line="253" w:lineRule="auto"/>
        <w:rPr>
          <w:sz w:val="20"/>
          <w:szCs w:val="20"/>
          <w:color w:val="auto"/>
        </w:rPr>
      </w:pPr>
      <w:r>
        <w:rPr>
          <w:rFonts w:ascii="Arial" w:cs="Arial" w:eastAsia="Arial" w:hAnsi="Arial"/>
          <w:sz w:val="18"/>
          <w:szCs w:val="18"/>
          <w:color w:val="auto"/>
        </w:rPr>
        <w:t>$50 million; certain ERISA-related events; and a change in control of the Company (as specified in the agreement). If an event of default occurs and is continuing, the Company may be required to repay all amounts outstanding under the Third Amended and Restated Credit Agreement and cash-collateralize any outstanding letters of credit supported by the Third Amended and Restated Credit Agreement. Banks that hold more than 50% of the commitments under the Third Amended and Restated Credit Agreement may elect to accelerate the maturity of all amounts due upon the occurrence and during the continuation of an event of default.</w:t>
      </w:r>
    </w:p>
    <w:p>
      <w:pPr>
        <w:spacing w:after="0" w:line="19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Several of the Banks that are party to the Third Amended and Restated Credit Agreement have in the past performed, and may in the future from time to time perform, investment banking, financial advisory, lending and/or commercial banking services for the Company and its subsidiaries, for which they have received, and may in the future receive, customary compensation and reimbursement of expenses.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Third Amended and Restated Credit Agreement is attached as Exhibit 10.1 to this Current Report on Form 8-K. The above description of the Third Amended and Restated Credit Agreement is not complete and is qualified in its entirety by reference to the exhibit.</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1" w:lineRule="exact"/>
        <w:rPr>
          <w:sz w:val="20"/>
          <w:szCs w:val="20"/>
          <w:color w:val="auto"/>
        </w:rPr>
      </w:pPr>
    </w:p>
    <w:p>
      <w:pPr>
        <w:ind w:left="1500" w:hanging="1485"/>
        <w:spacing w:after="0" w:line="255" w:lineRule="auto"/>
        <w:tabs>
          <w:tab w:leader="none" w:pos="148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$2.25 Billion Third Amended and Restated Revolving Credit Agreement dated as of July 10, 2015 by and among Waste Management, Inc. and Waste Management Holdings, Inc. and certain banks party thereto, Bank of America, N.A., as administrative agent, JPMorgan Chase Bank, N.A. and Barclays Bank PLC, as syndication agents, BNP Paribas, Citibank, N.A., Deutsche Bank Securities Inc., The Bank of Tokyo-Mitsubishi UFJ, Ltd., Mizuho Bank, Ltd., U.S. Bank National Association and Wells Fargo Bank, National Association, as co-documentation agents and J.P. Morgan Securities LLC, Merrill Lynch, Pierce, Fenner &amp; Smith Incorporated, and Barclays Bank PLC, as lead arrangers and joint bookrunners.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WASTE MANAGEMENT,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July 14, 2015</w:t>
            </w: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Barry H. Caldwell</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Barry H. Caldwell</w:t>
            </w: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Corporate Affairs</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Legal Officer</w:t>
            </w:r>
          </w:p>
        </w:tc>
      </w:tr>
      <w:tr>
        <w:trPr>
          <w:trHeight w:val="378"/>
        </w:trPr>
        <w:tc>
          <w:tcPr>
            <w:tcW w:w="3540" w:type="dxa"/>
            <w:vAlign w:val="bottom"/>
          </w:tcPr>
          <w:p>
            <w:pPr>
              <w:spacing w:after="0"/>
              <w:rPr>
                <w:sz w:val="24"/>
                <w:szCs w:val="24"/>
                <w:color w:val="auto"/>
              </w:rPr>
            </w:pPr>
          </w:p>
        </w:tc>
        <w:tc>
          <w:tcPr>
            <w:tcW w:w="264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419"/>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Description of Exhibit</w:t>
            </w:r>
          </w:p>
        </w:tc>
      </w:tr>
      <w:tr>
        <w:trPr>
          <w:trHeight w:val="296"/>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10320" w:type="dxa"/>
            <w:vAlign w:val="bottom"/>
            <w:gridSpan w:val="4"/>
          </w:tcPr>
          <w:p>
            <w:pPr>
              <w:ind w:left="400"/>
              <w:spacing w:after="0"/>
              <w:rPr>
                <w:sz w:val="20"/>
                <w:szCs w:val="20"/>
                <w:color w:val="auto"/>
              </w:rPr>
            </w:pPr>
            <w:r>
              <w:rPr>
                <w:rFonts w:ascii="Arial" w:cs="Arial" w:eastAsia="Arial" w:hAnsi="Arial"/>
                <w:sz w:val="18"/>
                <w:szCs w:val="18"/>
                <w:color w:val="auto"/>
                <w:w w:val="92"/>
              </w:rPr>
              <w:t>$2.25 Billion Third Amended and Restated Revolving Credit Agreement dated as of July 10, 2015 by and among Waste Management,</w:t>
            </w: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20" w:type="dxa"/>
            <w:vAlign w:val="bottom"/>
            <w:gridSpan w:val="4"/>
          </w:tcPr>
          <w:p>
            <w:pPr>
              <w:ind w:left="400"/>
              <w:spacing w:after="0"/>
              <w:rPr>
                <w:sz w:val="20"/>
                <w:szCs w:val="20"/>
                <w:color w:val="auto"/>
              </w:rPr>
            </w:pPr>
            <w:r>
              <w:rPr>
                <w:rFonts w:ascii="Arial" w:cs="Arial" w:eastAsia="Arial" w:hAnsi="Arial"/>
                <w:sz w:val="18"/>
                <w:szCs w:val="18"/>
                <w:color w:val="auto"/>
                <w:w w:val="92"/>
              </w:rPr>
              <w:t>Inc. and Waste Management Holdings, Inc. and certain banks party thereto, Bank of America, N.A., as administrative agent, JPMorgan</w:t>
            </w: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20" w:type="dxa"/>
            <w:vAlign w:val="bottom"/>
            <w:gridSpan w:val="4"/>
          </w:tcPr>
          <w:p>
            <w:pPr>
              <w:ind w:left="400"/>
              <w:spacing w:after="0"/>
              <w:rPr>
                <w:sz w:val="20"/>
                <w:szCs w:val="20"/>
                <w:color w:val="auto"/>
              </w:rPr>
            </w:pPr>
            <w:r>
              <w:rPr>
                <w:rFonts w:ascii="Arial" w:cs="Arial" w:eastAsia="Arial" w:hAnsi="Arial"/>
                <w:sz w:val="18"/>
                <w:szCs w:val="18"/>
                <w:color w:val="auto"/>
                <w:w w:val="90"/>
              </w:rPr>
              <w:t>Chase Bank, N.A. and Barclays Bank PLC, as syndication agents, BNP Paribas, Citibank, N.A., Deutsche Bank Securities Inc., The Bank</w:t>
            </w: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20" w:type="dxa"/>
            <w:vAlign w:val="bottom"/>
            <w:gridSpan w:val="4"/>
          </w:tcPr>
          <w:p>
            <w:pPr>
              <w:ind w:left="400"/>
              <w:spacing w:after="0"/>
              <w:rPr>
                <w:sz w:val="20"/>
                <w:szCs w:val="20"/>
                <w:color w:val="auto"/>
              </w:rPr>
            </w:pPr>
            <w:r>
              <w:rPr>
                <w:rFonts w:ascii="Arial" w:cs="Arial" w:eastAsia="Arial" w:hAnsi="Arial"/>
                <w:sz w:val="18"/>
                <w:szCs w:val="18"/>
                <w:color w:val="auto"/>
                <w:w w:val="93"/>
              </w:rPr>
              <w:t>of Tokyo-Mitsubishi UFJ, Ltd., Mizuho Bank, Ltd., U.S. Bank National Association and Wells Fargo Bank, National Association, as co-</w:t>
            </w: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20" w:type="dxa"/>
            <w:vAlign w:val="bottom"/>
            <w:gridSpan w:val="4"/>
          </w:tcPr>
          <w:p>
            <w:pPr>
              <w:ind w:left="400"/>
              <w:spacing w:after="0"/>
              <w:rPr>
                <w:sz w:val="20"/>
                <w:szCs w:val="20"/>
                <w:color w:val="auto"/>
              </w:rPr>
            </w:pPr>
            <w:r>
              <w:rPr>
                <w:rFonts w:ascii="Arial" w:cs="Arial" w:eastAsia="Arial" w:hAnsi="Arial"/>
                <w:sz w:val="18"/>
                <w:szCs w:val="18"/>
                <w:color w:val="auto"/>
                <w:w w:val="91"/>
              </w:rPr>
              <w:t>documentation agents and J.P. Morgan Securities LLC, Merrill Lynch, Pierce, Fenner &amp; Smith Incorporated, and Barclays Bank PLC, as</w:t>
            </w: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20" w:type="dxa"/>
            <w:vAlign w:val="bottom"/>
            <w:gridSpan w:val="4"/>
          </w:tcPr>
          <w:p>
            <w:pPr>
              <w:ind w:left="400"/>
              <w:spacing w:after="0"/>
              <w:rPr>
                <w:sz w:val="20"/>
                <w:szCs w:val="20"/>
                <w:color w:val="auto"/>
              </w:rPr>
            </w:pPr>
            <w:r>
              <w:rPr>
                <w:rFonts w:ascii="Arial" w:cs="Arial" w:eastAsia="Arial" w:hAnsi="Arial"/>
                <w:sz w:val="18"/>
                <w:szCs w:val="18"/>
                <w:color w:val="auto"/>
              </w:rPr>
              <w:t>lead arrangers and joint bookrunners.</w:t>
            </w:r>
          </w:p>
        </w:tc>
      </w:tr>
      <w:tr>
        <w:trPr>
          <w:trHeight w:val="365"/>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40" w:type="dxa"/>
            <w:vAlign w:val="bottom"/>
            <w:gridSpan w:val="3"/>
          </w:tcPr>
          <w:p>
            <w:pPr>
              <w:ind w:left="4560"/>
              <w:spacing w:after="0"/>
              <w:rPr>
                <w:sz w:val="20"/>
                <w:szCs w:val="20"/>
                <w:color w:val="auto"/>
              </w:rPr>
            </w:pPr>
            <w:r>
              <w:rPr>
                <w:rFonts w:ascii="Arial" w:cs="Arial" w:eastAsia="Arial" w:hAnsi="Arial"/>
                <w:sz w:val="18"/>
                <w:szCs w:val="18"/>
                <w:color w:val="auto"/>
              </w:rPr>
              <w:t>5</w:t>
            </w:r>
          </w:p>
        </w:tc>
        <w:tc>
          <w:tcPr>
            <w:tcW w:w="518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Published CUSIP Number: 94107LAG3</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$2,250,000,000</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THIRD AMENDED AND RESTATED</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REVOLVING CREDIT AGREEMENT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July 10, 2015</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(the “</w:t>
      </w:r>
      <w:r>
        <w:rPr>
          <w:rFonts w:ascii="Arial" w:cs="Arial" w:eastAsia="Arial" w:hAnsi="Arial"/>
          <w:sz w:val="14"/>
          <w:szCs w:val="14"/>
          <w:b w:val="1"/>
          <w:bCs w:val="1"/>
          <w:u w:val="single" w:color="auto"/>
          <w:color w:val="auto"/>
        </w:rPr>
        <w:t>Borrower</w:t>
      </w:r>
      <w:r>
        <w:rPr>
          <w:rFonts w:ascii="Arial" w:cs="Arial" w:eastAsia="Arial" w:hAnsi="Arial"/>
          <w:sz w:val="14"/>
          <w:szCs w:val="14"/>
          <w:b w:val="1"/>
          <w:bCs w:val="1"/>
          <w:color w:val="auto"/>
        </w:rPr>
        <w:t>”)</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WASTE MANAGEMENT HOLDINGS,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(the “</w:t>
      </w:r>
      <w:r>
        <w:rPr>
          <w:rFonts w:ascii="Arial" w:cs="Arial" w:eastAsia="Arial" w:hAnsi="Arial"/>
          <w:sz w:val="14"/>
          <w:szCs w:val="14"/>
          <w:b w:val="1"/>
          <w:bCs w:val="1"/>
          <w:u w:val="single" w:color="auto"/>
          <w:color w:val="auto"/>
        </w:rPr>
        <w:t>Guarantor</w:t>
      </w:r>
      <w:r>
        <w:rPr>
          <w:rFonts w:ascii="Arial" w:cs="Arial" w:eastAsia="Arial" w:hAnsi="Arial"/>
          <w:sz w:val="14"/>
          <w:szCs w:val="14"/>
          <w:b w:val="1"/>
          <w:bCs w:val="1"/>
          <w:color w:val="auto"/>
        </w:rPr>
        <w:t>”)</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CERTAIN BANKS</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as Administrative Agent</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JPMORGAN CHASE BANK, N.A. and BARCLAYS BANK PLC,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as Syndication Agents</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BNP PARIBAS,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CITIBANK,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SECURITIES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TOKYO-MITSUBISHI UFJ,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MIZUHO BANK,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SUMITOMO MITSUI BANKING CORPORATION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as Co-Documentation Agents</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 MORGAN SECURITIES LLC, MERRILL LYNCH, PIERCE, FENNER &amp; SMITH INCORPORATED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BARCLAYS BANK PLC,</w:t>
      </w:r>
    </w:p>
    <w:p>
      <w:pPr>
        <w:spacing w:after="0" w:line="2"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auto"/>
        </w:rPr>
        <w:t>as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159385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201930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8240" w:type="dxa"/>
            <w:vAlign w:val="bottom"/>
            <w:gridSpan w:val="3"/>
          </w:tcPr>
          <w:p>
            <w:pPr>
              <w:ind w:left="3860"/>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17"/>
                <w:szCs w:val="17"/>
                <w:color w:val="auto"/>
              </w:rPr>
            </w:pPr>
          </w:p>
        </w:tc>
      </w:tr>
      <w:tr>
        <w:trPr>
          <w:trHeight w:val="480"/>
        </w:trPr>
        <w:tc>
          <w:tcPr>
            <w:tcW w:w="4760" w:type="dxa"/>
            <w:vAlign w:val="bottom"/>
            <w:gridSpan w:val="2"/>
          </w:tcPr>
          <w:p>
            <w:pPr>
              <w:spacing w:after="0"/>
              <w:rPr>
                <w:sz w:val="20"/>
                <w:szCs w:val="20"/>
                <w:color w:val="auto"/>
              </w:rPr>
            </w:pPr>
            <w:r>
              <w:rPr>
                <w:rFonts w:ascii="Arial" w:cs="Arial" w:eastAsia="Arial" w:hAnsi="Arial"/>
                <w:sz w:val="18"/>
                <w:szCs w:val="18"/>
                <w:color w:val="auto"/>
              </w:rPr>
              <w:t>§1. DEFINITIONS AND RULES OF INTERPRETATION</w:t>
            </w:r>
          </w:p>
        </w:tc>
        <w:tc>
          <w:tcPr>
            <w:tcW w:w="192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Definitions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§1.2.</w:t>
            </w: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Rules of Interpretation</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§1.3.</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Classification of Loans and Borrowings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9140" w:type="dxa"/>
            <w:vAlign w:val="bottom"/>
            <w:gridSpan w:val="4"/>
          </w:tcPr>
          <w:p>
            <w:pPr>
              <w:spacing w:after="0"/>
              <w:rPr>
                <w:sz w:val="20"/>
                <w:szCs w:val="20"/>
                <w:color w:val="auto"/>
              </w:rPr>
            </w:pPr>
            <w:r>
              <w:rPr>
                <w:rFonts w:ascii="Arial" w:cs="Arial" w:eastAsia="Arial" w:hAnsi="Arial"/>
                <w:sz w:val="18"/>
                <w:szCs w:val="18"/>
                <w:color w:val="auto"/>
              </w:rPr>
              <w:t>§2. THE LOAN FACILITIES</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Commitment to Lend</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§2.2.</w:t>
            </w: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Facility Fee</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Reduction and Increase of Total Commitment</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900" w:type="dxa"/>
            <w:vAlign w:val="bottom"/>
          </w:tcPr>
          <w:p>
            <w:pPr>
              <w:spacing w:after="0"/>
              <w:rPr>
                <w:sz w:val="18"/>
                <w:szCs w:val="18"/>
                <w:color w:val="auto"/>
              </w:rPr>
            </w:pP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§2.3.1   Reduction of Total Commitment</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900" w:type="dxa"/>
            <w:vAlign w:val="bottom"/>
            <w:shd w:val="clear" w:color="auto" w:fill="CCEEFF"/>
          </w:tcPr>
          <w:p>
            <w:pPr>
              <w:spacing w:after="0"/>
              <w:rPr>
                <w:sz w:val="18"/>
                <w:szCs w:val="18"/>
                <w:color w:val="auto"/>
              </w:rPr>
            </w:pP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§2.3.2   Increase of Total Commitment</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§2.4.</w:t>
            </w: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Repayment of Loans; Evidence of Debt</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§2.5.</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Interest on Loans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§2.6.</w:t>
            </w: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Requests for Syndicated Loans</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§2.7.</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Election of Eurodollar Rate; Notice of Election; Interest Periods; Minimum Amounts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§2.8.</w:t>
            </w: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Funds for Syndicated Loans</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§2.9.</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Maturity of the Loans and Reimbursement Obligations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§2.10.</w:t>
            </w: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Optional Prepayments or Repayments of Loans</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§2.11.</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Swing Line Loans; Participations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9140" w:type="dxa"/>
            <w:vAlign w:val="bottom"/>
            <w:gridSpan w:val="4"/>
          </w:tcPr>
          <w:p>
            <w:pPr>
              <w:spacing w:after="0"/>
              <w:rPr>
                <w:sz w:val="20"/>
                <w:szCs w:val="20"/>
                <w:color w:val="auto"/>
              </w:rPr>
            </w:pPr>
            <w:r>
              <w:rPr>
                <w:rFonts w:ascii="Arial" w:cs="Arial" w:eastAsia="Arial" w:hAnsi="Arial"/>
                <w:sz w:val="18"/>
                <w:szCs w:val="18"/>
                <w:color w:val="auto"/>
              </w:rPr>
              <w:t>§3. LETTERS OF CREDIT</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Letter of Credit Commitments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§3.2.</w:t>
            </w: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Reimbursement Obligation of the Borrower</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Obligations Absolute</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§3.4.</w:t>
            </w: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Reliance by the Issuing Banks</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§3.5.</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Notice Regarding Letters of Credit</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§3.6.</w:t>
            </w: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Letter of Credit Fee; Fronting Fee</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§4. [RESERVED.]</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9140" w:type="dxa"/>
            <w:vAlign w:val="bottom"/>
            <w:gridSpan w:val="4"/>
          </w:tcPr>
          <w:p>
            <w:pPr>
              <w:spacing w:after="0"/>
              <w:rPr>
                <w:sz w:val="20"/>
                <w:szCs w:val="20"/>
                <w:color w:val="auto"/>
              </w:rPr>
            </w:pPr>
            <w:r>
              <w:rPr>
                <w:rFonts w:ascii="Arial" w:cs="Arial" w:eastAsia="Arial" w:hAnsi="Arial"/>
                <w:sz w:val="18"/>
                <w:szCs w:val="18"/>
                <w:color w:val="auto"/>
              </w:rPr>
              <w:t>§5. PROVISIONS RELATING TO ALL LOANS AND LETTERS OF CREDIT</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§5.1.</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Payments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§5.2.</w:t>
            </w: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Mandatory Repayments of the Loans</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§5.3.</w:t>
            </w:r>
          </w:p>
        </w:tc>
        <w:tc>
          <w:tcPr>
            <w:tcW w:w="8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Computations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30"/>
        </w:trPr>
        <w:tc>
          <w:tcPr>
            <w:tcW w:w="900" w:type="dxa"/>
            <w:vAlign w:val="bottom"/>
          </w:tcPr>
          <w:p>
            <w:pPr>
              <w:ind w:left="340"/>
              <w:spacing w:after="0"/>
              <w:rPr>
                <w:sz w:val="20"/>
                <w:szCs w:val="20"/>
                <w:color w:val="auto"/>
              </w:rPr>
            </w:pPr>
            <w:r>
              <w:rPr>
                <w:rFonts w:ascii="Arial" w:cs="Arial" w:eastAsia="Arial" w:hAnsi="Arial"/>
                <w:sz w:val="18"/>
                <w:szCs w:val="18"/>
                <w:color w:val="auto"/>
              </w:rPr>
              <w:t>§5.4.</w:t>
            </w:r>
          </w:p>
        </w:tc>
        <w:tc>
          <w:tcPr>
            <w:tcW w:w="8240" w:type="dxa"/>
            <w:vAlign w:val="bottom"/>
            <w:gridSpan w:val="3"/>
          </w:tcPr>
          <w:p>
            <w:pPr>
              <w:ind w:left="100"/>
              <w:spacing w:after="0"/>
              <w:rPr>
                <w:sz w:val="20"/>
                <w:szCs w:val="20"/>
                <w:color w:val="auto"/>
              </w:rPr>
            </w:pPr>
            <w:r>
              <w:rPr>
                <w:rFonts w:ascii="Arial" w:cs="Arial" w:eastAsia="Arial" w:hAnsi="Arial"/>
                <w:sz w:val="18"/>
                <w:szCs w:val="18"/>
                <w:color w:val="auto"/>
              </w:rPr>
              <w:t>Illegality; Inability to Determine Eurodollar Rate</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38</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420"/>
          </w:cols>
          <w:pgMar w:left="240" w:top="25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w:t>
            </w: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Additional Costs, Etc</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§5.6.</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Capital Adequacy</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§5.7.</w:t>
            </w: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Certificate</w:t>
            </w:r>
          </w:p>
        </w:tc>
        <w:tc>
          <w:tcPr>
            <w:tcW w:w="62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§5.8.</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Eurodollar Indemnity</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§5.9.</w:t>
            </w: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on Overdue Amounts</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§5.10.</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Interest Limitation</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§5.11.</w:t>
            </w: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Reasonable Efforts to Mitigate</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§5.12.</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Replacement of Banks; Termination of Commitments</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§5.13.</w:t>
            </w: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Advances by Administrative Agent</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§5.14.</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Defaulting Banks</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 REPRESENTATIONS AND WARRANTIES</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§6.1.</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Corporate Authority</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§6.2.</w:t>
            </w: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Governmental and Other Approvals</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§6.3.</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Title to Properties; Leases</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§6.4.</w:t>
            </w: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Financial Statements; Solvency</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§6.5.</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No Material Changes, Etc</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w:t>
            </w: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Franchises, Patents, Copyrights, Etc</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§6.7.</w:t>
            </w:r>
          </w:p>
        </w:tc>
        <w:tc>
          <w:tcPr>
            <w:tcW w:w="88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6220" w:type="dxa"/>
            <w:vAlign w:val="bottom"/>
          </w:tcPr>
          <w:p>
            <w:pPr>
              <w:spacing w:after="0"/>
              <w:rPr>
                <w:sz w:val="18"/>
                <w:szCs w:val="18"/>
                <w:color w:val="auto"/>
              </w:rPr>
            </w:pP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§6.8.</w:t>
            </w: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 Materially Adverse Contracts, Etc</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§6.9.</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Compliance With Other Instruments, Laws, Etc</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§6.10.</w:t>
            </w: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Tax Status</w:t>
            </w:r>
          </w:p>
        </w:tc>
        <w:tc>
          <w:tcPr>
            <w:tcW w:w="62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§6.11.</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No Event of Default</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§6.12.</w:t>
            </w: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Company Act</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§6.13.</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Absence of Financing Statements, Etc</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§6.14.</w:t>
            </w: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Employee Benefit Plans</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§6.14.1</w:t>
            </w:r>
          </w:p>
        </w:tc>
        <w:tc>
          <w:tcPr>
            <w:tcW w:w="6220" w:type="dxa"/>
            <w:vAlign w:val="bottom"/>
          </w:tcPr>
          <w:p>
            <w:pPr>
              <w:ind w:left="20"/>
              <w:spacing w:after="0"/>
              <w:rPr>
                <w:sz w:val="20"/>
                <w:szCs w:val="20"/>
                <w:color w:val="auto"/>
              </w:rPr>
            </w:pPr>
            <w:r>
              <w:rPr>
                <w:rFonts w:ascii="Arial" w:cs="Arial" w:eastAsia="Arial" w:hAnsi="Arial"/>
                <w:sz w:val="18"/>
                <w:szCs w:val="18"/>
                <w:color w:val="auto"/>
              </w:rPr>
              <w:t>In General</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§6.14.2   Terminability of Welfare Plans</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§6.14.3</w:t>
            </w:r>
          </w:p>
        </w:tc>
        <w:tc>
          <w:tcPr>
            <w:tcW w:w="6220" w:type="dxa"/>
            <w:vAlign w:val="bottom"/>
          </w:tcPr>
          <w:p>
            <w:pPr>
              <w:ind w:left="20"/>
              <w:spacing w:after="0"/>
              <w:rPr>
                <w:sz w:val="20"/>
                <w:szCs w:val="20"/>
                <w:color w:val="auto"/>
              </w:rPr>
            </w:pPr>
            <w:r>
              <w:rPr>
                <w:rFonts w:ascii="Arial" w:cs="Arial" w:eastAsia="Arial" w:hAnsi="Arial"/>
                <w:sz w:val="18"/>
                <w:szCs w:val="18"/>
                <w:color w:val="auto"/>
              </w:rPr>
              <w:t>Guaranteed Pension Plans</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§6.14.4</w:t>
            </w: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Multiemployer Plans</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§6.15.</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Environmental Compliance</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§6.16.</w:t>
            </w: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Disclosure</w:t>
            </w:r>
          </w:p>
        </w:tc>
        <w:tc>
          <w:tcPr>
            <w:tcW w:w="62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16"/>
        </w:trPr>
        <w:tc>
          <w:tcPr>
            <w:tcW w:w="900" w:type="dxa"/>
            <w:vAlign w:val="bottom"/>
          </w:tcPr>
          <w:p>
            <w:pPr>
              <w:ind w:left="340"/>
              <w:spacing w:after="0"/>
              <w:rPr>
                <w:sz w:val="20"/>
                <w:szCs w:val="20"/>
                <w:color w:val="auto"/>
              </w:rPr>
            </w:pPr>
            <w:r>
              <w:rPr>
                <w:rFonts w:ascii="Arial" w:cs="Arial" w:eastAsia="Arial" w:hAnsi="Arial"/>
                <w:sz w:val="18"/>
                <w:szCs w:val="18"/>
                <w:color w:val="auto"/>
              </w:rPr>
              <w:t>§6.17.</w:t>
            </w: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Permits and Governmental Authority</w:t>
            </w:r>
          </w:p>
        </w:tc>
        <w:tc>
          <w:tcPr>
            <w:tcW w:w="34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16"/>
        </w:trPr>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§6.18.</w:t>
            </w: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Margin Stock</w:t>
            </w:r>
          </w:p>
        </w:tc>
        <w:tc>
          <w:tcPr>
            <w:tcW w:w="3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20"/>
          </w:cols>
          <w:pgMar w:left="240" w:top="28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§6.19.</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Sanctions</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§6.20.</w:t>
            </w:r>
          </w:p>
        </w:tc>
        <w:tc>
          <w:tcPr>
            <w:tcW w:w="8940" w:type="dxa"/>
            <w:vAlign w:val="bottom"/>
          </w:tcPr>
          <w:p>
            <w:pPr>
              <w:ind w:left="100"/>
              <w:spacing w:after="0"/>
              <w:rPr>
                <w:sz w:val="20"/>
                <w:szCs w:val="20"/>
                <w:color w:val="auto"/>
              </w:rPr>
            </w:pPr>
            <w:r>
              <w:rPr>
                <w:rFonts w:ascii="Arial" w:cs="Arial" w:eastAsia="Arial" w:hAnsi="Arial"/>
                <w:sz w:val="18"/>
                <w:szCs w:val="18"/>
                <w:color w:val="auto"/>
              </w:rPr>
              <w:t>Anti-Corruption Laws</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 AFFIRMATIVE COVENANTS OF THE BORROWER</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§7.1.</w:t>
            </w:r>
          </w:p>
        </w:tc>
        <w:tc>
          <w:tcPr>
            <w:tcW w:w="8940" w:type="dxa"/>
            <w:vAlign w:val="bottom"/>
          </w:tcPr>
          <w:p>
            <w:pPr>
              <w:ind w:left="100"/>
              <w:spacing w:after="0"/>
              <w:rPr>
                <w:sz w:val="20"/>
                <w:szCs w:val="20"/>
                <w:color w:val="auto"/>
              </w:rPr>
            </w:pPr>
            <w:r>
              <w:rPr>
                <w:rFonts w:ascii="Arial" w:cs="Arial" w:eastAsia="Arial" w:hAnsi="Arial"/>
                <w:sz w:val="18"/>
                <w:szCs w:val="18"/>
                <w:color w:val="auto"/>
              </w:rPr>
              <w:t>Punctual Payment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§7.2.</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Maintenance of U.S. Office</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§7.3.</w:t>
            </w:r>
          </w:p>
        </w:tc>
        <w:tc>
          <w:tcPr>
            <w:tcW w:w="8940" w:type="dxa"/>
            <w:vAlign w:val="bottom"/>
          </w:tcPr>
          <w:p>
            <w:pPr>
              <w:ind w:left="100"/>
              <w:spacing w:after="0"/>
              <w:rPr>
                <w:sz w:val="20"/>
                <w:szCs w:val="20"/>
                <w:color w:val="auto"/>
              </w:rPr>
            </w:pPr>
            <w:r>
              <w:rPr>
                <w:rFonts w:ascii="Arial" w:cs="Arial" w:eastAsia="Arial" w:hAnsi="Arial"/>
                <w:sz w:val="18"/>
                <w:szCs w:val="18"/>
                <w:color w:val="auto"/>
              </w:rPr>
              <w:t>Records and Accounts</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§7.4.</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 Certificates and Information</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§7.5.</w:t>
            </w:r>
          </w:p>
        </w:tc>
        <w:tc>
          <w:tcPr>
            <w:tcW w:w="8940" w:type="dxa"/>
            <w:vAlign w:val="bottom"/>
          </w:tcPr>
          <w:p>
            <w:pPr>
              <w:ind w:left="100"/>
              <w:spacing w:after="0"/>
              <w:rPr>
                <w:sz w:val="20"/>
                <w:szCs w:val="20"/>
                <w:color w:val="auto"/>
              </w:rPr>
            </w:pPr>
            <w:r>
              <w:rPr>
                <w:rFonts w:ascii="Arial" w:cs="Arial" w:eastAsia="Arial" w:hAnsi="Arial"/>
                <w:sz w:val="18"/>
                <w:szCs w:val="18"/>
                <w:color w:val="auto"/>
              </w:rPr>
              <w:t>Existence and Conduct of Business</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§7.6.</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Maintenance of Properties</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§7.7.</w:t>
            </w:r>
          </w:p>
        </w:tc>
        <w:tc>
          <w:tcPr>
            <w:tcW w:w="894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§7.8.</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§7.9.</w:t>
            </w:r>
          </w:p>
        </w:tc>
        <w:tc>
          <w:tcPr>
            <w:tcW w:w="8940" w:type="dxa"/>
            <w:vAlign w:val="bottom"/>
          </w:tcPr>
          <w:p>
            <w:pPr>
              <w:ind w:left="100"/>
              <w:spacing w:after="0"/>
              <w:rPr>
                <w:sz w:val="20"/>
                <w:szCs w:val="20"/>
                <w:color w:val="auto"/>
              </w:rPr>
            </w:pPr>
            <w:r>
              <w:rPr>
                <w:rFonts w:ascii="Arial" w:cs="Arial" w:eastAsia="Arial" w:hAnsi="Arial"/>
                <w:sz w:val="18"/>
                <w:szCs w:val="18"/>
                <w:color w:val="auto"/>
              </w:rPr>
              <w:t>Inspection of Properties, Books and Contracts</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§7.10.</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Compliance with Laws, Contracts, Licenses and Permits; Maintenance of Material Licenses and Permits</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§7.11.</w:t>
            </w:r>
          </w:p>
        </w:tc>
        <w:tc>
          <w:tcPr>
            <w:tcW w:w="8940" w:type="dxa"/>
            <w:vAlign w:val="bottom"/>
          </w:tcPr>
          <w:p>
            <w:pPr>
              <w:ind w:left="100"/>
              <w:spacing w:after="0"/>
              <w:rPr>
                <w:sz w:val="20"/>
                <w:szCs w:val="20"/>
                <w:color w:val="auto"/>
              </w:rPr>
            </w:pPr>
            <w:r>
              <w:rPr>
                <w:rFonts w:ascii="Arial" w:cs="Arial" w:eastAsia="Arial" w:hAnsi="Arial"/>
                <w:sz w:val="18"/>
                <w:szCs w:val="18"/>
                <w:color w:val="auto"/>
              </w:rPr>
              <w:t>Environmental Indemnification</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§7.12.</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Further Assurances</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§7.13.</w:t>
            </w:r>
          </w:p>
        </w:tc>
        <w:tc>
          <w:tcPr>
            <w:tcW w:w="8940" w:type="dxa"/>
            <w:vAlign w:val="bottom"/>
          </w:tcPr>
          <w:p>
            <w:pPr>
              <w:ind w:left="100"/>
              <w:spacing w:after="0"/>
              <w:rPr>
                <w:sz w:val="20"/>
                <w:szCs w:val="20"/>
                <w:color w:val="auto"/>
              </w:rPr>
            </w:pPr>
            <w:r>
              <w:rPr>
                <w:rFonts w:ascii="Arial" w:cs="Arial" w:eastAsia="Arial" w:hAnsi="Arial"/>
                <w:sz w:val="18"/>
                <w:szCs w:val="18"/>
                <w:color w:val="auto"/>
              </w:rPr>
              <w:t>Notice of Potential Claims or Litigation</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§7.14.</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Notice of Certain Events Concerning Environmental Claims</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§7.15.</w:t>
            </w:r>
          </w:p>
        </w:tc>
        <w:tc>
          <w:tcPr>
            <w:tcW w:w="8940" w:type="dxa"/>
            <w:vAlign w:val="bottom"/>
          </w:tcPr>
          <w:p>
            <w:pPr>
              <w:ind w:left="100"/>
              <w:spacing w:after="0"/>
              <w:rPr>
                <w:sz w:val="20"/>
                <w:szCs w:val="20"/>
                <w:color w:val="auto"/>
              </w:rPr>
            </w:pPr>
            <w:r>
              <w:rPr>
                <w:rFonts w:ascii="Arial" w:cs="Arial" w:eastAsia="Arial" w:hAnsi="Arial"/>
                <w:sz w:val="18"/>
                <w:szCs w:val="18"/>
                <w:color w:val="auto"/>
              </w:rPr>
              <w:t>Notice of Default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§7.16.</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Use of Proceeds</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§7.17.</w:t>
            </w:r>
          </w:p>
        </w:tc>
        <w:tc>
          <w:tcPr>
            <w:tcW w:w="8940" w:type="dxa"/>
            <w:vAlign w:val="bottom"/>
          </w:tcPr>
          <w:p>
            <w:pPr>
              <w:ind w:left="100"/>
              <w:spacing w:after="0"/>
              <w:rPr>
                <w:sz w:val="20"/>
                <w:szCs w:val="20"/>
                <w:color w:val="auto"/>
              </w:rPr>
            </w:pPr>
            <w:r>
              <w:rPr>
                <w:rFonts w:ascii="Arial" w:cs="Arial" w:eastAsia="Arial" w:hAnsi="Arial"/>
                <w:sz w:val="18"/>
                <w:szCs w:val="18"/>
                <w:color w:val="auto"/>
              </w:rPr>
              <w:t>Certain Transactions</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 NEGATIVE COVENANTS OF THE BORROWER</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§8.1.</w:t>
            </w:r>
          </w:p>
        </w:tc>
        <w:tc>
          <w:tcPr>
            <w:tcW w:w="8940" w:type="dxa"/>
            <w:vAlign w:val="bottom"/>
          </w:tcPr>
          <w:p>
            <w:pPr>
              <w:ind w:left="100"/>
              <w:spacing w:after="0"/>
              <w:rPr>
                <w:sz w:val="20"/>
                <w:szCs w:val="20"/>
                <w:color w:val="auto"/>
              </w:rPr>
            </w:pPr>
            <w:r>
              <w:rPr>
                <w:rFonts w:ascii="Arial" w:cs="Arial" w:eastAsia="Arial" w:hAnsi="Arial"/>
                <w:sz w:val="18"/>
                <w:szCs w:val="18"/>
                <w:color w:val="auto"/>
              </w:rPr>
              <w:t>Restrictions on Indebtedness</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§8.2.</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Restrictions on Liens</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§8.3.</w:t>
            </w:r>
          </w:p>
        </w:tc>
        <w:tc>
          <w:tcPr>
            <w:tcW w:w="8940" w:type="dxa"/>
            <w:vAlign w:val="bottom"/>
          </w:tcPr>
          <w:p>
            <w:pPr>
              <w:ind w:left="100"/>
              <w:spacing w:after="0"/>
              <w:rPr>
                <w:sz w:val="20"/>
                <w:szCs w:val="20"/>
                <w:color w:val="auto"/>
              </w:rPr>
            </w:pPr>
            <w:r>
              <w:rPr>
                <w:rFonts w:ascii="Arial" w:cs="Arial" w:eastAsia="Arial" w:hAnsi="Arial"/>
                <w:sz w:val="18"/>
                <w:szCs w:val="18"/>
                <w:color w:val="auto"/>
              </w:rPr>
              <w:t>Restrictions on Investments</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§8.4.</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Mergers, Consolidations, Sales</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§8.5.</w:t>
            </w:r>
          </w:p>
        </w:tc>
        <w:tc>
          <w:tcPr>
            <w:tcW w:w="8940" w:type="dxa"/>
            <w:vAlign w:val="bottom"/>
          </w:tcPr>
          <w:p>
            <w:pPr>
              <w:ind w:left="100"/>
              <w:spacing w:after="0"/>
              <w:rPr>
                <w:sz w:val="20"/>
                <w:szCs w:val="20"/>
                <w:color w:val="auto"/>
              </w:rPr>
            </w:pPr>
            <w:r>
              <w:rPr>
                <w:rFonts w:ascii="Arial" w:cs="Arial" w:eastAsia="Arial" w:hAnsi="Arial"/>
                <w:sz w:val="18"/>
                <w:szCs w:val="18"/>
                <w:color w:val="auto"/>
              </w:rPr>
              <w:t>Restricted Distributions and Redemptions</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§8.6.</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Benefit Plans</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880" w:type="dxa"/>
            <w:vAlign w:val="bottom"/>
          </w:tcPr>
          <w:p>
            <w:pPr>
              <w:ind w:left="340"/>
              <w:spacing w:after="0"/>
              <w:rPr>
                <w:sz w:val="20"/>
                <w:szCs w:val="20"/>
                <w:color w:val="auto"/>
              </w:rPr>
            </w:pPr>
            <w:r>
              <w:rPr>
                <w:rFonts w:ascii="Arial" w:cs="Arial" w:eastAsia="Arial" w:hAnsi="Arial"/>
                <w:sz w:val="18"/>
                <w:szCs w:val="18"/>
                <w:color w:val="auto"/>
              </w:rPr>
              <w:t>§8.7.</w:t>
            </w:r>
          </w:p>
        </w:tc>
        <w:tc>
          <w:tcPr>
            <w:tcW w:w="8940" w:type="dxa"/>
            <w:vAlign w:val="bottom"/>
          </w:tcPr>
          <w:p>
            <w:pPr>
              <w:ind w:left="100"/>
              <w:spacing w:after="0"/>
              <w:rPr>
                <w:sz w:val="20"/>
                <w:szCs w:val="20"/>
                <w:color w:val="auto"/>
              </w:rPr>
            </w:pPr>
            <w:r>
              <w:rPr>
                <w:rFonts w:ascii="Arial" w:cs="Arial" w:eastAsia="Arial" w:hAnsi="Arial"/>
                <w:sz w:val="18"/>
                <w:szCs w:val="18"/>
                <w:color w:val="auto"/>
              </w:rPr>
              <w:t>Sanctions</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§8.8.</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Anti-Corruption Laws</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§9. FINANCIAL COVENANTS OF THE BORROWER</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§9.1.</w:t>
            </w: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Coverage Ratio</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30"/>
        </w:trPr>
        <w:tc>
          <w:tcPr>
            <w:tcW w:w="880" w:type="dxa"/>
            <w:vAlign w:val="bottom"/>
          </w:tcPr>
          <w:p>
            <w:pPr>
              <w:ind w:left="340"/>
              <w:spacing w:after="0"/>
              <w:rPr>
                <w:sz w:val="20"/>
                <w:szCs w:val="20"/>
                <w:color w:val="auto"/>
              </w:rPr>
            </w:pPr>
            <w:r>
              <w:rPr>
                <w:rFonts w:ascii="Arial" w:cs="Arial" w:eastAsia="Arial" w:hAnsi="Arial"/>
                <w:sz w:val="18"/>
                <w:szCs w:val="18"/>
                <w:color w:val="auto"/>
              </w:rPr>
              <w:t>§9.2.</w:t>
            </w:r>
          </w:p>
        </w:tc>
        <w:tc>
          <w:tcPr>
            <w:tcW w:w="8940" w:type="dxa"/>
            <w:vAlign w:val="bottom"/>
          </w:tcPr>
          <w:p>
            <w:pPr>
              <w:ind w:left="100"/>
              <w:spacing w:after="0"/>
              <w:rPr>
                <w:sz w:val="20"/>
                <w:szCs w:val="20"/>
                <w:color w:val="auto"/>
              </w:rPr>
            </w:pPr>
            <w:r>
              <w:rPr>
                <w:rFonts w:ascii="Arial" w:cs="Arial" w:eastAsia="Arial" w:hAnsi="Arial"/>
                <w:sz w:val="18"/>
                <w:szCs w:val="18"/>
                <w:color w:val="auto"/>
              </w:rPr>
              <w:t>Total Debt to EBITDA</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63</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420"/>
          </w:cols>
          <w:pgMar w:left="240" w:top="28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  CONDITIONS PRECEDENT</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§10.1.</w:t>
            </w: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Conditions To Effectiveness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§10.1.1</w:t>
            </w:r>
          </w:p>
        </w:tc>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Action</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§10.1.2</w:t>
            </w:r>
          </w:p>
        </w:tc>
        <w:tc>
          <w:tcPr>
            <w:tcW w:w="7000" w:type="dxa"/>
            <w:vAlign w:val="bottom"/>
          </w:tcPr>
          <w:p>
            <w:pPr>
              <w:ind w:left="40"/>
              <w:spacing w:after="0"/>
              <w:rPr>
                <w:sz w:val="20"/>
                <w:szCs w:val="20"/>
                <w:color w:val="auto"/>
              </w:rPr>
            </w:pPr>
            <w:r>
              <w:rPr>
                <w:rFonts w:ascii="Arial" w:cs="Arial" w:eastAsia="Arial" w:hAnsi="Arial"/>
                <w:sz w:val="18"/>
                <w:szCs w:val="18"/>
                <w:color w:val="auto"/>
              </w:rPr>
              <w:t>Loan Documents, Etc</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§10.1.3   Certified Copies of Charter Documents</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§10.1.4</w:t>
            </w:r>
          </w:p>
        </w:tc>
        <w:tc>
          <w:tcPr>
            <w:tcW w:w="7000" w:type="dxa"/>
            <w:vAlign w:val="bottom"/>
          </w:tcPr>
          <w:p>
            <w:pPr>
              <w:ind w:left="40"/>
              <w:spacing w:after="0"/>
              <w:rPr>
                <w:sz w:val="20"/>
                <w:szCs w:val="20"/>
                <w:color w:val="auto"/>
              </w:rPr>
            </w:pPr>
            <w:r>
              <w:rPr>
                <w:rFonts w:ascii="Arial" w:cs="Arial" w:eastAsia="Arial" w:hAnsi="Arial"/>
                <w:sz w:val="18"/>
                <w:szCs w:val="18"/>
                <w:color w:val="auto"/>
              </w:rPr>
              <w:t>Incumbency Certificate</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§10.1.5</w:t>
            </w:r>
          </w:p>
        </w:tc>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Opinion of Counsel</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§10.1.6</w:t>
            </w:r>
          </w:p>
        </w:tc>
        <w:tc>
          <w:tcPr>
            <w:tcW w:w="7000" w:type="dxa"/>
            <w:vAlign w:val="bottom"/>
          </w:tcPr>
          <w:p>
            <w:pPr>
              <w:ind w:left="40"/>
              <w:spacing w:after="0"/>
              <w:rPr>
                <w:sz w:val="20"/>
                <w:szCs w:val="20"/>
                <w:color w:val="auto"/>
              </w:rPr>
            </w:pPr>
            <w:r>
              <w:rPr>
                <w:rFonts w:ascii="Arial" w:cs="Arial" w:eastAsia="Arial" w:hAnsi="Arial"/>
                <w:sz w:val="18"/>
                <w:szCs w:val="18"/>
                <w:color w:val="auto"/>
              </w:rPr>
              <w:t>Satisfactory Financial Condition</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110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§10.1.7   Payment of Closing Fees</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11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§10.1.8</w:t>
            </w:r>
          </w:p>
        </w:tc>
        <w:tc>
          <w:tcPr>
            <w:tcW w:w="7000" w:type="dxa"/>
            <w:vAlign w:val="bottom"/>
          </w:tcPr>
          <w:p>
            <w:pPr>
              <w:ind w:left="40"/>
              <w:spacing w:after="0"/>
              <w:rPr>
                <w:sz w:val="20"/>
                <w:szCs w:val="20"/>
                <w:color w:val="auto"/>
              </w:rPr>
            </w:pPr>
            <w:r>
              <w:rPr>
                <w:rFonts w:ascii="Arial" w:cs="Arial" w:eastAsia="Arial" w:hAnsi="Arial"/>
                <w:sz w:val="18"/>
                <w:szCs w:val="18"/>
                <w:color w:val="auto"/>
              </w:rPr>
              <w:t>Closing Certificate</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§10.1.9</w:t>
            </w:r>
          </w:p>
        </w:tc>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USA Patriot Act</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§11.  CONDITIONS TO ALL LOANS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§11.1.</w:t>
            </w: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Representations True</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8860" w:type="dxa"/>
            <w:vAlign w:val="bottom"/>
            <w:gridSpan w:val="3"/>
          </w:tcPr>
          <w:p>
            <w:pPr>
              <w:ind w:left="440"/>
              <w:spacing w:after="0"/>
              <w:rPr>
                <w:sz w:val="20"/>
                <w:szCs w:val="20"/>
                <w:color w:val="auto"/>
              </w:rPr>
            </w:pPr>
            <w:r>
              <w:rPr>
                <w:rFonts w:ascii="Arial" w:cs="Arial" w:eastAsia="Arial" w:hAnsi="Arial"/>
                <w:sz w:val="18"/>
                <w:szCs w:val="18"/>
                <w:color w:val="auto"/>
              </w:rPr>
              <w:t>§11.2.   Performance; No Event of Default</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§11.3.</w:t>
            </w: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Proceedings and Documents</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§12.  EVENTS OF DEFAULT; ACCELERATION; TERMINATION OF COMMITMENT</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16"/>
        </w:trPr>
        <w:tc>
          <w:tcPr>
            <w:tcW w:w="8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§12.1.   Events of Default and Acceleration</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§12.2.</w:t>
            </w: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Termination of Commitments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§12.3.</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Remedies</w:t>
            </w:r>
          </w:p>
        </w:tc>
        <w:tc>
          <w:tcPr>
            <w:tcW w:w="7000" w:type="dxa"/>
            <w:vAlign w:val="bottom"/>
            <w:shd w:val="clear" w:color="auto" w:fill="CCEEFF"/>
          </w:tcPr>
          <w:p>
            <w:pPr>
              <w:spacing w:after="0"/>
              <w:rPr>
                <w:sz w:val="18"/>
                <w:szCs w:val="18"/>
                <w:color w:val="auto"/>
              </w:rPr>
            </w:pP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§13.  SETOFF</w:t>
            </w:r>
          </w:p>
        </w:tc>
        <w:tc>
          <w:tcPr>
            <w:tcW w:w="7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  EXPENSES</w:t>
            </w:r>
          </w:p>
        </w:tc>
        <w:tc>
          <w:tcPr>
            <w:tcW w:w="7000" w:type="dxa"/>
            <w:vAlign w:val="bottom"/>
            <w:shd w:val="clear" w:color="auto" w:fill="CCEEFF"/>
          </w:tcPr>
          <w:p>
            <w:pPr>
              <w:spacing w:after="0"/>
              <w:rPr>
                <w:sz w:val="18"/>
                <w:szCs w:val="18"/>
                <w:color w:val="auto"/>
              </w:rPr>
            </w:pP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§15.  THE AGENTS</w:t>
            </w:r>
          </w:p>
        </w:tc>
        <w:tc>
          <w:tcPr>
            <w:tcW w:w="7000" w:type="dxa"/>
            <w:vAlign w:val="bottom"/>
          </w:tcPr>
          <w:p>
            <w:pPr>
              <w:spacing w:after="0"/>
              <w:rPr>
                <w:sz w:val="18"/>
                <w:szCs w:val="18"/>
                <w:color w:val="auto"/>
              </w:rPr>
            </w:pP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§15.1.</w:t>
            </w: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Authorization and Action</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8860" w:type="dxa"/>
            <w:vAlign w:val="bottom"/>
            <w:gridSpan w:val="3"/>
          </w:tcPr>
          <w:p>
            <w:pPr>
              <w:ind w:left="440"/>
              <w:spacing w:after="0"/>
              <w:rPr>
                <w:sz w:val="20"/>
                <w:szCs w:val="20"/>
                <w:color w:val="auto"/>
              </w:rPr>
            </w:pPr>
            <w:r>
              <w:rPr>
                <w:rFonts w:ascii="Arial" w:cs="Arial" w:eastAsia="Arial" w:hAnsi="Arial"/>
                <w:sz w:val="18"/>
                <w:szCs w:val="18"/>
                <w:color w:val="auto"/>
              </w:rPr>
              <w:t>§15.2.   Administrative Agent’s Reliance, Etc</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16"/>
        </w:trPr>
        <w:tc>
          <w:tcPr>
            <w:tcW w:w="8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§15.3.   Bank of America and Affiliates</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§15.4.</w:t>
            </w: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Bank Credit Decision</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§15.5.</w:t>
            </w: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Indemnification</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§15.6.</w:t>
            </w: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Successor Administrative Agent</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§15.7.</w:t>
            </w: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Lead Arrangers, Etc</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§15.8.</w:t>
            </w: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Documents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71</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§15.9.   Action by the Banks, Consents, Amendments, Waivers, Etc</w:t>
            </w:r>
          </w:p>
        </w:tc>
        <w:tc>
          <w:tcPr>
            <w:tcW w:w="3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§16.  INDEMNIFICATION</w:t>
            </w:r>
          </w:p>
        </w:tc>
        <w:tc>
          <w:tcPr>
            <w:tcW w:w="3140" w:type="dxa"/>
            <w:vAlign w:val="bottom"/>
          </w:tcPr>
          <w:p>
            <w:pPr>
              <w:jc w:val="right"/>
              <w:ind w:right="10"/>
              <w:spacing w:after="0"/>
              <w:rPr>
                <w:sz w:val="20"/>
                <w:szCs w:val="20"/>
                <w:color w:val="auto"/>
              </w:rPr>
            </w:pPr>
            <w:r>
              <w:rPr>
                <w:rFonts w:ascii="Arial" w:cs="Arial" w:eastAsia="Arial" w:hAnsi="Arial"/>
                <w:sz w:val="18"/>
                <w:szCs w:val="18"/>
                <w:color w:val="auto"/>
              </w:rPr>
              <w:t>72</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iv -</w:t>
      </w:r>
    </w:p>
    <w:p>
      <w:pPr>
        <w:sectPr>
          <w:pgSz w:w="11900" w:h="16838" w:orient="portrait"/>
          <w:cols w:equalWidth="0" w:num="1">
            <w:col w:w="11420"/>
          </w:cols>
          <w:pgMar w:left="240" w:top="28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 WITHHOLDING TAXES</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§18. TREATMENT OF CERTAIN CONFIDENTIAL INFORMATION</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16"/>
        </w:trPr>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§18.1.</w:t>
            </w:r>
          </w:p>
        </w:tc>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Confidentiality</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16"/>
        </w:trPr>
        <w:tc>
          <w:tcPr>
            <w:tcW w:w="980" w:type="dxa"/>
            <w:vAlign w:val="bottom"/>
          </w:tcPr>
          <w:p>
            <w:pPr>
              <w:ind w:left="420"/>
              <w:spacing w:after="0"/>
              <w:rPr>
                <w:sz w:val="20"/>
                <w:szCs w:val="20"/>
                <w:color w:val="auto"/>
              </w:rPr>
            </w:pPr>
            <w:r>
              <w:rPr>
                <w:rFonts w:ascii="Arial" w:cs="Arial" w:eastAsia="Arial" w:hAnsi="Arial"/>
                <w:sz w:val="18"/>
                <w:szCs w:val="18"/>
                <w:color w:val="auto"/>
              </w:rPr>
              <w:t>§18.2.</w:t>
            </w:r>
          </w:p>
        </w:tc>
        <w:tc>
          <w:tcPr>
            <w:tcW w:w="8220" w:type="dxa"/>
            <w:vAlign w:val="bottom"/>
          </w:tcPr>
          <w:p>
            <w:pPr>
              <w:ind w:left="100"/>
              <w:spacing w:after="0"/>
              <w:rPr>
                <w:sz w:val="20"/>
                <w:szCs w:val="20"/>
                <w:color w:val="auto"/>
              </w:rPr>
            </w:pPr>
            <w:r>
              <w:rPr>
                <w:rFonts w:ascii="Arial" w:cs="Arial" w:eastAsia="Arial" w:hAnsi="Arial"/>
                <w:sz w:val="18"/>
                <w:szCs w:val="18"/>
                <w:color w:val="auto"/>
              </w:rPr>
              <w:t>Prior Notification</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16"/>
        </w:trPr>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§18.3.</w:t>
            </w:r>
          </w:p>
        </w:tc>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§19. SURVIVAL OF COVENANTS, ETC</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 ASSIGNMENT AND PARTICIPATION</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§21. PARTIES IN INTEREST</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 NOTICES, ETC</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§23. MISCELLANEOUS</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 CONSENTS, ETC</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§25. WAIVER OF JURY TRIAL</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 GOVERNING LAW; SUBMISSION TO JURISDICTION</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§27. SEVERABILITY</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 GUARANTY</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16"/>
        </w:trPr>
        <w:tc>
          <w:tcPr>
            <w:tcW w:w="980" w:type="dxa"/>
            <w:vAlign w:val="bottom"/>
          </w:tcPr>
          <w:p>
            <w:pPr>
              <w:ind w:left="420"/>
              <w:spacing w:after="0"/>
              <w:rPr>
                <w:sz w:val="20"/>
                <w:szCs w:val="20"/>
                <w:color w:val="auto"/>
              </w:rPr>
            </w:pPr>
            <w:r>
              <w:rPr>
                <w:rFonts w:ascii="Arial" w:cs="Arial" w:eastAsia="Arial" w:hAnsi="Arial"/>
                <w:sz w:val="18"/>
                <w:szCs w:val="18"/>
                <w:color w:val="auto"/>
              </w:rPr>
              <w:t>§28.1.</w:t>
            </w:r>
          </w:p>
        </w:tc>
        <w:tc>
          <w:tcPr>
            <w:tcW w:w="8220" w:type="dxa"/>
            <w:vAlign w:val="bottom"/>
          </w:tcPr>
          <w:p>
            <w:pPr>
              <w:ind w:left="100"/>
              <w:spacing w:after="0"/>
              <w:rPr>
                <w:sz w:val="20"/>
                <w:szCs w:val="20"/>
                <w:color w:val="auto"/>
              </w:rPr>
            </w:pPr>
            <w:r>
              <w:rPr>
                <w:rFonts w:ascii="Arial" w:cs="Arial" w:eastAsia="Arial" w:hAnsi="Arial"/>
                <w:sz w:val="18"/>
                <w:szCs w:val="18"/>
                <w:color w:val="auto"/>
              </w:rPr>
              <w:t>Guaranty</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16"/>
        </w:trPr>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§28.2.</w:t>
            </w:r>
          </w:p>
        </w:tc>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Guaranty Absolute</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16"/>
        </w:trPr>
        <w:tc>
          <w:tcPr>
            <w:tcW w:w="980" w:type="dxa"/>
            <w:vAlign w:val="bottom"/>
          </w:tcPr>
          <w:p>
            <w:pPr>
              <w:ind w:left="420"/>
              <w:spacing w:after="0"/>
              <w:rPr>
                <w:sz w:val="20"/>
                <w:szCs w:val="20"/>
                <w:color w:val="auto"/>
              </w:rPr>
            </w:pPr>
            <w:r>
              <w:rPr>
                <w:rFonts w:ascii="Arial" w:cs="Arial" w:eastAsia="Arial" w:hAnsi="Arial"/>
                <w:sz w:val="18"/>
                <w:szCs w:val="18"/>
                <w:color w:val="auto"/>
              </w:rPr>
              <w:t>§28.3.</w:t>
            </w:r>
          </w:p>
        </w:tc>
        <w:tc>
          <w:tcPr>
            <w:tcW w:w="8220" w:type="dxa"/>
            <w:vAlign w:val="bottom"/>
          </w:tcPr>
          <w:p>
            <w:pPr>
              <w:ind w:left="100"/>
              <w:spacing w:after="0"/>
              <w:rPr>
                <w:sz w:val="20"/>
                <w:szCs w:val="20"/>
                <w:color w:val="auto"/>
              </w:rPr>
            </w:pPr>
            <w:r>
              <w:rPr>
                <w:rFonts w:ascii="Arial" w:cs="Arial" w:eastAsia="Arial" w:hAnsi="Arial"/>
                <w:sz w:val="18"/>
                <w:szCs w:val="18"/>
                <w:color w:val="auto"/>
              </w:rPr>
              <w:t>Effectiveness; Enforcement</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16"/>
        </w:trPr>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§28.4.</w:t>
            </w:r>
          </w:p>
        </w:tc>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Waiver</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16"/>
        </w:trPr>
        <w:tc>
          <w:tcPr>
            <w:tcW w:w="980" w:type="dxa"/>
            <w:vAlign w:val="bottom"/>
          </w:tcPr>
          <w:p>
            <w:pPr>
              <w:ind w:left="420"/>
              <w:spacing w:after="0"/>
              <w:rPr>
                <w:sz w:val="20"/>
                <w:szCs w:val="20"/>
                <w:color w:val="auto"/>
              </w:rPr>
            </w:pPr>
            <w:r>
              <w:rPr>
                <w:rFonts w:ascii="Arial" w:cs="Arial" w:eastAsia="Arial" w:hAnsi="Arial"/>
                <w:sz w:val="18"/>
                <w:szCs w:val="18"/>
                <w:color w:val="auto"/>
              </w:rPr>
              <w:t>§28.5.</w:t>
            </w:r>
          </w:p>
        </w:tc>
        <w:tc>
          <w:tcPr>
            <w:tcW w:w="8220" w:type="dxa"/>
            <w:vAlign w:val="bottom"/>
          </w:tcPr>
          <w:p>
            <w:pPr>
              <w:ind w:left="100"/>
              <w:spacing w:after="0"/>
              <w:rPr>
                <w:sz w:val="20"/>
                <w:szCs w:val="20"/>
                <w:color w:val="auto"/>
              </w:rPr>
            </w:pPr>
            <w:r>
              <w:rPr>
                <w:rFonts w:ascii="Arial" w:cs="Arial" w:eastAsia="Arial" w:hAnsi="Arial"/>
                <w:sz w:val="18"/>
                <w:szCs w:val="18"/>
                <w:color w:val="auto"/>
              </w:rPr>
              <w:t>Expenses</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16"/>
        </w:trPr>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§28.6.  Concerning Joint and Several Liability of the Guarantor</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16"/>
        </w:trPr>
        <w:tc>
          <w:tcPr>
            <w:tcW w:w="980" w:type="dxa"/>
            <w:vAlign w:val="bottom"/>
          </w:tcPr>
          <w:p>
            <w:pPr>
              <w:ind w:left="420"/>
              <w:spacing w:after="0"/>
              <w:rPr>
                <w:sz w:val="20"/>
                <w:szCs w:val="20"/>
                <w:color w:val="auto"/>
              </w:rPr>
            </w:pPr>
            <w:r>
              <w:rPr>
                <w:rFonts w:ascii="Arial" w:cs="Arial" w:eastAsia="Arial" w:hAnsi="Arial"/>
                <w:sz w:val="18"/>
                <w:szCs w:val="18"/>
                <w:color w:val="auto"/>
              </w:rPr>
              <w:t>§28.7.</w:t>
            </w:r>
          </w:p>
        </w:tc>
        <w:tc>
          <w:tcPr>
            <w:tcW w:w="8220" w:type="dxa"/>
            <w:vAlign w:val="bottom"/>
          </w:tcPr>
          <w:p>
            <w:pPr>
              <w:ind w:left="100"/>
              <w:spacing w:after="0"/>
              <w:rPr>
                <w:sz w:val="20"/>
                <w:szCs w:val="20"/>
                <w:color w:val="auto"/>
              </w:rPr>
            </w:pPr>
            <w:r>
              <w:rPr>
                <w:rFonts w:ascii="Arial" w:cs="Arial" w:eastAsia="Arial" w:hAnsi="Arial"/>
                <w:sz w:val="18"/>
                <w:szCs w:val="18"/>
                <w:color w:val="auto"/>
              </w:rPr>
              <w:t>Waiver</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16"/>
        </w:trPr>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§28.8.</w:t>
            </w:r>
          </w:p>
        </w:tc>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Subrogation; Subordination</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16"/>
        </w:trPr>
        <w:tc>
          <w:tcPr>
            <w:tcW w:w="980" w:type="dxa"/>
            <w:vAlign w:val="bottom"/>
          </w:tcPr>
          <w:p>
            <w:pPr>
              <w:ind w:left="420"/>
              <w:spacing w:after="0"/>
              <w:rPr>
                <w:sz w:val="20"/>
                <w:szCs w:val="20"/>
                <w:color w:val="auto"/>
              </w:rPr>
            </w:pPr>
            <w:r>
              <w:rPr>
                <w:rFonts w:ascii="Arial" w:cs="Arial" w:eastAsia="Arial" w:hAnsi="Arial"/>
                <w:sz w:val="18"/>
                <w:szCs w:val="18"/>
                <w:color w:val="auto"/>
              </w:rPr>
              <w:t>§28.9.</w:t>
            </w:r>
          </w:p>
        </w:tc>
        <w:tc>
          <w:tcPr>
            <w:tcW w:w="8220" w:type="dxa"/>
            <w:vAlign w:val="bottom"/>
          </w:tcPr>
          <w:p>
            <w:pPr>
              <w:ind w:left="100"/>
              <w:spacing w:after="0"/>
              <w:rPr>
                <w:sz w:val="20"/>
                <w:szCs w:val="20"/>
                <w:color w:val="auto"/>
              </w:rPr>
            </w:pPr>
            <w:r>
              <w:rPr>
                <w:rFonts w:ascii="Arial" w:cs="Arial" w:eastAsia="Arial" w:hAnsi="Arial"/>
                <w:sz w:val="18"/>
                <w:szCs w:val="18"/>
                <w:color w:val="auto"/>
              </w:rPr>
              <w:t>Consent and Confirmation</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 PRO RATA TREATMENT</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§30. FINAL AGREEMENT</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 USA PATRIOT Act</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§32. NO ADVISORY OR FIDUCIARY RESPONSIBILITY</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 PAYMENTS SET ASIDE</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§34. ELECTRONIC EXECUTION OF ASSIGNMENTS AND CERTAIN OTHER DOCUMENTS</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91</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v -</w:t>
      </w:r>
    </w:p>
    <w:p>
      <w:pPr>
        <w:sectPr>
          <w:pgSz w:w="11900" w:h="16838" w:orient="portrait"/>
          <w:cols w:equalWidth="0" w:num="1">
            <w:col w:w="11420"/>
          </w:cols>
          <w:pgMar w:left="240" w:top="28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EXHIBITS:</w:t>
            </w: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260" w:type="dxa"/>
            <w:vAlign w:val="bottom"/>
            <w:gridSpan w:val="4"/>
          </w:tcPr>
          <w:p>
            <w:pPr>
              <w:spacing w:after="0"/>
              <w:rPr>
                <w:sz w:val="20"/>
                <w:szCs w:val="20"/>
                <w:color w:val="auto"/>
              </w:rPr>
            </w:pPr>
            <w:r>
              <w:rPr>
                <w:rFonts w:ascii="Arial" w:cs="Arial" w:eastAsia="Arial" w:hAnsi="Arial"/>
                <w:sz w:val="18"/>
                <w:szCs w:val="18"/>
                <w:color w:val="auto"/>
              </w:rPr>
              <w:t>Exhibit A</w:t>
            </w:r>
          </w:p>
        </w:tc>
        <w:tc>
          <w:tcPr>
            <w:tcW w:w="10160" w:type="dxa"/>
            <w:vAlign w:val="bottom"/>
          </w:tcPr>
          <w:p>
            <w:pPr>
              <w:ind w:left="100"/>
              <w:spacing w:after="0"/>
              <w:rPr>
                <w:sz w:val="20"/>
                <w:szCs w:val="20"/>
                <w:color w:val="auto"/>
              </w:rPr>
            </w:pPr>
            <w:r>
              <w:rPr>
                <w:rFonts w:ascii="Arial" w:cs="Arial" w:eastAsia="Arial" w:hAnsi="Arial"/>
                <w:sz w:val="18"/>
                <w:szCs w:val="18"/>
                <w:color w:val="auto"/>
              </w:rPr>
              <w:t>Form of Syndicated Loan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Exhibit B</w:t>
            </w: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Form of Swing Line Loan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10160" w:type="dxa"/>
            <w:vAlign w:val="bottom"/>
          </w:tcPr>
          <w:p>
            <w:pPr>
              <w:ind w:left="100"/>
              <w:spacing w:after="0"/>
              <w:rPr>
                <w:sz w:val="20"/>
                <w:szCs w:val="20"/>
                <w:color w:val="auto"/>
              </w:rPr>
            </w:pPr>
            <w:r>
              <w:rPr>
                <w:rFonts w:ascii="Arial" w:cs="Arial" w:eastAsia="Arial" w:hAnsi="Arial"/>
                <w:sz w:val="18"/>
                <w:szCs w:val="18"/>
                <w:color w:val="auto"/>
              </w:rPr>
              <w:t>Form of Letter of Credit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Exhibit D</w:t>
            </w: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10160" w:type="dxa"/>
            <w:vAlign w:val="bottom"/>
          </w:tcPr>
          <w:p>
            <w:pPr>
              <w:ind w:left="100"/>
              <w:spacing w:after="0"/>
              <w:rPr>
                <w:sz w:val="20"/>
                <w:szCs w:val="20"/>
                <w:color w:val="auto"/>
              </w:rPr>
            </w:pPr>
            <w:r>
              <w:rPr>
                <w:rFonts w:ascii="Arial" w:cs="Arial" w:eastAsia="Arial" w:hAnsi="Arial"/>
                <w:sz w:val="18"/>
                <w:szCs w:val="18"/>
                <w:color w:val="auto"/>
              </w:rPr>
              <w:t>Form of Assignment and Assumption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Exhibit F</w:t>
            </w: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Form of Administrative Questionnaire</w:t>
            </w:r>
          </w:p>
        </w:tc>
        <w:tc>
          <w:tcPr>
            <w:tcW w:w="0" w:type="dxa"/>
            <w:vAlign w:val="bottom"/>
          </w:tcPr>
          <w:p>
            <w:pPr>
              <w:spacing w:after="0"/>
              <w:rPr>
                <w:sz w:val="1"/>
                <w:szCs w:val="1"/>
                <w:color w:val="auto"/>
              </w:rPr>
            </w:pPr>
          </w:p>
        </w:tc>
      </w:tr>
      <w:tr>
        <w:trPr>
          <w:trHeight w:val="392"/>
        </w:trPr>
        <w:tc>
          <w:tcPr>
            <w:tcW w:w="1260" w:type="dxa"/>
            <w:vAlign w:val="bottom"/>
            <w:gridSpan w:val="4"/>
          </w:tcPr>
          <w:p>
            <w:pPr>
              <w:spacing w:after="0"/>
              <w:rPr>
                <w:sz w:val="20"/>
                <w:szCs w:val="20"/>
                <w:color w:val="auto"/>
              </w:rPr>
            </w:pPr>
            <w:r>
              <w:rPr>
                <w:rFonts w:ascii="Arial" w:cs="Arial" w:eastAsia="Arial" w:hAnsi="Arial"/>
                <w:sz w:val="18"/>
                <w:szCs w:val="18"/>
                <w:b w:val="1"/>
                <w:bCs w:val="1"/>
                <w:color w:val="auto"/>
              </w:rPr>
              <w:t>SCHEDULES:</w:t>
            </w:r>
          </w:p>
        </w:tc>
        <w:tc>
          <w:tcPr>
            <w:tcW w:w="10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Schedule 1</w:t>
            </w: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Banks; Commitments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Schedule 1.1</w:t>
            </w:r>
          </w:p>
        </w:tc>
        <w:tc>
          <w:tcPr>
            <w:tcW w:w="10160" w:type="dxa"/>
            <w:vAlign w:val="bottom"/>
          </w:tcPr>
          <w:p>
            <w:pPr>
              <w:ind w:left="100"/>
              <w:spacing w:after="0"/>
              <w:rPr>
                <w:sz w:val="20"/>
                <w:szCs w:val="20"/>
                <w:color w:val="auto"/>
              </w:rPr>
            </w:pPr>
            <w:r>
              <w:rPr>
                <w:rFonts w:ascii="Arial" w:cs="Arial" w:eastAsia="Arial" w:hAnsi="Arial"/>
                <w:sz w:val="18"/>
                <w:szCs w:val="18"/>
                <w:color w:val="auto"/>
              </w:rPr>
              <w:t>Existing Liens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Schedule 3.1</w:t>
            </w: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Issuing Banks and Issuing Bank Limits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Schedule 3.1.1</w:t>
            </w:r>
          </w:p>
        </w:tc>
        <w:tc>
          <w:tcPr>
            <w:tcW w:w="10160" w:type="dxa"/>
            <w:vAlign w:val="bottom"/>
          </w:tcPr>
          <w:p>
            <w:pPr>
              <w:ind w:left="100"/>
              <w:spacing w:after="0"/>
              <w:rPr>
                <w:sz w:val="20"/>
                <w:szCs w:val="20"/>
                <w:color w:val="auto"/>
              </w:rPr>
            </w:pPr>
            <w:r>
              <w:rPr>
                <w:rFonts w:ascii="Arial" w:cs="Arial" w:eastAsia="Arial" w:hAnsi="Arial"/>
                <w:sz w:val="18"/>
                <w:szCs w:val="18"/>
                <w:color w:val="auto"/>
              </w:rPr>
              <w:t>Form of Increase/Decrease Letter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Schedule 3.1.2</w:t>
            </w: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Existing Letters of Credit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Schedule 6.7</w:t>
            </w:r>
          </w:p>
        </w:tc>
        <w:tc>
          <w:tcPr>
            <w:tcW w:w="1016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Schedule 6.15</w:t>
            </w: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Environmental Compliance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w w:val="95"/>
              </w:rPr>
              <w:t>Schedule 8.1(a)</w:t>
            </w:r>
          </w:p>
        </w:tc>
        <w:tc>
          <w:tcPr>
            <w:tcW w:w="10160" w:type="dxa"/>
            <w:vAlign w:val="bottom"/>
          </w:tcPr>
          <w:p>
            <w:pPr>
              <w:ind w:left="100"/>
              <w:spacing w:after="0"/>
              <w:rPr>
                <w:sz w:val="20"/>
                <w:szCs w:val="20"/>
                <w:color w:val="auto"/>
              </w:rPr>
            </w:pPr>
            <w:r>
              <w:rPr>
                <w:rFonts w:ascii="Arial" w:cs="Arial" w:eastAsia="Arial" w:hAnsi="Arial"/>
                <w:sz w:val="18"/>
                <w:szCs w:val="18"/>
                <w:color w:val="auto"/>
              </w:rPr>
              <w:t>Existing Indebtedness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Schedule 22</w:t>
            </w: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Administrative Agent’s Office; Certain Addresses for Notices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4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ind w:left="4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AMENDED AND RESTATED</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REVOLVING CREDIT AGREEMENT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THIRD AMENDED AND RESTATED REVOLVING CREDIT AGREEMENT</w:t>
      </w:r>
      <w:r>
        <w:rPr>
          <w:rFonts w:ascii="Arial" w:cs="Arial" w:eastAsia="Arial" w:hAnsi="Arial"/>
          <w:sz w:val="18"/>
          <w:szCs w:val="18"/>
          <w:color w:val="auto"/>
        </w:rPr>
        <w:t xml:space="preserve"> is made as of July 10, 2015, by and among </w:t>
      </w:r>
      <w:r>
        <w:rPr>
          <w:rFonts w:ascii="Arial" w:cs="Arial" w:eastAsia="Arial" w:hAnsi="Arial"/>
          <w:sz w:val="18"/>
          <w:szCs w:val="18"/>
          <w:b w:val="1"/>
          <w:bCs w:val="1"/>
          <w:color w:val="auto"/>
        </w:rPr>
        <w:t>WASTE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INC.</w:t>
      </w:r>
      <w:r>
        <w:rPr>
          <w:rFonts w:ascii="Arial" w:cs="Arial" w:eastAsia="Arial" w:hAnsi="Arial"/>
          <w:sz w:val="18"/>
          <w:szCs w:val="18"/>
          <w:color w:val="auto"/>
        </w:rPr>
        <w:t>, a Delaware corporation having its chief executive office at 1001 Fannin Street, Suite 4000, Houston, Texas 77002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WASTE MANAGEMENT HOLDINGS, INC.</w:t>
      </w:r>
      <w:r>
        <w:rPr>
          <w:rFonts w:ascii="Arial" w:cs="Arial" w:eastAsia="Arial" w:hAnsi="Arial"/>
          <w:sz w:val="17"/>
          <w:szCs w:val="17"/>
          <w:color w:val="auto"/>
        </w:rPr>
        <w:t>, a wholly-owned Subsidiary of the Borrower (the “</w:t>
      </w:r>
      <w:r>
        <w:rPr>
          <w:rFonts w:ascii="Arial" w:cs="Arial" w:eastAsia="Arial" w:hAnsi="Arial"/>
          <w:sz w:val="17"/>
          <w:szCs w:val="17"/>
          <w:u w:val="single" w:color="auto"/>
          <w:color w:val="auto"/>
        </w:rPr>
        <w:t>Guarantor</w:t>
      </w:r>
      <w:r>
        <w:rPr>
          <w:rFonts w:ascii="Arial" w:cs="Arial" w:eastAsia="Arial" w:hAnsi="Arial"/>
          <w:sz w:val="17"/>
          <w:szCs w:val="17"/>
          <w:color w:val="auto"/>
        </w:rPr>
        <w:t>”), the lenders from time to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party hereto (the “</w:t>
      </w:r>
      <w:r>
        <w:rPr>
          <w:rFonts w:ascii="Arial" w:cs="Arial" w:eastAsia="Arial" w:hAnsi="Arial"/>
          <w:sz w:val="18"/>
          <w:szCs w:val="18"/>
          <w:u w:val="single" w:color="auto"/>
          <w:color w:val="auto"/>
        </w:rPr>
        <w:t>Banks</w:t>
      </w:r>
      <w:r>
        <w:rPr>
          <w:rFonts w:ascii="Arial" w:cs="Arial" w:eastAsia="Arial" w:hAnsi="Arial"/>
          <w:sz w:val="18"/>
          <w:szCs w:val="18"/>
          <w:color w:val="auto"/>
        </w:rPr>
        <w:t xml:space="preserve">”) and </w:t>
      </w:r>
      <w:r>
        <w:rPr>
          <w:rFonts w:ascii="Arial" w:cs="Arial" w:eastAsia="Arial" w:hAnsi="Arial"/>
          <w:sz w:val="18"/>
          <w:szCs w:val="18"/>
          <w:b w:val="1"/>
          <w:bCs w:val="1"/>
          <w:color w:val="auto"/>
        </w:rPr>
        <w:t>BANK OF AMERICA, N.A.,</w:t>
      </w:r>
      <w:r>
        <w:rPr>
          <w:rFonts w:ascii="Arial" w:cs="Arial" w:eastAsia="Arial" w:hAnsi="Arial"/>
          <w:sz w:val="18"/>
          <w:szCs w:val="18"/>
          <w:color w:val="auto"/>
        </w:rPr>
        <w:t xml:space="preserve">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The Borrower, Bank of America, N.A, as administrative agent, and the lenders party thereto (the “</w:t>
      </w:r>
      <w:r>
        <w:rPr>
          <w:rFonts w:ascii="Arial" w:cs="Arial" w:eastAsia="Arial" w:hAnsi="Arial"/>
          <w:sz w:val="18"/>
          <w:szCs w:val="18"/>
          <w:u w:val="single" w:color="auto"/>
          <w:color w:val="auto"/>
        </w:rPr>
        <w:t>Existing Banks</w:t>
      </w:r>
      <w:r>
        <w:rPr>
          <w:rFonts w:ascii="Arial" w:cs="Arial" w:eastAsia="Arial" w:hAnsi="Arial"/>
          <w:sz w:val="18"/>
          <w:szCs w:val="18"/>
          <w:color w:val="auto"/>
        </w:rPr>
        <w:t>”) entered into that certain Second Amended and Restated Credit Agreement dated as of July 26, 2013 (as amended, supplemented or otherwise modified prior to the date hereof,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the Existing Banks have made available to the Borrower a revolving credit facility, with a letter of credit subfacility and a swing loan subfacility.</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B. As further provided herein and upon the terms and conditions contained herein, the Banks and the Administrative Agent have agreed to reallocate the Commitment and Commitment Percentages of each of the Banks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 The Borrower and the Guarantor have requested that the Existing Credit Agreement be further amended and restated, among other things, to extend the maturity date and make certain other changes as set forth herein, and the Administrative Agent and the Banks are willing to make such amendments to the Existing Credit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ind w:firstLine="464"/>
        <w:spacing w:after="0" w:line="269" w:lineRule="auto"/>
        <w:tabs>
          <w:tab w:leader="none" w:pos="671"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Simultaneously with the Effective Date and after giving effect to any assignments on the Effective Date from Existing Banks under the Existing Credit Agreement who elect not to become Banks under this Agreement, but immediately prior to giving effect to </w:t>
      </w:r>
      <w:r>
        <w:rPr>
          <w:rFonts w:ascii="Arial" w:cs="Arial" w:eastAsia="Arial" w:hAnsi="Arial"/>
          <w:sz w:val="17"/>
          <w:szCs w:val="17"/>
          <w:u w:val="single" w:color="auto"/>
          <w:color w:val="auto"/>
        </w:rPr>
        <w:t>paragraph (iv)</w:t>
      </w:r>
      <w:r>
        <w:rPr>
          <w:rFonts w:ascii="Arial" w:cs="Arial" w:eastAsia="Arial" w:hAnsi="Arial"/>
          <w:sz w:val="17"/>
          <w:szCs w:val="17"/>
          <w:color w:val="auto"/>
        </w:rPr>
        <w:t xml:space="preserve"> below, the parties hereby agree that (A) the Commitment of each of the Banks shall be as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and the outstanding amount of the Syndicated Loans (as defined in and under the Existing Credit Agreement, without giving effect to any Borrowings of Loans under this Agreement on the Effective Date, but after giving effect to any repayment or reduction thereof with the proceeds of any applicable sources) shall be reallocated in accordance with such Commitments, and the requisite assignments shall be deemed to be made in such amounts among the Banks and from each Bank to each other Bank (including from Banks who reduce their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 (B) the swing line subfacility under the Existing Credit Agreement shall continue as the swing line subfacility hereunder, with the Swing Line Sublimit set out herein, and the Swing Line Loans (as defined in the Existing Credit Agreement), if any, shall continue as and be deemed to be Swing Line Loans hereunder, and (C) the letter of credit</w:t>
      </w:r>
    </w:p>
    <w:p>
      <w:pPr>
        <w:spacing w:after="0" w:line="115" w:lineRule="exact"/>
        <w:rPr>
          <w:rFonts w:ascii="Arial" w:cs="Arial" w:eastAsia="Arial" w:hAnsi="Arial"/>
          <w:sz w:val="17"/>
          <w:szCs w:val="17"/>
          <w:color w:val="auto"/>
        </w:rPr>
      </w:pPr>
    </w:p>
    <w:p>
      <w:pPr>
        <w:ind w:left="5660" w:hanging="96"/>
        <w:spacing w:after="0"/>
        <w:tabs>
          <w:tab w:leader="none" w:pos="5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320"/>
          </w:cols>
          <w:pgMar w:left="240" w:top="270" w:right="339" w:bottom="1440" w:gutter="0" w:footer="0" w:header="0"/>
        </w:sectPr>
      </w:pPr>
    </w:p>
    <w:bookmarkStart w:id="13" w:name="page14"/>
    <w:bookmarkEnd w:id="13"/>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subfacility provided in the Existing Credit Agreement shall continue as the Letter of Credit facility hereunder and the Existing Letters of Credit shall be deemed to be Letters of Credit issued hereunder.</w:t>
      </w:r>
    </w:p>
    <w:p>
      <w:pPr>
        <w:spacing w:after="0" w:line="170" w:lineRule="exact"/>
        <w:rPr>
          <w:sz w:val="20"/>
          <w:szCs w:val="20"/>
          <w:color w:val="auto"/>
        </w:rPr>
      </w:pPr>
    </w:p>
    <w:p>
      <w:pPr>
        <w:ind w:right="20" w:firstLine="464"/>
        <w:spacing w:after="0" w:line="271" w:lineRule="auto"/>
        <w:tabs>
          <w:tab w:leader="none" w:pos="721"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§20 of the Existing Credit Agreement or §20 of this Agreement, no other documents or instruments, including any Assignment and Assumption, shall be executed in connection with these assignments (all of which requirements are hereby waived), and such assignments shall be deemed to be made with all applicable representations, warranties and covenants as if evidenced by an Assignment and Assumption. On the Effective Date, the applicable Banks shall make full cash settlement with one another (including with any Bank whose commitments are being decreased), either directly or through the Administrative Agent, as the Administrative Agent may direct or approve, with respect to all assignments, reallocations and other changes in Commitments, such that after giving effect to such settlements (A) the Commitment of each Bank shall be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this Agreement, (B) each Bank’s Commitment Percentage of the Total Commitment equals (with customary rounding) its Commitment Percentage of (x) the outstanding amount of all Loans, and (y) the outstanding amount of all Letters of Credit.</w:t>
      </w:r>
    </w:p>
    <w:p>
      <w:pPr>
        <w:spacing w:after="0" w:line="178" w:lineRule="exact"/>
        <w:rPr>
          <w:rFonts w:ascii="Arial" w:cs="Arial" w:eastAsia="Arial" w:hAnsi="Arial"/>
          <w:sz w:val="17"/>
          <w:szCs w:val="17"/>
          <w:color w:val="auto"/>
        </w:rPr>
      </w:pPr>
    </w:p>
    <w:p>
      <w:pPr>
        <w:ind w:right="180" w:firstLine="464"/>
        <w:spacing w:after="0" w:line="257" w:lineRule="auto"/>
        <w:tabs>
          <w:tab w:leader="none" w:pos="77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Borrower, the Guarantor, the Administrative Agent and the Banks hereby agree that upon the effectiveness of this Agreement, the terms and provisions of the Existing Credit Agreement which in any manner govern or evidence the Obligations, the rights and interests of the Administrative Agent and the Banks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188" w:lineRule="exact"/>
        <w:rPr>
          <w:rFonts w:ascii="Arial" w:cs="Arial" w:eastAsia="Arial" w:hAnsi="Arial"/>
          <w:sz w:val="18"/>
          <w:szCs w:val="18"/>
          <w:color w:val="auto"/>
        </w:rPr>
      </w:pPr>
    </w:p>
    <w:p>
      <w:pPr>
        <w:ind w:firstLine="464"/>
        <w:spacing w:after="0" w:line="287" w:lineRule="auto"/>
        <w:tabs>
          <w:tab w:leader="none" w:pos="761"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Notwithstanding this amendment and restatement of the Existing Credit Agreement and any related Loan Documents (as such term is defined in the Existing Credit Agreement and referred to herein, individually or collectively, as the “</w:t>
      </w:r>
      <w:r>
        <w:rPr>
          <w:rFonts w:ascii="Arial" w:cs="Arial" w:eastAsia="Arial" w:hAnsi="Arial"/>
          <w:sz w:val="16"/>
          <w:szCs w:val="16"/>
          <w:u w:val="single" w:color="auto"/>
          <w:color w:val="auto"/>
        </w:rPr>
        <w:t>Existing Loan Documents</w:t>
      </w:r>
      <w:r>
        <w:rPr>
          <w:rFonts w:ascii="Arial" w:cs="Arial" w:eastAsia="Arial" w:hAnsi="Arial"/>
          <w:sz w:val="16"/>
          <w:szCs w:val="16"/>
          <w:color w:val="auto"/>
        </w:rPr>
        <w:t>”), (A) all of the indebtedness, liabilities and obligations owing by any Person under the Existing Credit Agreement and other Existing Loan Documents outstanding as of the Effective Date shall continue as Obligations hereunder, (B) each of this Agreement and the Notes and the other Loan Documents is given as a substitution or supplement of, as the case may be, and not as a payment of, the indebtedness, liabilities and obligations of the Borrower and the Guarantor under the Existing Credit Agreement or any Existing Loan Document and is not intended to constitute a novation thereof or of any of the other Existing Loan Documents, and (C) certain of the Existing Loan Documents will remain in full force and effect, as set forth in this Agreement. Upon the effectiveness of this Agreement all loans outstanding and owing by the Borrower under the Existing Credit Agreement as of the Effective Date, shall constitute Loans hereunder accruing interest with respect to the Base Rate Loans under the Existing Credit Agreement, at the Applicable Base Rate hereunder. The parties hereto agree that the Interest Periods for all Eurodollar Loans outstanding under the Existing Credit Agreement on the Effective Date shall be terminated, the Borrower shall pay (on the Effective Date) all accrued interest with respect to such Loans, and the Borrower shall furnish to the Administrative Agent interest rate selection notices for existing Loans and borrowing notices for additional Loans as may be required in connection with the allocation of Loans among Banks in accordance with</w:t>
      </w:r>
    </w:p>
    <w:p>
      <w:pPr>
        <w:spacing w:after="0" w:line="101" w:lineRule="exact"/>
        <w:rPr>
          <w:rFonts w:ascii="Arial" w:cs="Arial" w:eastAsia="Arial" w:hAnsi="Arial"/>
          <w:sz w:val="16"/>
          <w:szCs w:val="16"/>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Commitment Percentages. The Administrative Agent and the Existing Banks agree that the transactions contemplated in these recitals shall not give rise to any obligation of the Borrower or the Guarantor to make any payment under §5.8 of the Existing Credit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DEFINITIONS AND RULES OF INTERPRETATION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§1.1. Definitions</w:t>
      </w:r>
      <w:r>
        <w:rPr>
          <w:rFonts w:ascii="Arial" w:cs="Arial" w:eastAsia="Arial" w:hAnsi="Arial"/>
          <w:sz w:val="16"/>
          <w:szCs w:val="16"/>
          <w:color w:val="auto"/>
        </w:rPr>
        <w:t>. The following terms shall have the meanings set forth in this §1 or elsewhere in the provisions of this Agreement referred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See §7.4(a).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 See Preamble.</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The Administrative Agent’s address and, as appropriate, account as set forth on </w:t>
      </w:r>
      <w:r>
        <w:rPr>
          <w:rFonts w:ascii="Arial" w:cs="Arial" w:eastAsia="Arial" w:hAnsi="Arial"/>
          <w:sz w:val="18"/>
          <w:szCs w:val="18"/>
          <w:u w:val="single" w:color="auto"/>
          <w:color w:val="auto"/>
        </w:rPr>
        <w:t>Schedule 22</w:t>
      </w:r>
      <w:r>
        <w:rPr>
          <w:rFonts w:ascii="Arial" w:cs="Arial" w:eastAsia="Arial" w:hAnsi="Arial"/>
          <w:sz w:val="18"/>
          <w:szCs w:val="18"/>
          <w:color w:val="auto"/>
        </w:rPr>
        <w:t>, or such other address or account as the Administrative Agent may from time to time notify the Borrower and the Banks.</w:t>
      </w:r>
    </w:p>
    <w:p>
      <w:pPr>
        <w:spacing w:after="0" w:line="170" w:lineRule="exact"/>
        <w:rPr>
          <w:sz w:val="20"/>
          <w:szCs w:val="20"/>
          <w:color w:val="auto"/>
        </w:rPr>
      </w:pPr>
    </w:p>
    <w:p>
      <w:pPr>
        <w:ind w:right="1020" w:firstLine="456"/>
        <w:spacing w:after="0" w:line="277" w:lineRule="auto"/>
        <w:rPr>
          <w:sz w:val="20"/>
          <w:szCs w:val="20"/>
          <w:color w:val="auto"/>
        </w:rPr>
      </w:pP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An Administrative Questionnaire in substantially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Affected Bank</w:t>
      </w:r>
      <w:r>
        <w:rPr>
          <w:rFonts w:ascii="Arial" w:cs="Arial" w:eastAsia="Arial" w:hAnsi="Arial"/>
          <w:sz w:val="18"/>
          <w:szCs w:val="18"/>
          <w:color w:val="auto"/>
        </w:rPr>
        <w:t>. See §5.12.</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This Third Amended and Restated Revolving Credit Agreement, including the Schedules and Exhibits hereto, as from time to time amended and supplemented in accordance with the terms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Base Rate</w:t>
      </w:r>
      <w:r>
        <w:rPr>
          <w:rFonts w:ascii="Arial" w:cs="Arial" w:eastAsia="Arial" w:hAnsi="Arial"/>
          <w:sz w:val="18"/>
          <w:szCs w:val="18"/>
          <w:color w:val="auto"/>
        </w:rPr>
        <w:t>. The applicable rate per annum of interest on the Base Rate Loans as set forth in the Pricing Table.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Eurodollar Rate</w:t>
      </w:r>
      <w:r>
        <w:rPr>
          <w:rFonts w:ascii="Arial" w:cs="Arial" w:eastAsia="Arial" w:hAnsi="Arial"/>
          <w:sz w:val="18"/>
          <w:szCs w:val="18"/>
          <w:color w:val="auto"/>
        </w:rPr>
        <w:t>. The applicable rate per annum of interest on the Eurodollar Loans shall be as set forth in the Pricing Table.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Facility Fee Rate</w:t>
      </w:r>
      <w:r>
        <w:rPr>
          <w:rFonts w:ascii="Arial" w:cs="Arial" w:eastAsia="Arial" w:hAnsi="Arial"/>
          <w:sz w:val="18"/>
          <w:szCs w:val="18"/>
          <w:color w:val="auto"/>
        </w:rPr>
        <w:t>. The applicable rate per annum with respect to the Facility Fee shall be as set forth in the Pricing Table.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L/C Rate</w:t>
      </w:r>
      <w:r>
        <w:rPr>
          <w:rFonts w:ascii="Arial" w:cs="Arial" w:eastAsia="Arial" w:hAnsi="Arial"/>
          <w:sz w:val="18"/>
          <w:szCs w:val="18"/>
          <w:color w:val="auto"/>
        </w:rPr>
        <w:t>. The applicable rate per annum on the Maximum Drawing Amount shall be as set forth in the Pricing Table.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Requirements</w:t>
      </w:r>
      <w:r>
        <w:rPr>
          <w:rFonts w:ascii="Arial" w:cs="Arial" w:eastAsia="Arial" w:hAnsi="Arial"/>
          <w:sz w:val="18"/>
          <w:szCs w:val="18"/>
          <w:color w:val="auto"/>
        </w:rPr>
        <w:t>. See §7.10.</w:t>
      </w:r>
    </w:p>
    <w:p>
      <w:pPr>
        <w:spacing w:after="0" w:line="22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u w:val="single" w:color="auto"/>
          <w:color w:val="auto"/>
        </w:rPr>
        <w:t>Applicable Spot Rate</w:t>
      </w:r>
      <w:r>
        <w:rPr>
          <w:rFonts w:ascii="Arial" w:cs="Arial" w:eastAsia="Arial" w:hAnsi="Arial"/>
          <w:sz w:val="18"/>
          <w:szCs w:val="18"/>
          <w:color w:val="auto"/>
        </w:rPr>
        <w:t xml:space="preserve">. On any date, the quoted spot rate for conversion of U.S. Dollars to Canadian Dollars by the Administrative Agent or the respective Issuing Bank, as applicable, through its principal foreign exchange trading office at approximately 11:00 a.m. (New York time)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or such Issuing Bank may obtain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40"/>
          </w:cols>
          <w:pgMar w:left="240" w:top="274" w:right="319" w:bottom="1440" w:gutter="0" w:footer="0" w:header="0"/>
        </w:sectPr>
      </w:pPr>
    </w:p>
    <w:bookmarkStart w:id="15" w:name="page16"/>
    <w:bookmarkEnd w:id="15"/>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spot rate from another financial institution designated by the Administrative Agent or such Issuing Bank if the Person acting in such capacity does not have as of the date of determination a spot buying rate for any such currency;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 Issuing Bank may use such spot rate quoted on the date as of which the foreign exchange computation is made.</w:t>
      </w:r>
    </w:p>
    <w:p>
      <w:pPr>
        <w:spacing w:after="0" w:line="181"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u w:val="single" w:color="auto"/>
          <w:color w:val="auto"/>
        </w:rPr>
        <w:t>Approved Fund</w:t>
      </w:r>
      <w:r>
        <w:rPr>
          <w:rFonts w:ascii="Arial" w:cs="Arial" w:eastAsia="Arial" w:hAnsi="Arial"/>
          <w:sz w:val="17"/>
          <w:szCs w:val="17"/>
          <w:color w:val="auto"/>
        </w:rPr>
        <w:t>. Any Person (other than a natural person) that is engaged in making, purchasing, holding or investing in bank loans and similar extensions of credit in the ordinary course of its activities and that is administered or managed by (a) a Bank or (b) a Bank Affiliate.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See §20.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Balance Sheet Date</w:t>
      </w:r>
      <w:r>
        <w:rPr>
          <w:rFonts w:ascii="Arial" w:cs="Arial" w:eastAsia="Arial" w:hAnsi="Arial"/>
          <w:sz w:val="18"/>
          <w:szCs w:val="18"/>
          <w:color w:val="auto"/>
        </w:rPr>
        <w:t>. December 31, 2014.</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Bank Affiliate</w:t>
      </w:r>
      <w:r>
        <w:rPr>
          <w:rFonts w:ascii="Arial" w:cs="Arial" w:eastAsia="Arial" w:hAnsi="Arial"/>
          <w:sz w:val="18"/>
          <w:szCs w:val="18"/>
          <w:color w:val="auto"/>
        </w:rPr>
        <w:t>.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“Affiliate”) or (ii) any entity (whether a corporation, partnership, trust or otherwise) that is engaged in making, purchasing, holding or otherwise investing in bank loans and similar extensions of credit in the ordinary course of its activities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Bank of America</w:t>
      </w:r>
      <w:r>
        <w:rPr>
          <w:rFonts w:ascii="Arial" w:cs="Arial" w:eastAsia="Arial" w:hAnsi="Arial"/>
          <w:sz w:val="18"/>
          <w:szCs w:val="18"/>
          <w:color w:val="auto"/>
        </w:rPr>
        <w:t>. Bank of America, N.A.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Banks</w:t>
      </w:r>
      <w:r>
        <w:rPr>
          <w:rFonts w:ascii="Arial" w:cs="Arial" w:eastAsia="Arial" w:hAnsi="Arial"/>
          <w:sz w:val="18"/>
          <w:szCs w:val="18"/>
          <w:color w:val="auto"/>
        </w:rPr>
        <w:t>. See Preamble.</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u w:val="single" w:color="auto"/>
          <w:color w:val="auto"/>
        </w:rPr>
        <w:t>Base Rate</w:t>
      </w:r>
      <w:r>
        <w:rPr>
          <w:rFonts w:ascii="Arial" w:cs="Arial" w:eastAsia="Arial" w:hAnsi="Arial"/>
          <w:sz w:val="17"/>
          <w:szCs w:val="17"/>
          <w:color w:val="auto"/>
        </w:rPr>
        <w:t>. For any day, a fluctuating rate per annum equal to the highest of (a) the Federal Funds Rate plus 1/2 of 1%, (b) the rate of interest in effect for such day as publicly announced from time to time by Bank of America as its “prime rate,” and (c) the Eurodollar Rate plus 1.00%; and if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Rate Loans</w:t>
      </w:r>
      <w:r>
        <w:rPr>
          <w:rFonts w:ascii="Arial" w:cs="Arial" w:eastAsia="Arial" w:hAnsi="Arial"/>
          <w:sz w:val="18"/>
          <w:szCs w:val="18"/>
          <w:color w:val="auto"/>
        </w:rPr>
        <w:t>. Syndicated Loans or Swing Line Loans bearing interest calculated by reference to the Base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 See Preamble.</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u w:val="single" w:color="auto"/>
          <w:color w:val="auto"/>
        </w:rPr>
        <w:t>Borrowing</w:t>
      </w:r>
      <w:r>
        <w:rPr>
          <w:rFonts w:ascii="Arial" w:cs="Arial" w:eastAsia="Arial" w:hAnsi="Arial"/>
          <w:sz w:val="18"/>
          <w:szCs w:val="18"/>
          <w:color w:val="auto"/>
        </w:rPr>
        <w:t>. Syndicated Loans of the same Type, made, converted or continued on the same date and, in the case of Eurodollar Loans, as to which a single Interest Period is in effect or Swing Line Loans.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4" w:right="239" w:bottom="1440" w:gutter="0" w:footer="0" w:header="0"/>
        </w:sectPr>
      </w:pPr>
    </w:p>
    <w:bookmarkStart w:id="16" w:name="page17"/>
    <w:bookmarkEnd w:id="16"/>
    <w:p>
      <w:pPr>
        <w:ind w:right="2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Day</w:t>
      </w:r>
      <w:r>
        <w:rPr>
          <w:rFonts w:ascii="Arial" w:cs="Arial" w:eastAsia="Arial" w:hAnsi="Arial"/>
          <w:sz w:val="18"/>
          <w:szCs w:val="18"/>
          <w:color w:val="auto"/>
        </w:rPr>
        <w:t>. Any day, other than a Saturday, Sunday or any day on which banking institutions in New York, New York are authorized by law to close, and, when used in connection with a Eurodollar Loan, such day is also a Eurodollar Business Day.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Canadian Dollars or C$</w:t>
      </w:r>
      <w:r>
        <w:rPr>
          <w:rFonts w:ascii="Arial" w:cs="Arial" w:eastAsia="Arial" w:hAnsi="Arial"/>
          <w:sz w:val="18"/>
          <w:szCs w:val="18"/>
          <w:color w:val="auto"/>
        </w:rPr>
        <w:t>. The lawful currency of Canada.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Canadian Dollar Letter of Credit</w:t>
      </w:r>
      <w:r>
        <w:rPr>
          <w:rFonts w:ascii="Arial" w:cs="Arial" w:eastAsia="Arial" w:hAnsi="Arial"/>
          <w:sz w:val="18"/>
          <w:szCs w:val="18"/>
          <w:color w:val="auto"/>
        </w:rPr>
        <w:t>. See §3.1(e).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Canadian Subsidiary</w:t>
      </w:r>
      <w:r>
        <w:rPr>
          <w:rFonts w:ascii="Arial" w:cs="Arial" w:eastAsia="Arial" w:hAnsi="Arial"/>
          <w:sz w:val="18"/>
          <w:szCs w:val="18"/>
          <w:color w:val="auto"/>
        </w:rPr>
        <w:t>. A Subsidiary that is organized under the laws of Canada or any province thereof.</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u w:val="single" w:color="auto"/>
          <w:color w:val="auto"/>
        </w:rPr>
        <w:t>Capitalized Leases or Capital Leases</w:t>
      </w:r>
      <w:r>
        <w:rPr>
          <w:rFonts w:ascii="Arial" w:cs="Arial" w:eastAsia="Arial" w:hAnsi="Arial"/>
          <w:sz w:val="18"/>
          <w:szCs w:val="18"/>
          <w:color w:val="auto"/>
        </w:rPr>
        <w:t>. Leases under which a Person is the lessee or obligor and the discounted future rental payment obligations under which are required to be capitalized on the consolidated balance sheet of the lessee or obligor in accordance with GAAP.</w:t>
      </w:r>
    </w:p>
    <w:p>
      <w:pPr>
        <w:spacing w:after="0" w:line="17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u w:val="single" w:color="auto"/>
          <w:color w:val="auto"/>
        </w:rPr>
        <w:t>Cash Equivalents</w:t>
      </w:r>
      <w:r>
        <w:rPr>
          <w:rFonts w:ascii="Arial" w:cs="Arial" w:eastAsia="Arial" w:hAnsi="Arial"/>
          <w:sz w:val="16"/>
          <w:szCs w:val="16"/>
          <w:color w:val="auto"/>
        </w:rPr>
        <w:t>. Investments in (i) direct obligations of, or unconditionally guaranteed by, the United States of America or any agency or instrumentality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full faith and credit of the United States of America is pledged in support thereof) having maturities of less than one year, (ii) U.S. Dollar-denominated time deposits, certificates of deposit and banker’s acceptances of any Bank or any other bank whose short-term commercial paper rating from Standard &amp; Poor’s is at least A-1 or from Moody’s is at least P-1 (each an “Approved Bank”) with maturities of not more than one year from the date of investment, (iii) commercial paper issued by, or guaranteed by, an Approved Bank or by the parent company of an Approved Bank, or issued by, or guaranteed by, any company with a short-term debt rating of at least A-1 by Standard &amp; Poor’s and P-1 by Moody’s, in each case maturing within one year from the date of investment, (iv) repurchase agreements with a term of less than one year for underlying securities of the types described in clauses (ii) and (iii) entered into with an Approved Bank, (v) variable rate demand notes with a put option no longer than seven days from date of purchase to the extent backed by letters of credit issued by banks having a credit rating of at least A1 from Moody’s or P1 from Standard &amp; Poor’s; (vi) municipal securities rated at least A1 by Moody’s or P-1 by Standard &amp; Poor’s with a maturity of one year or less; (vii) any money market fund that meets the requirements of Rule 2a-7</w:t>
      </w:r>
    </w:p>
    <w:p>
      <w:pPr>
        <w:spacing w:after="0" w:line="6" w:lineRule="exact"/>
        <w:rPr>
          <w:sz w:val="20"/>
          <w:szCs w:val="20"/>
          <w:color w:val="auto"/>
        </w:rPr>
      </w:pPr>
    </w:p>
    <w:p>
      <w:pPr>
        <w:ind w:right="160" w:firstLine="8"/>
        <w:spacing w:after="0" w:line="261"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(2), (3) and (4) promulgated under the Investment Company Act of 1940, as amended; and (viii) any other fund or funds making substantially all of their Investments in Investments of the kinds described in clauses (i) through (vi)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CERCLA</w:t>
      </w:r>
      <w:r>
        <w:rPr>
          <w:rFonts w:ascii="Arial" w:cs="Arial" w:eastAsia="Arial" w:hAnsi="Arial"/>
          <w:sz w:val="18"/>
          <w:szCs w:val="18"/>
          <w:color w:val="auto"/>
        </w:rPr>
        <w:t>. See §6.15(a).</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u w:val="single" w:color="auto"/>
          <w:color w:val="auto"/>
        </w:rPr>
        <w:t>Certified or certified</w:t>
      </w:r>
      <w:r>
        <w:rPr>
          <w:rFonts w:ascii="Arial" w:cs="Arial" w:eastAsia="Arial" w:hAnsi="Arial"/>
          <w:sz w:val="16"/>
          <w:szCs w:val="16"/>
          <w:color w:val="auto"/>
        </w:rPr>
        <w:t>.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CFO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CAO</w:t>
      </w:r>
      <w:r>
        <w:rPr>
          <w:rFonts w:ascii="Arial" w:cs="Arial" w:eastAsia="Arial" w:hAnsi="Arial"/>
          <w:sz w:val="18"/>
          <w:szCs w:val="18"/>
          <w:color w:val="auto"/>
        </w:rPr>
        <w:t>. See §7.4(b).</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Syndicated Loans or Swing Line Loans.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and in effect from time to time.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74" w:right="239" w:bottom="1440" w:gutter="0" w:footer="0" w:header="0"/>
        </w:sectPr>
      </w:pPr>
    </w:p>
    <w:bookmarkStart w:id="17" w:name="page18"/>
    <w:bookmarkEnd w:id="17"/>
    <w:p>
      <w:pPr>
        <w:ind w:right="40" w:firstLine="456"/>
        <w:spacing w:after="0" w:line="30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Commitment</w:t>
      </w:r>
      <w:r>
        <w:rPr>
          <w:rFonts w:ascii="Arial" w:cs="Arial" w:eastAsia="Arial" w:hAnsi="Arial"/>
          <w:sz w:val="17"/>
          <w:szCs w:val="17"/>
          <w:color w:val="auto"/>
        </w:rPr>
        <w:t>. With respect to each Bank, such Bank’s commitment to make Syndicated Loans to, and to participate in Swing Line Loans and Letters of Credit for the account of, the Borrower, determined by multiplying such Bank’s Commitment Percentage by the Total Commitment.</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u w:val="single" w:color="auto"/>
          <w:color w:val="auto"/>
        </w:rPr>
        <w:t>Commitment Percentage</w:t>
      </w:r>
      <w:r>
        <w:rPr>
          <w:rFonts w:ascii="Arial" w:cs="Arial" w:eastAsia="Arial" w:hAnsi="Arial"/>
          <w:sz w:val="17"/>
          <w:szCs w:val="17"/>
          <w:color w:val="auto"/>
        </w:rPr>
        <w:t xml:space="preserve">. With respect to any Bank at any time, the percentage (carried out to the ninth decimal place) of the Total Commitment represented by such Bank’s Commitment at such time, as the same may be adjusted in accordance with §2.3, §5.14(iv) or §20. If the commitment of a Bank to make Syndicated Loans and the obligation of the Issuing Banks to issue, extend and renew Letters of Credit have been terminated pursuant to §12.2 or otherwise, then the Commitment Percentage of each Bank shall be determined based on the Commitment Percentage of such Bank most recently in effect, giving effect to any subsequent assignments. The initial Commitment Percentage of each Bank is set forth opposite the name of such Bank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or in the Assignment and Assumption pursuant to which such Bank becomes a party hereto, as applicable.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See §7.4(c).</w:t>
      </w:r>
    </w:p>
    <w:p>
      <w:pPr>
        <w:spacing w:after="0" w:line="225"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u w:val="single" w:color="auto"/>
          <w:color w:val="auto"/>
        </w:rPr>
        <w:t>Consolidated or consolidated</w:t>
      </w:r>
      <w:r>
        <w:rPr>
          <w:rFonts w:ascii="Arial" w:cs="Arial" w:eastAsia="Arial" w:hAnsi="Arial"/>
          <w:sz w:val="18"/>
          <w:szCs w:val="18"/>
          <w:color w:val="auto"/>
        </w:rPr>
        <w:t>. With reference to any term defined herein, shall mean that term as applied to the accounts of the Borrower, its Subsidiaries and all variable interest entities consolidated in accordance with GAAP.</w:t>
      </w:r>
    </w:p>
    <w:p>
      <w:pPr>
        <w:spacing w:after="0" w:line="17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u w:val="single" w:color="auto"/>
          <w:color w:val="auto"/>
        </w:rPr>
        <w:t>Consolidated Earnings Before Interest and Taxes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EBIT</w:t>
      </w:r>
      <w:r>
        <w:rPr>
          <w:rFonts w:ascii="Arial" w:cs="Arial" w:eastAsia="Arial" w:hAnsi="Arial"/>
          <w:sz w:val="18"/>
          <w:szCs w:val="18"/>
          <w:color w:val="auto"/>
        </w:rPr>
        <w:t xml:space="preserve">. For any period, the Consolidated Net Income (or Deficit) of the Borrower on a consolidated basis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without duplication, the sum of (1) interest expense, (2) equity in losses (earnings) of unconsolidated entities, (3) income taxes, (4) non-cash writedowns or write-offs of assets, including non-cash losses on the sale of assets outside the ordinary course of business, (5) losses attributable to the extinguishment of Indebtedness and (6) EBIT of the businesses acquired by the Borrower or any of its Subsidiaries (through asset purchases or otherwise) (each an “Acquired Business”) or the Subsidiaries acquired or formed since the beginning of such period (each a “New Subsidiary”) provided, that a statement identifying all such Acquired Businesses and the EBIT of such Acquired Businesses is delivered to the Banks with the Compliance Certificate for such period, all to the extent that each of items (1) through (5) was deducted in determining Consolidated Net Income (or Deficit) in the relevant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non-cash extraordinary gains on the sale of assets outside the ordinary course of business to the extent included in Consolidated Net Income (or Deficit).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Consolidated Earnings Before Interest, Taxes, Depreciation and Amortization or EBITDA</w:t>
      </w:r>
      <w:r>
        <w:rPr>
          <w:rFonts w:ascii="Arial" w:cs="Arial" w:eastAsia="Arial" w:hAnsi="Arial"/>
          <w:sz w:val="16"/>
          <w:szCs w:val="16"/>
          <w:color w:val="auto"/>
        </w:rPr>
        <w:t xml:space="preserve">. For any period, EBIT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depreciation expense, and</w:t>
      </w:r>
    </w:p>
    <w:p>
      <w:pPr>
        <w:spacing w:after="0" w:line="46" w:lineRule="exact"/>
        <w:rPr>
          <w:sz w:val="20"/>
          <w:szCs w:val="20"/>
          <w:color w:val="auto"/>
        </w:rPr>
      </w:pPr>
    </w:p>
    <w:p>
      <w:pPr>
        <w:ind w:right="20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expense to the extent the same would be included in the calculation of Consolidated Net Income (or Deficit) for such period, determined in accordance with GAAP.</w:t>
      </w:r>
    </w:p>
    <w:p>
      <w:pPr>
        <w:spacing w:after="0" w:line="18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u w:val="single" w:color="auto"/>
          <w:color w:val="auto"/>
        </w:rPr>
        <w:t>Consolidated Net Income (or Deficit)</w:t>
      </w:r>
      <w:r>
        <w:rPr>
          <w:rFonts w:ascii="Arial" w:cs="Arial" w:eastAsia="Arial" w:hAnsi="Arial"/>
          <w:sz w:val="18"/>
          <w:szCs w:val="18"/>
          <w:color w:val="auto"/>
        </w:rPr>
        <w:t>. The consolidated net income (or deficit) of the Borrower, after deduction of all expenses, taxes, and other proper charges, determined in accordance with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Consolidated Total Assets less the sum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4" w:right="239" w:bottom="1440" w:gutter="0" w:footer="0" w:header="0"/>
        </w:sectPr>
      </w:pPr>
    </w:p>
    <w:bookmarkStart w:id="18" w:name="page19"/>
    <w:bookmarkEnd w:id="18"/>
    <w:p>
      <w:pPr>
        <w:ind w:left="460" w:right="140" w:firstLine="443"/>
        <w:spacing w:after="0" w:line="264" w:lineRule="auto"/>
        <w:tabs>
          <w:tab w:leader="none" w:pos="1143"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total book value of all assets of the Borrower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w:t>
      </w:r>
      <w:r>
        <w:rPr>
          <w:rFonts w:ascii="Arial" w:cs="Arial" w:eastAsia="Arial" w:hAnsi="Arial"/>
          <w:sz w:val="18"/>
          <w:szCs w:val="18"/>
          <w:u w:val="single" w:color="auto"/>
          <w:color w:val="auto"/>
        </w:rPr>
        <w:t>plus</w:t>
      </w:r>
    </w:p>
    <w:p>
      <w:pPr>
        <w:spacing w:after="0" w:line="73" w:lineRule="exact"/>
        <w:rPr>
          <w:rFonts w:ascii="Arial" w:cs="Arial" w:eastAsia="Arial" w:hAnsi="Arial"/>
          <w:sz w:val="18"/>
          <w:szCs w:val="18"/>
          <w:color w:val="auto"/>
        </w:rPr>
      </w:pPr>
    </w:p>
    <w:p>
      <w:pPr>
        <w:ind w:left="460" w:right="320" w:firstLine="443"/>
        <w:spacing w:after="0" w:line="277" w:lineRule="auto"/>
        <w:tabs>
          <w:tab w:leader="none" w:pos="1153"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amounts representing any write-up in the book value of any assets of the Borrower on a consolidated basis resulting from a revaluation thereof subsequent to the Balance Sheet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All assets of the Borrower determined on a consolidated basis in accordance with GAAP.</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u w:val="single" w:color="auto"/>
          <w:color w:val="auto"/>
        </w:rPr>
        <w:t>Consolidated Total Interest Expense</w:t>
      </w:r>
      <w:r>
        <w:rPr>
          <w:rFonts w:ascii="Arial" w:cs="Arial" w:eastAsia="Arial" w:hAnsi="Arial"/>
          <w:sz w:val="16"/>
          <w:szCs w:val="16"/>
          <w:color w:val="auto"/>
        </w:rPr>
        <w:t>. For any period, the aggregate amount of interest expense required by GAAP to be paid or (without duplication) accrued during such period on all Indebtedness of the Borrower on a consolidated basis outstanding during all or any part of such period, including capitalized interest expense for such period, the amortization of debt discounts and the amortization of fees payable in connection with the incurrence of Indebtedness.</w:t>
      </w:r>
    </w:p>
    <w:p>
      <w:pPr>
        <w:spacing w:after="0" w:line="14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u w:val="single" w:color="auto"/>
          <w:color w:val="auto"/>
        </w:rPr>
        <w:t>Defaulting Bank</w:t>
      </w:r>
      <w:r>
        <w:rPr>
          <w:rFonts w:ascii="Arial" w:cs="Arial" w:eastAsia="Arial" w:hAnsi="Arial"/>
          <w:sz w:val="16"/>
          <w:szCs w:val="16"/>
          <w:color w:val="auto"/>
        </w:rPr>
        <w:t>. Subject to §5.14, any Bank that (a) has failed to (i) perform all or any portion of its funding obligations hereunder, including in respect of Loans or participations in respect of Letters of Credit or Swing Line Loans within three Business Days of the date required to be funded by it hereunder unless such Bank notifies the Administrative Agent and the Borrower in writing that such failure is the result of such Bank’s determination that one or more conditions precedent to funding (each of which conditions precedent, together with any applicable default, shall be specifically identified in such writing) has not been satisfied, or (ii) pay to Administrative Agent, any Issuing Bank, the Swing Line Bank or any other Bank any other amount required to be paid by it hereunder (including in respect of its participation in Letters of Credit or Swing Line Loans) within three Business Days of the date when due,</w:t>
      </w:r>
    </w:p>
    <w:p>
      <w:pPr>
        <w:spacing w:after="0" w:line="5" w:lineRule="exact"/>
        <w:rPr>
          <w:sz w:val="20"/>
          <w:szCs w:val="20"/>
          <w:color w:val="auto"/>
        </w:rPr>
      </w:pPr>
    </w:p>
    <w:p>
      <w:pPr>
        <w:ind w:right="20" w:firstLine="8"/>
        <w:spacing w:after="0" w:line="281"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has notified the Borrower, the Administrative Agent or any Bank that it does not intend to comply with its funding obligations or has made a public statement to that effect with respect to its funding obligations hereunder or under other agreements generally in which it commits to extend credit (unless such writing or public statement relates to such Bank’s obligation to fund a Loan hereunder and states that such position is based on such Bank’s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writing to the Administrative Agent that it will comply with its funding obligations (provided that such Bank shall cease to be a Defaulting Bank pursuant to this clause</w:t>
      </w:r>
    </w:p>
    <w:p>
      <w:pPr>
        <w:spacing w:after="0" w:line="4" w:lineRule="exact"/>
        <w:rPr>
          <w:rFonts w:ascii="Arial" w:cs="Arial" w:eastAsia="Arial" w:hAnsi="Arial"/>
          <w:sz w:val="16"/>
          <w:szCs w:val="16"/>
          <w:color w:val="auto"/>
        </w:rPr>
      </w:pPr>
    </w:p>
    <w:p>
      <w:pPr>
        <w:ind w:right="100" w:firstLine="8"/>
        <w:spacing w:after="0" w:line="252"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upon receipt of such written confirmation by the Administrative Agent), or (d) has, or has a direct or indirect parent company that has, (i) become the subject of a proceeding under any bankruptcy, reorganization, arrangement, insolvency, readjustment of debt, dissolution or liquidation or similar law of any jurisdiction,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 shall not be a Defaulting Bank solely by virtue of the ownership or acquisition of any equity interest in</w:t>
      </w:r>
    </w:p>
    <w:p>
      <w:pPr>
        <w:spacing w:after="0" w:line="126" w:lineRule="exact"/>
        <w:rPr>
          <w:rFonts w:ascii="Arial" w:cs="Arial" w:eastAsia="Arial" w:hAnsi="Arial"/>
          <w:sz w:val="18"/>
          <w:szCs w:val="18"/>
          <w:color w:val="auto"/>
        </w:rPr>
      </w:pPr>
    </w:p>
    <w:p>
      <w:pPr>
        <w:ind w:left="5660" w:hanging="96"/>
        <w:spacing w:after="0"/>
        <w:tabs>
          <w:tab w:leader="none" w:pos="5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74" w:right="239" w:bottom="1440" w:gutter="0" w:footer="0" w:header="0"/>
        </w:sectPr>
      </w:pPr>
    </w:p>
    <w:bookmarkStart w:id="19" w:name="page20"/>
    <w:bookmarkEnd w:id="1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Bank or any direct or indirect parent company thereof by a governmental agency so long as such ownership interest does not result in or provide such Bank with immunity from the jurisdiction of courts within the United States or from enforcement of judgments or writs of attachment on its assets or permit such Bank (or governmental agency) to reject, repudiate, disavow or disaffirm any contracts or agreements made with such Bank. Any determination by the Administrative Agent that a Bank is a Defaulting Bank under clauses (a) through (d) above, and of the effective date of such status, shall be conclusive and binding absent manifest error, and such Bank shall be deemed to be a Defaulting Bank (subject to §5.14) as of the date established therefor by the Administrative Agent in a written notice of such determination, which shall be delivered by the Administrative Agent to the Borrower, each Issuing Bank, the Swing Line Bank and each Bank promptly following such determination.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Defaults</w:t>
      </w:r>
      <w:r>
        <w:rPr>
          <w:rFonts w:ascii="Arial" w:cs="Arial" w:eastAsia="Arial" w:hAnsi="Arial"/>
          <w:sz w:val="18"/>
          <w:szCs w:val="18"/>
          <w:color w:val="auto"/>
        </w:rPr>
        <w:t>. See §12.1.</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u w:val="single" w:color="auto"/>
          <w:color w:val="auto"/>
        </w:rPr>
        <w:t>Designated Jurisdiction</w:t>
      </w:r>
      <w:r>
        <w:rPr>
          <w:rFonts w:ascii="Arial" w:cs="Arial" w:eastAsia="Arial" w:hAnsi="Arial"/>
          <w:sz w:val="18"/>
          <w:szCs w:val="18"/>
          <w:color w:val="auto"/>
        </w:rPr>
        <w:t>. Any country, region or territory to the extent that such country, region or territory itself is, or whose government is, the subject of any Sanction.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u w:val="single" w:color="auto"/>
          <w:color w:val="auto"/>
        </w:rPr>
        <w:t>Disclosure Documents</w:t>
      </w:r>
      <w:r>
        <w:rPr>
          <w:rFonts w:ascii="Arial" w:cs="Arial" w:eastAsia="Arial" w:hAnsi="Arial"/>
          <w:sz w:val="18"/>
          <w:szCs w:val="18"/>
          <w:color w:val="auto"/>
        </w:rPr>
        <w:t>. The Borrower’s financial statements referred to in §6.4 and filings made by the Borrower or the Guarantor with the Securities and Exchange Commission that were publicly available prior to the Effective Date which were provided to the Banks.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Disposal or Disposed</w:t>
      </w:r>
      <w:r>
        <w:rPr>
          <w:rFonts w:ascii="Arial" w:cs="Arial" w:eastAsia="Arial" w:hAnsi="Arial"/>
          <w:sz w:val="18"/>
          <w:szCs w:val="18"/>
          <w:color w:val="auto"/>
        </w:rPr>
        <w:t>. See “Release”.</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Distribution</w:t>
      </w:r>
      <w:r>
        <w:rPr>
          <w:rFonts w:ascii="Arial" w:cs="Arial" w:eastAsia="Arial" w:hAnsi="Arial"/>
          <w:sz w:val="18"/>
          <w:szCs w:val="18"/>
          <w:color w:val="auto"/>
        </w:rPr>
        <w:t>. The declaration or payment of any dividend or other return on equity on or in respect of any shares of any class of capital stock, any partnership interests or any membership 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Dollars or US$ or $ or U.S. Dollars</w:t>
      </w:r>
      <w:r>
        <w:rPr>
          <w:rFonts w:ascii="Arial" w:cs="Arial" w:eastAsia="Arial" w:hAnsi="Arial"/>
          <w:sz w:val="18"/>
          <w:szCs w:val="18"/>
          <w:color w:val="auto"/>
        </w:rPr>
        <w:t>. The lawful currency of the United States of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Drawdown Date</w:t>
      </w:r>
      <w:r>
        <w:rPr>
          <w:rFonts w:ascii="Arial" w:cs="Arial" w:eastAsia="Arial" w:hAnsi="Arial"/>
          <w:sz w:val="17"/>
          <w:szCs w:val="17"/>
          <w:color w:val="auto"/>
        </w:rPr>
        <w:t>. The date on which any Loan is made or is to be made, or any amount is paid by an Issuing Bank under a Letter of Credit.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EBIT</w:t>
      </w:r>
      <w:r>
        <w:rPr>
          <w:rFonts w:ascii="Arial" w:cs="Arial" w:eastAsia="Arial" w:hAnsi="Arial"/>
          <w:sz w:val="18"/>
          <w:szCs w:val="18"/>
          <w:color w:val="auto"/>
        </w:rPr>
        <w:t>. See definition of Consolidated Earnings Before Interest and Taxes.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See definition of Consolidated Earnings Before Interest, Taxes, Depreciation and Amortization.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date on which the conditions precedent set forth in §10.1 hereof are satisfied.</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74" w:right="279" w:bottom="1440" w:gutter="0" w:footer="0" w:header="0"/>
        </w:sectPr>
      </w:pPr>
    </w:p>
    <w:bookmarkStart w:id="20" w:name="page21"/>
    <w:bookmarkEnd w:id="20"/>
    <w:p>
      <w:pPr>
        <w:ind w:right="32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Benefit Plan</w:t>
      </w:r>
      <w:r>
        <w:rPr>
          <w:rFonts w:ascii="Arial" w:cs="Arial" w:eastAsia="Arial" w:hAnsi="Arial"/>
          <w:sz w:val="18"/>
          <w:szCs w:val="18"/>
          <w:color w:val="auto"/>
        </w:rPr>
        <w:t>. Any employee benefit plan within the meaning of §3(3) of ERISA maintained or contributed to by the Borrower, any of its Subsidiaries, or any ERISA Affiliate, other than a Multiemployer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See §6.15(a).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EPA</w:t>
      </w:r>
      <w:r>
        <w:rPr>
          <w:rFonts w:ascii="Arial" w:cs="Arial" w:eastAsia="Arial" w:hAnsi="Arial"/>
          <w:sz w:val="18"/>
          <w:szCs w:val="18"/>
          <w:color w:val="auto"/>
        </w:rPr>
        <w:t>. See §6.15(b).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and in effect from time to time.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u w:val="single" w:color="auto"/>
          <w:color w:val="auto"/>
        </w:rPr>
        <w:t>ERISA Affiliate</w:t>
      </w:r>
      <w:r>
        <w:rPr>
          <w:rFonts w:ascii="Arial" w:cs="Arial" w:eastAsia="Arial" w:hAnsi="Arial"/>
          <w:sz w:val="18"/>
          <w:szCs w:val="18"/>
          <w:color w:val="auto"/>
        </w:rPr>
        <w:t>. Any Person which is treated as a single employer, member of a controlled group, or under common control with the Borrower or any of its Subsidiaries under §412, §414 or §430 of the Code.</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u w:val="single" w:color="auto"/>
          <w:color w:val="auto"/>
        </w:rPr>
        <w:t>ERISA Reportable Event</w:t>
      </w:r>
      <w:r>
        <w:rPr>
          <w:rFonts w:ascii="Arial" w:cs="Arial" w:eastAsia="Arial" w:hAnsi="Arial"/>
          <w:sz w:val="18"/>
          <w:szCs w:val="18"/>
          <w:color w:val="auto"/>
        </w:rPr>
        <w:t>. A reportable event within the meaning of §4043 of ERISA and the regulations promulgated thereunder with respect to a Guaranteed Pension Plan as to which the requirement of notice has not been waived.</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Eurocurrency Reserve Rate</w:t>
      </w:r>
      <w:r>
        <w:rPr>
          <w:rFonts w:ascii="Arial" w:cs="Arial" w:eastAsia="Arial" w:hAnsi="Arial"/>
          <w:sz w:val="18"/>
          <w:szCs w:val="18"/>
          <w:color w:val="auto"/>
        </w:rPr>
        <w:t>. For any day with respect to a Eurodollar Loan, or Base Rate Loan the interest rate on which is determined by reference to the Eurodollar Rate component of the Base Rate, the reserve percentage (expressed as a decimal, carried out to nine decimal places) in effect on such day, whether or not applicable to any Bank, under regulations issued from time to time by the Board of Governors of the Federal Reserve System for determining the maximum reserve requirement (including any emergency, supplemental or other marginal reserve requirement) with respect to Eurocurrency funding (currently referred to as “Eurocurrency liabilities”). The Eurodollar Rate for each outstanding Eurodollar Loan, and Base Rate Loan the interest rate on which is determined by reference to the Eurodollar Rate component of the Base Rate, shall be adjusted automatically as of the effective date of any change in the Eurocurrency Reserve Rate.</w:t>
      </w:r>
    </w:p>
    <w:p>
      <w:pPr>
        <w:spacing w:after="0" w:line="18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u w:val="single" w:color="auto"/>
          <w:color w:val="auto"/>
        </w:rPr>
        <w:t>Eurodollar Business Day</w:t>
      </w:r>
      <w:r>
        <w:rPr>
          <w:rFonts w:ascii="Arial" w:cs="Arial" w:eastAsia="Arial" w:hAnsi="Arial"/>
          <w:sz w:val="18"/>
          <w:szCs w:val="18"/>
          <w:color w:val="auto"/>
        </w:rPr>
        <w:t>.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Eurodollar Loans</w:t>
      </w:r>
      <w:r>
        <w:rPr>
          <w:rFonts w:ascii="Arial" w:cs="Arial" w:eastAsia="Arial" w:hAnsi="Arial"/>
          <w:sz w:val="18"/>
          <w:szCs w:val="18"/>
          <w:color w:val="auto"/>
        </w:rPr>
        <w:t>. Syndicated Loans bearing interest calculated by reference to clause (a) of the definition of Eurodollar Rate.</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u w:val="single" w:color="auto"/>
          <w:color w:val="auto"/>
        </w:rPr>
        <w:t>Eurodollar Rate</w:t>
      </w:r>
      <w:r>
        <w:rPr>
          <w:rFonts w:ascii="Arial" w:cs="Arial" w:eastAsia="Arial" w:hAnsi="Arial"/>
          <w:sz w:val="16"/>
          <w:szCs w:val="16"/>
          <w:color w:val="auto"/>
        </w:rPr>
        <w:t xml:space="preserve">. (a) For any Interest Period with respect to a Eurodollar Loan, the rate per annum equal to the London Interbank Offered Rate (“LIBOR”)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Eurodollar Business Days prior to the commencement of such Interest Period, for Dollar deposits (for delivery on the first day of such Interest Period) with a term equivalent to such Interest Period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a number equal to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Eurocurrency</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80"/>
          </w:cols>
          <w:pgMar w:left="240" w:top="274" w:right="27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Reserve Rate, if applicable; and if the Eurodollar Rate shall be less than zero, such rate shall be deemed zero for purposes of this Agreement; and</w:t>
      </w:r>
    </w:p>
    <w:p>
      <w:pPr>
        <w:spacing w:after="0" w:line="237" w:lineRule="exact"/>
        <w:rPr>
          <w:sz w:val="20"/>
          <w:szCs w:val="20"/>
          <w:color w:val="auto"/>
        </w:rPr>
      </w:pPr>
    </w:p>
    <w:p>
      <w:pPr>
        <w:jc w:val="both"/>
        <w:ind w:right="40" w:firstLine="464"/>
        <w:spacing w:after="0" w:line="264" w:lineRule="auto"/>
        <w:tabs>
          <w:tab w:leader="none" w:pos="71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for any interest calculation with respect to a Base Rate Loan on any date, the rate per annum equal to LIBOR, at approximately 11:00 a.m., London time determined two Eurodollar Business Days prior to such date for Dollar deposits being delivered in the London interbank market for a term of one month commencing that day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a number equal to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Eurocurrency Reserve Rate, if applicable;</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 comparable or successor rate is approved by the Administrative Agent in connection herewith, the approved rate shall be applied to the applicable Interest Period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to the extent such market practice is not administratively feasible for the Administrative Agent, such approved rate shall be applied to the applicable Interest Period as otherwise reasonably determined by the Administrative Agent. The Administrative Agent does not warrant, nor accept responsibility, nor shall it have any liability with respect to the administration, submission or any other matter related to LIBOR or any comparable or successor rate referenced in this definition above.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See §12.1.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See Recital A in the Preamble.</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Those Letters of Credit that were issued under the Existing Credit Agreement and are outstanding as of the date hereof, and which are identified in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Facility Fee</w:t>
      </w:r>
      <w:r>
        <w:rPr>
          <w:rFonts w:ascii="Arial" w:cs="Arial" w:eastAsia="Arial" w:hAnsi="Arial"/>
          <w:sz w:val="18"/>
          <w:szCs w:val="18"/>
          <w:color w:val="auto"/>
        </w:rPr>
        <w:t>. See §2.2.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FASB ASC</w:t>
      </w:r>
      <w:r>
        <w:rPr>
          <w:rFonts w:ascii="Arial" w:cs="Arial" w:eastAsia="Arial" w:hAnsi="Arial"/>
          <w:sz w:val="18"/>
          <w:szCs w:val="18"/>
          <w:color w:val="auto"/>
        </w:rPr>
        <w:t>. The Accounting Standards Codification of the Financial Accounting Standards Board.</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u w:val="single" w:color="auto"/>
          <w:color w:val="auto"/>
        </w:rPr>
        <w:t>FATCA</w:t>
      </w:r>
      <w:r>
        <w:rPr>
          <w:rFonts w:ascii="Arial" w:cs="Arial" w:eastAsia="Arial" w:hAnsi="Arial"/>
          <w:sz w:val="18"/>
          <w:szCs w:val="18"/>
          <w:color w:val="auto"/>
        </w:rPr>
        <w:t>.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§1471(b)(1)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FCPA</w:t>
      </w:r>
      <w:r>
        <w:rPr>
          <w:rFonts w:ascii="Arial" w:cs="Arial" w:eastAsia="Arial" w:hAnsi="Arial"/>
          <w:sz w:val="18"/>
          <w:szCs w:val="18"/>
          <w:color w:val="auto"/>
        </w:rPr>
        <w:t>. United States Foreign Corrupt Practices Act of 1977.</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For any day, the rate per annum (rounded upward, if necessary, to a whole multiple of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such day is not a Business Day, the Federal Funds Rate for such day shall be such rate on such transactions on the next preceding Business Day as so published on the next succeeding Business Day, and</w:t>
      </w:r>
    </w:p>
    <w:p>
      <w:pPr>
        <w:spacing w:after="0" w:line="2" w:lineRule="exact"/>
        <w:rPr>
          <w:sz w:val="20"/>
          <w:szCs w:val="20"/>
          <w:color w:val="auto"/>
        </w:rPr>
      </w:pPr>
    </w:p>
    <w:p>
      <w:pPr>
        <w:ind w:right="220" w:firstLine="8"/>
        <w:spacing w:after="0" w:line="323" w:lineRule="auto"/>
        <w:tabs>
          <w:tab w:leader="none" w:pos="265"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71" w:lineRule="exact"/>
        <w:rPr>
          <w:rFonts w:ascii="Arial" w:cs="Arial" w:eastAsia="Arial" w:hAnsi="Arial"/>
          <w:sz w:val="16"/>
          <w:szCs w:val="16"/>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00"/>
          </w:cols>
          <w:pgMar w:left="240" w:top="274" w:right="259" w:bottom="1440" w:gutter="0" w:footer="0" w:header="0"/>
        </w:sectPr>
      </w:pPr>
    </w:p>
    <w:bookmarkStart w:id="22" w:name="page23"/>
    <w:bookmarkEnd w:id="22"/>
    <w:p>
      <w:pPr>
        <w:ind w:right="10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Affiliate</w:t>
      </w:r>
      <w:r>
        <w:rPr>
          <w:rFonts w:ascii="Arial" w:cs="Arial" w:eastAsia="Arial" w:hAnsi="Arial"/>
          <w:sz w:val="18"/>
          <w:szCs w:val="18"/>
          <w:color w:val="auto"/>
        </w:rPr>
        <w:t>. A subsidiary of the bank holding company controlling any Bank, which subsidiary is engaging in any of the activities permitted by §4(e) of the Bank Holding Company Act of 1956 (12 U.S.C. §1843).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Fronting Fee</w:t>
      </w:r>
      <w:r>
        <w:rPr>
          <w:rFonts w:ascii="Arial" w:cs="Arial" w:eastAsia="Arial" w:hAnsi="Arial"/>
          <w:sz w:val="18"/>
          <w:szCs w:val="18"/>
          <w:color w:val="auto"/>
        </w:rPr>
        <w:t>. See §3.6.</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u w:val="single" w:color="auto"/>
          <w:color w:val="auto"/>
        </w:rPr>
        <w:t>Generally accepted accounting principles</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GAAP</w:t>
      </w:r>
      <w:r>
        <w:rPr>
          <w:rFonts w:ascii="Arial" w:cs="Arial" w:eastAsia="Arial" w:hAnsi="Arial"/>
          <w:sz w:val="16"/>
          <w:szCs w:val="16"/>
          <w:color w:val="auto"/>
        </w:rPr>
        <w:t>. When used in this Agreement, whether directly or indirectly through reference to a capitalized term used therein, means principles that are consistent with the principles promulgated or adopted by the Financial Accounting Standards Board and its predecessors as in effect from time to time, except as otherwise specifically prescribed herein. If any “Accounting Change” (as defined below) occurs subsequent to the Effective Date, such change results in a material change in the method of calculation of financial covenants, standards or terms in this Agreement or any other Loan Document and any of the Borrower, the Administrative Agent or the Majority Banks shall so request, then (A) the Borrower, the Banks and the Administrative Agent agree to enter into negotiations in good faith in order to amend such provisions of this Agreement or such other Loan Document so as to reflect equitably such Accounting Changes with the desired result that the criteria for evaluating the Borrower’s financial condition shall be the same after such Accounting Changes as if such Accounting Changes had not been made (subject to the approval of the Majority Banks), and (B) until such time as such an amendment shall have been executed and delivered by the Borrower, the Administrative Agent and the Majority Banks, (i) the financial covenants, standards and terms in this Agreement and the other Loan Documents impacted by such material change shall continue to be calculated or construed as if such Accounting Changes had not occurred and (ii) the Borrower shall provide to the Administrative Agent and the Banks a reconciliation between the calculation of such impacted covenants, standards and terms before and after giving effect to such Accounting Changes. “</w:t>
      </w:r>
      <w:r>
        <w:rPr>
          <w:rFonts w:ascii="Arial" w:cs="Arial" w:eastAsia="Arial" w:hAnsi="Arial"/>
          <w:sz w:val="16"/>
          <w:szCs w:val="16"/>
          <w:u w:val="single" w:color="auto"/>
          <w:color w:val="auto"/>
        </w:rPr>
        <w:t>Accounting Changes</w:t>
      </w:r>
      <w:r>
        <w:rPr>
          <w:rFonts w:ascii="Arial" w:cs="Arial" w:eastAsia="Arial" w:hAnsi="Arial"/>
          <w:sz w:val="16"/>
          <w:szCs w:val="16"/>
          <w:color w:val="auto"/>
        </w:rPr>
        <w:t>” refers to changes in accounting principles required by the promulgation of any rule, regulation, pronouncement or opinion by the Financial Accounting Standards Board of the American Institute of Certified Public Accountants or, if applicable, the Securities and Exchange Commission.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Guaranteed Obligations</w:t>
      </w:r>
      <w:r>
        <w:rPr>
          <w:rFonts w:ascii="Arial" w:cs="Arial" w:eastAsia="Arial" w:hAnsi="Arial"/>
          <w:sz w:val="18"/>
          <w:szCs w:val="18"/>
          <w:color w:val="auto"/>
        </w:rPr>
        <w:t>. See §28.1.</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u w:val="single" w:color="auto"/>
          <w:color w:val="auto"/>
        </w:rPr>
        <w:t>Guaranteed Pension Plan</w:t>
      </w:r>
      <w:r>
        <w:rPr>
          <w:rFonts w:ascii="Arial" w:cs="Arial" w:eastAsia="Arial" w:hAnsi="Arial"/>
          <w:sz w:val="18"/>
          <w:szCs w:val="18"/>
          <w:color w:val="auto"/>
        </w:rPr>
        <w:t>. Any employee pension benefit plan within the meaning of §3(2) of ERISA maintained or contributed to by the Borrower, its Subsidiaries or any ERISA Affiliate (or pursuant to which any such Person accrued an obligation to make contributions at any time during the preceding five plan years) the benefits of which are guaranteed on termination in full or in part by the PBGC pursuant to Title IV of ERISA, other than a Multiemployer Plan.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Guarantor</w:t>
      </w:r>
      <w:r>
        <w:rPr>
          <w:rFonts w:ascii="Arial" w:cs="Arial" w:eastAsia="Arial" w:hAnsi="Arial"/>
          <w:sz w:val="18"/>
          <w:szCs w:val="18"/>
          <w:color w:val="auto"/>
        </w:rPr>
        <w:t>. See Preamble.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274" w:right="259" w:bottom="1440" w:gutter="0" w:footer="0" w:header="0"/>
        </w:sectPr>
      </w:pPr>
    </w:p>
    <w:bookmarkStart w:id="23" w:name="page24"/>
    <w:bookmarkEnd w:id="23"/>
    <w:p>
      <w:pPr>
        <w:ind w:firstLine="456"/>
        <w:spacing w:after="0" w:line="271"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Guaranty</w:t>
      </w:r>
      <w:r>
        <w:rPr>
          <w:rFonts w:ascii="Arial" w:cs="Arial" w:eastAsia="Arial" w:hAnsi="Arial"/>
          <w:sz w:val="17"/>
          <w:szCs w:val="17"/>
          <w:color w:val="auto"/>
        </w:rPr>
        <w:t>. Any obligation, contingent or otherwise, of a Person guaranteeing or having the economic effect of guaranteeing any Indebtedness or other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Guaranty shall not include endorsements for collection or deposit in the ordinary course of business.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Hazardous Substances</w:t>
      </w:r>
      <w:r>
        <w:rPr>
          <w:rFonts w:ascii="Arial" w:cs="Arial" w:eastAsia="Arial" w:hAnsi="Arial"/>
          <w:sz w:val="18"/>
          <w:szCs w:val="18"/>
          <w:color w:val="auto"/>
        </w:rPr>
        <w:t>. See §6.15(b).</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 (g) Guaranties with respect to all Indebtedness of others referred to in clauses (a) through (f) above, and (h) all Indebtedness of others referred to in clauses (a) through (f) above secured or supported by (or for which the holder of such Indebtedness has an existing right, contingent or otherwise, to be secured or supported by) any Lien on the property or assets of the Borrower or any Subsidiary, even though the owner of the property has not assumed or become liable, contractually or otherwise, for the payment of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Permitted Receivables Transaction is outstanding and is accounted for as a sale of accounts receivable under generally accepted accounting principles, Indebtedness shall also include the additional Indebtedness, determined on a consolidated basis, which would have been outstanding had such Permitted Receivables Transaction been accounted for as a borrowing.</w:t>
      </w:r>
    </w:p>
    <w:p>
      <w:pPr>
        <w:spacing w:after="0" w:line="18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With respect to each Loan (a) initially, the period commencing on the Drawdown Date of such Loan and ending on the last day of one of the periods set forth below, as selected by the Borrower in accordance with this Agreement for any Eurodollar Loan, 1, 2, 3, or 6 months (in each case subject to availability)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Interest Period which would otherwise end on a day which is not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74" w:right="259" w:bottom="1440" w:gutter="0" w:footer="0" w:header="0"/>
        </w:sectPr>
      </w:pPr>
    </w:p>
    <w:bookmarkStart w:id="24" w:name="page25"/>
    <w:bookmarkEnd w:id="24"/>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Business Day shall be deemed to end on the next succeeding Business Day;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for any Interest Period for any Eurodollar Loan, if such next succeeding Business Day falls in the next succeeding calendar month, such Interest Period shall be deemed to end on the next preceding Business Day;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Interest Period shall extend beyond the Maturity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Interim Balance Sheet Date</w:t>
      </w:r>
      <w:r>
        <w:rPr>
          <w:rFonts w:ascii="Arial" w:cs="Arial" w:eastAsia="Arial" w:hAnsi="Arial"/>
          <w:sz w:val="18"/>
          <w:szCs w:val="18"/>
          <w:color w:val="auto"/>
        </w:rPr>
        <w:t>. March 31, 2015.</w:t>
      </w:r>
    </w:p>
    <w:p>
      <w:pPr>
        <w:spacing w:after="0" w:line="22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All expenditures made by a Person and all liabilities incurred (contingently or otherwise) by a Person for the acquisition of stock of (other than the stock of Subsidiaries),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Subsidiaries or variable interest entities consolidated in accordance with FASB ASC 810, or Guaranties with respect to Indebtedness of any Subsidiary or variable interest entities consolidated in accordance with FASB ASC 810).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partial or full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16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u w:val="single" w:color="auto"/>
          <w:color w:val="auto"/>
        </w:rPr>
        <w:t>ISP</w:t>
      </w:r>
      <w:r>
        <w:rPr>
          <w:rFonts w:ascii="Arial" w:cs="Arial" w:eastAsia="Arial" w:hAnsi="Arial"/>
          <w:sz w:val="18"/>
          <w:szCs w:val="18"/>
          <w:color w:val="auto"/>
        </w:rPr>
        <w: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u w:val="single" w:color="auto"/>
          <w:color w:val="auto"/>
        </w:rPr>
        <w:t>Issuing Banks</w:t>
      </w:r>
      <w:r>
        <w:rPr>
          <w:rFonts w:ascii="Arial" w:cs="Arial" w:eastAsia="Arial" w:hAnsi="Arial"/>
          <w:sz w:val="16"/>
          <w:szCs w:val="16"/>
          <w:color w:val="auto"/>
        </w:rPr>
        <w:t xml:space="preserve">. (i) the Banks listed on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hereto and (ii) any other Bank that agrees (in its sole discretion) to act as Issuing Bank pursuant to an instrument in writing in form and substance satisfactory to such Bank, the Borrower and the Administrative Agent and signed by them (which instrument shall set forth the maximum aggregate face amount of all Letters of Credit of such Issuing Bank and shall, as to such maximum amount, automatically be deemed to supplement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any Existing Letter of Credit that was issued through a Bank Affiliate of an Issuing Bank, such Letter of Credit shall be deemed for purposes of §3.1(a) to have been issued by such Issuing Bank and the provisions of §3.1(g) shall apply.</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u w:val="single" w:color="auto"/>
          <w:color w:val="auto"/>
        </w:rPr>
        <w:t>Lead Arrangers</w:t>
      </w:r>
      <w:r>
        <w:rPr>
          <w:rFonts w:ascii="Arial" w:cs="Arial" w:eastAsia="Arial" w:hAnsi="Arial"/>
          <w:sz w:val="18"/>
          <w:szCs w:val="18"/>
          <w:color w:val="auto"/>
        </w:rPr>
        <w:t>. J.P. Morgan Securities LLC, Merrill Lynch, Pierce, Fenner &amp; Smith Incorporated and Barclays Bank PLC, as Lead Arrangers and Joint Bookrunners in connection with the credit facility provided 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74" w:right="259" w:bottom="1440" w:gutter="0" w:footer="0" w:header="0"/>
        </w:sectPr>
      </w:pPr>
    </w:p>
    <w:bookmarkStart w:id="25" w:name="page26"/>
    <w:bookmarkEnd w:id="25"/>
    <w:p>
      <w:pPr>
        <w:ind w:firstLine="456"/>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of Credit Applications</w:t>
      </w:r>
      <w:r>
        <w:rPr>
          <w:rFonts w:ascii="Arial" w:cs="Arial" w:eastAsia="Arial" w:hAnsi="Arial"/>
          <w:sz w:val="18"/>
          <w:szCs w:val="18"/>
          <w:color w:val="auto"/>
        </w:rPr>
        <w:t xml:space="preserve">. Letter of credit applications in such form or forms as may be agreed upon by the Borrower and the relevant Issuing Bank from time to time with respect to each Letter of Credit issued or deemed issued hereunder, as such Letter of Credit Applications may be amended, varied or supplemented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event of any conflict or inconsistency between the terms of any Letter of Credit Application and this Agreement, the terms of this Agreement shall control.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Letter of Credit Fee</w:t>
      </w:r>
      <w:r>
        <w:rPr>
          <w:rFonts w:ascii="Arial" w:cs="Arial" w:eastAsia="Arial" w:hAnsi="Arial"/>
          <w:sz w:val="18"/>
          <w:szCs w:val="18"/>
          <w:color w:val="auto"/>
        </w:rPr>
        <w:t>. See §3.6.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Letter of Credit Participation</w:t>
      </w:r>
      <w:r>
        <w:rPr>
          <w:rFonts w:ascii="Arial" w:cs="Arial" w:eastAsia="Arial" w:hAnsi="Arial"/>
          <w:sz w:val="18"/>
          <w:szCs w:val="18"/>
          <w:color w:val="auto"/>
        </w:rPr>
        <w:t>. See §3.1(c).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See §3.1(a).</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Letters of credit issued or to be issued by the Issuing Banks under §3 hereof for the account of the Borrower (including without limitation any Canadian Dollar Letters of Credit), and the Existing Letters of Credit.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LIBOR</w:t>
      </w:r>
      <w:r>
        <w:rPr>
          <w:rFonts w:ascii="Arial" w:cs="Arial" w:eastAsia="Arial" w:hAnsi="Arial"/>
          <w:sz w:val="18"/>
          <w:szCs w:val="18"/>
          <w:color w:val="auto"/>
        </w:rPr>
        <w:t>. See the definition of Eurodollar Rate.</w:t>
      </w:r>
    </w:p>
    <w:p>
      <w:pPr>
        <w:spacing w:after="0" w:line="22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u w:val="single" w:color="auto"/>
          <w:color w:val="auto"/>
        </w:rPr>
        <w:t>Lien</w:t>
      </w:r>
      <w:r>
        <w:rPr>
          <w:rFonts w:ascii="Arial" w:cs="Arial" w:eastAsia="Arial" w:hAnsi="Arial"/>
          <w:sz w:val="16"/>
          <w:szCs w:val="16"/>
          <w:color w:val="auto"/>
        </w:rPr>
        <w:t>. With respect to any asset, (a) any mortgage, deed of trust, lien (statutory or otherwise), pledge, hypothecation, encumbrance, charge, security interest,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the Letter of Credit Applications, the Letters of Credit and any documents, instruments or agreements executed in connection with any of the foregoing, each as amended, modified, supplemented, or replaced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Loans</w:t>
      </w:r>
      <w:r>
        <w:rPr>
          <w:rFonts w:ascii="Arial" w:cs="Arial" w:eastAsia="Arial" w:hAnsi="Arial"/>
          <w:sz w:val="18"/>
          <w:szCs w:val="18"/>
          <w:color w:val="auto"/>
        </w:rPr>
        <w:t>. Collectively, the Syndicated Loans and the Swing Line Loans.</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u w:val="single" w:color="auto"/>
          <w:color w:val="auto"/>
        </w:rPr>
        <w:t>Majority Banks</w:t>
      </w:r>
      <w:r>
        <w:rPr>
          <w:rFonts w:ascii="Arial" w:cs="Arial" w:eastAsia="Arial" w:hAnsi="Arial"/>
          <w:sz w:val="16"/>
          <w:szCs w:val="16"/>
          <w:color w:val="auto"/>
        </w:rPr>
        <w:t xml:space="preserve">. At any date, Banks the aggregate amount of whose Commitments is greater than fifty percent (50%) of the Total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the Total Commitment has been terminated, the Majority Banks shall be Banks holding greater than fifty percent (50%) of the aggregate outstanding principal amount of the Obligations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Commitment of, and the portion of the outstanding principal amount of the Obligations held or deemed held by, any Defaulting Bank shall be excluded for purposes of making a determination of Majority Banks and</w:t>
      </w:r>
    </w:p>
    <w:p>
      <w:pPr>
        <w:spacing w:after="0" w:line="2" w:lineRule="exact"/>
        <w:rPr>
          <w:sz w:val="20"/>
          <w:szCs w:val="20"/>
          <w:color w:val="auto"/>
        </w:rPr>
      </w:pPr>
    </w:p>
    <w:p>
      <w:pPr>
        <w:ind w:right="160" w:firstLine="8"/>
        <w:spacing w:after="0" w:line="255"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any risk participation in any Swing Line Loan or Letter of Credit Participation that such Defaulting Bank has failed to fund that has not been reallocated to and funded by another Bank shall be deemed to be held by the Bank that is the Swing Line Bank or applicable Issuing Bank, as the case may be, in making such determination.</w:t>
      </w:r>
    </w:p>
    <w:p>
      <w:pPr>
        <w:spacing w:after="0" w:line="19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 material adverse effect on (a) the business, assets, operations, or financial condition of the Borrower and the Subsidiaries taken as a whole, (b) the ability of the Borrower or the Guarantor to perform any of its obligations under any Loan Document to which it is a party, or (c) the rights of, or remedies or benefits available to, the Administrative Agent or any Bank under any Loan Document.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60"/>
          </w:cols>
          <w:pgMar w:left="240" w:top="274" w:right="29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Maturity Date</w:t>
      </w:r>
      <w:r>
        <w:rPr>
          <w:rFonts w:ascii="Arial" w:cs="Arial" w:eastAsia="Arial" w:hAnsi="Arial"/>
          <w:sz w:val="18"/>
          <w:szCs w:val="18"/>
          <w:color w:val="auto"/>
        </w:rPr>
        <w:t>. July 10, 2020.</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u w:val="single" w:color="auto"/>
          <w:color w:val="auto"/>
        </w:rPr>
        <w:t>Maximum Drawing Amount</w:t>
      </w:r>
      <w:r>
        <w:rPr>
          <w:rFonts w:ascii="Arial" w:cs="Arial" w:eastAsia="Arial" w:hAnsi="Arial"/>
          <w:sz w:val="17"/>
          <w:szCs w:val="17"/>
          <w:color w:val="auto"/>
        </w:rPr>
        <w:t xml:space="preserve">. At any time, the maximum aggregate amount from time to time that the beneficiaries may draw under outstanding Letters of Credit (using, in the case of Canadian Dollar Letters of Credit, the U.S. Dollar Equivalent of the aggregate undrawn face amount thereof on the relevant date) (plus, for purposes of computing amounts outstanding including under §§2.1(a), 2.2, 2.3.1(a), 2.6(a), 3.2(b), 5.2 and 12.1, but without duplication, unpaid Reimbursement Obligations, if any). Unless otherwise specified herein, the outstanding amount of a Letter of Credit at any time shall be deemed to be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any Letter of Credit that, by its terms or the terms of any document or agreement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u w:val="single" w:color="auto"/>
          <w:color w:val="auto"/>
        </w:rPr>
        <w:t>Multiemployer Plan</w:t>
      </w:r>
      <w:r>
        <w:rPr>
          <w:rFonts w:ascii="Arial" w:cs="Arial" w:eastAsia="Arial" w:hAnsi="Arial"/>
          <w:sz w:val="18"/>
          <w:szCs w:val="18"/>
          <w:color w:val="auto"/>
        </w:rPr>
        <w:t>. Any multiemployer plan within the meaning of §3(37) of ERISA maintained or contributed to by the Borrower, any of its Subsidiaries, or any ERISA Affiliate (or pursuant to which any such Person accrued an obligation to make contributions at any time during the preceding five plan years).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New Lending Office</w:t>
      </w:r>
      <w:r>
        <w:rPr>
          <w:rFonts w:ascii="Arial" w:cs="Arial" w:eastAsia="Arial" w:hAnsi="Arial"/>
          <w:sz w:val="18"/>
          <w:szCs w:val="18"/>
          <w:color w:val="auto"/>
        </w:rPr>
        <w:t>. See §5.1(d).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Non-U.S. Bank</w:t>
      </w:r>
      <w:r>
        <w:rPr>
          <w:rFonts w:ascii="Arial" w:cs="Arial" w:eastAsia="Arial" w:hAnsi="Arial"/>
          <w:sz w:val="18"/>
          <w:szCs w:val="18"/>
          <w:color w:val="auto"/>
        </w:rPr>
        <w:t>. See §5.1(c).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Any promissory note issued according to §2.4(e).</w:t>
      </w:r>
    </w:p>
    <w:p>
      <w:pPr>
        <w:spacing w:after="0" w:line="22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or any other instrument at any time evidencing any thereof, individually or collectively, existing on the date of this Agreement or arising thereafter, whether direct or indirect, joint or several, absolute or contingent, matured or unmatured, liquidated or unliquidated, secured or unsecured, arising by contract, operation of law or otherwise.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The Office of Foreign Assets Control of the United States Department of the Treasury.</w:t>
      </w:r>
    </w:p>
    <w:p>
      <w:pPr>
        <w:spacing w:after="0" w:line="225" w:lineRule="exact"/>
        <w:rPr>
          <w:sz w:val="20"/>
          <w:szCs w:val="20"/>
          <w:color w:val="auto"/>
        </w:rPr>
      </w:pPr>
    </w:p>
    <w:p>
      <w:pPr>
        <w:jc w:val="center"/>
        <w:ind w:left="280" w:right="420"/>
        <w:spacing w:after="0" w:line="449" w:lineRule="auto"/>
        <w:rPr>
          <w:sz w:val="20"/>
          <w:szCs w:val="20"/>
          <w:color w:val="auto"/>
        </w:rPr>
      </w:pP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created by §4002 of ERISA and any successor entity or entities having similar responsibilities. - 15 -</w:t>
      </w:r>
    </w:p>
    <w:p>
      <w:pPr>
        <w:sectPr>
          <w:pgSz w:w="11900" w:h="16838" w:orient="portrait"/>
          <w:cols w:equalWidth="0" w:num="1">
            <w:col w:w="11400"/>
          </w:cols>
          <w:pgMar w:left="240" w:top="27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Permitted Liens</w:t>
      </w:r>
      <w:r>
        <w:rPr>
          <w:rFonts w:ascii="Arial" w:cs="Arial" w:eastAsia="Arial" w:hAnsi="Arial"/>
          <w:sz w:val="18"/>
          <w:szCs w:val="18"/>
          <w:color w:val="auto"/>
        </w:rPr>
        <w:t>. Any of the following Liens:</w:t>
      </w:r>
    </w:p>
    <w:p>
      <w:pPr>
        <w:spacing w:after="0" w:line="117" w:lineRule="exact"/>
        <w:rPr>
          <w:sz w:val="20"/>
          <w:szCs w:val="20"/>
          <w:color w:val="auto"/>
        </w:rPr>
      </w:pPr>
    </w:p>
    <w:p>
      <w:pPr>
        <w:ind w:left="680" w:hanging="237"/>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compliance with §7.8;</w:t>
      </w:r>
    </w:p>
    <w:p>
      <w:pPr>
        <w:spacing w:after="0" w:line="117" w:lineRule="exact"/>
        <w:rPr>
          <w:rFonts w:ascii="Arial" w:cs="Arial" w:eastAsia="Arial" w:hAnsi="Arial"/>
          <w:sz w:val="18"/>
          <w:szCs w:val="18"/>
          <w:color w:val="auto"/>
        </w:rPr>
      </w:pPr>
    </w:p>
    <w:p>
      <w:pPr>
        <w:ind w:right="180" w:firstLine="443"/>
        <w:spacing w:after="0" w:line="264"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73" w:lineRule="exact"/>
        <w:rPr>
          <w:rFonts w:ascii="Arial" w:cs="Arial" w:eastAsia="Arial" w:hAnsi="Arial"/>
          <w:sz w:val="18"/>
          <w:szCs w:val="18"/>
          <w:color w:val="auto"/>
        </w:rPr>
      </w:pPr>
    </w:p>
    <w:p>
      <w:pPr>
        <w:ind w:right="360" w:firstLine="443"/>
        <w:spacing w:after="0" w:line="277" w:lineRule="auto"/>
        <w:tabs>
          <w:tab w:leader="none" w:pos="6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workmen’s compensation, unemployment insurance and other social security laws or regulations;</w:t>
      </w:r>
    </w:p>
    <w:p>
      <w:pPr>
        <w:spacing w:after="0" w:line="62" w:lineRule="exact"/>
        <w:rPr>
          <w:rFonts w:ascii="Arial" w:cs="Arial" w:eastAsia="Arial" w:hAnsi="Arial"/>
          <w:sz w:val="18"/>
          <w:szCs w:val="18"/>
          <w:color w:val="auto"/>
        </w:rPr>
      </w:pPr>
    </w:p>
    <w:p>
      <w:pPr>
        <w:ind w:right="20" w:firstLine="443"/>
        <w:spacing w:after="0" w:line="264"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73" w:lineRule="exact"/>
        <w:rPr>
          <w:rFonts w:ascii="Arial" w:cs="Arial" w:eastAsia="Arial" w:hAnsi="Arial"/>
          <w:sz w:val="18"/>
          <w:szCs w:val="18"/>
          <w:color w:val="auto"/>
        </w:rPr>
      </w:pPr>
    </w:p>
    <w:p>
      <w:pPr>
        <w:ind w:firstLine="443"/>
        <w:spacing w:after="0" w:line="264" w:lineRule="auto"/>
        <w:tabs>
          <w:tab w:leader="none" w:pos="6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w:t>
      </w:r>
    </w:p>
    <w:p>
      <w:pPr>
        <w:spacing w:after="0" w:line="73" w:lineRule="exact"/>
        <w:rPr>
          <w:rFonts w:ascii="Arial" w:cs="Arial" w:eastAsia="Arial" w:hAnsi="Arial"/>
          <w:sz w:val="18"/>
          <w:szCs w:val="18"/>
          <w:color w:val="auto"/>
        </w:rPr>
      </w:pPr>
    </w:p>
    <w:p>
      <w:pPr>
        <w:ind w:right="60" w:firstLine="443"/>
        <w:spacing w:after="0" w:line="276" w:lineRule="auto"/>
        <w:tabs>
          <w:tab w:leader="none" w:pos="663"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Liens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hereto securing the obligations listed on such Schedule and any replacement Lien securing any renewal, extension or refunding of such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aggregate principal amount of obligations secured by any renewal, extension or refunding Lien permitted by this clause (f) shall not exceed the aggregate outstanding principal amount of the obligations secured by the Lien being replaced at the time of such renewal, extension or refunding (plus transaction costs, including premiums and fees, related thereto), and (ii) each replacement Lien shall be limited to substantially the same property that secured the Lien so replaced;</w:t>
      </w:r>
    </w:p>
    <w:p>
      <w:pPr>
        <w:spacing w:after="0" w:line="64" w:lineRule="exact"/>
        <w:rPr>
          <w:rFonts w:ascii="Arial" w:cs="Arial" w:eastAsia="Arial" w:hAnsi="Arial"/>
          <w:sz w:val="17"/>
          <w:szCs w:val="17"/>
          <w:color w:val="auto"/>
        </w:rPr>
      </w:pPr>
    </w:p>
    <w:p>
      <w:pPr>
        <w:ind w:right="80" w:firstLine="443"/>
        <w:spacing w:after="0" w:line="264"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73" w:lineRule="exact"/>
        <w:rPr>
          <w:rFonts w:ascii="Arial" w:cs="Arial" w:eastAsia="Arial" w:hAnsi="Arial"/>
          <w:sz w:val="18"/>
          <w:szCs w:val="18"/>
          <w:color w:val="auto"/>
        </w:rPr>
      </w:pPr>
    </w:p>
    <w:p>
      <w:pPr>
        <w:ind w:firstLine="443"/>
        <w:spacing w:after="0" w:line="264"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rights reserved or vested in any municipality or governmental, statutory or public authority to control or regulate any property of the Borrower or any Subsidiary, or to use such property in a manner that does not materially impair the use of such property for the purposes for which it is held by the Borrower or such Subsidiary;</w:t>
      </w:r>
    </w:p>
    <w:p>
      <w:pPr>
        <w:spacing w:after="0" w:line="73" w:lineRule="exact"/>
        <w:rPr>
          <w:rFonts w:ascii="Arial" w:cs="Arial" w:eastAsia="Arial" w:hAnsi="Arial"/>
          <w:sz w:val="18"/>
          <w:szCs w:val="18"/>
          <w:color w:val="auto"/>
        </w:rPr>
      </w:pPr>
    </w:p>
    <w:p>
      <w:pPr>
        <w:ind w:right="460" w:firstLine="443"/>
        <w:spacing w:after="0" w:line="277" w:lineRule="auto"/>
        <w:tabs>
          <w:tab w:leader="none" w:pos="6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obligations or duties affecting the property of the Borrower or any of its Subsidiaries to any municipality, governmental, statutory or public authority with respect to any franchise, grant, license or permit;</w:t>
      </w:r>
    </w:p>
    <w:p>
      <w:pPr>
        <w:spacing w:after="0" w:line="102" w:lineRule="exact"/>
        <w:rPr>
          <w:rFonts w:ascii="Arial" w:cs="Arial" w:eastAsia="Arial" w:hAnsi="Arial"/>
          <w:sz w:val="18"/>
          <w:szCs w:val="18"/>
          <w:color w:val="auto"/>
        </w:rPr>
      </w:pPr>
    </w:p>
    <w:p>
      <w:pPr>
        <w:ind w:left="5160" w:hanging="101"/>
        <w:spacing w:after="0"/>
        <w:tabs>
          <w:tab w:leader="none" w:pos="5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960"/>
          </w:cols>
          <w:pgMar w:left="700" w:top="274" w:right="239" w:bottom="1440" w:gutter="0" w:footer="0" w:header="0"/>
        </w:sectPr>
      </w:pPr>
    </w:p>
    <w:bookmarkStart w:id="28" w:name="page29"/>
    <w:bookmarkEnd w:id="28"/>
    <w:p>
      <w:pPr>
        <w:ind w:left="460" w:right="180" w:firstLine="443"/>
        <w:spacing w:after="0" w:line="264" w:lineRule="auto"/>
        <w:tabs>
          <w:tab w:leader="none" w:pos="1113"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filed in connection with sales of receivables by any of the Subsidiaries (other than the Guarantor) to a wholly-owned special purpose financing Subsidiary for purposes of perfecting such sales,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third party has any rights with respect to such Liens or any assets subject thereto;</w:t>
      </w:r>
    </w:p>
    <w:p>
      <w:pPr>
        <w:spacing w:after="0" w:line="73"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interest or title of a lessor under any sale lease-back transaction entered into by the Borrower or any Subsidiary conveying only the assets so leased back to the extent the related Indebtedness is permitted under §8.1 hereof;</w:t>
      </w:r>
    </w:p>
    <w:p>
      <w:pPr>
        <w:spacing w:after="0" w:line="62" w:lineRule="exact"/>
        <w:rPr>
          <w:rFonts w:ascii="Arial" w:cs="Arial" w:eastAsia="Arial" w:hAnsi="Arial"/>
          <w:sz w:val="18"/>
          <w:szCs w:val="18"/>
          <w:color w:val="auto"/>
        </w:rPr>
      </w:pPr>
    </w:p>
    <w:p>
      <w:pPr>
        <w:ind w:left="460" w:right="100" w:firstLine="443"/>
        <w:spacing w:after="0" w:line="255" w:lineRule="auto"/>
        <w:tabs>
          <w:tab w:leader="none" w:pos="11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Borrower and any of its Subsidiaries, as lessors or sublessors) from time to 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81" w:lineRule="exact"/>
        <w:rPr>
          <w:rFonts w:ascii="Arial" w:cs="Arial" w:eastAsia="Arial" w:hAnsi="Arial"/>
          <w:sz w:val="18"/>
          <w:szCs w:val="18"/>
          <w:color w:val="auto"/>
        </w:rPr>
      </w:pPr>
    </w:p>
    <w:p>
      <w:pPr>
        <w:ind w:left="460" w:right="120" w:firstLine="443"/>
        <w:spacing w:after="0" w:line="259" w:lineRule="auto"/>
        <w:tabs>
          <w:tab w:leader="none" w:pos="12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Liens securing other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liabilities, including any Indebtedness, of the Borrower and its Subsidiaries secured by all Liens permitted in subsections (k), (1) and (m), when added (without duplication) to the aggregate outstanding amount of Indebtedness of the Borrower’s Subsidiaries permitted under §8.1(b) and Indebtedness with respect to Permitted Receivables Transactions, shall not exceed 15% of Consolidated Tangible Assets at any time.</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u w:val="single" w:color="auto"/>
          <w:color w:val="auto"/>
        </w:rPr>
        <w:t>Permitted Receivables Transaction</w:t>
      </w:r>
      <w:r>
        <w:rPr>
          <w:rFonts w:ascii="Arial" w:cs="Arial" w:eastAsia="Arial" w:hAnsi="Arial"/>
          <w:sz w:val="18"/>
          <w:szCs w:val="18"/>
          <w:color w:val="auto"/>
        </w:rPr>
        <w:t>. Any sale or sales of, and/or securitization of, any accounts receivable of the Borrower and/or any of its Subsidiaries (the “Receivables”) pursuant to which (a) the Borrower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partnership, joint venture, limited liability company, trust, unincorporated association, business, or other legal entity, and any government or any governmental agency or political subdivision thereof.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80"/>
          </w:cols>
          <w:pgMar w:left="240" w:top="274" w:right="27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Pricing Table</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Applicable</w:t>
            </w: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Applicable</w:t>
            </w: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Applicable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9"/>
        </w:trPr>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Senior Public Debt Rating</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Facility</w:t>
            </w:r>
          </w:p>
        </w:tc>
        <w:tc>
          <w:tcPr>
            <w:tcW w:w="12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760" w:type="dxa"/>
            <w:vAlign w:val="bottom"/>
            <w:gridSpan w:val="7"/>
            <w:vMerge w:val="continue"/>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Fee Rate</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L/C Rate</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Base Rate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Eurodollar Rate</w:t>
            </w:r>
          </w:p>
        </w:tc>
        <w:tc>
          <w:tcPr>
            <w:tcW w:w="0" w:type="dxa"/>
            <w:vAlign w:val="bottom"/>
          </w:tcPr>
          <w:p>
            <w:pPr>
              <w:spacing w:after="0"/>
              <w:rPr>
                <w:sz w:val="1"/>
                <w:szCs w:val="1"/>
                <w:color w:val="auto"/>
              </w:rPr>
            </w:pPr>
          </w:p>
        </w:tc>
      </w:tr>
      <w:tr>
        <w:trPr>
          <w:trHeight w:val="189"/>
        </w:trPr>
        <w:tc>
          <w:tcPr>
            <w:tcW w:w="340" w:type="dxa"/>
            <w:vAlign w:val="bottom"/>
          </w:tcPr>
          <w:p>
            <w:pPr>
              <w:jc w:val="center"/>
              <w:spacing w:after="0" w:line="189" w:lineRule="exact"/>
              <w:rPr>
                <w:sz w:val="20"/>
                <w:szCs w:val="20"/>
                <w:color w:val="auto"/>
              </w:rPr>
            </w:pPr>
            <w:r>
              <w:rPr>
                <w:rFonts w:ascii="Arial" w:cs="Arial" w:eastAsia="Arial" w:hAnsi="Arial"/>
                <w:sz w:val="18"/>
                <w:szCs w:val="18"/>
                <w:color w:val="auto"/>
                <w:w w:val="79"/>
              </w:rPr>
              <w:t>1</w:t>
            </w:r>
          </w:p>
        </w:tc>
        <w:tc>
          <w:tcPr>
            <w:tcW w:w="240" w:type="dxa"/>
            <w:vAlign w:val="bottom"/>
          </w:tcPr>
          <w:p>
            <w:pPr>
              <w:spacing w:after="0"/>
              <w:rPr>
                <w:sz w:val="16"/>
                <w:szCs w:val="16"/>
                <w:color w:val="auto"/>
              </w:rPr>
            </w:pPr>
          </w:p>
        </w:tc>
        <w:tc>
          <w:tcPr>
            <w:tcW w:w="5380" w:type="dxa"/>
            <w:vAlign w:val="bottom"/>
            <w:tcBorders>
              <w:top w:val="single" w:sz="8" w:color="auto"/>
            </w:tcBorders>
            <w:gridSpan w:val="8"/>
          </w:tcPr>
          <w:p>
            <w:pPr>
              <w:spacing w:after="0" w:line="189" w:lineRule="exact"/>
              <w:rPr>
                <w:sz w:val="20"/>
                <w:szCs w:val="20"/>
                <w:color w:val="auto"/>
              </w:rPr>
            </w:pPr>
            <w:r>
              <w:rPr>
                <w:rFonts w:ascii="Arial" w:cs="Arial" w:eastAsia="Arial" w:hAnsi="Arial"/>
                <w:sz w:val="18"/>
                <w:szCs w:val="18"/>
                <w:color w:val="auto"/>
              </w:rPr>
              <w:t>Greater than or equal to A by Standard &amp; Poor’s</w:t>
            </w:r>
          </w:p>
        </w:tc>
        <w:tc>
          <w:tcPr>
            <w:tcW w:w="240" w:type="dxa"/>
            <w:vAlign w:val="bottom"/>
          </w:tcPr>
          <w:p>
            <w:pPr>
              <w:spacing w:after="0"/>
              <w:rPr>
                <w:sz w:val="16"/>
                <w:szCs w:val="16"/>
                <w:color w:val="auto"/>
              </w:rPr>
            </w:pPr>
          </w:p>
        </w:tc>
        <w:tc>
          <w:tcPr>
            <w:tcW w:w="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0.07% per</w:t>
            </w:r>
          </w:p>
        </w:tc>
        <w:tc>
          <w:tcPr>
            <w:tcW w:w="2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0.805% per</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Base Rate plus</w:t>
            </w:r>
          </w:p>
        </w:tc>
        <w:tc>
          <w:tcPr>
            <w:tcW w:w="2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Eurodollar Rate</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20" w:type="dxa"/>
            <w:vAlign w:val="bottom"/>
            <w:gridSpan w:val="9"/>
          </w:tcPr>
          <w:p>
            <w:pPr>
              <w:spacing w:after="0" w:line="190" w:lineRule="exact"/>
              <w:rPr>
                <w:sz w:val="20"/>
                <w:szCs w:val="20"/>
                <w:color w:val="auto"/>
              </w:rPr>
            </w:pPr>
            <w:r>
              <w:rPr>
                <w:rFonts w:ascii="Arial" w:cs="Arial" w:eastAsia="Arial" w:hAnsi="Arial"/>
                <w:sz w:val="18"/>
                <w:szCs w:val="18"/>
                <w:color w:val="auto"/>
              </w:rPr>
              <w:t>or greater than or equal to A2 by Moody’s</w:t>
            </w:r>
          </w:p>
        </w:tc>
        <w:tc>
          <w:tcPr>
            <w:tcW w:w="1140" w:type="dxa"/>
            <w:vAlign w:val="bottom"/>
            <w:gridSpan w:val="2"/>
          </w:tcPr>
          <w:p>
            <w:pPr>
              <w:jc w:val="center"/>
              <w:ind w:right="240"/>
              <w:spacing w:after="0" w:line="190" w:lineRule="exact"/>
              <w:rPr>
                <w:sz w:val="20"/>
                <w:szCs w:val="20"/>
                <w:color w:val="auto"/>
              </w:rPr>
            </w:pPr>
            <w:r>
              <w:rPr>
                <w:rFonts w:ascii="Arial" w:cs="Arial" w:eastAsia="Arial" w:hAnsi="Arial"/>
                <w:sz w:val="18"/>
                <w:szCs w:val="18"/>
                <w:color w:val="auto"/>
                <w:w w:val="90"/>
              </w:rPr>
              <w:t>annum</w:t>
            </w:r>
          </w:p>
        </w:tc>
        <w:tc>
          <w:tcPr>
            <w:tcW w:w="126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87"/>
              </w:rPr>
              <w:t>annum</w:t>
            </w:r>
          </w:p>
        </w:tc>
        <w:tc>
          <w:tcPr>
            <w:tcW w:w="146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0"/>
              </w:rPr>
              <w:t>0.0% per annum</w:t>
            </w:r>
          </w:p>
        </w:tc>
        <w:tc>
          <w:tcPr>
            <w:tcW w:w="1360" w:type="dxa"/>
            <w:vAlign w:val="bottom"/>
          </w:tcPr>
          <w:p>
            <w:pPr>
              <w:jc w:val="center"/>
              <w:spacing w:after="0" w:line="190" w:lineRule="exact"/>
              <w:rPr>
                <w:sz w:val="20"/>
                <w:szCs w:val="20"/>
                <w:color w:val="auto"/>
              </w:rPr>
            </w:pPr>
            <w:r>
              <w:rPr>
                <w:rFonts w:ascii="Arial" w:cs="Arial" w:eastAsia="Arial" w:hAnsi="Arial"/>
                <w:sz w:val="18"/>
                <w:szCs w:val="18"/>
                <w:color w:val="auto"/>
                <w:w w:val="90"/>
              </w:rPr>
              <w:t>plus</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0.805% per</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annum</w:t>
            </w:r>
          </w:p>
        </w:tc>
        <w:tc>
          <w:tcPr>
            <w:tcW w:w="0" w:type="dxa"/>
            <w:vAlign w:val="bottom"/>
          </w:tcPr>
          <w:p>
            <w:pPr>
              <w:spacing w:after="0"/>
              <w:rPr>
                <w:sz w:val="1"/>
                <w:szCs w:val="1"/>
                <w:color w:val="auto"/>
              </w:rPr>
            </w:pPr>
          </w:p>
        </w:tc>
      </w:tr>
      <w:tr>
        <w:trPr>
          <w:trHeight w:val="297"/>
        </w:trPr>
        <w:tc>
          <w:tcPr>
            <w:tcW w:w="3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24"/>
                <w:szCs w:val="24"/>
                <w:color w:val="auto"/>
              </w:rPr>
            </w:pPr>
          </w:p>
        </w:tc>
        <w:tc>
          <w:tcPr>
            <w:tcW w:w="5620" w:type="dxa"/>
            <w:vAlign w:val="bottom"/>
            <w:gridSpan w:val="9"/>
          </w:tcPr>
          <w:p>
            <w:pPr>
              <w:spacing w:after="0"/>
              <w:rPr>
                <w:sz w:val="20"/>
                <w:szCs w:val="20"/>
                <w:color w:val="auto"/>
              </w:rPr>
            </w:pPr>
            <w:r>
              <w:rPr>
                <w:rFonts w:ascii="Arial" w:cs="Arial" w:eastAsia="Arial" w:hAnsi="Arial"/>
                <w:sz w:val="18"/>
                <w:szCs w:val="18"/>
                <w:color w:val="auto"/>
              </w:rPr>
              <w:t>A- by Standard &amp; Poor’s or A3 by Moody’s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0.09% per</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0.91% per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Base Rate plus</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Eurodollar Rate</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annum</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annum</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0.0% per annum</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plus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0.91% per annum</w:t>
            </w:r>
          </w:p>
        </w:tc>
        <w:tc>
          <w:tcPr>
            <w:tcW w:w="0" w:type="dxa"/>
            <w:vAlign w:val="bottom"/>
          </w:tcPr>
          <w:p>
            <w:pPr>
              <w:spacing w:after="0"/>
              <w:rPr>
                <w:sz w:val="1"/>
                <w:szCs w:val="1"/>
                <w:color w:val="auto"/>
              </w:rPr>
            </w:pPr>
          </w:p>
        </w:tc>
      </w:tr>
      <w:tr>
        <w:trPr>
          <w:trHeight w:val="297"/>
        </w:trPr>
        <w:tc>
          <w:tcPr>
            <w:tcW w:w="3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40" w:type="dxa"/>
            <w:vAlign w:val="bottom"/>
          </w:tcPr>
          <w:p>
            <w:pPr>
              <w:spacing w:after="0"/>
              <w:rPr>
                <w:sz w:val="24"/>
                <w:szCs w:val="24"/>
                <w:color w:val="auto"/>
              </w:rPr>
            </w:pPr>
          </w:p>
        </w:tc>
        <w:tc>
          <w:tcPr>
            <w:tcW w:w="5620" w:type="dxa"/>
            <w:vAlign w:val="bottom"/>
            <w:gridSpan w:val="9"/>
          </w:tcPr>
          <w:p>
            <w:pPr>
              <w:spacing w:after="0"/>
              <w:rPr>
                <w:sz w:val="20"/>
                <w:szCs w:val="20"/>
                <w:color w:val="auto"/>
              </w:rPr>
            </w:pPr>
            <w:r>
              <w:rPr>
                <w:rFonts w:ascii="Arial" w:cs="Arial" w:eastAsia="Arial" w:hAnsi="Arial"/>
                <w:sz w:val="18"/>
                <w:szCs w:val="18"/>
                <w:color w:val="auto"/>
              </w:rPr>
              <w:t>BBB+ by Standard &amp; Poor’s or Baa1 by Moody’s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0.10% per</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1.00% per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Base Rate plus</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Eurodollar Rate</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annum</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annum</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0.0% per annum</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plus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1.00% per annum</w:t>
            </w:r>
          </w:p>
        </w:tc>
        <w:tc>
          <w:tcPr>
            <w:tcW w:w="0" w:type="dxa"/>
            <w:vAlign w:val="bottom"/>
          </w:tcPr>
          <w:p>
            <w:pPr>
              <w:spacing w:after="0"/>
              <w:rPr>
                <w:sz w:val="1"/>
                <w:szCs w:val="1"/>
                <w:color w:val="auto"/>
              </w:rPr>
            </w:pPr>
          </w:p>
        </w:tc>
      </w:tr>
      <w:tr>
        <w:trPr>
          <w:trHeight w:val="297"/>
        </w:trPr>
        <w:tc>
          <w:tcPr>
            <w:tcW w:w="3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40" w:type="dxa"/>
            <w:vAlign w:val="bottom"/>
          </w:tcPr>
          <w:p>
            <w:pPr>
              <w:spacing w:after="0"/>
              <w:rPr>
                <w:sz w:val="24"/>
                <w:szCs w:val="24"/>
                <w:color w:val="auto"/>
              </w:rPr>
            </w:pPr>
          </w:p>
        </w:tc>
        <w:tc>
          <w:tcPr>
            <w:tcW w:w="5620" w:type="dxa"/>
            <w:vAlign w:val="bottom"/>
            <w:gridSpan w:val="9"/>
          </w:tcPr>
          <w:p>
            <w:pPr>
              <w:spacing w:after="0"/>
              <w:rPr>
                <w:sz w:val="20"/>
                <w:szCs w:val="20"/>
                <w:color w:val="auto"/>
              </w:rPr>
            </w:pPr>
            <w:r>
              <w:rPr>
                <w:rFonts w:ascii="Arial" w:cs="Arial" w:eastAsia="Arial" w:hAnsi="Arial"/>
                <w:sz w:val="18"/>
                <w:szCs w:val="18"/>
                <w:color w:val="auto"/>
              </w:rPr>
              <w:t>BBB by Standard &amp; Poor’s or Baa2 by Moody’s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0.15% per</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1.05% per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Base Rate plus</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Eurodollar Rate</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annum</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annum</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0.05% per</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plus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annum</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1.05% per annum</w:t>
            </w:r>
          </w:p>
        </w:tc>
        <w:tc>
          <w:tcPr>
            <w:tcW w:w="0" w:type="dxa"/>
            <w:vAlign w:val="bottom"/>
          </w:tcPr>
          <w:p>
            <w:pPr>
              <w:spacing w:after="0"/>
              <w:rPr>
                <w:sz w:val="1"/>
                <w:szCs w:val="1"/>
                <w:color w:val="auto"/>
              </w:rPr>
            </w:pPr>
          </w:p>
        </w:tc>
      </w:tr>
      <w:tr>
        <w:trPr>
          <w:trHeight w:val="323"/>
        </w:trPr>
        <w:tc>
          <w:tcPr>
            <w:tcW w:w="3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40" w:type="dxa"/>
            <w:vAlign w:val="bottom"/>
          </w:tcPr>
          <w:p>
            <w:pPr>
              <w:spacing w:after="0"/>
              <w:rPr>
                <w:sz w:val="24"/>
                <w:szCs w:val="24"/>
                <w:color w:val="auto"/>
              </w:rPr>
            </w:pPr>
          </w:p>
        </w:tc>
        <w:tc>
          <w:tcPr>
            <w:tcW w:w="5620" w:type="dxa"/>
            <w:vAlign w:val="bottom"/>
            <w:gridSpan w:val="9"/>
          </w:tcPr>
          <w:p>
            <w:pPr>
              <w:spacing w:after="0"/>
              <w:rPr>
                <w:sz w:val="20"/>
                <w:szCs w:val="20"/>
                <w:color w:val="auto"/>
              </w:rPr>
            </w:pPr>
            <w:r>
              <w:rPr>
                <w:rFonts w:ascii="Arial" w:cs="Arial" w:eastAsia="Arial" w:hAnsi="Arial"/>
                <w:sz w:val="18"/>
                <w:szCs w:val="18"/>
                <w:color w:val="auto"/>
              </w:rPr>
              <w:t>Less than or equal to BBB- by Standard &amp; Poor’s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0.20% per</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1.30% per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Base Rate plus</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Eurodollar Rate</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20" w:type="dxa"/>
            <w:vAlign w:val="bottom"/>
            <w:gridSpan w:val="9"/>
          </w:tcPr>
          <w:p>
            <w:pPr>
              <w:spacing w:after="0" w:line="190" w:lineRule="exact"/>
              <w:rPr>
                <w:sz w:val="20"/>
                <w:szCs w:val="20"/>
                <w:color w:val="auto"/>
              </w:rPr>
            </w:pPr>
            <w:r>
              <w:rPr>
                <w:rFonts w:ascii="Arial" w:cs="Arial" w:eastAsia="Arial" w:hAnsi="Arial"/>
                <w:sz w:val="18"/>
                <w:szCs w:val="18"/>
                <w:color w:val="auto"/>
              </w:rPr>
              <w:t>or less than or equal to Baa3 by Moody’s</w:t>
            </w:r>
          </w:p>
        </w:tc>
        <w:tc>
          <w:tcPr>
            <w:tcW w:w="1140" w:type="dxa"/>
            <w:vAlign w:val="bottom"/>
            <w:gridSpan w:val="2"/>
          </w:tcPr>
          <w:p>
            <w:pPr>
              <w:jc w:val="center"/>
              <w:ind w:right="240"/>
              <w:spacing w:after="0" w:line="190" w:lineRule="exact"/>
              <w:rPr>
                <w:sz w:val="20"/>
                <w:szCs w:val="20"/>
                <w:color w:val="auto"/>
              </w:rPr>
            </w:pPr>
            <w:r>
              <w:rPr>
                <w:rFonts w:ascii="Arial" w:cs="Arial" w:eastAsia="Arial" w:hAnsi="Arial"/>
                <w:sz w:val="18"/>
                <w:szCs w:val="18"/>
                <w:color w:val="auto"/>
                <w:w w:val="90"/>
              </w:rPr>
              <w:t>annum</w:t>
            </w:r>
          </w:p>
        </w:tc>
        <w:tc>
          <w:tcPr>
            <w:tcW w:w="126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87"/>
              </w:rPr>
              <w:t>annum</w:t>
            </w:r>
          </w:p>
        </w:tc>
        <w:tc>
          <w:tcPr>
            <w:tcW w:w="1460" w:type="dxa"/>
            <w:vAlign w:val="bottom"/>
            <w:gridSpan w:val="2"/>
          </w:tcPr>
          <w:p>
            <w:pPr>
              <w:jc w:val="center"/>
              <w:ind w:right="240"/>
              <w:spacing w:after="0" w:line="190" w:lineRule="exact"/>
              <w:rPr>
                <w:sz w:val="20"/>
                <w:szCs w:val="20"/>
                <w:color w:val="auto"/>
              </w:rPr>
            </w:pPr>
            <w:r>
              <w:rPr>
                <w:rFonts w:ascii="Arial" w:cs="Arial" w:eastAsia="Arial" w:hAnsi="Arial"/>
                <w:sz w:val="18"/>
                <w:szCs w:val="18"/>
                <w:color w:val="auto"/>
                <w:w w:val="90"/>
              </w:rPr>
              <w:t>0.30% per</w:t>
            </w:r>
          </w:p>
        </w:tc>
        <w:tc>
          <w:tcPr>
            <w:tcW w:w="1360" w:type="dxa"/>
            <w:vAlign w:val="bottom"/>
          </w:tcPr>
          <w:p>
            <w:pPr>
              <w:jc w:val="center"/>
              <w:spacing w:after="0" w:line="190" w:lineRule="exact"/>
              <w:rPr>
                <w:sz w:val="20"/>
                <w:szCs w:val="20"/>
                <w:color w:val="auto"/>
              </w:rPr>
            </w:pPr>
            <w:r>
              <w:rPr>
                <w:rFonts w:ascii="Arial" w:cs="Arial" w:eastAsia="Arial" w:hAnsi="Arial"/>
                <w:sz w:val="18"/>
                <w:szCs w:val="18"/>
                <w:color w:val="auto"/>
                <w:w w:val="90"/>
              </w:rPr>
              <w:t>plus</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annum</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1.30% per annum</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 xml:space="preserve">The applicable rates charged for any day shall be determined by the higher Senior Public Debt Rating in effect as of that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higher Senior Public Debt Rating is more than one level higher than the lower Senior Public Debt Rating, the applicable rate shall be set at one level below the higher Senior Public Debt Rating.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RCRA</w:t>
      </w:r>
      <w:r>
        <w:rPr>
          <w:rFonts w:ascii="Arial" w:cs="Arial" w:eastAsia="Arial" w:hAnsi="Arial"/>
          <w:sz w:val="18"/>
          <w:szCs w:val="18"/>
          <w:color w:val="auto"/>
        </w:rPr>
        <w:t>. See §6.15(a).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All real property heretofore, now, or hereafter owned, operated, or leased by the Borrower or any of its Subsidiaries.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The Borrower’s obligation to reimburse the applicable Issuing Bank and the Banks on account of any drawing under any Letter of Credit, all as provided in §3.2.</w:t>
      </w:r>
    </w:p>
    <w:p>
      <w:pPr>
        <w:spacing w:after="0" w:line="17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Shall have the meaning specified in CERCLA and the term “Disposal” (or “Disposed”) shall have the meaning specified in the RCRA and regulations promulgated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Replacement Bank</w:t>
      </w:r>
      <w:r>
        <w:rPr>
          <w:rFonts w:ascii="Arial" w:cs="Arial" w:eastAsia="Arial" w:hAnsi="Arial"/>
          <w:sz w:val="18"/>
          <w:szCs w:val="18"/>
          <w:color w:val="auto"/>
        </w:rPr>
        <w:t>. See §5.12.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Replacement Notice</w:t>
      </w:r>
      <w:r>
        <w:rPr>
          <w:rFonts w:ascii="Arial" w:cs="Arial" w:eastAsia="Arial" w:hAnsi="Arial"/>
          <w:sz w:val="18"/>
          <w:szCs w:val="18"/>
          <w:color w:val="auto"/>
        </w:rPr>
        <w:t>. See §5.12.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274" w:right="239" w:bottom="1440" w:gutter="0" w:footer="0" w:header="0"/>
        </w:sectPr>
      </w:pPr>
    </w:p>
    <w:bookmarkStart w:id="30" w:name="page31"/>
    <w:bookmarkEnd w:id="30"/>
    <w:p>
      <w:pPr>
        <w:ind w:left="4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Revaluation Date</w:t>
      </w:r>
      <w:r>
        <w:rPr>
          <w:rFonts w:ascii="Arial" w:cs="Arial" w:eastAsia="Arial" w:hAnsi="Arial"/>
          <w:sz w:val="16"/>
          <w:szCs w:val="16"/>
          <w:color w:val="auto"/>
        </w:rPr>
        <w:t>. With respect to any Canadian Letter of Credit, each of the following: (i) each date of the issuance of such Canadian Letter of Credit,</w:t>
      </w:r>
    </w:p>
    <w:p>
      <w:pPr>
        <w:spacing w:after="0" w:line="46" w:lineRule="exact"/>
        <w:rPr>
          <w:sz w:val="20"/>
          <w:szCs w:val="20"/>
          <w:color w:val="auto"/>
        </w:rPr>
      </w:pPr>
    </w:p>
    <w:p>
      <w:pPr>
        <w:ind w:right="20" w:firstLine="8"/>
        <w:spacing w:after="0" w:line="255"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date of an amendment thereof having the effect of increasing the amount thereof (solely with respect to the increased amount), (iii) each date of any payment by the applicable Issuing Bank thereunder, and (iv) such additional dates as the Administrative Agent or the applicable Issuing Bank shall determine or the Majority Banks shall require.</w:t>
      </w:r>
    </w:p>
    <w:p>
      <w:pPr>
        <w:spacing w:after="0" w:line="190"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u w:val="single" w:color="auto"/>
          <w:color w:val="auto"/>
        </w:rPr>
        <w:t>Sanction(s)</w:t>
      </w:r>
      <w:r>
        <w:rPr>
          <w:rFonts w:ascii="Arial" w:cs="Arial" w:eastAsia="Arial" w:hAnsi="Arial"/>
          <w:sz w:val="16"/>
          <w:szCs w:val="16"/>
          <w:color w:val="auto"/>
        </w:rPr>
        <w:t>. Any economic or trade sanctions administered or enforced by the United States Government (including without limitation, OFAC and the U.S. Department of State), the United Nations Security Council, the European Union, Her Majesty’s Treasury (“</w:t>
      </w:r>
      <w:r>
        <w:rPr>
          <w:rFonts w:ascii="Arial" w:cs="Arial" w:eastAsia="Arial" w:hAnsi="Arial"/>
          <w:sz w:val="16"/>
          <w:szCs w:val="16"/>
          <w:u w:val="single" w:color="auto"/>
          <w:color w:val="auto"/>
        </w:rPr>
        <w:t>HMT</w:t>
      </w:r>
      <w:r>
        <w:rPr>
          <w:rFonts w:ascii="Arial" w:cs="Arial" w:eastAsia="Arial" w:hAnsi="Arial"/>
          <w:sz w:val="16"/>
          <w:szCs w:val="16"/>
          <w:color w:val="auto"/>
        </w:rPr>
        <w:t>”) or other relevant sanctions authority.</w:t>
      </w:r>
    </w:p>
    <w:p>
      <w:pPr>
        <w:spacing w:after="0" w:line="12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u w:val="single" w:color="auto"/>
          <w:color w:val="auto"/>
        </w:rPr>
        <w:t>Senior Public Debt Rating</w:t>
      </w:r>
      <w:r>
        <w:rPr>
          <w:rFonts w:ascii="Arial" w:cs="Arial" w:eastAsia="Arial" w:hAnsi="Arial"/>
          <w:sz w:val="18"/>
          <w:szCs w:val="18"/>
          <w:color w:val="auto"/>
        </w:rPr>
        <w:t>. The ratings of the Borrower’s public unsecured long-term senior debt, without third party credit enhancement, issued by Moody’s and Standard &amp; Poor’s.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u w:val="single" w:color="auto"/>
          <w:color w:val="auto"/>
        </w:rPr>
        <w:t>Significant Subsidiary</w:t>
      </w:r>
      <w:r>
        <w:rPr>
          <w:rFonts w:ascii="Arial" w:cs="Arial" w:eastAsia="Arial" w:hAnsi="Arial"/>
          <w:sz w:val="18"/>
          <w:szCs w:val="18"/>
          <w:color w:val="auto"/>
        </w:rPr>
        <w:t>. At any time, a Subsidiary that at such time meets the definition of “significant subsidiary” contained in Regulation S-X of the Securities and Exchange Commission as in effect on the date hereof, but as if each reference in said definition to the figure “10 percent” were a reference to the figure “3 percent”.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Standard &amp; Poor’s</w:t>
      </w:r>
      <w:r>
        <w:rPr>
          <w:rFonts w:ascii="Arial" w:cs="Arial" w:eastAsia="Arial" w:hAnsi="Arial"/>
          <w:sz w:val="18"/>
          <w:szCs w:val="18"/>
          <w:color w:val="auto"/>
        </w:rPr>
        <w:t>. Standard &amp; Poor’s Financial Services LLC, a subsidiary of The McGraw-Hill Companies, Inc.</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As to any Person, any corporation, association, trust, or other business entity of which such Person shall at any time own, directly or indirectly, at least a majority of the outstanding capital stock or other interest entitled to vote generally and whose financial results are required to be consolidated with the financial results of the designated parent in accordance with GAAP. Unless otherwise specified herein or the context otherwise requires, any reference herein to a Subsidiary shall be deemed to refer to a Subsidiary of the Borrower.</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u w:val="single" w:color="auto"/>
          <w:color w:val="auto"/>
        </w:rPr>
        <w:t>Swap Contracts</w:t>
      </w:r>
      <w:r>
        <w:rPr>
          <w:rFonts w:ascii="Arial" w:cs="Arial" w:eastAsia="Arial" w:hAnsi="Arial"/>
          <w:sz w:val="18"/>
          <w:szCs w:val="18"/>
          <w:color w:val="auto"/>
        </w:rPr>
        <w:t>. All obligations in respect of interest rate, currency or commodity exchange, forward, swap, or futures contracts or similar transactions or arrangements entered into to protect or hedge the Borrower and its Subsidiaries against interest rate, exchange rate or commodity price risks or exposure, or to lower or diversify their funding costs.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Swing Line Bank</w:t>
      </w:r>
      <w:r>
        <w:rPr>
          <w:rFonts w:ascii="Arial" w:cs="Arial" w:eastAsia="Arial" w:hAnsi="Arial"/>
          <w:sz w:val="18"/>
          <w:szCs w:val="18"/>
          <w:color w:val="auto"/>
        </w:rPr>
        <w:t>. Bank of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Swing Line Loan</w:t>
      </w:r>
      <w:r>
        <w:rPr>
          <w:rFonts w:ascii="Arial" w:cs="Arial" w:eastAsia="Arial" w:hAnsi="Arial"/>
          <w:sz w:val="18"/>
          <w:szCs w:val="18"/>
          <w:color w:val="auto"/>
        </w:rPr>
        <w:t>. See §2.11(a).</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u w:val="single" w:color="auto"/>
          <w:color w:val="auto"/>
        </w:rPr>
        <w:t>Swing Line Loan Request</w:t>
      </w:r>
      <w:r>
        <w:rPr>
          <w:rFonts w:ascii="Arial" w:cs="Arial" w:eastAsia="Arial" w:hAnsi="Arial"/>
          <w:sz w:val="18"/>
          <w:szCs w:val="18"/>
          <w:color w:val="auto"/>
        </w:rPr>
        <w:t>. A notice of a Swing Line Borrowing pursuant to §2.11, which shall be substantially in the form of Exhibit B, or such other form as approved by the Administrative Agent (including any form on an electronic platform or electronic transmission system as shall be approved by the Administrative Agent).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u w:val="single" w:color="auto"/>
          <w:color w:val="auto"/>
        </w:rPr>
        <w:t>Swing Line Sublimit</w:t>
      </w:r>
      <w:r>
        <w:rPr>
          <w:rFonts w:ascii="Arial" w:cs="Arial" w:eastAsia="Arial" w:hAnsi="Arial"/>
          <w:sz w:val="18"/>
          <w:szCs w:val="18"/>
          <w:color w:val="auto"/>
        </w:rPr>
        <w:t>. An amount equal to the lesser of (a) $100,000,000 and (b) the Total Commitments. The Swing Line Sublimit is part of, and not in addition to, the Total Commitments.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80"/>
          </w:cols>
          <w:pgMar w:left="240" w:top="274" w:right="27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Syndicated Loan Request</w:t>
      </w:r>
      <w:r>
        <w:rPr>
          <w:rFonts w:ascii="Arial" w:cs="Arial" w:eastAsia="Arial" w:hAnsi="Arial"/>
          <w:sz w:val="18"/>
          <w:szCs w:val="18"/>
          <w:color w:val="auto"/>
        </w:rPr>
        <w:t>. See §2.6(a).</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u w:val="single" w:color="auto"/>
          <w:color w:val="auto"/>
        </w:rPr>
        <w:t>Syndicated Loans</w:t>
      </w:r>
      <w:r>
        <w:rPr>
          <w:rFonts w:ascii="Arial" w:cs="Arial" w:eastAsia="Arial" w:hAnsi="Arial"/>
          <w:sz w:val="18"/>
          <w:szCs w:val="18"/>
          <w:color w:val="auto"/>
        </w:rPr>
        <w:t>. A Borrowing hereunder consisting of one or more loans made by the Banks to the Borrower under the procedures described in §2.1(a).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Terminated Plans</w:t>
      </w:r>
      <w:r>
        <w:rPr>
          <w:rFonts w:ascii="Arial" w:cs="Arial" w:eastAsia="Arial" w:hAnsi="Arial"/>
          <w:sz w:val="18"/>
          <w:szCs w:val="18"/>
          <w:color w:val="auto"/>
        </w:rPr>
        <w:t>. The Waste Management, Inc. Pension Plan and The Waste Management of Alameda County, Inc. Retirement Plan.</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u w:val="single" w:color="auto"/>
          <w:color w:val="auto"/>
        </w:rPr>
        <w:t>Total Commitment</w:t>
      </w:r>
      <w:r>
        <w:rPr>
          <w:rFonts w:ascii="Arial" w:cs="Arial" w:eastAsia="Arial" w:hAnsi="Arial"/>
          <w:sz w:val="18"/>
          <w:szCs w:val="18"/>
          <w:color w:val="auto"/>
        </w:rPr>
        <w:t>. Initially $2,250,000,000, as such amount may be increased or reduced in accordance with the terms hereof, or, if such Total Commitment has been terminated pursuant to §2.3.1 or §12.2 hereof, zero.</w:t>
      </w:r>
    </w:p>
    <w:p>
      <w:pPr>
        <w:spacing w:after="0" w:line="170"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u w:val="single" w:color="auto"/>
          <w:color w:val="auto"/>
        </w:rPr>
        <w:t>Total Debt</w:t>
      </w:r>
      <w:r>
        <w:rPr>
          <w:rFonts w:ascii="Arial" w:cs="Arial" w:eastAsia="Arial" w:hAnsi="Arial"/>
          <w:sz w:val="16"/>
          <w:szCs w:val="16"/>
          <w:color w:val="auto"/>
        </w:rPr>
        <w:t>. The sum, without duplication, of all (1) Indebtedness of the Borrower on a consolidated basis under subsections (a) through (h) of the definition of “Indebtedness” (provided, however, that Indebtedness with respect to Permitted Receivables Transactions shall not be included in such calculation), plus (2) non-contingent reimbursement obligations of the Borrower and its Subsidiaries with respect to drawings under any letters of credit.</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refers to whether the rate of interest on such Loan is determined by reference to the Eurodollar Rate or the Base Rate.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u w:val="single" w:color="auto"/>
          <w:color w:val="auto"/>
        </w:rPr>
        <w:t>U.S. Dollar Equivalent</w:t>
      </w:r>
      <w:r>
        <w:rPr>
          <w:rFonts w:ascii="Arial" w:cs="Arial" w:eastAsia="Arial" w:hAnsi="Arial"/>
          <w:sz w:val="18"/>
          <w:szCs w:val="18"/>
          <w:color w:val="auto"/>
        </w:rPr>
        <w:t>. With respect to any amount denominated in Canadian Dollars computed at any time, the equivalent amount thereof in U.S. Dollars as determined by the Administrative Agent or the Issuing Bank, as the case may be, at such time on the basis of the Applicable Spot Rate (determined in respect of the most recent Revaluation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The USA PATRIOT Act (Title III of Pub. L. 107-56 (signed into law October 26, 2001)).</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 Rules of Interpretation</w:t>
      </w:r>
      <w:r>
        <w:rPr>
          <w:rFonts w:ascii="Arial" w:cs="Arial" w:eastAsia="Arial" w:hAnsi="Arial"/>
          <w:sz w:val="18"/>
          <w:szCs w:val="18"/>
          <w:color w:val="auto"/>
        </w:rPr>
        <w:t>.</w:t>
      </w:r>
    </w:p>
    <w:p>
      <w:pPr>
        <w:spacing w:after="0" w:line="121" w:lineRule="exact"/>
        <w:rPr>
          <w:sz w:val="20"/>
          <w:szCs w:val="20"/>
          <w:color w:val="auto"/>
        </w:rPr>
      </w:pPr>
    </w:p>
    <w:p>
      <w:pPr>
        <w:ind w:left="460" w:right="160" w:firstLine="443"/>
        <w:spacing w:after="0" w:line="277" w:lineRule="auto"/>
        <w:tabs>
          <w:tab w:leader="none" w:pos="11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singular includes the plural and the plural includes the singular.</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reference to any law includes any amendment or modification to such law.</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reference to any Person includes its permitted successors and permitted assigns.</w:t>
      </w:r>
    </w:p>
    <w:p>
      <w:pPr>
        <w:spacing w:after="0" w:line="117" w:lineRule="exact"/>
        <w:rPr>
          <w:rFonts w:ascii="Arial" w:cs="Arial" w:eastAsia="Arial" w:hAnsi="Arial"/>
          <w:sz w:val="18"/>
          <w:szCs w:val="18"/>
          <w:color w:val="auto"/>
        </w:rPr>
      </w:pPr>
    </w:p>
    <w:p>
      <w:pPr>
        <w:ind w:left="460" w:right="660" w:firstLine="443"/>
        <w:spacing w:after="0" w:line="277" w:lineRule="auto"/>
        <w:tabs>
          <w:tab w:leader="none" w:pos="11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terms capitalized but not otherwise defined herein have the meanings assigned to them by generally accepted accounting principles applied on a consistent basis by the accounting entity to which they refer.</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380"/>
          </w:cols>
          <w:pgMar w:left="240" w:top="274" w:right="279" w:bottom="1440" w:gutter="0" w:footer="0" w:header="0"/>
        </w:sectPr>
      </w:pPr>
    </w:p>
    <w:bookmarkStart w:id="32" w:name="page33"/>
    <w:bookmarkEnd w:id="32"/>
    <w:p>
      <w:pPr>
        <w:ind w:left="1120" w:hanging="21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words “include”, “includes” and “including” are not limiting.</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Reference to a particular “§” refers to that section of this Agreement unless otherwise indicated.</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words “herein”, “hereof”, “hereunder” and words of like import shall refer to this Agreement as a whole and not to any particular section or subdivision of this Agreement.</w:t>
      </w:r>
    </w:p>
    <w:p>
      <w:pPr>
        <w:spacing w:after="0" w:line="166" w:lineRule="exact"/>
        <w:rPr>
          <w:sz w:val="20"/>
          <w:szCs w:val="20"/>
          <w:color w:val="auto"/>
        </w:rPr>
      </w:pPr>
    </w:p>
    <w:p>
      <w:pPr>
        <w:ind w:right="500" w:firstLine="913"/>
        <w:spacing w:after="0" w:line="282" w:lineRule="auto"/>
        <w:rPr>
          <w:sz w:val="20"/>
          <w:szCs w:val="20"/>
          <w:color w:val="auto"/>
        </w:rPr>
      </w:pPr>
      <w:r>
        <w:rPr>
          <w:rFonts w:ascii="Arial" w:cs="Arial" w:eastAsia="Arial" w:hAnsi="Arial"/>
          <w:sz w:val="18"/>
          <w:szCs w:val="18"/>
          <w:b w:val="1"/>
          <w:bCs w:val="1"/>
          <w:color w:val="auto"/>
        </w:rPr>
        <w:t>§1.3. Classification of Loans and Borrowings</w:t>
      </w:r>
      <w:r>
        <w:rPr>
          <w:rFonts w:ascii="Arial" w:cs="Arial" w:eastAsia="Arial" w:hAnsi="Arial"/>
          <w:sz w:val="18"/>
          <w:szCs w:val="18"/>
          <w:color w:val="auto"/>
        </w:rPr>
        <w:t>. For purposes of this Agreement, Loans may be classified and referred to by Class (e.g., a</w:t>
      </w:r>
      <w:r>
        <w:rPr>
          <w:rFonts w:ascii="Arial" w:cs="Arial" w:eastAsia="Arial" w:hAnsi="Arial"/>
          <w:sz w:val="18"/>
          <w:szCs w:val="18"/>
          <w:b w:val="1"/>
          <w:bCs w:val="1"/>
          <w:color w:val="auto"/>
        </w:rPr>
        <w:t xml:space="preserve"> </w:t>
      </w:r>
      <w:r>
        <w:rPr>
          <w:rFonts w:ascii="Arial" w:cs="Arial" w:eastAsia="Arial" w:hAnsi="Arial"/>
          <w:sz w:val="18"/>
          <w:szCs w:val="18"/>
          <w:color w:val="auto"/>
        </w:rPr>
        <w:t>“Syndicated Loan”) or by Type (e.g., a “Eurodollar Loan”) or by Class and Type (e.g., a “Eurodollar Syndicated Loan”).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THE LOAN FACILITIES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 Commitment to Lend</w:t>
      </w:r>
      <w:r>
        <w:rPr>
          <w:rFonts w:ascii="Arial" w:cs="Arial" w:eastAsia="Arial" w:hAnsi="Arial"/>
          <w:sz w:val="18"/>
          <w:szCs w:val="18"/>
          <w:color w:val="auto"/>
        </w:rPr>
        <w:t>.</w:t>
      </w:r>
    </w:p>
    <w:p>
      <w:pPr>
        <w:spacing w:after="0" w:line="121" w:lineRule="exact"/>
        <w:rPr>
          <w:sz w:val="20"/>
          <w:szCs w:val="20"/>
          <w:color w:val="auto"/>
        </w:rPr>
      </w:pPr>
    </w:p>
    <w:p>
      <w:pPr>
        <w:ind w:left="460" w:right="40" w:firstLine="443"/>
        <w:spacing w:after="0" w:line="276" w:lineRule="auto"/>
        <w:tabs>
          <w:tab w:leader="none" w:pos="1143"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in this Agreement, each of the Banks severally agrees to lend to the Borrower and the Borrower may borrow, repay, and reborrow from time to time between the Effective Date and the Maturity Date, upon notice by the Borrower to the Administrative Agent given in accordance with this §2, its Commitment Percentage of the Syndicated Loans requested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sum of the outstanding principal amount of the Syndicated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outstanding principal amount of the Swing Line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Maximum Drawing Amount of outstanding Letters of Credit shall not exceed the Total Commitment.</w:t>
      </w:r>
    </w:p>
    <w:p>
      <w:pPr>
        <w:spacing w:after="0" w:line="64" w:lineRule="exact"/>
        <w:rPr>
          <w:rFonts w:ascii="Arial" w:cs="Arial" w:eastAsia="Arial" w:hAnsi="Arial"/>
          <w:sz w:val="17"/>
          <w:szCs w:val="17"/>
          <w:color w:val="auto"/>
        </w:rPr>
      </w:pPr>
    </w:p>
    <w:p>
      <w:pPr>
        <w:ind w:left="460" w:right="140" w:firstLine="443"/>
        <w:spacing w:after="0" w:line="264"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the date of each request for a Loan or Letter of Credit hereunder, the Borrower shall be deemed to have made a representation and warranty that the conditions set forth in §10 and §11, as the case may be, have been satisfied on the date of such request. Any unpaid Reimbursement Obligation shall be a Base Rate Loan, as set forth in §3.2(a).</w:t>
      </w:r>
    </w:p>
    <w:p>
      <w:pPr>
        <w:spacing w:after="0" w:line="17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color w:val="auto"/>
        </w:rPr>
        <w:t>§2.2. Facility Fee</w:t>
      </w:r>
      <w:r>
        <w:rPr>
          <w:rFonts w:ascii="Arial" w:cs="Arial" w:eastAsia="Arial" w:hAnsi="Arial"/>
          <w:sz w:val="18"/>
          <w:szCs w:val="18"/>
          <w:color w:val="auto"/>
        </w:rPr>
        <w:t>. The Borrower agrees to pay to the Administrative Agent for the account of the Banks a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on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(whether or not utilized) equal to the Applicable Facility Fee Rate multiplied by the Total Commitment, provided that after the expiry or termination of the Total Commitment, the Facility Fee shall be computed on the sum of (A) the Maximum Drawing Amount of all Letters of Credit, if any, outstanding from time to time and (B) all Loans outstanding from time to time. The Facility Fee shall be payable for the period from and after the Effective Date quarterly in arrears on the first day of each calendar quarter for the immediately preceding calendar quarter, with the first such payment commencing on October 1, 2015, and on the Maturity Date (or on the date of termination in full of the Total Commitment, if earlier) and on the date of termination of all Letters of Credit and payment in full of all Loans. The Facility Fee shall be distributed pro rata among the Banks in accordance with each Bank’s Commitment Percentage.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40"/>
          </w:cols>
          <w:pgMar w:left="240" w:top="274" w:right="319" w:bottom="1440" w:gutter="0" w:footer="0" w:header="0"/>
        </w:sectPr>
      </w:pPr>
    </w:p>
    <w:bookmarkStart w:id="33" w:name="page34"/>
    <w:bookmarkEnd w:id="33"/>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 Reduction and Increase of Total Commitment</w:t>
      </w:r>
      <w:r>
        <w:rPr>
          <w:rFonts w:ascii="Arial" w:cs="Arial" w:eastAsia="Arial" w:hAnsi="Arial"/>
          <w:sz w:val="18"/>
          <w:szCs w:val="18"/>
          <w:color w:val="auto"/>
        </w:rPr>
        <w: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§2.3.1 Reduction of Total Commitment</w:t>
      </w:r>
      <w:r>
        <w:rPr>
          <w:rFonts w:ascii="Arial" w:cs="Arial" w:eastAsia="Arial" w:hAnsi="Arial"/>
          <w:sz w:val="18"/>
          <w:szCs w:val="18"/>
          <w:color w:val="auto"/>
        </w:rPr>
        <w:t>.</w:t>
      </w:r>
    </w:p>
    <w:p>
      <w:pPr>
        <w:spacing w:after="0" w:line="121" w:lineRule="exact"/>
        <w:rPr>
          <w:sz w:val="20"/>
          <w:szCs w:val="20"/>
          <w:color w:val="auto"/>
        </w:rPr>
      </w:pPr>
    </w:p>
    <w:p>
      <w:pPr>
        <w:ind w:left="460" w:right="80" w:firstLine="443"/>
        <w:spacing w:after="0" w:line="272" w:lineRule="auto"/>
        <w:tabs>
          <w:tab w:leader="none" w:pos="11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Borrower shall have the right at any time and from time to time upon three (3) Business Days’ prior written notice to the Administrative Agent to reduce by $25,000,000 or a greater amount, or terminate entirely, the Total Commitment, whereupon each Bank’s Commitment shall be reduced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such Bank’s Commitment Percentage of the amount specified in such notice or, as the case may be, terminated;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may the Total Commitment be reduced to an amount less than the sum of (A) the Maximum Drawing Amount of all Letters of Credit (other than the amount of cash collateral or other credit support satisfactory to the Administrative Agent and each applicable Issuing Bank that the Borrower has provided to secure Reimbursement Obligations prior to or concurrently with such termination which would exceed the Total Commitment), and (B) all Loans then outstanding.</w:t>
      </w:r>
    </w:p>
    <w:p>
      <w:pPr>
        <w:spacing w:after="0" w:line="69" w:lineRule="exact"/>
        <w:rPr>
          <w:rFonts w:ascii="Arial" w:cs="Arial" w:eastAsia="Arial" w:hAnsi="Arial"/>
          <w:sz w:val="17"/>
          <w:szCs w:val="17"/>
          <w:color w:val="auto"/>
        </w:rPr>
      </w:pPr>
    </w:p>
    <w:p>
      <w:pPr>
        <w:ind w:left="460" w:right="800" w:firstLine="443"/>
        <w:spacing w:after="0" w:line="308" w:lineRule="auto"/>
        <w:tabs>
          <w:tab w:leader="none" w:pos="1153"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38" w:lineRule="exact"/>
        <w:rPr>
          <w:rFonts w:ascii="Arial" w:cs="Arial" w:eastAsia="Arial" w:hAnsi="Arial"/>
          <w:sz w:val="17"/>
          <w:szCs w:val="17"/>
          <w:color w:val="auto"/>
        </w:rPr>
      </w:pPr>
    </w:p>
    <w:p>
      <w:pPr>
        <w:ind w:left="460" w:firstLine="443"/>
        <w:spacing w:after="0" w:line="277" w:lineRule="auto"/>
        <w:tabs>
          <w:tab w:leader="none" w:pos="11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Administrative Agent will notify the Banks promptly after receiving any notice delivered by the Borrower pursuant to this §2.3.1 and will distribute to each Bank a revised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Agreement.</w:t>
      </w:r>
    </w:p>
    <w:p>
      <w:pPr>
        <w:spacing w:after="0" w:line="166" w:lineRule="exact"/>
        <w:rPr>
          <w:sz w:val="20"/>
          <w:szCs w:val="20"/>
          <w:color w:val="auto"/>
        </w:rPr>
      </w:pPr>
    </w:p>
    <w:p>
      <w:pPr>
        <w:ind w:right="20" w:firstLine="1484"/>
        <w:spacing w:after="0" w:line="268" w:lineRule="auto"/>
        <w:rPr>
          <w:sz w:val="20"/>
          <w:szCs w:val="20"/>
          <w:color w:val="auto"/>
        </w:rPr>
      </w:pPr>
      <w:r>
        <w:rPr>
          <w:rFonts w:ascii="Arial" w:cs="Arial" w:eastAsia="Arial" w:hAnsi="Arial"/>
          <w:sz w:val="17"/>
          <w:szCs w:val="17"/>
          <w:b w:val="1"/>
          <w:bCs w:val="1"/>
          <w:color w:val="auto"/>
        </w:rPr>
        <w:t>§2.3.2 Increase of Total Commitment</w:t>
      </w:r>
      <w:r>
        <w:rPr>
          <w:rFonts w:ascii="Arial" w:cs="Arial" w:eastAsia="Arial" w:hAnsi="Arial"/>
          <w:sz w:val="17"/>
          <w:szCs w:val="17"/>
          <w:color w:val="auto"/>
        </w:rPr>
        <w:t>. Unless a Default or Event of Default has occurred and is continuing, the Borrower may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subject to the approval of the Administrative Agent, that the Total Commitment be increased,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increase shall not, except with the consent of the Majority Banks, in any event exceed $500,000,000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if any, by which the Total Commitment has been reduced as a result of the termination of the Commitments of any Bank pursuant to §5.12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any Bank which is a party to this Agreement prior to such increase shall have the first option, and may elect, to fund its pro rata share of the increase, thereby increasing its Commitment hereunder, but no Bank shall have any obligation to do so, (ii) in the event that it becomes necessary to include a new Bank to provide additional funding under this §2.3.2, such new Bank must be reasonably acceptable to the Administrative Agent and the Borrower and shall become a Bank pursuant to a joinder agreement in form and substance satisfactory to the Administrative Agent and its counsel, and (iii) the Banks’ Commitment Percentages shall be correspondingly adjusted, as necessary, to reflect any increase in the Total Commitment and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shall be amended to reflect such adjustments. At the time of requesting any such increase, the Borrower (in consultation with the Administrative Agent) shall specify the time period within which each Bank is requested to respond (which shall in no event be less than ten Business Days from the date of delivery of such request to the Banks unless otherwise approved by the Administrative Agent). Each Bank shall notify the Administrative Agent within such time period whether or not it agrees to increase its Commitment and, if so, whether by an amount equal to, greater than, or less than its Commitment Percentage of such requested increase. Any Bank not responding within such time period shall be deemed to have declined to increase its Commitment. If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270" w:right="259" w:bottom="1440" w:gutter="0" w:footer="0" w:header="0"/>
        </w:sectPr>
      </w:pPr>
    </w:p>
    <w:bookmarkStart w:id="34" w:name="page35"/>
    <w:bookmarkEnd w:id="34"/>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Total Commitment is increased in accordance with this Section, the Administrative Agent and the Borrower shall determine the effective date (the “</w:t>
      </w:r>
      <w:r>
        <w:rPr>
          <w:rFonts w:ascii="Arial" w:cs="Arial" w:eastAsia="Arial" w:hAnsi="Arial"/>
          <w:sz w:val="17"/>
          <w:szCs w:val="17"/>
          <w:u w:val="single" w:color="auto"/>
          <w:color w:val="auto"/>
        </w:rPr>
        <w:t>Increase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the final allocation of such increase. The Administrative Agent shall promptly notify the Borrower and the Banks of the final allocation of such increase and the Increase Effective Date. Any such increase in the Total Commitment shall require, among other things, the satisfaction of such conditions precedent as the Administrative Agent may reasonably require, including, without limitation, the Administrative Agent’s receipt of evidence of applicable corporate authorization and other corporate documentation from the Borrower and the Guarantor and the legal opinion of counsel to the Borrower and the Guarantor, each in form and substance satisfactory to the Administrative Agent and such Banks as are participating in such increase. The Borrower shall prepay that portion of any Syndicated Loans outstanding on the effective date of any such increase to the extent necessary to keep the outstanding Syndicated Loans ratable with any revised Commitment Percentages arising from any nonratable increase in the Total Commitments under this Section. This Section shall supersede any provisions in § 5.1 or § 15.9 to the contrary.</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§2.4. Repayment of Loans; Evidence of Debt</w:t>
      </w:r>
      <w:r>
        <w:rPr>
          <w:rFonts w:ascii="Arial" w:cs="Arial" w:eastAsia="Arial" w:hAnsi="Arial"/>
          <w:sz w:val="18"/>
          <w:szCs w:val="18"/>
          <w:color w:val="auto"/>
        </w:rPr>
        <w:t>.</w:t>
      </w:r>
    </w:p>
    <w:p>
      <w:pPr>
        <w:spacing w:after="0" w:line="229" w:lineRule="exact"/>
        <w:rPr>
          <w:sz w:val="20"/>
          <w:szCs w:val="20"/>
          <w:color w:val="auto"/>
        </w:rPr>
      </w:pPr>
    </w:p>
    <w:p>
      <w:pPr>
        <w:ind w:left="460" w:firstLine="443"/>
        <w:spacing w:after="0" w:line="257" w:lineRule="auto"/>
        <w:tabs>
          <w:tab w:leader="none" w:pos="11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Borrower hereby unconditionally promises to pay (i) to the Administrative Agent for the pro rata account of the Banks, the then unpaid principal amount of the Syndicated Loans on the Maturity Date and (ii) to the Swing Line Bank, for its account, the then unpaid principal amount of each Swing Line Loan on the earlier of the Maturity Date and the first date after such Swing Line Loan is made that is the 15</w:t>
      </w:r>
      <w:r>
        <w:rPr>
          <w:rFonts w:ascii="Arial" w:cs="Arial" w:eastAsia="Arial" w:hAnsi="Arial"/>
          <w:sz w:val="15"/>
          <w:szCs w:val="15"/>
          <w:color w:val="auto"/>
        </w:rPr>
        <w:t>th</w:t>
      </w:r>
      <w:r>
        <w:rPr>
          <w:rFonts w:ascii="Arial" w:cs="Arial" w:eastAsia="Arial" w:hAnsi="Arial"/>
          <w:sz w:val="18"/>
          <w:szCs w:val="18"/>
          <w:color w:val="auto"/>
        </w:rPr>
        <w:t xml:space="preserve"> or last day of a calendar month and is at least two Business Days after such Swing 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Syndicated Loan is made, the Borrower shall repay all Swing Line Loans then outstanding.</w:t>
      </w:r>
    </w:p>
    <w:p>
      <w:pPr>
        <w:spacing w:after="0" w:line="80" w:lineRule="exact"/>
        <w:rPr>
          <w:rFonts w:ascii="Arial" w:cs="Arial" w:eastAsia="Arial" w:hAnsi="Arial"/>
          <w:sz w:val="18"/>
          <w:szCs w:val="18"/>
          <w:color w:val="auto"/>
        </w:rPr>
      </w:pPr>
    </w:p>
    <w:p>
      <w:pPr>
        <w:jc w:val="both"/>
        <w:ind w:left="460" w:right="180" w:firstLine="443"/>
        <w:spacing w:after="0" w:line="264" w:lineRule="auto"/>
        <w:tabs>
          <w:tab w:leader="none" w:pos="11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Bank shall maintain in accordance with its usual practice an account or accounts evidencing the indebtedness of the Borrower to such Bank resulting from each Loan made by such Bank, including the amounts of principal and interest payable and paid to such Bank from time to time hereunder.</w:t>
      </w:r>
    </w:p>
    <w:p>
      <w:pPr>
        <w:spacing w:after="0" w:line="73" w:lineRule="exact"/>
        <w:rPr>
          <w:rFonts w:ascii="Arial" w:cs="Arial" w:eastAsia="Arial" w:hAnsi="Arial"/>
          <w:sz w:val="18"/>
          <w:szCs w:val="18"/>
          <w:color w:val="auto"/>
        </w:rPr>
      </w:pPr>
    </w:p>
    <w:p>
      <w:pPr>
        <w:ind w:left="460" w:right="200" w:firstLine="443"/>
        <w:spacing w:after="0" w:line="259" w:lineRule="auto"/>
        <w:tabs>
          <w:tab w:leader="none" w:pos="11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Borrower to each Bank hereunder and (iii) the amount of any sum received by the Administrative Agent hereunder for the account of the Banks and each Bank’s share thereof.</w:t>
      </w:r>
    </w:p>
    <w:p>
      <w:pPr>
        <w:spacing w:after="0" w:line="78" w:lineRule="exact"/>
        <w:rPr>
          <w:rFonts w:ascii="Arial" w:cs="Arial" w:eastAsia="Arial" w:hAnsi="Arial"/>
          <w:sz w:val="18"/>
          <w:szCs w:val="18"/>
          <w:color w:val="auto"/>
        </w:rPr>
      </w:pPr>
    </w:p>
    <w:p>
      <w:pPr>
        <w:ind w:left="460" w:right="140" w:firstLine="443"/>
        <w:spacing w:after="0" w:line="312" w:lineRule="auto"/>
        <w:tabs>
          <w:tab w:leader="none" w:pos="11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(b) or (c) of this §2.4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Bank or the Administrative Agent to maintain such accounts or any error therein shall not in any manner affect the obligation of the Borrower to repay the Loans in accordance with the terms of this Agreement.</w:t>
      </w:r>
    </w:p>
    <w:p>
      <w:pPr>
        <w:spacing w:after="0" w:line="79" w:lineRule="exact"/>
        <w:rPr>
          <w:rFonts w:ascii="Arial" w:cs="Arial" w:eastAsia="Arial" w:hAnsi="Arial"/>
          <w:sz w:val="16"/>
          <w:szCs w:val="16"/>
          <w:color w:val="auto"/>
        </w:rPr>
      </w:pPr>
    </w:p>
    <w:p>
      <w:pPr>
        <w:ind w:left="5620" w:hanging="101"/>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360"/>
          </w:cols>
          <w:pgMar w:left="240" w:top="274" w:right="299" w:bottom="1440" w:gutter="0" w:footer="0" w:header="0"/>
        </w:sectPr>
      </w:pPr>
    </w:p>
    <w:bookmarkStart w:id="35" w:name="page36"/>
    <w:bookmarkEnd w:id="35"/>
    <w:p>
      <w:pPr>
        <w:ind w:left="-443" w:right="100" w:firstLine="443"/>
        <w:spacing w:after="0" w:line="276" w:lineRule="auto"/>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Bank may request that any Loans made by it be evidenced by a promissory note. In such event, the Borrower shall prepare, execute and deliver to such Bank a promissory note payable to the order of such Bank (or, if requested by Bank, to such Bank and its registered assigns) and in a form approved by the Administrative Agent. Thereafter, the Loans evidenced by such promissory note and interest thereon shall at all times (including after assignment pursuant to §20) be represented by one or more promissory notes in such form payable to the order of the payee named therein (or, if such promissory note is a registered note, to such payee and its registered assigns).</w:t>
      </w:r>
    </w:p>
    <w:p>
      <w:pPr>
        <w:spacing w:after="0" w:line="64" w:lineRule="exact"/>
        <w:rPr>
          <w:rFonts w:ascii="Arial" w:cs="Arial" w:eastAsia="Arial" w:hAnsi="Arial"/>
          <w:sz w:val="17"/>
          <w:szCs w:val="17"/>
          <w:color w:val="auto"/>
        </w:rPr>
      </w:pPr>
    </w:p>
    <w:p>
      <w:pPr>
        <w:jc w:val="both"/>
        <w:ind w:left="-443" w:right="220" w:firstLine="443"/>
        <w:spacing w:after="0" w:line="264"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any Bank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Bank.</w:t>
      </w:r>
    </w:p>
    <w:p>
      <w:pPr>
        <w:spacing w:after="0" w:line="177"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§2.5. Interest on Loans</w:t>
      </w:r>
      <w:r>
        <w:rPr>
          <w:rFonts w:ascii="Arial" w:cs="Arial" w:eastAsia="Arial" w:hAnsi="Arial"/>
          <w:sz w:val="18"/>
          <w:szCs w:val="18"/>
          <w:color w:val="auto"/>
        </w:rPr>
        <w:t>.</w:t>
      </w:r>
    </w:p>
    <w:p>
      <w:pPr>
        <w:spacing w:after="0" w:line="121" w:lineRule="exact"/>
        <w:rPr>
          <w:sz w:val="20"/>
          <w:szCs w:val="20"/>
          <w:color w:val="auto"/>
        </w:rPr>
      </w:pPr>
    </w:p>
    <w:p>
      <w:pPr>
        <w:jc w:val="both"/>
        <w:ind w:left="-443" w:right="40" w:firstLine="443"/>
        <w:spacing w:after="0" w:line="342" w:lineRule="auto"/>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outstanding principal amount of Base Rate Syndicated Loans and Swing Line Loans shall bear interest at the rate per annum equal to the Applicable Base Rate. The outstanding principal amount of the Eurodollar Rate Syndicated Loans shall bear interest at the Applicable Eurodollar Rate.</w:t>
      </w:r>
    </w:p>
    <w:p>
      <w:pPr>
        <w:spacing w:after="0" w:line="15" w:lineRule="exact"/>
        <w:rPr>
          <w:rFonts w:ascii="Arial" w:cs="Arial" w:eastAsia="Arial" w:hAnsi="Arial"/>
          <w:sz w:val="16"/>
          <w:szCs w:val="16"/>
          <w:color w:val="auto"/>
        </w:rPr>
      </w:pPr>
    </w:p>
    <w:p>
      <w:pPr>
        <w:ind w:left="-443" w:firstLine="443"/>
        <w:spacing w:after="0" w:line="259" w:lineRule="auto"/>
        <w:tabs>
          <w:tab w:leader="none" w:pos="2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shall be payable (i) quarterly in arrears on the first Business Day of each calendar quarter, with the first such payment commencing October 1, 2015, on Base Rate Loans, (ii) on the last day of the applicable Interest Period, and if such Interest Period is longer than three months, also on the last day of each three month period following the commencement of such Interest Period, on Eurodollar Loans, and (iii) on the Maturity Date for all Loans.</w:t>
      </w:r>
    </w:p>
    <w:p>
      <w:pPr>
        <w:spacing w:after="0" w:line="183"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§2.6. Requests for Syndicated Loans</w:t>
      </w:r>
      <w:r>
        <w:rPr>
          <w:rFonts w:ascii="Arial" w:cs="Arial" w:eastAsia="Arial" w:hAnsi="Arial"/>
          <w:sz w:val="18"/>
          <w:szCs w:val="18"/>
          <w:color w:val="auto"/>
        </w:rPr>
        <w:t>.</w:t>
      </w:r>
    </w:p>
    <w:p>
      <w:pPr>
        <w:spacing w:after="0" w:line="121" w:lineRule="exact"/>
        <w:rPr>
          <w:sz w:val="20"/>
          <w:szCs w:val="20"/>
          <w:color w:val="auto"/>
        </w:rPr>
      </w:pPr>
    </w:p>
    <w:p>
      <w:pPr>
        <w:ind w:left="-443" w:right="40" w:firstLine="443"/>
        <w:spacing w:after="0" w:line="270" w:lineRule="auto"/>
        <w:tabs>
          <w:tab w:leader="none" w:pos="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Borrower shall give to the Administrative Agent notice, which may be given by (i) telephone or (ii)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(or such other form as may be approved by the Administrative Agent (including any form on an electronic platform or electronic transmission system as shall be approved by the Administrative Agent)) of each Syndicated Loan requested hereunder (a “</w:t>
      </w:r>
      <w:r>
        <w:rPr>
          <w:rFonts w:ascii="Arial" w:cs="Arial" w:eastAsia="Arial" w:hAnsi="Arial"/>
          <w:sz w:val="17"/>
          <w:szCs w:val="17"/>
          <w:u w:val="single" w:color="auto"/>
          <w:color w:val="auto"/>
        </w:rPr>
        <w:t>Syndicated Loan Request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immediately by delivery to the Administrative Agent of a Syndicated Loan Request. Each such Syndicated Loan Request shall be appropriately completed and signed by an authorized officer of the Borrower not later than (A) 11:00 a.m. (New York time) on the proposed Drawdown Date of any Base Rate Loan, or (B) 11:00 a.m. (New York time) three (3) Business Days prior to the proposed Drawdown Date of any Eurodollar Loan. Each such Syndicated Loan Request shall specify (1) the principal amount of the Syndicated Loan requested, (2) the proposed Drawdown Date of such Syndicated Loan, (3) whether such Syndicated Loan requested is to be a Base Rate Loan or a Eurodollar Loan, and (4) the Interest Period for such Syndicated Loan, if a Eurodollar Loan. If the Borrower fails to specify whether a Syndicated Loan is to be a Base Rate Loan or a Eurodollar Rate Loan, then the</w:t>
      </w:r>
    </w:p>
    <w:p>
      <w:pPr>
        <w:spacing w:after="0" w:line="110" w:lineRule="exact"/>
        <w:rPr>
          <w:rFonts w:ascii="Arial" w:cs="Arial" w:eastAsia="Arial" w:hAnsi="Arial"/>
          <w:sz w:val="17"/>
          <w:szCs w:val="17"/>
          <w:color w:val="auto"/>
        </w:rPr>
      </w:pPr>
    </w:p>
    <w:p>
      <w:pPr>
        <w:ind w:left="4717" w:hanging="101"/>
        <w:spacing w:after="0"/>
        <w:tabs>
          <w:tab w:leader="none" w:pos="4717" w:val="left"/>
        </w:tabs>
        <w:numPr>
          <w:ilvl w:val="1"/>
          <w:numId w:val="21"/>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497"/>
          </w:cols>
          <w:pgMar w:left="1143" w:top="274" w:right="259" w:bottom="1440" w:gutter="0" w:footer="0" w:header="0"/>
        </w:sectPr>
      </w:pPr>
    </w:p>
    <w:bookmarkStart w:id="36" w:name="page37"/>
    <w:bookmarkEnd w:id="36"/>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Syndicated Loan shall be made as a Base Rate Loan. If the Borrower requests that a Syndicated Loan is to be a Eurodollar Loan, but fails to specify the Interest Period, it will be deemed to have requested an Interest Period of one month. Each Syndicated Loan requested shall be in a minimum amount of $10,000,000. Each such Syndicated Loan Request shall reflect the Maximum Drawing Amount of all Letters of Credit outstanding and the amount of all Loans outstanding (including Swing Line Loans). Syndicated Loan Requests made hereunder shall be irrevocable and binding on the Borrower, and shall obligate the Borrower to accept the Syndicated Loan requested from the Banks on the proposed Drawdown Date.</w:t>
      </w:r>
    </w:p>
    <w:p>
      <w:pPr>
        <w:spacing w:after="0" w:line="50" w:lineRule="exact"/>
        <w:rPr>
          <w:sz w:val="20"/>
          <w:szCs w:val="20"/>
          <w:color w:val="auto"/>
        </w:rPr>
      </w:pPr>
    </w:p>
    <w:p>
      <w:pPr>
        <w:ind w:right="60" w:firstLine="443"/>
        <w:spacing w:after="0" w:line="293" w:lineRule="auto"/>
        <w:tabs>
          <w:tab w:leader="none" w:pos="693"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 or Letter of Credit Application and on and as of the Drawdown Date of any Loan or the date of issuance of any Letter of Credit (except to the extent (i) of changes resulting from transactions contemplated or permitted by this Agreement and the other Loan Documents and changes occurring in the ordinary course of business that either individually or in the aggregate do not result in a Material Adverse Effect, or (ii) that such representations and warranties expressly relate only to an earlier date).</w:t>
      </w:r>
    </w:p>
    <w:p>
      <w:pPr>
        <w:spacing w:after="0" w:line="56" w:lineRule="exact"/>
        <w:rPr>
          <w:rFonts w:ascii="Arial" w:cs="Arial" w:eastAsia="Arial" w:hAnsi="Arial"/>
          <w:sz w:val="16"/>
          <w:szCs w:val="16"/>
          <w:color w:val="auto"/>
        </w:rPr>
      </w:pPr>
    </w:p>
    <w:p>
      <w:pPr>
        <w:ind w:right="80" w:firstLine="443"/>
        <w:spacing w:after="0" w:line="342" w:lineRule="auto"/>
        <w:tabs>
          <w:tab w:leader="none" w:pos="6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Administrative Agent shall promptly notify each Bank of each Syndicated Loan Request received by the Administrative Agent (i) on the proposed Drawdown Date of any Base Rate Loan, or (ii) three (3) Business Days prior to the proposed Drawdown Date of any Eurodollar Loan.</w:t>
      </w:r>
    </w:p>
    <w:p>
      <w:pPr>
        <w:spacing w:after="0" w:line="15" w:lineRule="exact"/>
        <w:rPr>
          <w:rFonts w:ascii="Arial" w:cs="Arial" w:eastAsia="Arial" w:hAnsi="Arial"/>
          <w:sz w:val="16"/>
          <w:szCs w:val="16"/>
          <w:color w:val="auto"/>
        </w:rPr>
      </w:pPr>
    </w:p>
    <w:p>
      <w:pPr>
        <w:ind w:firstLine="443"/>
        <w:spacing w:after="0" w:line="255"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purposes of this §2.6, §2.11 and §3.1, the term “authorized officer” includes the chief executive officer, president, chief financial officer, treasurer, assistant treasurer or chief accounting officer of the Borrower as well as any other officer or employee of the Borrower so designated by any of the foregoing officers in a notice to the Administrative Agent or any other officer or employee of the Borrower designated in or pursuant to an agreement between the Borrower and the Administrative Agent. Any document delivered under that is signed by any such authorized officer shall be conclusively presumed to have been authorized by all necessary corporate action on the part of the Borrower and such authorized officer shall be conclusively presumed to have acted on behalf of the Borrower.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§2.7. Election of Eurodollar Rate; Notice of Election; Interest Periods; Minimum Amounts</w:t>
      </w:r>
      <w:r>
        <w:rPr>
          <w:rFonts w:ascii="Arial" w:cs="Arial" w:eastAsia="Arial" w:hAnsi="Arial"/>
          <w:sz w:val="18"/>
          <w:szCs w:val="18"/>
          <w:color w:val="auto"/>
        </w:rPr>
        <w:t>.</w:t>
      </w:r>
    </w:p>
    <w:p>
      <w:pPr>
        <w:spacing w:after="0" w:line="121" w:lineRule="exact"/>
        <w:rPr>
          <w:sz w:val="20"/>
          <w:szCs w:val="20"/>
          <w:color w:val="auto"/>
        </w:rPr>
      </w:pPr>
    </w:p>
    <w:p>
      <w:pPr>
        <w:ind w:right="20" w:firstLine="443"/>
        <w:spacing w:after="0" w:line="259" w:lineRule="auto"/>
        <w:tabs>
          <w:tab w:leader="none" w:pos="6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At the Borrower’s option, so long as no Default or Event of Default has occurred and is then continuing, the Borrower may (i) elect to convert any Base Rate Syndicated Loan or a portion thereof to a Eurodollar Loan, (ii) at the time of any Syndicated Loan Request, specify that such requested Loan shall be a Eurodollar Loan, or (iii) upon expiration of the applicable Interest Period, elect to maintain an existing Eurodollar Loan as such,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give notice to the Administrative</w:t>
      </w:r>
    </w:p>
    <w:p>
      <w:pPr>
        <w:spacing w:after="0" w:line="119" w:lineRule="exact"/>
        <w:rPr>
          <w:rFonts w:ascii="Arial" w:cs="Arial" w:eastAsia="Arial" w:hAnsi="Arial"/>
          <w:sz w:val="18"/>
          <w:szCs w:val="18"/>
          <w:color w:val="auto"/>
        </w:rPr>
      </w:pPr>
    </w:p>
    <w:p>
      <w:pPr>
        <w:ind w:left="5160" w:hanging="101"/>
        <w:spacing w:after="0"/>
        <w:tabs>
          <w:tab w:leader="none" w:pos="5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40"/>
          </w:cols>
          <w:pgMar w:left="700" w:top="274" w:right="259" w:bottom="1440" w:gutter="0" w:footer="0" w:header="0"/>
        </w:sectPr>
      </w:pPr>
    </w:p>
    <w:bookmarkStart w:id="37" w:name="page38"/>
    <w:bookmarkEnd w:id="37"/>
    <w:p>
      <w:pPr>
        <w:ind w:left="460" w:right="5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Agent pursuant to §2.7(b) hereof. Upon determining any Eurodollar Rate, the Administrative Agent shall forthwith provide notice thereof to the Borrower and the Banks, and each such notice to the Borrower shall be considered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correct and binding, absent manifest error.</w:t>
      </w:r>
    </w:p>
    <w:p>
      <w:pPr>
        <w:spacing w:after="0" w:line="16" w:lineRule="exact"/>
        <w:rPr>
          <w:sz w:val="20"/>
          <w:szCs w:val="20"/>
          <w:color w:val="auto"/>
        </w:rPr>
      </w:pPr>
    </w:p>
    <w:p>
      <w:pPr>
        <w:ind w:left="460" w:right="100" w:firstLine="443"/>
        <w:spacing w:after="0" w:line="289" w:lineRule="auto"/>
        <w:tabs>
          <w:tab w:leader="none" w:pos="115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Three (3) Business Days prior to the making of any Eurodollar Loan or the conversion of any Base Rate Syndicated Loan to a Eurodollar Loan, or, in the case of an outstanding Eurodollar Loan, the expiration date of the applicable Interest Period, the Borrower shall give written, telex or facsimile notice (or telephonic notice promptly confirmed in a writing or a facsimile) received by the Administrative Agent not later than 11:00 a.m. (New York time) of its election pursuant to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58" w:lineRule="exact"/>
        <w:rPr>
          <w:rFonts w:ascii="Arial" w:cs="Arial" w:eastAsia="Arial" w:hAnsi="Arial"/>
          <w:sz w:val="16"/>
          <w:szCs w:val="16"/>
          <w:color w:val="auto"/>
        </w:rPr>
      </w:pPr>
    </w:p>
    <w:p>
      <w:pPr>
        <w:ind w:left="1140" w:hanging="237"/>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Borrower may not specify an Interest Period that would extend beyond the Maturity</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Date.</w:t>
      </w:r>
    </w:p>
    <w:p>
      <w:pPr>
        <w:spacing w:after="0" w:line="102" w:lineRule="exact"/>
        <w:rPr>
          <w:rFonts w:ascii="Arial" w:cs="Arial" w:eastAsia="Arial" w:hAnsi="Arial"/>
          <w:sz w:val="17"/>
          <w:szCs w:val="17"/>
          <w:color w:val="auto"/>
        </w:rPr>
      </w:pPr>
    </w:p>
    <w:p>
      <w:pPr>
        <w:ind w:left="460" w:right="500" w:firstLine="443"/>
        <w:spacing w:after="0" w:line="308" w:lineRule="auto"/>
        <w:tabs>
          <w:tab w:leader="none" w:pos="11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conversion of Loans pursuant to this §2.7 may result in any Eurodollar Borrowing that is less than $5,000,000. In no event shall the Borrower have more than ten (10) different Interest Periods for Borrowings of Eurodollar Loans outstanding at any time.</w:t>
      </w:r>
    </w:p>
    <w:p>
      <w:pPr>
        <w:spacing w:after="0" w:line="38" w:lineRule="exact"/>
        <w:rPr>
          <w:rFonts w:ascii="Arial" w:cs="Arial" w:eastAsia="Arial" w:hAnsi="Arial"/>
          <w:sz w:val="17"/>
          <w:szCs w:val="17"/>
          <w:color w:val="auto"/>
        </w:rPr>
      </w:pPr>
    </w:p>
    <w:p>
      <w:pPr>
        <w:ind w:left="460" w:right="280" w:firstLine="443"/>
        <w:spacing w:after="0" w:line="290" w:lineRule="auto"/>
        <w:tabs>
          <w:tab w:leader="none" w:pos="11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Subject to the terms and conditions of §5.8 hereof, if any Affected Bank demands compensation under §5.5(c) or (d) with respect to any Eurodollar Loan, the Borrower may at any time, upon at least three (3) 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§5.5(c)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162"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§2.8. Funds for Syndicated Loans</w:t>
      </w:r>
      <w:r>
        <w:rPr>
          <w:rFonts w:ascii="Arial" w:cs="Arial" w:eastAsia="Arial" w:hAnsi="Arial"/>
          <w:sz w:val="18"/>
          <w:szCs w:val="18"/>
          <w:color w:val="auto"/>
        </w:rPr>
        <w:t>. Not later than 1:00 p.m. (New York time) on the proposed Drawdown Date of Syndicated Loans,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Banks will make available to the Administrative Agent at the Administrative Agent’s Office, in immediately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274" w:right="259" w:bottom="1440" w:gutter="0" w:footer="0" w:header="0"/>
        </w:sectPr>
      </w:pPr>
    </w:p>
    <w:bookmarkStart w:id="38" w:name="page39"/>
    <w:bookmarkEnd w:id="3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available funds, the amount of its Commitment Percentage of the amount of the requested Loan. Upon receipt from each Bank of such amount, and upon receipt of the documents required by §10 and §11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189"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b w:val="1"/>
          <w:bCs w:val="1"/>
          <w:color w:val="auto"/>
        </w:rPr>
        <w:t>§2.9. Maturity of the Loans and Reimbursement Obligations</w:t>
      </w:r>
      <w:r>
        <w:rPr>
          <w:rFonts w:ascii="Arial" w:cs="Arial" w:eastAsia="Arial" w:hAnsi="Arial"/>
          <w:sz w:val="18"/>
          <w:szCs w:val="18"/>
          <w:color w:val="auto"/>
        </w:rPr>
        <w:t>. The Borrower promises to pay on the Maturity Date, and there shall become</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absolutely due and payable on the Maturity Date, all of the Loans and unpaid Reimbursement Obligations outstanding on such date, together with any and all accrued and unpaid interest thereon and any fees and other amounts owing hereunder.</w:t>
      </w:r>
    </w:p>
    <w:p>
      <w:pPr>
        <w:spacing w:after="0" w:line="176" w:lineRule="exact"/>
        <w:rPr>
          <w:sz w:val="20"/>
          <w:szCs w:val="20"/>
          <w:color w:val="auto"/>
        </w:rPr>
      </w:pPr>
    </w:p>
    <w:p>
      <w:pPr>
        <w:ind w:right="140" w:firstLine="913"/>
        <w:spacing w:after="0" w:line="289" w:lineRule="auto"/>
        <w:rPr>
          <w:sz w:val="20"/>
          <w:szCs w:val="20"/>
          <w:color w:val="auto"/>
        </w:rPr>
      </w:pPr>
      <w:r>
        <w:rPr>
          <w:rFonts w:ascii="Arial" w:cs="Arial" w:eastAsia="Arial" w:hAnsi="Arial"/>
          <w:sz w:val="16"/>
          <w:szCs w:val="16"/>
          <w:b w:val="1"/>
          <w:bCs w:val="1"/>
          <w:color w:val="auto"/>
        </w:rPr>
        <w:t>§2.10. Optional Prepayments or Repayments of Loans</w:t>
      </w:r>
      <w:r>
        <w:rPr>
          <w:rFonts w:ascii="Arial" w:cs="Arial" w:eastAsia="Arial" w:hAnsi="Arial"/>
          <w:sz w:val="16"/>
          <w:szCs w:val="16"/>
          <w:color w:val="auto"/>
        </w:rPr>
        <w:t>. Subject to the terms and conditions of §5.8, the Borrower shall have the right, at its</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 to repay or prepay the outstanding amount of the Loans, as a whole or in part, at any time without penalty or premium. The Borrower shall give the Administrative Agent no later than 11:00 a.m. (New York time) (a) on the proposed date of prepayment or repayment of Base Rate Loans, and (b) three</w:t>
      </w:r>
    </w:p>
    <w:p>
      <w:pPr>
        <w:spacing w:after="0" w:line="2" w:lineRule="exact"/>
        <w:rPr>
          <w:sz w:val="20"/>
          <w:szCs w:val="20"/>
          <w:color w:val="auto"/>
        </w:rPr>
      </w:pPr>
    </w:p>
    <w:p>
      <w:pPr>
        <w:ind w:right="300" w:firstLine="8"/>
        <w:spacing w:after="0" w:line="25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Day prior to the proposed date of prepayment or repayment of all other Loans, written notice (or telephonic notice confirmed in writing or by facsimile) of any proposed prepayment or repayment pursuant to this §2.10, specifying the proposed date of prepayment or repayment of Loans and the principal amount to be paid. The Administrative Agent shall promptly notify each Bank by written notice (or telephonic notice confirmed in writing or by facsimile) of such notice of payment.</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 Swing Line Loans; Participations</w:t>
      </w:r>
      <w:r>
        <w:rPr>
          <w:rFonts w:ascii="Arial" w:cs="Arial" w:eastAsia="Arial" w:hAnsi="Arial"/>
          <w:sz w:val="18"/>
          <w:szCs w:val="18"/>
          <w:color w:val="auto"/>
        </w:rPr>
        <w:t>.</w:t>
      </w:r>
    </w:p>
    <w:p>
      <w:pPr>
        <w:spacing w:after="0" w:line="121" w:lineRule="exact"/>
        <w:rPr>
          <w:sz w:val="20"/>
          <w:szCs w:val="20"/>
          <w:color w:val="auto"/>
        </w:rPr>
      </w:pPr>
    </w:p>
    <w:p>
      <w:pPr>
        <w:ind w:left="460" w:firstLine="443"/>
        <w:spacing w:after="0" w:line="288" w:lineRule="auto"/>
        <w:tabs>
          <w:tab w:leader="none" w:pos="11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the Swing Line Bank, in reliance upon the agreements of the other Banks set forth in this §2.11, shall make loans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Borrower on any Business Day from time to time between the Effective Date and the Maturity Date, upon notice by the Borrower to the Administrative Agent in an aggregate amount not to exceed at any time outstanding the amount of the Swing Line Sublimit, notwithstanding the fact that such Swing Line Loans, when aggregated with the Commitment Percentage of the Syndicated Loans and Maximum Drawing Amount of outstanding Letters of Credit of the Bank acting as Swing Line Bank, may exceed the amount of such Bank’s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Swing Line Loan, (i) the sum of the outstanding principal amount of the Syndicated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outstanding principal amount of the Swing 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Maximum Drawing Amount of outstanding Letters of Credit shall not exceed the Total Commitment, and (ii) the aggregate outstanding principal amount of the Syndicated Loans of any Bank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Bank’s Commitment Percentage of the outstanding principal amount of the Swing 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Bank’s Commitment Percentage of the outstanding principal amount of the Maximum Drawing Amount of outstanding Letters of Credit shall not exceed such Bank’s Commitment, and</w:t>
      </w:r>
    </w:p>
    <w:p>
      <w:pPr>
        <w:spacing w:after="0" w:line="101" w:lineRule="exact"/>
        <w:rPr>
          <w:rFonts w:ascii="Arial" w:cs="Arial" w:eastAsia="Arial" w:hAnsi="Arial"/>
          <w:sz w:val="16"/>
          <w:szCs w:val="16"/>
          <w:color w:val="auto"/>
        </w:rPr>
      </w:pPr>
    </w:p>
    <w:p>
      <w:pPr>
        <w:ind w:left="5620" w:hanging="101"/>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20"/>
          </w:cols>
          <w:pgMar w:left="240" w:top="274" w:right="239" w:bottom="1440" w:gutter="0" w:footer="0" w:header="0"/>
        </w:sectPr>
      </w:pPr>
    </w:p>
    <w:bookmarkStart w:id="39" w:name="page40"/>
    <w:bookmarkEnd w:id="39"/>
    <w:p>
      <w:pPr>
        <w:ind w:right="180"/>
        <w:spacing w:after="0" w:line="27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Borrower shall not use the proceeds of any Swing Line Loan to refinance any outstanding Swing Line Loan. Within the foregoing limits, and subject to the other terms and conditions hereof, the Borrower may borrow under this §2.11, prepay under §2.10, and reborrow under this §2.11. Each Swing Line Loan shall be a Base Rate Loan. Immediately upon the making of a Swing Line Loan, each Bank shall be deemed to, and hereby irrevocably and unconditionally agrees to, purchase from the Swing Line Bank a risk participation in such Swing Line Loan in an amount equal to the product of such Bank’s Commitment Percentage times the amount of such Swing Line Loan.</w:t>
      </w:r>
    </w:p>
    <w:p>
      <w:pPr>
        <w:spacing w:after="0" w:line="64" w:lineRule="exact"/>
        <w:rPr>
          <w:sz w:val="20"/>
          <w:szCs w:val="20"/>
          <w:color w:val="auto"/>
        </w:rPr>
      </w:pPr>
    </w:p>
    <w:p>
      <w:pPr>
        <w:ind w:firstLine="443"/>
        <w:spacing w:after="0" w:line="286" w:lineRule="auto"/>
        <w:tabs>
          <w:tab w:leader="none" w:pos="693"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Each Swing Line Borrowing shall be made upon the Borrower’s irrevocable notice to the Swing Line Bank and the Administrative Agent, which may be given by (i) telephone or (ii) in the form of a Swing Line Loan Request (or such other form as may be approved by the Administrative Agent (including any form on an electronic platform or electronic transmission system as shall be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immediately by delivery to the Administrative Agent of a Swing Line Loan Request. Each Swing Line Loan Request shall be appropriately completed and signed by an authorized officer of the Borrower and must be received by the Swing Line Bank and the Administrative Agent not later than 1:00 p.m. (New York time). on the requested borrowing date, and shall specify (A) the amount to be borrowed, which shall be a minimum of $100,000, and (B) the requested borrowing date, which shall be a Business Day. Promptly after receipt by the Swing Line Bank of any telephonic Swing Line Loan Request, the Swing Line Bank will confirm with the Administrative Agent (by telephone or in writing) that the Administrative Agent has also received such Swing Line Loan Request and, if not, the Swing Line Bank will notify the Administrative Agent (by telephone or in writing) of the contents thereof. Unless the Swing Line Bank has received notice (by telephone or in writing) from the Administrative Agent (including at the request of any Bank) prior to 2:00 p.m. on the date of the proposed Swing Line Borrowing (1) directing the Swing Line Bank not to make such Swing Line Loan as a result of the limitations set forth in the first proviso to the first sentence of §2.11(a), or (2) that one or more of the applicable conditions specified in §11 is not then satisfied, then, subject to the terms and conditions hereof, the Swing Line Bank will, not later than 3:00 p.m. on the borrowing date specified in such Swing Line Loan Request, make the amount of its Swing Line Loan available to the Borrower at its office by crediting the account of the Borrower on the books of the Swing Line Bank in immediately available funds.</w:t>
      </w:r>
    </w:p>
    <w:p>
      <w:pPr>
        <w:spacing w:after="0" w:line="60" w:lineRule="exact"/>
        <w:rPr>
          <w:rFonts w:ascii="Arial" w:cs="Arial" w:eastAsia="Arial" w:hAnsi="Arial"/>
          <w:sz w:val="16"/>
          <w:szCs w:val="16"/>
          <w:color w:val="auto"/>
        </w:rPr>
      </w:pPr>
    </w:p>
    <w:p>
      <w:pPr>
        <w:ind w:firstLine="443"/>
        <w:spacing w:after="0" w:line="255" w:lineRule="auto"/>
        <w:tabs>
          <w:tab w:leader="none" w:pos="6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Swing Line Bank at any time in its sole discretion may request, on behalf of the Borrower (which hereby irrevocably authorizes the Swing Line Bank to so request on its behalf), that each Bank make a Base Rate Syndicated Loan in an amount equal to such Bank’s Commitment Percentage of the amount of Swing Line Loans then outstanding. Such request shall be made in writing (which written request shall be deemed to be a Syndicated Loan Request for purposes hereof) and in accordance with the requirements of §2.6, without regard to the minimum and multiples specified therein, but subject to the unutilized portion of the Total Aggregate Commitments and the conditions set forth in §11. The Swing Line Bank shall furnish the Borrower with a copy</w:t>
      </w:r>
    </w:p>
    <w:p>
      <w:pPr>
        <w:spacing w:after="0" w:line="125" w:lineRule="exact"/>
        <w:rPr>
          <w:rFonts w:ascii="Arial" w:cs="Arial" w:eastAsia="Arial" w:hAnsi="Arial"/>
          <w:sz w:val="18"/>
          <w:szCs w:val="18"/>
          <w:color w:val="auto"/>
        </w:rPr>
      </w:pPr>
    </w:p>
    <w:p>
      <w:pPr>
        <w:ind w:left="5160" w:hanging="101"/>
        <w:spacing w:after="0"/>
        <w:tabs>
          <w:tab w:leader="none" w:pos="5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20"/>
          </w:cols>
          <w:pgMar w:left="700" w:top="274" w:right="279" w:bottom="1440" w:gutter="0" w:footer="0" w:header="0"/>
        </w:sectPr>
      </w:pPr>
    </w:p>
    <w:bookmarkStart w:id="40" w:name="page41"/>
    <w:bookmarkEnd w:id="4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applicable Syndicated Loan Request promptly after delivering such notice to the Administrative Agent. Each Bank shall make an amount equal to its Commitment Percentage of the amount specified in such Syndicated Loan Request available to the Administrative Agent in immediately available funds (and the Administrative Agent may apply any cash collateral or other credit support available with respect to the applicable Swing Line Loan) for the account of the Swing Line Bank at the Administrative Agent’s Office not later than 1:00 p.m. on the day specified in such Syndicated Loan Request, whereupon, subject to §2.11(d), each Bank that so makes funds available shall be deemed to have made a Base Rate Syndicated Loan to the Borrower in such amount. The Administrative Agent shall remit the funds so received to the Swing Line Bank.</w:t>
      </w:r>
    </w:p>
    <w:p>
      <w:pPr>
        <w:spacing w:after="0" w:line="57" w:lineRule="exact"/>
        <w:rPr>
          <w:sz w:val="20"/>
          <w:szCs w:val="20"/>
          <w:color w:val="auto"/>
        </w:rPr>
      </w:pPr>
    </w:p>
    <w:p>
      <w:pPr>
        <w:ind w:right="40" w:firstLine="443"/>
        <w:spacing w:after="0" w:line="279" w:lineRule="auto"/>
        <w:tabs>
          <w:tab w:leader="none" w:pos="693"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for any reason any Swing Line Loan cannot be refinanced by such a Syndicated Borrowing in accordance with §2.11(c), the request for Base Rate Syndicated Loans submitted by the Swing Line Bank as set forth herein shall be deemed to be a request by the Swing Line Bank that each of the Banks fund its risk participation in the relevant Swing Line Loan and each Bank’s payment to the Administrative Agent for the account of the Swing Line Bank pursuant to §2.11(c) shall be deemed payment in respect of such participation.</w:t>
      </w:r>
    </w:p>
    <w:p>
      <w:pPr>
        <w:spacing w:after="0" w:line="63" w:lineRule="exact"/>
        <w:rPr>
          <w:rFonts w:ascii="Arial" w:cs="Arial" w:eastAsia="Arial" w:hAnsi="Arial"/>
          <w:sz w:val="17"/>
          <w:szCs w:val="17"/>
          <w:color w:val="auto"/>
        </w:rPr>
      </w:pPr>
    </w:p>
    <w:p>
      <w:pPr>
        <w:ind w:firstLine="443"/>
        <w:spacing w:after="0" w:line="289" w:lineRule="auto"/>
        <w:tabs>
          <w:tab w:leader="none" w:pos="6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any Bank fails to make available to the Administrative Agent for the account of the Swing Line Bank any amount required to be paid by such Bank pursuant to the foregoing provisions of this §2.11 by the time specified herein, the Swing Line Bank shall be entitled to recover from such Bank (acting through the Administrative Agent), on demand, such amount with interest thereon for the period from the date such payment is required to the date on which such payment is immediately available to the Swing Line Bank at a rate per annum equal to the greater of the Federal Funds Rate and a rate determined by the Swing Line Bank in accordance with banking industry practice on interbank compensation, plus any administrative, processing or similar fees customarily charged by the Swing Line Bank in connection with the foregoing. If such Bank pays such amount (with interest and fees as aforesaid), the amount so paid shall constitute such Bank’s Syndicated Loan included in the relevant Syndicated Borrowing or funded participation in the relevant Swing Line Loan, as the case may be. A certificate of the Swing Line Bank submitted to any Bank (through the Administrative Agent) with respect to any amounts owing under this paragraph shall be conclusive absent manifest error.</w:t>
      </w:r>
    </w:p>
    <w:p>
      <w:pPr>
        <w:spacing w:after="0" w:line="58" w:lineRule="exact"/>
        <w:rPr>
          <w:rFonts w:ascii="Arial" w:cs="Arial" w:eastAsia="Arial" w:hAnsi="Arial"/>
          <w:sz w:val="16"/>
          <w:szCs w:val="16"/>
          <w:color w:val="auto"/>
        </w:rPr>
      </w:pPr>
    </w:p>
    <w:p>
      <w:pPr>
        <w:ind w:right="40" w:firstLine="443"/>
        <w:spacing w:after="0" w:line="273" w:lineRule="auto"/>
        <w:tabs>
          <w:tab w:leader="none" w:pos="663"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Bank’s obligation to make Syndicated Loans or to purchase and fund risk participations in Swing Line Loans pursuant to this §2.11 shall be absolute and unconditional and shall not be affected by any circumstance, including (A) any setoff, counterclaim, recoupment, defense or other right which such Bank may have against the Swing Line Bank, the Borrower or any other Person for any reason whatsoever, (B) the occurrence or continuance of a Default, or (C) any other occurrence, event or condition, whether or not similar to any of the foregoing; provided, that each Bank’s obligation to make Syndicated Loans pursuant to this §2.11 is subject to the conditions set forth in §11. No such funding of risk participations shall relieve or otherwise impair the obligation of the Borrower to repay Swing Line Loans, together with interest as provided herein.</w:t>
      </w:r>
    </w:p>
    <w:p>
      <w:pPr>
        <w:spacing w:after="0" w:line="110" w:lineRule="exact"/>
        <w:rPr>
          <w:rFonts w:ascii="Arial" w:cs="Arial" w:eastAsia="Arial" w:hAnsi="Arial"/>
          <w:sz w:val="17"/>
          <w:szCs w:val="17"/>
          <w:color w:val="auto"/>
        </w:rPr>
      </w:pPr>
    </w:p>
    <w:p>
      <w:pPr>
        <w:ind w:left="5160" w:hanging="101"/>
        <w:spacing w:after="0"/>
        <w:tabs>
          <w:tab w:leader="none" w:pos="5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0960"/>
          </w:cols>
          <w:pgMar w:left="700" w:top="274" w:right="239" w:bottom="1440" w:gutter="0" w:footer="0" w:header="0"/>
        </w:sectPr>
      </w:pPr>
    </w:p>
    <w:bookmarkStart w:id="41" w:name="page42"/>
    <w:bookmarkEnd w:id="41"/>
    <w:p>
      <w:pPr>
        <w:ind w:left="460" w:right="20" w:firstLine="443"/>
        <w:spacing w:after="0" w:line="264"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any time after any Bank has purchased and funded a risk participation in a Swing Line Loan, if the Swing Line Bank receives any payment on account of such Swing Line Loan, the Swing Line Bank will distribute to such Bank its Commitment Percentage thereof in the same funds as those received by the Swing Line Bank.</w:t>
      </w:r>
    </w:p>
    <w:p>
      <w:pPr>
        <w:spacing w:after="0" w:line="73" w:lineRule="exact"/>
        <w:rPr>
          <w:rFonts w:ascii="Arial" w:cs="Arial" w:eastAsia="Arial" w:hAnsi="Arial"/>
          <w:sz w:val="18"/>
          <w:szCs w:val="18"/>
          <w:color w:val="auto"/>
        </w:rPr>
      </w:pPr>
    </w:p>
    <w:p>
      <w:pPr>
        <w:ind w:left="460" w:right="160" w:firstLine="443"/>
        <w:spacing w:after="0" w:line="255"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any payment received by the Swing Line Bank in respect of principal or interest on any Swing Line Loan is required to be returned by the Swing Line Bank under any of the circumstances described in §33 (including pursuant to any settlement entered into by the Swing Line Bank in its discretion), each Bank shall pay to the Swing Line Bank its Commitment Percentage thereof on demand of the Administrative Agent, plus interest thereon from the date of such demand to the date such amount is returned, at a rate per annum equal to the Federal Funds Rate. The Administrative Agent will make such demand upon the request of the Swing Line Bank. The obligations of the Banks under this clause shall survive the payment in full of the Obligations and the termination of this Agreement.</w:t>
      </w:r>
    </w:p>
    <w:p>
      <w:pPr>
        <w:spacing w:after="0" w:line="85" w:lineRule="exact"/>
        <w:rPr>
          <w:rFonts w:ascii="Arial" w:cs="Arial" w:eastAsia="Arial" w:hAnsi="Arial"/>
          <w:sz w:val="18"/>
          <w:szCs w:val="18"/>
          <w:color w:val="auto"/>
        </w:rPr>
      </w:pPr>
    </w:p>
    <w:p>
      <w:pPr>
        <w:ind w:left="460" w:right="60" w:firstLine="443"/>
        <w:spacing w:after="0" w:line="264" w:lineRule="auto"/>
        <w:tabs>
          <w:tab w:leader="none" w:pos="11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Swing Line Bank shall be responsible for invoicing the Borrower for interest on the Swing Line Loans. Until each Bank funds its Base Rate Syndicated Loan or risk participation pursuant to this §2.11 to refinance such Bank’s Commitment Percentage of any Swing Line Loan, interest in respect of such Commitment Percentage shall be solely for the account of the Swing Line Bank.</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Borrower shall make all payments of principal and interest in respect of the Swing Line Loans directly to the Swing Line Bank.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u w:val="single" w:color="auto"/>
          <w:color w:val="auto"/>
        </w:rPr>
        <w:t>LETTERS OF CREDIT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 Letter of Credit Commitments</w:t>
      </w:r>
      <w:r>
        <w:rPr>
          <w:rFonts w:ascii="Arial" w:cs="Arial" w:eastAsia="Arial" w:hAnsi="Arial"/>
          <w:sz w:val="18"/>
          <w:szCs w:val="18"/>
          <w:color w:val="auto"/>
        </w:rPr>
        <w:t>.</w:t>
      </w:r>
    </w:p>
    <w:p>
      <w:pPr>
        <w:spacing w:after="0" w:line="121" w:lineRule="exact"/>
        <w:rPr>
          <w:sz w:val="20"/>
          <w:szCs w:val="20"/>
          <w:color w:val="auto"/>
        </w:rPr>
      </w:pPr>
    </w:p>
    <w:p>
      <w:pPr>
        <w:ind w:left="460" w:firstLine="443"/>
        <w:spacing w:after="0" w:line="269" w:lineRule="auto"/>
        <w:tabs>
          <w:tab w:leader="none" w:pos="1143"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hereof and the receipt by the Administrative Agent of a written notice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(a “</w:t>
      </w:r>
      <w:r>
        <w:rPr>
          <w:rFonts w:ascii="Arial" w:cs="Arial" w:eastAsia="Arial" w:hAnsi="Arial"/>
          <w:sz w:val="17"/>
          <w:szCs w:val="17"/>
          <w:u w:val="single" w:color="auto"/>
          <w:color w:val="auto"/>
        </w:rPr>
        <w:t>Letter of Credit Request</w:t>
      </w:r>
      <w:r>
        <w:rPr>
          <w:rFonts w:ascii="Arial" w:cs="Arial" w:eastAsia="Arial" w:hAnsi="Arial"/>
          <w:sz w:val="17"/>
          <w:szCs w:val="17"/>
          <w:color w:val="auto"/>
        </w:rPr>
        <w:t xml:space="preserve">”) appropriately completed and signed by an authorized officer of the Borrower reflecting the Maximum Drawing Amount of all Letters of Credit (including the requested Letter of Credit), and receipt by an Issuing Bank, with a copy to the Administrative Agent, of a Letter of Credit Application appropriately completed and signed by an authorized officer of the Borrower, such Issuing Bank, on behalf of the Banks and in reliance upon the representations and warranties of the Borrower contained herein and the agreement of the Banks contained in §3.1(c) hereof, agrees to issue standby Letters of Credit (including so-called “direct pay” standby Letters of Credit) for the account of the Borrower (which may, with such Issuing Bank’s consent, incorporate automatic renewals for periods of up to twelve (12) months), in such form as may be requested from time to time by the Borrower and agreed to by such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such request, the aggregate Maximum Drawing Amount of all Letters of Credit issued at any time shall not exceed the Total Commitment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outstanding amount of the Loans;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 no Letter of Credit shall have an expiration date later than the earlier of (A) eighteen (18) months after the date of issuance (which may incorporate automatic</w:t>
      </w:r>
    </w:p>
    <w:p>
      <w:pPr>
        <w:spacing w:after="0" w:line="115" w:lineRule="exact"/>
        <w:rPr>
          <w:rFonts w:ascii="Arial" w:cs="Arial" w:eastAsia="Arial" w:hAnsi="Arial"/>
          <w:sz w:val="17"/>
          <w:szCs w:val="17"/>
          <w:color w:val="auto"/>
        </w:rPr>
      </w:pPr>
    </w:p>
    <w:p>
      <w:pPr>
        <w:ind w:left="5620" w:hanging="101"/>
        <w:spacing w:after="0"/>
        <w:tabs>
          <w:tab w:leader="none" w:pos="5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20"/>
          </w:cols>
          <w:pgMar w:left="240" w:top="274" w:right="239" w:bottom="1440" w:gutter="0" w:footer="0" w:header="0"/>
        </w:sectPr>
      </w:pPr>
    </w:p>
    <w:bookmarkStart w:id="42" w:name="page43"/>
    <w:bookmarkEnd w:id="4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renewals for periods of up to twelve (12) months), or (B) five (5) Business Days prior to the Maturity Date; (ii) no Issuing Bank shall be under any obligation to issue any Letter of Credit if (A) any order, judgment or decree of any governmental authority or arbitrator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or otherwise) not in effect on the Effective Date, or shall impose upon such Issuing Bank any unreimbursed loss, cost or expense which was not applicable on the Effective Date and which such Issuing Bank in good faith deems material to it, (B) the issuance of the Letter of Credit would violate one or more material policies of such Issuing Bank applicable to letters of credit generally applied on a consistent basis to similarly situated letter of credit applicants, or (C) any Bank is at that time a Defaulting Bank, unless (x) such Issuing Bank has entered into arrangements, including the delivery of cash collateral or other credit support, satisfactory to such Issuing Bank (in its sole discretion), with the Borrower or such Bank to eliminate such Issuing Bank’s actual or potential fronting exposure with respect to such Defaulting Bank, or (y) such actual or potential fronting exposure with respect to such Defaulting Bank has been reallocated to Banks that are non-Defaulting Banks pursuant to clause (iv) of §5.14 and (iii) the aggregate face amount of all Letters of Credit issued by any one Issuing Bank shall not at any time exceed the amount set forth opposite the name of such Issuing Bank on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hereto, as such amount may be increased (in the sole discretion of such Issuing Bank) or decreased (if so agreed by such Issuing Bank and the Borrower by the execution and delivery by such Issuing Bank, the Borrower, the Guarantor and the Administrative Agent of an instrument in substantially the form of </w:t>
      </w:r>
      <w:r>
        <w:rPr>
          <w:rFonts w:ascii="Arial" w:cs="Arial" w:eastAsia="Arial" w:hAnsi="Arial"/>
          <w:sz w:val="17"/>
          <w:szCs w:val="17"/>
          <w:u w:val="single" w:color="auto"/>
          <w:color w:val="auto"/>
        </w:rPr>
        <w:t>Schedule 3.1.1</w:t>
      </w:r>
      <w:r>
        <w:rPr>
          <w:rFonts w:ascii="Arial" w:cs="Arial" w:eastAsia="Arial" w:hAnsi="Arial"/>
          <w:sz w:val="17"/>
          <w:szCs w:val="17"/>
          <w:color w:val="auto"/>
        </w:rPr>
        <w:t xml:space="preserve"> hereto. Each Issuing Bank will promptly confirm to the Administrative Agent the issuance of each Letter of Credit specifying the face amount thereof or any increase thereto, and the Administrative Agent will transmit such information to the Banks.</w:t>
      </w:r>
    </w:p>
    <w:p>
      <w:pPr>
        <w:spacing w:after="0" w:line="82" w:lineRule="exact"/>
        <w:rPr>
          <w:sz w:val="20"/>
          <w:szCs w:val="20"/>
          <w:color w:val="auto"/>
        </w:rPr>
      </w:pPr>
    </w:p>
    <w:p>
      <w:pPr>
        <w:ind w:left="700" w:hanging="257"/>
        <w:spacing w:after="0"/>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Letter of Credit shall be denominated in Dollars or, in accordance with and subject to the terms of §3.1(e) hereof, in Canadian Dollars.</w:t>
      </w:r>
    </w:p>
    <w:p>
      <w:pPr>
        <w:spacing w:after="0" w:line="140" w:lineRule="exact"/>
        <w:rPr>
          <w:rFonts w:ascii="Arial" w:cs="Arial" w:eastAsia="Arial" w:hAnsi="Arial"/>
          <w:sz w:val="16"/>
          <w:szCs w:val="16"/>
          <w:color w:val="auto"/>
        </w:rPr>
      </w:pPr>
    </w:p>
    <w:p>
      <w:pPr>
        <w:ind w:right="40" w:firstLine="443"/>
        <w:spacing w:after="0" w:line="255" w:lineRule="auto"/>
        <w:tabs>
          <w:tab w:leader="none" w:pos="6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Bank severally agrees that it shall be absolutely liable, without regard to the occurrence of any Default or Event of Default, the termination of the Total Commitment pursuant to §12.2, or any other condition precedent or circumstance whatsoever (other than as stated in the next sentence hereof), to the extent of such Bank’s Commitment Percentage (computed after the termination of the Total Commitment in accordance with the Commitment Percentage in effect immediately prior to such Termination), to reimburse each Issuing Bank on demand for the amount of each draft paid by such Issuing Bank under each Letter of Credit issued by such Issuing Bank to the extent that such amount is not reimbursed by the Borrower pursuant to §3.2 (such agreement of a Bank being called herein the “Letter of Credit Participation” of such Bank). Each Bank agrees that its obligation to reimburse each Issuing Bank pursuant to</w:t>
      </w:r>
    </w:p>
    <w:p>
      <w:pPr>
        <w:spacing w:after="0" w:line="121" w:lineRule="exact"/>
        <w:rPr>
          <w:rFonts w:ascii="Arial" w:cs="Arial" w:eastAsia="Arial" w:hAnsi="Arial"/>
          <w:sz w:val="18"/>
          <w:szCs w:val="18"/>
          <w:color w:val="auto"/>
        </w:rPr>
      </w:pPr>
    </w:p>
    <w:p>
      <w:pPr>
        <w:ind w:left="5160" w:hanging="101"/>
        <w:spacing w:after="0"/>
        <w:tabs>
          <w:tab w:leader="none" w:pos="5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900"/>
          </w:cols>
          <w:pgMar w:left="700" w:top="274" w:right="299" w:bottom="1440" w:gutter="0" w:footer="0" w:header="0"/>
        </w:sectPr>
      </w:pPr>
    </w:p>
    <w:bookmarkStart w:id="43" w:name="page44"/>
    <w:bookmarkEnd w:id="43"/>
    <w:p>
      <w:pPr>
        <w:jc w:val="both"/>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§3.1(c) shall not be affected in any way by any circumstance whatsoever other than the gross negligence or willful misconduct of such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making of a payment under a Letter of Credit against documents that appear on their face to substantially comply with the terms and conditions of such Letter of Credit shall not be deemed to be gross negligence or willful misconduct.</w:t>
      </w:r>
    </w:p>
    <w:p>
      <w:pPr>
        <w:spacing w:after="0" w:line="57" w:lineRule="exact"/>
        <w:rPr>
          <w:sz w:val="20"/>
          <w:szCs w:val="20"/>
          <w:color w:val="auto"/>
        </w:rPr>
      </w:pPr>
    </w:p>
    <w:p>
      <w:pPr>
        <w:ind w:right="20" w:firstLine="443"/>
        <w:spacing w:after="0" w:line="312" w:lineRule="auto"/>
        <w:tabs>
          <w:tab w:leader="none" w:pos="693"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such reimbursement payment made by a Bank to an Issuing Bank shall be made to an account of such Issuing Bank in the United States of America and shall be treated as the purchase by such Bank of a participating interest in the applicable Reimbursement Obligation under §3.2 in an amount equal to such payment. Each Bank shall share in accordance with its participating interest in any interest which accrues pursuant to §3.2.</w:t>
      </w:r>
    </w:p>
    <w:p>
      <w:pPr>
        <w:spacing w:after="0" w:line="38" w:lineRule="exact"/>
        <w:rPr>
          <w:rFonts w:ascii="Arial" w:cs="Arial" w:eastAsia="Arial" w:hAnsi="Arial"/>
          <w:sz w:val="16"/>
          <w:szCs w:val="16"/>
          <w:color w:val="auto"/>
        </w:rPr>
      </w:pPr>
    </w:p>
    <w:p>
      <w:pPr>
        <w:ind w:right="20" w:firstLine="443"/>
        <w:spacing w:after="0" w:line="297" w:lineRule="auto"/>
        <w:tabs>
          <w:tab w:leader="none" w:pos="818"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The Borrower shall be entitled to request that one or more Letters of Credit be denominated in Canadian Dollars for the account of any Canadian Subsidiary of the Borrower (each a “</w:t>
      </w:r>
      <w:r>
        <w:rPr>
          <w:rFonts w:ascii="Arial" w:cs="Arial" w:eastAsia="Arial" w:hAnsi="Arial"/>
          <w:sz w:val="16"/>
          <w:szCs w:val="16"/>
          <w:u w:val="single" w:color="auto"/>
          <w:color w:val="auto"/>
        </w:rPr>
        <w:t>Canadian Dollar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undrawn face amount of all Canadian Dollar Letters of Credit may not exceed C$200,000,000 at any time and (ii) each Canadian Dollar Letter of Credit shall provide for payment of any drawing thereunder on a date not earlier than three Business Days after the relevant Issuing Bank determines that the documents submitted in connection with such drawing appear on their face to substantially comply with the terms and conditions of such Letter of Credit.</w:t>
      </w:r>
    </w:p>
    <w:p>
      <w:pPr>
        <w:spacing w:after="0" w:line="50" w:lineRule="exact"/>
        <w:rPr>
          <w:rFonts w:ascii="Arial" w:cs="Arial" w:eastAsia="Arial" w:hAnsi="Arial"/>
          <w:sz w:val="16"/>
          <w:szCs w:val="16"/>
          <w:color w:val="auto"/>
        </w:rPr>
      </w:pPr>
    </w:p>
    <w:p>
      <w:pPr>
        <w:ind w:left="460" w:firstLine="421"/>
        <w:spacing w:after="0" w:line="264" w:lineRule="auto"/>
        <w:tabs>
          <w:tab w:leader="none" w:pos="11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 Letter of Credit Application in respect of each Canadian Dollar Letter of Credit shall be signed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therein shall be deemed to alter the obligations of the Borrower under this Agreement in respect of any drawing under any such Letter of Credit.</w:t>
      </w:r>
    </w:p>
    <w:p>
      <w:pPr>
        <w:spacing w:after="0" w:line="73" w:lineRule="exact"/>
        <w:rPr>
          <w:rFonts w:ascii="Arial" w:cs="Arial" w:eastAsia="Arial" w:hAnsi="Arial"/>
          <w:sz w:val="18"/>
          <w:szCs w:val="18"/>
          <w:color w:val="auto"/>
        </w:rPr>
      </w:pPr>
    </w:p>
    <w:p>
      <w:pPr>
        <w:jc w:val="both"/>
        <w:ind w:left="460" w:right="60" w:firstLine="421"/>
        <w:spacing w:after="0" w:line="312" w:lineRule="auto"/>
        <w:tabs>
          <w:tab w:leader="none" w:pos="1195"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an Issuing Bank makes a payment in Canadian Dollars pursuant to a Canadian Dollar Letter of Credit, the amount of such payment shall, for all purposes of this Agreement (but without prejudice to the terms of such Letter of Credit), immediately be deemed converted into the U.S. Dollar Equivalent thereof and shall for all purposes hereof be deemed to have been made in U.S. Dollars in said amount.</w:t>
      </w:r>
    </w:p>
    <w:p>
      <w:pPr>
        <w:spacing w:after="0" w:line="38" w:lineRule="exact"/>
        <w:rPr>
          <w:rFonts w:ascii="Arial" w:cs="Arial" w:eastAsia="Arial" w:hAnsi="Arial"/>
          <w:sz w:val="16"/>
          <w:szCs w:val="16"/>
          <w:color w:val="auto"/>
        </w:rPr>
      </w:pPr>
    </w:p>
    <w:p>
      <w:pPr>
        <w:ind w:right="760" w:firstLine="443"/>
        <w:spacing w:after="0" w:line="277" w:lineRule="auto"/>
        <w:tabs>
          <w:tab w:leader="none" w:pos="6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As of the Effective Date, the Existing Letters of Credit shall automatically be deemed to be Letters of Credit for all purposes of this Agreement, having the respective face amounts specified in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hereof.</w:t>
      </w:r>
    </w:p>
    <w:p>
      <w:pPr>
        <w:spacing w:after="0" w:line="62" w:lineRule="exact"/>
        <w:rPr>
          <w:rFonts w:ascii="Arial" w:cs="Arial" w:eastAsia="Arial" w:hAnsi="Arial"/>
          <w:sz w:val="18"/>
          <w:szCs w:val="18"/>
          <w:color w:val="auto"/>
        </w:rPr>
      </w:pPr>
    </w:p>
    <w:p>
      <w:pPr>
        <w:ind w:right="180" w:firstLine="443"/>
        <w:spacing w:after="0" w:line="276" w:lineRule="auto"/>
        <w:tabs>
          <w:tab w:leader="none" w:pos="693"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parties acknowledge and agree that (i) certain of the Existing Letters of Credit have been issued by Bank Affiliates of Issuing Banks identified in </w:t>
      </w:r>
      <w:r>
        <w:rPr>
          <w:rFonts w:ascii="Arial" w:cs="Arial" w:eastAsia="Arial" w:hAnsi="Arial"/>
          <w:sz w:val="17"/>
          <w:szCs w:val="17"/>
          <w:u w:val="single" w:color="auto"/>
          <w:color w:val="auto"/>
        </w:rPr>
        <w:t>Schedule 3.1.2</w:t>
      </w:r>
      <w:r>
        <w:rPr>
          <w:rFonts w:ascii="Arial" w:cs="Arial" w:eastAsia="Arial" w:hAnsi="Arial"/>
          <w:sz w:val="17"/>
          <w:szCs w:val="17"/>
          <w:color w:val="auto"/>
        </w:rPr>
        <w:t xml:space="preserve"> hereof, and that (ii) an Issuing Bank may hereafter comply with the provisions of §3.1 in respect of the issuance of Canadian Dollar Letters of Credit by arranging for a Bank Affiliate of such Issuing Bank organized under the laws of Canada to issue such Canadian Dollar Letter of Credit (each Letter of Credit issued by a Bank Affiliate of an Issuing Bank as provided herein being herein referred to as a “Bank Affiliate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Issuing Bank shall, prior to such issuance, have notified the</w:t>
      </w:r>
    </w:p>
    <w:p>
      <w:pPr>
        <w:spacing w:after="0" w:line="105" w:lineRule="exact"/>
        <w:rPr>
          <w:rFonts w:ascii="Arial" w:cs="Arial" w:eastAsia="Arial" w:hAnsi="Arial"/>
          <w:sz w:val="17"/>
          <w:szCs w:val="17"/>
          <w:color w:val="auto"/>
        </w:rPr>
      </w:pPr>
    </w:p>
    <w:p>
      <w:pPr>
        <w:ind w:left="5160" w:hanging="101"/>
        <w:spacing w:after="0"/>
        <w:tabs>
          <w:tab w:leader="none" w:pos="51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00"/>
          </w:cols>
          <w:pgMar w:left="700" w:top="274" w:right="299" w:bottom="1440" w:gutter="0" w:footer="0" w:header="0"/>
        </w:sectPr>
      </w:pPr>
    </w:p>
    <w:bookmarkStart w:id="44" w:name="page45"/>
    <w:bookmarkEnd w:id="44"/>
    <w:p>
      <w:pPr>
        <w:ind w:left="460"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and the Borrower of the identity of such Bank Affiliate. The parties agree that (1) each Bank Affiliate Letter of Credit is and shall be a “Letter of Credit” for all purposes of this Agreement; (2) each reference in the definition of “Reimbursement Obligation” and in §3.2, §3.3 and §3.4 to an Issuing Bank shall be deemed to include the issuer of each such Bank Affiliate Letter of Credit; (3) notwithstanding the foregoing, the issuance, extension or renewal of each Letter of Credit shall remain subject to the conditions and requirements of §3.1 and §11, and each provision of this Agreement, including without limitation the last sentence of §3.1(a) and §3.5, requiring the giving of a notice hereunder by or to an Issuing Bank shall be deemed to refer to such Issuing Bank and not to such Bank Affiliate; and (4) the obligations of the Banks, the Borrower and the Guarantor to each Issuing Bank shall, in the case of each Bank Affiliate Letter of Credit, inure to the benefit of the Bank Affiliate issuing or having issued such Bank Affiliate Letter of Credit and be enforceable by such Bank Affiliate and/or by such Issuing Bank on behalf of such Bank Affiliate. Each Canadian Dollar Letter of Credit issued by a Canadian Bank Affiliate of an Issuing Bank shall be issued on a Business Day which is not a day on which banking institutions in Toronto and Montreal, Canada are authorized by law to close.</w:t>
      </w:r>
    </w:p>
    <w:p>
      <w:pPr>
        <w:spacing w:after="0" w:line="70" w:lineRule="exact"/>
        <w:rPr>
          <w:sz w:val="20"/>
          <w:szCs w:val="20"/>
          <w:color w:val="auto"/>
        </w:rPr>
      </w:pPr>
    </w:p>
    <w:p>
      <w:pPr>
        <w:ind w:left="460" w:right="360" w:firstLine="443"/>
        <w:spacing w:after="0" w:line="277"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otherwise expressly agreed by the Issuing Bank and the Borrower when a Letter of Credit is issued (including any such agreement applicable to an Existing Letter of Credit), the rules of the ISP shall apply to each standby Letter of Credit.</w:t>
      </w:r>
    </w:p>
    <w:p>
      <w:pPr>
        <w:spacing w:after="0" w:line="166" w:lineRule="exact"/>
        <w:rPr>
          <w:sz w:val="20"/>
          <w:szCs w:val="20"/>
          <w:color w:val="auto"/>
        </w:rPr>
      </w:pPr>
    </w:p>
    <w:p>
      <w:pPr>
        <w:jc w:val="both"/>
        <w:ind w:right="220" w:firstLine="913"/>
        <w:spacing w:after="0" w:line="266" w:lineRule="auto"/>
        <w:rPr>
          <w:sz w:val="20"/>
          <w:szCs w:val="20"/>
          <w:color w:val="auto"/>
        </w:rPr>
      </w:pPr>
      <w:r>
        <w:rPr>
          <w:rFonts w:ascii="Arial" w:cs="Arial" w:eastAsia="Arial" w:hAnsi="Arial"/>
          <w:sz w:val="18"/>
          <w:szCs w:val="18"/>
          <w:b w:val="1"/>
          <w:bCs w:val="1"/>
          <w:color w:val="auto"/>
        </w:rPr>
        <w:t>§3.2. Reimbursement Obligation of the Borrower</w:t>
      </w:r>
      <w:r>
        <w:rPr>
          <w:rFonts w:ascii="Arial" w:cs="Arial" w:eastAsia="Arial" w:hAnsi="Arial"/>
          <w:sz w:val="18"/>
          <w:szCs w:val="18"/>
          <w:color w:val="auto"/>
        </w:rPr>
        <w:t>. In order to induce the Issuing Banks to issue, extend and renew each Letter of Credit,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hereby agrees to reimburse or pay to each Issuing Bank, with respect to each Letter of Credit issued, extended or renewed by such Issuing Bank hereunder, as follows:</w:t>
      </w:r>
    </w:p>
    <w:p>
      <w:pPr>
        <w:spacing w:after="0" w:line="72" w:lineRule="exact"/>
        <w:rPr>
          <w:sz w:val="20"/>
          <w:szCs w:val="20"/>
          <w:color w:val="auto"/>
        </w:rPr>
      </w:pPr>
    </w:p>
    <w:p>
      <w:pPr>
        <w:ind w:left="460" w:right="40" w:firstLine="443"/>
        <w:spacing w:after="0" w:line="290" w:lineRule="auto"/>
        <w:tabs>
          <w:tab w:leader="none" w:pos="11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if any draft presented under any Letter of Credit is honored by such Issuing Bank or such Issuing Bank otherwise makes payment with respect thereto, the sum of (i) the amount paid by such Issuing Bank under or with respect to such Letter of Credit (except that in the case of a payment in Canadian Dollars, it shall reimburse or pay the U.S. Dollar Equivalent thereof), and (ii) the amount of any taxes, fees, charges or other costs and expenses whatsoever incurred by such Issuing Bank in connection with any payment made by such Issuing Bank under, or with respect to,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Borrower does not reimburse such Issuing Bank on the Drawdown Date, such amount shall, provided that no Event of Default under §§12.1(g) or 12.1(h) has occurred, become automatically a Base Rate Syndicated Loan advanced hereunder in an amount equal to such sum (and the Administrative Agent shall notify the Banks upon receipt of the notice thereof from the applicable Issuing Bank pursuant to §3.5, which notice shall be deemed to constitute a Syndicated Loan Request and satisfy the requirements of §2.6); and</w:t>
      </w:r>
    </w:p>
    <w:p>
      <w:pPr>
        <w:spacing w:after="0" w:line="58" w:lineRule="exact"/>
        <w:rPr>
          <w:rFonts w:ascii="Arial" w:cs="Arial" w:eastAsia="Arial" w:hAnsi="Arial"/>
          <w:sz w:val="16"/>
          <w:szCs w:val="16"/>
          <w:color w:val="auto"/>
        </w:rPr>
      </w:pPr>
    </w:p>
    <w:p>
      <w:pPr>
        <w:ind w:left="460" w:firstLine="443"/>
        <w:spacing w:after="0" w:line="286" w:lineRule="auto"/>
        <w:tabs>
          <w:tab w:leader="none" w:pos="1153" w:val="left"/>
        </w:tabs>
        <w:numPr>
          <w:ilvl w:val="0"/>
          <w:numId w:val="34"/>
        </w:numPr>
        <w:rPr>
          <w:rFonts w:ascii="Arial" w:cs="Arial" w:eastAsia="Arial" w:hAnsi="Arial"/>
          <w:sz w:val="17"/>
          <w:szCs w:val="17"/>
          <w:color w:val="auto"/>
        </w:rPr>
      </w:pPr>
      <w:r>
        <w:rPr>
          <w:rFonts w:ascii="Arial" w:cs="Arial" w:eastAsia="Arial" w:hAnsi="Arial"/>
          <w:sz w:val="17"/>
          <w:szCs w:val="17"/>
          <w:color w:val="auto"/>
        </w:rPr>
        <w:t>upon the date that is five (5) Business Days prior to the Maturity Date (or, if such day is not a Business Day, the next preceding Business Day) or the acceleration of the Reimbursement Obligations with respect to all Letters of Credit in accordance with §12, an amount equal to the then Maximum Drawing Amount of all outstanding Letters of Credit shall be paid by the Borrower to the Administrative Agent to be held as</w:t>
      </w:r>
    </w:p>
    <w:p>
      <w:pPr>
        <w:spacing w:after="0" w:line="97" w:lineRule="exact"/>
        <w:rPr>
          <w:rFonts w:ascii="Arial" w:cs="Arial" w:eastAsia="Arial" w:hAnsi="Arial"/>
          <w:sz w:val="17"/>
          <w:szCs w:val="17"/>
          <w:color w:val="auto"/>
        </w:rPr>
      </w:pPr>
    </w:p>
    <w:p>
      <w:pPr>
        <w:ind w:left="5620" w:hanging="101"/>
        <w:spacing w:after="0"/>
        <w:tabs>
          <w:tab w:leader="none" w:pos="5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20"/>
          </w:cols>
          <w:pgMar w:left="240" w:top="274" w:right="239" w:bottom="1440" w:gutter="0" w:footer="0" w:header="0"/>
        </w:sectPr>
      </w:pPr>
    </w:p>
    <w:bookmarkStart w:id="45" w:name="page46"/>
    <w:bookmarkEnd w:id="4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collateral for the applicable Reimbursement Obligations, and the Borrower hereby grants to the Administrative Agent a security interest therein.</w:t>
      </w:r>
    </w:p>
    <w:p>
      <w:pPr>
        <w:spacing w:after="0" w:line="244"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b w:val="1"/>
          <w:bCs w:val="1"/>
          <w:color w:val="auto"/>
        </w:rPr>
        <w:t>§3.3. Obligations Absolute</w:t>
      </w:r>
      <w:r>
        <w:rPr>
          <w:rFonts w:ascii="Arial" w:cs="Arial" w:eastAsia="Arial" w:hAnsi="Arial"/>
          <w:sz w:val="17"/>
          <w:szCs w:val="17"/>
          <w:color w:val="auto"/>
        </w:rPr>
        <w:t>. The Borrower’s obligations under this §3 shall be absolute and unconditional under any and all circumstances and</w:t>
      </w:r>
      <w:r>
        <w:rPr>
          <w:rFonts w:ascii="Arial" w:cs="Arial" w:eastAsia="Arial" w:hAnsi="Arial"/>
          <w:sz w:val="17"/>
          <w:szCs w:val="17"/>
          <w:b w:val="1"/>
          <w:bCs w:val="1"/>
          <w:color w:val="auto"/>
        </w:rPr>
        <w:t xml:space="preserve"> </w:t>
      </w:r>
      <w:r>
        <w:rPr>
          <w:rFonts w:ascii="Arial" w:cs="Arial" w:eastAsia="Arial" w:hAnsi="Arial"/>
          <w:sz w:val="17"/>
          <w:szCs w:val="17"/>
          <w:color w:val="auto"/>
        </w:rPr>
        <w:t>irrespective of the occurrence of any Default or Event of Default 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185" w:lineRule="exact"/>
        <w:rPr>
          <w:sz w:val="20"/>
          <w:szCs w:val="20"/>
          <w:color w:val="auto"/>
        </w:rPr>
      </w:pPr>
    </w:p>
    <w:p>
      <w:pPr>
        <w:ind w:right="120" w:firstLine="913"/>
        <w:spacing w:after="0" w:line="258" w:lineRule="auto"/>
        <w:rPr>
          <w:sz w:val="20"/>
          <w:szCs w:val="20"/>
          <w:color w:val="auto"/>
        </w:rPr>
      </w:pPr>
      <w:r>
        <w:rPr>
          <w:rFonts w:ascii="Arial" w:cs="Arial" w:eastAsia="Arial" w:hAnsi="Arial"/>
          <w:sz w:val="18"/>
          <w:szCs w:val="18"/>
          <w:b w:val="1"/>
          <w:bCs w:val="1"/>
          <w:color w:val="auto"/>
        </w:rPr>
        <w:t>§3.4. Reliance by the Issuing Banks</w:t>
      </w:r>
      <w:r>
        <w:rPr>
          <w:rFonts w:ascii="Arial" w:cs="Arial" w:eastAsia="Arial" w:hAnsi="Arial"/>
          <w:sz w:val="18"/>
          <w:szCs w:val="18"/>
          <w:color w:val="auto"/>
        </w:rPr>
        <w:t>. To the extent not inconsistent with §3.3, each Issuing Bank shall be entitled to rely, and shall be fully</w:t>
      </w:r>
      <w:r>
        <w:rPr>
          <w:rFonts w:ascii="Arial" w:cs="Arial" w:eastAsia="Arial" w:hAnsi="Arial"/>
          <w:sz w:val="18"/>
          <w:szCs w:val="18"/>
          <w:b w:val="1"/>
          <w:bCs w:val="1"/>
          <w:color w:val="auto"/>
        </w:rPr>
        <w:t xml:space="preserve"> </w:t>
      </w:r>
      <w:r>
        <w:rPr>
          <w:rFonts w:ascii="Arial" w:cs="Arial" w:eastAsia="Arial" w:hAnsi="Arial"/>
          <w:sz w:val="18"/>
          <w:szCs w:val="18"/>
          <w:color w:val="auto"/>
        </w:rPr>
        <w:t>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18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color w:val="auto"/>
        </w:rPr>
        <w:t>§3.5. Notice Regarding Letters of Credit</w:t>
      </w:r>
      <w:r>
        <w:rPr>
          <w:rFonts w:ascii="Arial" w:cs="Arial" w:eastAsia="Arial" w:hAnsi="Arial"/>
          <w:sz w:val="18"/>
          <w:szCs w:val="18"/>
          <w:color w:val="auto"/>
        </w:rPr>
        <w:t>. One (1) Business Day prior to the issuance of any Letter of Credit or any amendment, extension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thereof, the applicable Issuing Bank shall notify the Administrative Agent of the terms of such Letter of Credit, amendment, extension or termination. In the case of any such issuance, amendment or extension, the Administrative Agent will promptly notify such Issuing Bank whether such issuance, amendment or extension is permissible under the limitation set forth in the proviso to §2.1(a). On the day of any drawing under any Letter of Credit, such Issuing Bank shall notify the Administrative Agent of such drawing, specifying the amount thereof, and on the day of any payment under any Letter of Credit (or failure of the Borrower to reimburse such drawing in accordance with §3.2), such Issuing Bank shall notify the Administrative Agent of such payment (or failure), specifying the amount thereof and, in the case of a payment (or failure) under a Canadian Dollar Letter of Credit, the U.S. Dollar Equivalent thereof. Additionally, each Issuing</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380"/>
          </w:cols>
          <w:pgMar w:left="240" w:top="274" w:right="279" w:bottom="1440" w:gutter="0" w:footer="0" w:header="0"/>
        </w:sectPr>
      </w:pPr>
    </w:p>
    <w:bookmarkStart w:id="46" w:name="page47"/>
    <w:bookmarkEnd w:id="46"/>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shall no later than the third Business Day following the last day of each month, provide to Administrative Agent a schedule of the Letters of Credit issued by it, in form and substance reasonably satisfactory to Administrative Agent, showing the date of issuance of each Letter of Credit, the account party, the original face amount (if any), the Maximum Drawing Amount, the expiration date, and the reference number of any Letter of Credit outstanding at any time during each month, and showing the aggregate amount (if any) payable by the Borrower to such Issuing Bank during such month. Promptly after the receipt of such schedule from each Issuing Bank, the Administrative Agent shall provide to all Banks a summary aggregating the schedules received from each of the Issuing Banks.</w:t>
      </w:r>
    </w:p>
    <w:p>
      <w:pPr>
        <w:spacing w:after="0" w:line="189"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b w:val="1"/>
          <w:bCs w:val="1"/>
          <w:color w:val="auto"/>
        </w:rPr>
        <w:t>§3.6. Letter of Credit Fee; Fronting Fee</w:t>
      </w:r>
      <w:r>
        <w:rPr>
          <w:rFonts w:ascii="Arial" w:cs="Arial" w:eastAsia="Arial" w:hAnsi="Arial"/>
          <w:sz w:val="17"/>
          <w:szCs w:val="17"/>
          <w:color w:val="auto"/>
        </w:rPr>
        <w:t>. The Borrower shall pay a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equal to the Applicable L/C Rate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Maximum Drawing Amount to the Administrative Agent for the account of the Banks, to be shared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by the Banks in accordance with their respective Commitment Percentages; </w:t>
      </w:r>
      <w:r>
        <w:rPr>
          <w:rFonts w:ascii="Arial" w:cs="Arial" w:eastAsia="Arial" w:hAnsi="Arial"/>
          <w:sz w:val="17"/>
          <w:szCs w:val="17"/>
          <w:u w:val="single" w:color="auto"/>
          <w:color w:val="auto"/>
        </w:rPr>
        <w:t>provided</w:t>
      </w:r>
      <w:r>
        <w:rPr>
          <w:rFonts w:ascii="Arial" w:cs="Arial" w:eastAsia="Arial" w:hAnsi="Arial"/>
          <w:sz w:val="17"/>
          <w:szCs w:val="17"/>
          <w:color w:val="auto"/>
        </w:rPr>
        <w:t>, that any Letter of Credit Fees otherwise payable for the account of a Defaulting Bank with respect to any Letter of Credit as to which such Defaulting Bank has not provided cash collateral or other credit support satisfactory to the applicable Issuing Bank shall be payable, to the maximum extent permitted by applicable Law, to the other Banks in accordance with the upward adjustments in their respective Commitment Percentages allocable to such Letter of Credit pursuant to § 5.14(iv), with the balance of such fee, if any, payable to the Issuing Bank for its own account. The Letter of Credit Fee shall be payable quarterly in arrears on the third day (or, if such day is not a Business Day, the next Business Day) of each calendar quarter for the quarter just ended, with the first such payment being due on October 3, 2015, and on the Maturity Date. In addition, a fronting fee (the “</w:t>
      </w:r>
      <w:r>
        <w:rPr>
          <w:rFonts w:ascii="Arial" w:cs="Arial" w:eastAsia="Arial" w:hAnsi="Arial"/>
          <w:sz w:val="17"/>
          <w:szCs w:val="17"/>
          <w:u w:val="single" w:color="auto"/>
          <w:color w:val="auto"/>
        </w:rPr>
        <w:t>Fronting Fee</w:t>
      </w:r>
      <w:r>
        <w:rPr>
          <w:rFonts w:ascii="Arial" w:cs="Arial" w:eastAsia="Arial" w:hAnsi="Arial"/>
          <w:sz w:val="17"/>
          <w:szCs w:val="17"/>
          <w:color w:val="auto"/>
        </w:rPr>
        <w:t>”) with respect to each Letter of Credit shall be due and payable to each Issuing Bank at a rate of 0.15% per annum of the amount available to be drawn under such Letter of Credit. Such Fronting Fee shall be payable by the Borrower to such Issuing Bank for its account, and the Borrower shall pay directly to each applicable Issuing Bank for its own account the customary issuance, presentation, amendment and other processing fees, and other standard costs and charges, of such Issuing Bank relating to letters of credit as from time to time in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PROVISIONS RELATING TO ALL LOANS AND LETTERS OF CREDIT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§5.1. Payments</w:t>
      </w:r>
      <w:r>
        <w:rPr>
          <w:rFonts w:ascii="Arial" w:cs="Arial" w:eastAsia="Arial" w:hAnsi="Arial"/>
          <w:sz w:val="18"/>
          <w:szCs w:val="18"/>
          <w:color w:val="auto"/>
        </w:rPr>
        <w:t>.</w:t>
      </w:r>
    </w:p>
    <w:p>
      <w:pPr>
        <w:spacing w:after="0" w:line="121" w:lineRule="exact"/>
        <w:rPr>
          <w:sz w:val="20"/>
          <w:szCs w:val="20"/>
          <w:color w:val="auto"/>
        </w:rPr>
      </w:pPr>
    </w:p>
    <w:p>
      <w:pPr>
        <w:ind w:left="460" w:right="60" w:firstLine="443"/>
        <w:spacing w:after="0" w:line="255" w:lineRule="auto"/>
        <w:tabs>
          <w:tab w:leader="none" w:pos="11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payments of principal, interest, Reimbursement Obligations, fees (other than the Fronting Fee) and any other amounts due hereunder or under any of the other Loan Documents shall be made to the Administrative Agent at the Administrative Agent’s Office in immediately available funds by 11:00 a.m. (New York time) on any due date. Subject to the provisions of §29,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and Letters of Credit and (2) the Swing Line Bank in the case of payments with respect to Swing Line Loans. If such payment is</w:t>
      </w:r>
    </w:p>
    <w:p>
      <w:pPr>
        <w:spacing w:after="0" w:line="121" w:lineRule="exact"/>
        <w:rPr>
          <w:rFonts w:ascii="Arial" w:cs="Arial" w:eastAsia="Arial" w:hAnsi="Arial"/>
          <w:sz w:val="18"/>
          <w:szCs w:val="18"/>
          <w:color w:val="auto"/>
        </w:rPr>
      </w:pPr>
    </w:p>
    <w:p>
      <w:pPr>
        <w:ind w:left="5620" w:hanging="101"/>
        <w:spacing w:after="0"/>
        <w:tabs>
          <w:tab w:leader="none" w:pos="5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20"/>
          </w:cols>
          <w:pgMar w:left="240" w:top="274" w:right="239" w:bottom="1440" w:gutter="0" w:footer="0" w:header="0"/>
        </w:sectPr>
      </w:pPr>
    </w:p>
    <w:bookmarkStart w:id="47" w:name="page48"/>
    <w:bookmarkEnd w:id="47"/>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received by the Administrative Agent after 1:00 p.m. (New York time) on any Business Day, such transfer shall be made by the Administrative Agent to the applicable Bank(s) on the next Business Day.</w:t>
      </w:r>
    </w:p>
    <w:p>
      <w:pPr>
        <w:spacing w:after="0" w:line="62" w:lineRule="exact"/>
        <w:rPr>
          <w:sz w:val="20"/>
          <w:szCs w:val="20"/>
          <w:color w:val="auto"/>
        </w:rPr>
      </w:pPr>
    </w:p>
    <w:p>
      <w:pPr>
        <w:ind w:right="80" w:firstLine="443"/>
        <w:spacing w:after="0" w:line="269" w:lineRule="auto"/>
        <w:tabs>
          <w:tab w:leader="none" w:pos="693"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payments by the Borrower and the Guarantor hereunder and under any of the other Loan Documents shall be made without recoupment, setoff or counterclaim and free and clear of and without deduction for any taxes, levies, imposts, duties, charges, fees, deductions, withholdings, compulsory loans, restrictions or conditions of any nature now or hereafter imposed or levied by any jurisdiction or any political subdivision thereof or taxing or other authority therein unless the Borrower or the Guarantor is compelled by law to make such deduction or withholding. If any such obligation is imposed upon the Borrower or the Guarantor with respect to any amount payable by it hereunder or under any of the other Loan Documents, the Borrower or the Guarantor, as the case may be, will pay to the Administrative Agent, for the account of the Banks or (as the case may be) the Administrative Agent, on the date on which such amount is due and payable hereunder or under such other Loan Document, such additional amount in Dollars as shall be necessary to enable the Banks or the Administrative Agent to receive the same net amount which the Banks or the Administrative Agent would have received on such due date had no such obligation been imposed upon the Borrower or the Guarantor. The Borrower and the Guarantor will deliver promptly to the Administrative Agent certificates or other valid vouchers for all taxes or other charges deducted from or paid with respect to payments made by it hereunder or under such other Loan Document.</w:t>
      </w:r>
    </w:p>
    <w:p>
      <w:pPr>
        <w:spacing w:after="0" w:line="74" w:lineRule="exact"/>
        <w:rPr>
          <w:rFonts w:ascii="Arial" w:cs="Arial" w:eastAsia="Arial" w:hAnsi="Arial"/>
          <w:sz w:val="17"/>
          <w:szCs w:val="17"/>
          <w:color w:val="auto"/>
        </w:rPr>
      </w:pPr>
    </w:p>
    <w:p>
      <w:pPr>
        <w:ind w:firstLine="443"/>
        <w:spacing w:after="0" w:line="286" w:lineRule="auto"/>
        <w:tabs>
          <w:tab w:leader="none" w:pos="6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Bank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Without limiting the generality of the foregoing, each Bank that is not incorporated or organized under the laws of the United States of America or a state thereof or the District of Columbia (a “</w:t>
      </w:r>
      <w:r>
        <w:rPr>
          <w:rFonts w:ascii="Arial" w:cs="Arial" w:eastAsia="Arial" w:hAnsi="Arial"/>
          <w:sz w:val="16"/>
          <w:szCs w:val="16"/>
          <w:u w:val="single" w:color="auto"/>
          <w:color w:val="auto"/>
        </w:rPr>
        <w:t>Non-U.S. Bank</w:t>
      </w:r>
      <w:r>
        <w:rPr>
          <w:rFonts w:ascii="Arial" w:cs="Arial" w:eastAsia="Arial" w:hAnsi="Arial"/>
          <w:sz w:val="16"/>
          <w:szCs w:val="16"/>
          <w:color w:val="auto"/>
        </w:rPr>
        <w:t>”) agrees that, prior to the first date on which any payment is due to it hereunder, it will deliver to the Borrower and the Administrative Agent two duly completed copies of United States Internal Revenue Service Form W-8BEN or W-8ECI or successor applicable form, as the case may be, certifying in each case that such Non-U.S. Bank is entitled to receive payments under this Agreement, without deduction or withholding of any United States federal income taxes. Each Non-U.S. Bank that so delivers a Form W-8BEN or W-8ECI pursuant to the preceding sentence further undertakes to deliver to each of the Borrower and the Administrative Agent two further copies of Form W-8BEN or W-8ECI or successor applicable form, or other manner of certification, as the case may be, on or before the date that any such letter or form expires or becomes obsolete or after the occurrence of any event requiring a change in the most recent form previously delivered by it to the Borrower and Administrative Agent, and such extensions or renewals thereof as may reasonably be requested by the Borrower or the Administrative Agent, certifying in the case of a Form W-8BEN or W-8ECI that</w:t>
      </w:r>
    </w:p>
    <w:p>
      <w:pPr>
        <w:spacing w:after="0" w:line="107" w:lineRule="exact"/>
        <w:rPr>
          <w:rFonts w:ascii="Arial" w:cs="Arial" w:eastAsia="Arial" w:hAnsi="Arial"/>
          <w:sz w:val="16"/>
          <w:szCs w:val="16"/>
          <w:color w:val="auto"/>
        </w:rPr>
      </w:pPr>
    </w:p>
    <w:p>
      <w:pPr>
        <w:ind w:left="5160" w:hanging="101"/>
        <w:spacing w:after="0"/>
        <w:tabs>
          <w:tab w:leader="none" w:pos="5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0960"/>
          </w:cols>
          <w:pgMar w:left="700" w:top="274" w:right="239" w:bottom="1440" w:gutter="0" w:footer="0" w:header="0"/>
        </w:sectPr>
      </w:pPr>
    </w:p>
    <w:bookmarkStart w:id="48" w:name="page49"/>
    <w:bookmarkEnd w:id="4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Non-U.S. Bank is entitled to receive payments under this Agreement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 If a payment made to a Bank under any Loan Document would be subject to United States Federal withholding tax imposed by FATCA if such Bank were to fail to comply with the applicable reporting requirements of FATCA (including those contained in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§1471(b)(3)(C)(i) of the Code) and such additional documentation reasonably requested by the Borrower or the Administrative Agent as may be necessary for the Borrower and the Administrative Agent to comply with their obligations under FATCA and to determine that such Bank has complied with such Bank’s obligations under FATCA or to determine the amount to deduct and withhold from such payment. Solely for purposes of this paragraph (c), “FATCA” shall include any amendments made to FATCA after the date of this Agreement. Each Bank agrees that if any form or certification it previously delivered pursuant to this paragraph (c) expires or becomes obsolete or inaccurate in any respect, it shall update such form or certification or promptly notify the Borrower and the Administrative Agent in writing of its legal inability to do so.</w:t>
      </w:r>
    </w:p>
    <w:p>
      <w:pPr>
        <w:spacing w:after="0" w:line="64" w:lineRule="exact"/>
        <w:rPr>
          <w:sz w:val="20"/>
          <w:szCs w:val="20"/>
          <w:color w:val="auto"/>
        </w:rPr>
      </w:pPr>
    </w:p>
    <w:p>
      <w:pPr>
        <w:ind w:firstLine="443"/>
        <w:spacing w:after="0" w:line="269" w:lineRule="auto"/>
        <w:tabs>
          <w:tab w:leader="none" w:pos="693"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Borrower shall not be required to pay any additional amounts to any Non-U.S. Bank in respect of United States Federal withholding tax pursuant to §5.1(b) or §17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w:t>
      </w:r>
      <w:r>
        <w:rPr>
          <w:rFonts w:ascii="Arial" w:cs="Arial" w:eastAsia="Arial" w:hAnsi="Arial"/>
          <w:sz w:val="17"/>
          <w:szCs w:val="17"/>
          <w:u w:val="single" w:color="auto"/>
          <w:color w:val="auto"/>
        </w:rPr>
        <w:t>New Lending Office</w:t>
      </w:r>
      <w:r>
        <w:rPr>
          <w:rFonts w:ascii="Arial" w:cs="Arial" w:eastAsia="Arial" w:hAnsi="Arial"/>
          <w:sz w:val="17"/>
          <w:szCs w:val="17"/>
          <w:color w:val="auto"/>
        </w:rPr>
        <w:t xml:space="preserve">”), the date such Non-U.S. Bank designated such New Lending Office with respect to a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clause (i) shall not apply to any transferee or New Lending Office as a result of an assignment, transfer or designation made at the request of the Borrower;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(ii) the obligation to pay such additional amounts would not have arisen but for a failure by such Non-U.S. Bank to comply with the provisions of paragraph (b) above; or (iii) such obligation is imposed under FATCA.</w:t>
      </w:r>
    </w:p>
    <w:p>
      <w:pPr>
        <w:spacing w:after="0" w:line="115" w:lineRule="exact"/>
        <w:rPr>
          <w:rFonts w:ascii="Arial" w:cs="Arial" w:eastAsia="Arial" w:hAnsi="Arial"/>
          <w:sz w:val="17"/>
          <w:szCs w:val="17"/>
          <w:color w:val="auto"/>
        </w:rPr>
      </w:pPr>
    </w:p>
    <w:p>
      <w:pPr>
        <w:ind w:left="5160" w:hanging="101"/>
        <w:spacing w:after="0"/>
        <w:tabs>
          <w:tab w:leader="none" w:pos="5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960"/>
          </w:cols>
          <w:pgMar w:left="700" w:top="274" w:right="239" w:bottom="1440" w:gutter="0" w:footer="0" w:header="0"/>
        </w:sectPr>
      </w:pPr>
    </w:p>
    <w:bookmarkStart w:id="49" w:name="page50"/>
    <w:bookmarkEnd w:id="49"/>
    <w:p>
      <w:pPr>
        <w:ind w:left="460" w:right="280" w:firstLine="443"/>
        <w:spacing w:after="0" w:line="264" w:lineRule="auto"/>
        <w:tabs>
          <w:tab w:leader="none" w:pos="1143"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each Bank agrees to use reasonable efforts (consistent with legal and regulatory restrictions) to change its lending office to avoid or to minimize any amounts otherwise payable under §17 in each case solely if such change can be made in a manner so that such Bank, in its sole determination, suffers no legal, economic or regulatory disadvantage.</w:t>
      </w:r>
    </w:p>
    <w:p>
      <w:pPr>
        <w:spacing w:after="0" w:line="73" w:lineRule="exact"/>
        <w:rPr>
          <w:rFonts w:ascii="Arial" w:cs="Arial" w:eastAsia="Arial" w:hAnsi="Arial"/>
          <w:sz w:val="18"/>
          <w:szCs w:val="18"/>
          <w:color w:val="auto"/>
        </w:rPr>
      </w:pPr>
    </w:p>
    <w:p>
      <w:pPr>
        <w:ind w:left="460" w:right="1040" w:firstLine="443"/>
        <w:spacing w:after="0" w:line="286" w:lineRule="auto"/>
        <w:tabs>
          <w:tab w:leader="none" w:pos="1123"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purposes of determining withholding taxes imposed under FATCA, from and after the Effective Date, the Borrower and the Administrative Agent shall treat (and the Banks hereby authorize the Administrative Agent to treat) this Agreement as not qualifying as a “grandfathered obligation” within the meaning of Treasury Regulation Section 1.1471-2(b)(2)(i).</w:t>
      </w:r>
    </w:p>
    <w:p>
      <w:pPr>
        <w:spacing w:after="0" w:line="162"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b w:val="1"/>
          <w:bCs w:val="1"/>
          <w:color w:val="auto"/>
        </w:rPr>
        <w:t>§5.2. Mandatory Repayments of the Loans</w:t>
      </w:r>
      <w:r>
        <w:rPr>
          <w:rFonts w:ascii="Arial" w:cs="Arial" w:eastAsia="Arial" w:hAnsi="Arial"/>
          <w:sz w:val="17"/>
          <w:szCs w:val="17"/>
          <w:color w:val="auto"/>
        </w:rPr>
        <w:t>. If at any time (including without limitation by reason of fluctuation in the rate of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between the Canadian Dollar and the U.S. Dollar) the sum of the outstanding principal amount of the Loans plus the Maximum Drawing Amount of all outstanding Letters of Credit exceeds the Total Commitment, whether by reduction of the Total Commitment or otherwise, then the Borrower shall immediately pay the amount of such excess to the Administrative Agent, (i) for application to the Loans,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Swing Line Loans, then to Syndicated Loans, subject to §5.8, or (ii) if no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amount of cash collateral held by the Administrative Agent pursuant to this §5.2 exceeds the Maximum Drawing Amount required to be collateralized from time to time, the Administrative Agent shall return such excess to the Borrower.</w:t>
      </w:r>
    </w:p>
    <w:p>
      <w:pPr>
        <w:spacing w:after="0" w:line="17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b w:val="1"/>
          <w:bCs w:val="1"/>
          <w:color w:val="auto"/>
        </w:rPr>
        <w:t>§5.3. Computations</w:t>
      </w:r>
      <w:r>
        <w:rPr>
          <w:rFonts w:ascii="Arial" w:cs="Arial" w:eastAsia="Arial" w:hAnsi="Arial"/>
          <w:sz w:val="18"/>
          <w:szCs w:val="18"/>
          <w:color w:val="auto"/>
        </w:rPr>
        <w:t>. Except as otherwise expressly provided herein, all computations of interest, Facility Fees, Letter of Credit Fees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fees shall be based on a 360-day year and paid for the actual number of days elapsed, except that computations based on the Base Rate (including Base Rate Loans determined by reference to the Eurodollar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any Interest Period for any Eurodollar Loan if such next succeeding Business Day falls in the next succeeding calendar month or after the Maturity Date, it shall be deemed to end on the next preceding Business Day.</w:t>
      </w:r>
    </w:p>
    <w:p>
      <w:pPr>
        <w:spacing w:after="0" w:line="189"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b w:val="1"/>
          <w:bCs w:val="1"/>
          <w:color w:val="auto"/>
        </w:rPr>
        <w:t>§5.4. Illegality; Inability to Determine Eurodollar Rate</w:t>
      </w:r>
      <w:r>
        <w:rPr>
          <w:rFonts w:ascii="Arial" w:cs="Arial" w:eastAsia="Arial" w:hAnsi="Arial"/>
          <w:sz w:val="18"/>
          <w:szCs w:val="18"/>
          <w:color w:val="auto"/>
        </w:rPr>
        <w:t>. Notwithstanding any other provision of this Agreement (other than §5.10), if (a) the</w:t>
      </w:r>
      <w:r>
        <w:rPr>
          <w:rFonts w:ascii="Arial" w:cs="Arial" w:eastAsia="Arial" w:hAnsi="Arial"/>
          <w:sz w:val="18"/>
          <w:szCs w:val="18"/>
          <w:b w:val="1"/>
          <w:bCs w:val="1"/>
          <w:color w:val="auto"/>
        </w:rPr>
        <w:t xml:space="preserve"> </w:t>
      </w:r>
      <w:r>
        <w:rPr>
          <w:rFonts w:ascii="Arial" w:cs="Arial" w:eastAsia="Arial" w:hAnsi="Arial"/>
          <w:sz w:val="18"/>
          <w:szCs w:val="18"/>
          <w:color w:val="auto"/>
        </w:rPr>
        <w:t>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in connection with an existing or proposed Base Rate Loan bearing interest at the rate described in clause (c) of the definition of Base Rate, or (b) if the Majority Banks or the Administrative Agent, as applicable, shall reasonably determine with respect to Eurodollar Loans that (i) by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00"/>
          </w:cols>
          <w:pgMar w:left="240" w:top="274" w:right="259" w:bottom="1440" w:gutter="0" w:footer="0" w:header="0"/>
        </w:sectPr>
      </w:pPr>
    </w:p>
    <w:bookmarkStart w:id="50" w:name="page51"/>
    <w:bookmarkEnd w:id="50"/>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Banks or the Administrative Agent in any Eurodollar interbank market, or (iii) the Eurodollar Rate does not or will not accurately reflect the cost to such Banks or the Administrative Agent of obtaining or maintaining the Eurodollar Loans during any Interest Period, then such Banks (through the Administrative Agent) or the Administrative Agent shall promptly give telephonic, telex or cable notice of such determination to the Borrower (which notice shall be conclusive and binding upon the Borrower). Upon such notification, the obligation of the Banks and the Administrative Agent to make Eurodollar Loans shall be suspended and, in the event of clauses (a) or (b)(i) or (ii) of the immediately preceding sentence, the utilization of the Eurodollar Rate component in determining the Base Rate shall be suspended, in each case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 Notwithstanding the foregoing, if the Administrative Agent or Majority Banks have made the determination that the circumstances in clause (b)(i) or (b)(ii) of the first sentence of this §5.4 applies with respect to any Eurodollar Loans (any such Loans, “Impacted Loans”), the Administrative Agent, in consultation with the Borrower and the Banks, may establish an alternative interest rate for the Impacted Loans, in which case such alternative interest rate shall apply with respect to Impacted Loans until (1) the Administrative Agent or Majority Banks revoke the notice delivered with respect to the Impacted Loans pursuant to the first sentence of this §5.4, (2) the Administrative Agent or the Majority Banks notify the Borrower and, in the case of any notice from the Majority Banks, the Administrative Agent that such alternative rate of interest does not adequately and fairly reflect the cost to such Banks for funding the Impacted Loans, or (3) any Bank determined that any law had made it unlawful, or any governmental or other regulatory body or official has asserted that it is unlawful for such Bank or its applicable lending office to make, maintain or fund Loans whose interest is determined by reference to such alternative rate of interest or to determine or charge interest based on such rate or any governmental or other regulatory body or official has imposed material restrictions on the authority of such Bank to do any of the foregoing and provides the Administrative Agent and the Borrower of written notice thereof.</w:t>
      </w:r>
    </w:p>
    <w:p>
      <w:pPr>
        <w:spacing w:after="0" w:line="18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color w:val="auto"/>
        </w:rPr>
        <w:t>§5.5. Additional Costs, Etc</w:t>
      </w:r>
      <w:r>
        <w:rPr>
          <w:rFonts w:ascii="Arial" w:cs="Arial" w:eastAsia="Arial" w:hAnsi="Arial"/>
          <w:sz w:val="17"/>
          <w:szCs w:val="17"/>
          <w:color w:val="auto"/>
        </w:rPr>
        <w:t>. If any present or future applicable law (which expression, as used herein, includes statutes, rules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authorities, in each case pursuant to Basel III, shall in each case be included in such expression, regardless of the date enacted, adopted or issued) shall:</w:t>
      </w:r>
    </w:p>
    <w:p>
      <w:pPr>
        <w:spacing w:after="0" w:line="140" w:lineRule="exact"/>
        <w:rPr>
          <w:sz w:val="20"/>
          <w:szCs w:val="20"/>
          <w:color w:val="auto"/>
        </w:rPr>
      </w:pPr>
    </w:p>
    <w:p>
      <w:pPr>
        <w:jc w:val="both"/>
        <w:ind w:left="460" w:right="100" w:firstLine="443"/>
        <w:spacing w:after="0" w:line="264" w:lineRule="auto"/>
        <w:tabs>
          <w:tab w:leader="none" w:pos="11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73" w:lineRule="exact"/>
        <w:rPr>
          <w:rFonts w:ascii="Arial" w:cs="Arial" w:eastAsia="Arial" w:hAnsi="Arial"/>
          <w:sz w:val="18"/>
          <w:szCs w:val="18"/>
          <w:color w:val="auto"/>
        </w:rPr>
      </w:pPr>
    </w:p>
    <w:p>
      <w:pPr>
        <w:ind w:left="460" w:right="400" w:firstLine="443"/>
        <w:spacing w:after="0" w:line="264" w:lineRule="auto"/>
        <w:tabs>
          <w:tab w:leader="none" w:pos="11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73" w:lineRule="exact"/>
        <w:rPr>
          <w:rFonts w:ascii="Arial" w:cs="Arial" w:eastAsia="Arial" w:hAnsi="Arial"/>
          <w:sz w:val="18"/>
          <w:szCs w:val="18"/>
          <w:color w:val="auto"/>
        </w:rPr>
      </w:pPr>
    </w:p>
    <w:p>
      <w:pPr>
        <w:jc w:val="both"/>
        <w:ind w:left="460" w:right="240" w:firstLine="443"/>
        <w:spacing w:after="0" w:line="302" w:lineRule="auto"/>
        <w:tabs>
          <w:tab w:leader="none" w:pos="11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except as provided in §5.6 or as otherwise reflected in the Base Rate, or the Eurodollar Rate,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46" w:lineRule="exact"/>
        <w:rPr>
          <w:rFonts w:ascii="Arial" w:cs="Arial" w:eastAsia="Arial" w:hAnsi="Arial"/>
          <w:sz w:val="16"/>
          <w:szCs w:val="16"/>
          <w:color w:val="auto"/>
        </w:rPr>
      </w:pPr>
    </w:p>
    <w:p>
      <w:pPr>
        <w:ind w:left="460" w:firstLine="443"/>
        <w:spacing w:after="0" w:line="264" w:lineRule="auto"/>
        <w:tabs>
          <w:tab w:leader="none" w:pos="11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73" w:lineRule="exact"/>
        <w:rPr>
          <w:rFonts w:ascii="Arial" w:cs="Arial" w:eastAsia="Arial" w:hAnsi="Arial"/>
          <w:sz w:val="18"/>
          <w:szCs w:val="18"/>
          <w:color w:val="auto"/>
        </w:rPr>
      </w:pPr>
    </w:p>
    <w:p>
      <w:pPr>
        <w:ind w:left="920" w:right="960" w:firstLine="421"/>
        <w:spacing w:after="0" w:line="277" w:lineRule="auto"/>
        <w:tabs>
          <w:tab w:leader="none" w:pos="155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increase the cost to such Bank of making, funding, issuing, renewing, extending or maintaining the Loans or such Bank’s Commitment or issuing or participating in Letters of Credit;</w:t>
      </w:r>
    </w:p>
    <w:p>
      <w:pPr>
        <w:spacing w:after="0" w:line="62" w:lineRule="exact"/>
        <w:rPr>
          <w:rFonts w:ascii="Arial" w:cs="Arial" w:eastAsia="Arial" w:hAnsi="Arial"/>
          <w:sz w:val="18"/>
          <w:szCs w:val="18"/>
          <w:color w:val="auto"/>
        </w:rPr>
      </w:pPr>
    </w:p>
    <w:p>
      <w:pPr>
        <w:ind w:left="920" w:firstLine="421"/>
        <w:spacing w:after="0" w:line="277" w:lineRule="auto"/>
        <w:tabs>
          <w:tab w:leader="none" w:pos="16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reduce the amount of principal, interest or other amount payable to such Bank hereunder on account of such Bank’s Commitment, the Loans or the Reimbursement Obligations; or</w:t>
      </w:r>
    </w:p>
    <w:p>
      <w:pPr>
        <w:spacing w:after="0" w:line="62" w:lineRule="exact"/>
        <w:rPr>
          <w:rFonts w:ascii="Arial" w:cs="Arial" w:eastAsia="Arial" w:hAnsi="Arial"/>
          <w:sz w:val="18"/>
          <w:szCs w:val="18"/>
          <w:color w:val="auto"/>
        </w:rPr>
      </w:pPr>
    </w:p>
    <w:p>
      <w:pPr>
        <w:ind w:left="920" w:right="160" w:firstLine="421"/>
        <w:spacing w:after="0" w:line="264" w:lineRule="auto"/>
        <w:tabs>
          <w:tab w:leader="none" w:pos="165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then, and in each such case, the Borrower will, upon demand made by such Bank at any time and from time to time as often as the occasion therefor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determination and allocation of amounts, if any, claimed by any Bank under this §5.5 are made on a reasonable basis in a manner consistent with such Bank’s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274" w:right="239" w:bottom="1440" w:gutter="0" w:footer="0" w:header="0"/>
        </w:sectPr>
      </w:pPr>
    </w:p>
    <w:bookmarkStart w:id="52" w:name="page53"/>
    <w:bookmarkEnd w:id="52"/>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treatment of customers of such Bank that such Bank considers, in its reasonable discretion, to be similar to the Borrower and having generally similar provisions in their agreements with such Bank.</w:t>
      </w:r>
    </w:p>
    <w:p>
      <w:pPr>
        <w:spacing w:after="0" w:line="166"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b w:val="1"/>
          <w:bCs w:val="1"/>
          <w:color w:val="auto"/>
        </w:rPr>
        <w:t>§5.6. Capital Adequacy</w:t>
      </w:r>
      <w:r>
        <w:rPr>
          <w:rFonts w:ascii="Arial" w:cs="Arial" w:eastAsia="Arial" w:hAnsi="Arial"/>
          <w:sz w:val="17"/>
          <w:szCs w:val="17"/>
          <w:color w:val="auto"/>
        </w:rPr>
        <w:t>. If any Bank shall have determined that, after the date hereof, (a) the adoption of any applicable law, rule or regulation</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capital adequacy or liquidity requirements,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or liquidity requirements (whether or not having the force of law) of any such authority, central bank or comparable agency (which, notwithstanding anything herein to the contrary, shall include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regardless of the date enacted, adopted or issued), or (b) compliance by such Bank or the Administrative Agent or any corporation controlling such Bank or the Administrative Agent with any law, governmental rule, regulation, policy, guideline or directive (whether or not having the force of law) of any such entity regarding capital adequacy or liquidity requirements,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and liquidity)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181"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b w:val="1"/>
          <w:bCs w:val="1"/>
          <w:color w:val="auto"/>
        </w:rPr>
        <w:t>§5.7. Certificate</w:t>
      </w:r>
      <w:r>
        <w:rPr>
          <w:rFonts w:ascii="Arial" w:cs="Arial" w:eastAsia="Arial" w:hAnsi="Arial"/>
          <w:sz w:val="18"/>
          <w:szCs w:val="18"/>
          <w:color w:val="auto"/>
        </w:rPr>
        <w:t>. A certificate setting forth the additional amounts payable pursuant to §5.5 or §5.6 and a reasonable explanation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amounts which are due, submitted by any Bank to the Borrower, shall be conclusive, absent manifest error, that such amounts are due and 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Bank shall be entitled to additional amounts with respect to events or circumstances occurring more than one hundred and twenty (120) days prior to the delivery of such certificate.</w:t>
      </w:r>
    </w:p>
    <w:p>
      <w:pPr>
        <w:spacing w:after="0" w:line="18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b w:val="1"/>
          <w:bCs w:val="1"/>
          <w:color w:val="auto"/>
        </w:rPr>
        <w:t>§5.8. Eurodollar Indemnity</w:t>
      </w:r>
      <w:r>
        <w:rPr>
          <w:rFonts w:ascii="Arial" w:cs="Arial" w:eastAsia="Arial" w:hAnsi="Arial"/>
          <w:sz w:val="16"/>
          <w:szCs w:val="16"/>
          <w:color w:val="auto"/>
        </w:rPr>
        <w:t>. The Borrower agrees to indemnify the Banks and the Administrative Agent and to hold them harmless from and</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any reasonable loss, cost or expense that any such Bank and the Administrative Agent may sustain or incur as a consequence of (a) the default by the Borrower in payment of the principal amount of or any interest on any Eurodollar Loans as and when due and payable, including any such loss or expense arising from interest or fees payable by any Bank or the Administrative Agent to lenders of funds obtained by it in order to maintain its Eurodollar Loans,</w:t>
      </w:r>
    </w:p>
    <w:p>
      <w:pPr>
        <w:spacing w:after="0" w:line="3" w:lineRule="exact"/>
        <w:rPr>
          <w:sz w:val="20"/>
          <w:szCs w:val="20"/>
          <w:color w:val="auto"/>
        </w:rPr>
      </w:pPr>
    </w:p>
    <w:p>
      <w:pPr>
        <w:jc w:val="both"/>
        <w:ind w:right="60" w:firstLine="8"/>
        <w:spacing w:after="0" w:line="255"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default by the Borrower in making a Borrowing of a Eurodollar Loan or conversion of a Eurodollar Loan or a prepayment of a Eurodollar Loan after the Borrower has given (or is deemed to have given) a Syndicated Loan Request, a notice pursuant to §2.7, or a notice pursuant to §2.10, and (c) the making of any</w:t>
      </w:r>
    </w:p>
    <w:p>
      <w:pPr>
        <w:spacing w:after="0" w:line="122" w:lineRule="exact"/>
        <w:rPr>
          <w:rFonts w:ascii="Arial" w:cs="Arial" w:eastAsia="Arial" w:hAnsi="Arial"/>
          <w:sz w:val="18"/>
          <w:szCs w:val="18"/>
          <w:color w:val="auto"/>
        </w:rPr>
      </w:pPr>
    </w:p>
    <w:p>
      <w:pPr>
        <w:ind w:left="5620" w:hanging="101"/>
        <w:spacing w:after="0"/>
        <w:tabs>
          <w:tab w:leader="none" w:pos="5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320"/>
          </w:cols>
          <w:pgMar w:left="240" w:top="274" w:right="339" w:bottom="1440" w:gutter="0" w:footer="0" w:header="0"/>
        </w:sectPr>
      </w:pPr>
    </w:p>
    <w:bookmarkStart w:id="53" w:name="page54"/>
    <w:bookmarkEnd w:id="5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a Eurodollar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the Eurodollar Loan being paid, prepaid, converted, not converted, reallocated, or not borrowed, as the case may be (based on the Eurodollar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175" w:lineRule="exact"/>
        <w:rPr>
          <w:sz w:val="20"/>
          <w:szCs w:val="20"/>
          <w:color w:val="auto"/>
        </w:rPr>
      </w:pPr>
    </w:p>
    <w:p>
      <w:pPr>
        <w:ind w:right="100" w:firstLine="913"/>
        <w:spacing w:after="0" w:line="289" w:lineRule="auto"/>
        <w:rPr>
          <w:sz w:val="20"/>
          <w:szCs w:val="20"/>
          <w:color w:val="auto"/>
        </w:rPr>
      </w:pPr>
      <w:r>
        <w:rPr>
          <w:rFonts w:ascii="Arial" w:cs="Arial" w:eastAsia="Arial" w:hAnsi="Arial"/>
          <w:sz w:val="17"/>
          <w:szCs w:val="17"/>
          <w:b w:val="1"/>
          <w:bCs w:val="1"/>
          <w:color w:val="auto"/>
        </w:rPr>
        <w:t>§5.9. Interest on Overdue Amounts</w:t>
      </w:r>
      <w:r>
        <w:rPr>
          <w:rFonts w:ascii="Arial" w:cs="Arial" w:eastAsia="Arial" w:hAnsi="Arial"/>
          <w:sz w:val="17"/>
          <w:szCs w:val="17"/>
          <w:color w:val="auto"/>
        </w:rPr>
        <w:t>. Overdue principal and (to the extent permitted by applicable law) interest on the Loans and all other</w:t>
      </w:r>
      <w:r>
        <w:rPr>
          <w:rFonts w:ascii="Arial" w:cs="Arial" w:eastAsia="Arial" w:hAnsi="Arial"/>
          <w:sz w:val="17"/>
          <w:szCs w:val="17"/>
          <w:b w:val="1"/>
          <w:bCs w:val="1"/>
          <w:color w:val="auto"/>
        </w:rPr>
        <w:t xml:space="preserve"> </w:t>
      </w:r>
      <w:r>
        <w:rPr>
          <w:rFonts w:ascii="Arial" w:cs="Arial" w:eastAsia="Arial" w:hAnsi="Arial"/>
          <w:sz w:val="17"/>
          <w:szCs w:val="17"/>
          <w:color w:val="auto"/>
        </w:rPr>
        <w:t>overdue amounts payable hereunder or under any of the other Loan Documents shall bear interest compounded monthly and payable on demand at a rate per annum equal to the Applicable Base Rate plus 2% per annum, until such amount shall be paid in full (after as well as before judgment).</w:t>
      </w:r>
    </w:p>
    <w:p>
      <w:pPr>
        <w:spacing w:after="0" w:line="158" w:lineRule="exact"/>
        <w:rPr>
          <w:sz w:val="20"/>
          <w:szCs w:val="20"/>
          <w:color w:val="auto"/>
        </w:rPr>
      </w:pPr>
    </w:p>
    <w:p>
      <w:pPr>
        <w:ind w:right="200" w:firstLine="913"/>
        <w:spacing w:after="0" w:line="258" w:lineRule="auto"/>
        <w:rPr>
          <w:sz w:val="20"/>
          <w:szCs w:val="20"/>
          <w:color w:val="auto"/>
        </w:rPr>
      </w:pPr>
      <w:r>
        <w:rPr>
          <w:rFonts w:ascii="Arial" w:cs="Arial" w:eastAsia="Arial" w:hAnsi="Arial"/>
          <w:sz w:val="18"/>
          <w:szCs w:val="18"/>
          <w:b w:val="1"/>
          <w:bCs w:val="1"/>
          <w:color w:val="auto"/>
        </w:rPr>
        <w:t>§5.10. Interest Limitation</w:t>
      </w:r>
      <w:r>
        <w:rPr>
          <w:rFonts w:ascii="Arial" w:cs="Arial" w:eastAsia="Arial" w:hAnsi="Arial"/>
          <w:sz w:val="18"/>
          <w:szCs w:val="18"/>
          <w:color w:val="auto"/>
        </w:rPr>
        <w:t>. Notwithstanding any other term of this Agreement, any other Loan Document or any other document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herein or therein, the maximum amount of interest which may be charged to or collected from any Person liable hereunder by any Bank shall be absolutely limited to, and shall in no event exceed, the maximum amount of interest which could lawfully be charged or collected by such Bank under applicable laws (including, to the extent applicable, the provisions of §5197 of the Revised Statutes of the United States of America, as amended, and 12 U.S.C. §85, as amended, and without prejudice to the first sentence of §26 hereof).</w:t>
      </w:r>
    </w:p>
    <w:p>
      <w:pPr>
        <w:spacing w:after="0" w:line="184" w:lineRule="exact"/>
        <w:rPr>
          <w:sz w:val="20"/>
          <w:szCs w:val="20"/>
          <w:color w:val="auto"/>
        </w:rPr>
      </w:pPr>
    </w:p>
    <w:p>
      <w:pPr>
        <w:ind w:right="20" w:firstLine="913"/>
        <w:spacing w:after="0" w:line="292" w:lineRule="auto"/>
        <w:rPr>
          <w:sz w:val="20"/>
          <w:szCs w:val="20"/>
          <w:color w:val="auto"/>
        </w:rPr>
      </w:pPr>
      <w:r>
        <w:rPr>
          <w:rFonts w:ascii="Arial" w:cs="Arial" w:eastAsia="Arial" w:hAnsi="Arial"/>
          <w:sz w:val="16"/>
          <w:szCs w:val="16"/>
          <w:b w:val="1"/>
          <w:bCs w:val="1"/>
          <w:color w:val="auto"/>
        </w:rPr>
        <w:t>§5.11. Reasonable Efforts to Mitigate</w:t>
      </w:r>
      <w:r>
        <w:rPr>
          <w:rFonts w:ascii="Arial" w:cs="Arial" w:eastAsia="Arial" w:hAnsi="Arial"/>
          <w:sz w:val="16"/>
          <w:szCs w:val="16"/>
          <w:color w:val="auto"/>
        </w:rPr>
        <w:t>. Each Bank agrees that as promptly as practicable after it becomes aware of the occurrence of an event or</w:t>
      </w:r>
      <w:r>
        <w:rPr>
          <w:rFonts w:ascii="Arial" w:cs="Arial" w:eastAsia="Arial" w:hAnsi="Arial"/>
          <w:sz w:val="16"/>
          <w:szCs w:val="16"/>
          <w:b w:val="1"/>
          <w:bCs w:val="1"/>
          <w:color w:val="auto"/>
        </w:rPr>
        <w:t xml:space="preserve"> </w:t>
      </w:r>
      <w:r>
        <w:rPr>
          <w:rFonts w:ascii="Arial" w:cs="Arial" w:eastAsia="Arial" w:hAnsi="Arial"/>
          <w:sz w:val="16"/>
          <w:szCs w:val="16"/>
          <w:color w:val="auto"/>
        </w:rPr>
        <w:t>the existence of a condition that would cause it to be affected under §§5.4,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of such actions would not adversely affect such Loans or such Bank or otherwise be disadvantageous to such Bank.</w:t>
      </w:r>
    </w:p>
    <w:p>
      <w:pPr>
        <w:spacing w:after="0" w:line="54" w:lineRule="exact"/>
        <w:rPr>
          <w:sz w:val="20"/>
          <w:szCs w:val="20"/>
          <w:color w:val="auto"/>
        </w:rPr>
      </w:pPr>
    </w:p>
    <w:p>
      <w:pPr>
        <w:jc w:val="both"/>
        <w:ind w:right="100" w:firstLine="913"/>
        <w:spacing w:after="0" w:line="314" w:lineRule="auto"/>
        <w:rPr>
          <w:sz w:val="20"/>
          <w:szCs w:val="20"/>
          <w:color w:val="auto"/>
        </w:rPr>
      </w:pPr>
      <w:r>
        <w:rPr>
          <w:rFonts w:ascii="Arial" w:cs="Arial" w:eastAsia="Arial" w:hAnsi="Arial"/>
          <w:sz w:val="16"/>
          <w:szCs w:val="16"/>
          <w:b w:val="1"/>
          <w:bCs w:val="1"/>
          <w:color w:val="auto"/>
        </w:rPr>
        <w:t>§5.12. Replacement of Banks; Termination of Commitments</w:t>
      </w:r>
      <w:r>
        <w:rPr>
          <w:rFonts w:ascii="Arial" w:cs="Arial" w:eastAsia="Arial" w:hAnsi="Arial"/>
          <w:sz w:val="16"/>
          <w:szCs w:val="16"/>
          <w:color w:val="auto"/>
        </w:rPr>
        <w:t>. If any Bank (an “</w:t>
      </w:r>
      <w:r>
        <w:rPr>
          <w:rFonts w:ascii="Arial" w:cs="Arial" w:eastAsia="Arial" w:hAnsi="Arial"/>
          <w:sz w:val="16"/>
          <w:szCs w:val="16"/>
          <w:u w:val="single" w:color="auto"/>
          <w:color w:val="auto"/>
        </w:rPr>
        <w:t>Affected Bank</w:t>
      </w:r>
      <w:r>
        <w:rPr>
          <w:rFonts w:ascii="Arial" w:cs="Arial" w:eastAsia="Arial" w:hAnsi="Arial"/>
          <w:sz w:val="16"/>
          <w:szCs w:val="16"/>
          <w:color w:val="auto"/>
        </w:rPr>
        <w:t>”) (i) makes demand upon the Borrower for (or</w:t>
      </w:r>
      <w:r>
        <w:rPr>
          <w:rFonts w:ascii="Arial" w:cs="Arial" w:eastAsia="Arial" w:hAnsi="Arial"/>
          <w:sz w:val="16"/>
          <w:szCs w:val="16"/>
          <w:b w:val="1"/>
          <w:bCs w:val="1"/>
          <w:color w:val="auto"/>
        </w:rPr>
        <w:t xml:space="preserve"> </w:t>
      </w:r>
      <w:r>
        <w:rPr>
          <w:rFonts w:ascii="Arial" w:cs="Arial" w:eastAsia="Arial" w:hAnsi="Arial"/>
          <w:sz w:val="16"/>
          <w:szCs w:val="16"/>
          <w:color w:val="auto"/>
        </w:rPr>
        <w:t>if the Borrower is otherwise required to pay) amounts pursuant to §§5.5 or 5.6, (ii) is unable to make or maintain Eurodollar Loans as a result of a condition described in §5.4, (iii) is a Defaulting Bank, or (iv) is a Non-Consenting Bank (as defined below), the Borrower may, within 90 days of receipt of such</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00"/>
          </w:cols>
          <w:pgMar w:left="240" w:top="274" w:right="259" w:bottom="1440" w:gutter="0" w:footer="0" w:header="0"/>
        </w:sectPr>
      </w:pPr>
    </w:p>
    <w:bookmarkStart w:id="54" w:name="page55"/>
    <w:bookmarkEnd w:id="5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demand, notice (or the occurrence of such other event causing the Borrower to be required to pay such compensation or causing §5.4 to be applicable), default or approval of such amendment, waiver or consent by the Majority Banks, as the case may be, by notice (a “</w:t>
      </w:r>
      <w:r>
        <w:rPr>
          <w:rFonts w:ascii="Arial" w:cs="Arial" w:eastAsia="Arial" w:hAnsi="Arial"/>
          <w:sz w:val="16"/>
          <w:szCs w:val="16"/>
          <w:u w:val="single" w:color="auto"/>
          <w:color w:val="auto"/>
        </w:rPr>
        <w:t>Replacement Notice</w:t>
      </w:r>
      <w:r>
        <w:rPr>
          <w:rFonts w:ascii="Arial" w:cs="Arial" w:eastAsia="Arial" w:hAnsi="Arial"/>
          <w:sz w:val="16"/>
          <w:szCs w:val="16"/>
          <w:color w:val="auto"/>
        </w:rPr>
        <w:t>”) in writing to the Administrative Agent and such Affected Bank (A) request the Affected Bank to cooperate with the Borrower in obtaining a replacement bank satisfactory to the Administrative Agent and the Borrower (the “</w:t>
      </w:r>
      <w:r>
        <w:rPr>
          <w:rFonts w:ascii="Arial" w:cs="Arial" w:eastAsia="Arial" w:hAnsi="Arial"/>
          <w:sz w:val="16"/>
          <w:szCs w:val="16"/>
          <w:u w:val="single" w:color="auto"/>
          <w:color w:val="auto"/>
        </w:rPr>
        <w:t>Replacement Bank</w:t>
      </w:r>
      <w:r>
        <w:rPr>
          <w:rFonts w:ascii="Arial" w:cs="Arial" w:eastAsia="Arial" w:hAnsi="Arial"/>
          <w:sz w:val="16"/>
          <w:szCs w:val="16"/>
          <w:color w:val="auto"/>
        </w:rPr>
        <w:t xml:space="preserve">”)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(C) designate a Replacement Bank reasonably satisfactory to the Administrative Agent; or (D) so long as no Event of Default has occurred and is continuing, terminate the Commitments of such Bank as set forth below. If any satisfactory Replacement Bank shall be obtained, and/or any of the non-Affected Banks shall agree to acquire and assume all of the Affected Bank’s Loans and Commitment, and obligations to participate in Letters of Credit, then the Borrower may, upon notice to such Affected Bank and the Administrative Agent, require such Affected Bank to assign and delegate, without recourse (in accordance with and subject to the restrictions contained in, and consents required by, §20), all of its interests, rights and obligations under this Agreement and the related Loan Documents to an assignee that shall assume such obligations (which assignee may be another Bank, if a Bank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61" w:lineRule="exact"/>
        <w:rPr>
          <w:sz w:val="20"/>
          <w:szCs w:val="20"/>
          <w:color w:val="auto"/>
        </w:rPr>
      </w:pPr>
    </w:p>
    <w:p>
      <w:pPr>
        <w:ind w:left="1560" w:hanging="219"/>
        <w:spacing w:after="0"/>
        <w:tabs>
          <w:tab w:leader="none" w:pos="1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assignment fee specified in §20 (to the extent not waived);</w:t>
      </w:r>
    </w:p>
    <w:p>
      <w:pPr>
        <w:spacing w:after="0" w:line="117" w:lineRule="exact"/>
        <w:rPr>
          <w:rFonts w:ascii="Arial" w:cs="Arial" w:eastAsia="Arial" w:hAnsi="Arial"/>
          <w:sz w:val="18"/>
          <w:szCs w:val="18"/>
          <w:color w:val="auto"/>
        </w:rPr>
      </w:pPr>
    </w:p>
    <w:p>
      <w:pPr>
        <w:ind w:left="920" w:right="40" w:firstLine="421"/>
        <w:spacing w:after="0" w:line="297" w:lineRule="auto"/>
        <w:tabs>
          <w:tab w:leader="none" w:pos="16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subject to the provisions in §5.14 with respect to any Defaulting Bank in the case of reallocation of payments to such Defaulting Bank for amounts described in clauses first, sixth and seventh of such §5.14, such Affected Bank shall have received payment of an amount equal to 100% of the outstanding principal of its Loans and funded participations in Letters of Credit, accrued interest thereon, accrued fees and all other amounts payable to it hereunder and under the other Loan Documents (including any amounts under §§5.5, 5.6 and 5.8) from the assignee (to the extent of such outstanding principal and accrued interest and fees) or the Borrower (in the case of all other amounts);</w:t>
      </w:r>
    </w:p>
    <w:p>
      <w:pPr>
        <w:spacing w:after="0" w:line="50" w:lineRule="exact"/>
        <w:rPr>
          <w:rFonts w:ascii="Arial" w:cs="Arial" w:eastAsia="Arial" w:hAnsi="Arial"/>
          <w:sz w:val="16"/>
          <w:szCs w:val="16"/>
          <w:color w:val="auto"/>
        </w:rPr>
      </w:pPr>
    </w:p>
    <w:p>
      <w:pPr>
        <w:ind w:left="920" w:right="620" w:firstLine="421"/>
        <w:spacing w:after="0" w:line="277" w:lineRule="auto"/>
        <w:tabs>
          <w:tab w:leader="none" w:pos="1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claim for compensation under §§5.5 or 5.6, such assignment will result in a reduction in such compensation or payments thereafter;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Bank shall not be required to make any such assignment or delegation if, prior thereto, as a result of a waiver by such Bank or otherwise, the circumstances entitling the Borrower to require such assignment and delegation cease to apply. Upon the effective date of such assignment, such Replacement Bank shall become a “Bank” for all purposes under this Agreement and the other Loan Documents.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20"/>
          </w:cols>
          <w:pgMar w:left="240" w:top="274" w:right="239" w:bottom="1440" w:gutter="0" w:footer="0" w:header="0"/>
        </w:sectPr>
      </w:pPr>
    </w:p>
    <w:bookmarkStart w:id="55" w:name="page56"/>
    <w:bookmarkEnd w:id="55"/>
    <w:p>
      <w:pPr>
        <w:ind w:right="40"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Borrower elects to terminate the Commitments of a Bank in accordance with clause (D) above, all of the Commitments of such Bank shall be terminated immediately (with the Total Commitment reduced in a like amount on a non-pro rata basis) upon the later of (i) the date of the receipt by the Administrative Agent and such Bank of the Borrower’s written notice of such election and (ii) the date that the Borrower has repaid all outstanding principal of its Loans of such Bank and provided cash collateral or other credit support satisfactory to the Administrative Agent and each applicable Issuing Bank with respect to all such Bank’s Letters of Credit, together with accrued interest thereon, accrued fees and all other amounts payable to it hereunder and under the other Loan Documents (including any amounts under §§5.5, 5.6 and 5.8) (which payments and credit support may be held and applied to the Loans, interest, fees and other obligations of such Bank on a non-pro rata basis with payments made to the other Banks, notwithstanding the provisions of §29 to the contrary);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not terminate the Commitments of a Bank pursuant to this paragraph if, after giving effect to such termination and the repayment of Loans of such Bank required hereby, the sum of (x) the outstanding principal amount of the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Maximum Drawing Amount of outstanding Letters of Credit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(z) the amount of cash collateral or other credit support satisfactory to the Administrative Agent and each applicable Issuing Bank that the Borrower has provided to secure Reimbursement Obligations prior to or concurrently with such termination which would exceed the Total Commitment.</w:t>
      </w:r>
    </w:p>
    <w:p>
      <w:pPr>
        <w:spacing w:after="0" w:line="180"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For the purposes of this §5.12, a “</w:t>
      </w:r>
      <w:r>
        <w:rPr>
          <w:rFonts w:ascii="Arial" w:cs="Arial" w:eastAsia="Arial" w:hAnsi="Arial"/>
          <w:sz w:val="16"/>
          <w:szCs w:val="16"/>
          <w:u w:val="single" w:color="auto"/>
          <w:color w:val="auto"/>
        </w:rPr>
        <w:t>Non-Consenting Bank</w:t>
      </w:r>
      <w:r>
        <w:rPr>
          <w:rFonts w:ascii="Arial" w:cs="Arial" w:eastAsia="Arial" w:hAnsi="Arial"/>
          <w:sz w:val="16"/>
          <w:szCs w:val="16"/>
          <w:color w:val="auto"/>
        </w:rPr>
        <w:t>” means a Bank that fails to approve an amendment, waiver or consent requested by the Borrower pursuant to §15.9 that has received the written approval of not less than the Majority Banks but also requires the approval of such Bank.</w:t>
      </w:r>
    </w:p>
    <w:p>
      <w:pPr>
        <w:spacing w:after="0" w:line="12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§5.13. Advances by Administrative Agent</w:t>
      </w:r>
      <w:r>
        <w:rPr>
          <w:rFonts w:ascii="Arial" w:cs="Arial" w:eastAsia="Arial" w:hAnsi="Arial"/>
          <w:sz w:val="17"/>
          <w:szCs w:val="17"/>
          <w:color w:val="auto"/>
        </w:rPr>
        <w:t>. Unless the Administrative Agent shall have been notified in writing by any Bank by 12:00 p.m.</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time) on the date of a requested borrowing hereunder that such Bank will not make the amount that would constitute its allocable share of such borrowing available to the Administrative Agent, the Administrative Agent may assume that such Bank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Bank shall pay to the Administrative Agent, on demand, such amount with interest thereon at a rate equal to the daily average Federal Funds Rate for the period until such Bank makes such amount immediately available to the Administrative Agent. A certificate of the Administrative Agent submitted to any Bank with respect to any amounts owing under this Section shall be conclusive in the absence of manifest error. If such Bank’s Commitment Percentage of such borrowing is not made available to the Administrative Agent by such Bank within three Business Days of such borrowing date, the Administrative Agent shall be entitled to recover such amount with interest thereon at the rate per annum applicable to such Loan hereunder, on demand, from the Borrower.</w:t>
      </w:r>
    </w:p>
    <w:p>
      <w:pPr>
        <w:spacing w:after="0" w:line="178"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b w:val="1"/>
          <w:bCs w:val="1"/>
          <w:color w:val="auto"/>
        </w:rPr>
        <w:t>§5.14. Defaulting Banks</w:t>
      </w:r>
      <w:r>
        <w:rPr>
          <w:rFonts w:ascii="Arial" w:cs="Arial" w:eastAsia="Arial" w:hAnsi="Arial"/>
          <w:sz w:val="18"/>
          <w:szCs w:val="18"/>
          <w:color w:val="auto"/>
        </w:rPr>
        <w:t>. Notwithstanding anything to the contrary contained in this Agreement, if any Bank becomes a Defaulting Bank, then,</w:t>
      </w:r>
      <w:r>
        <w:rPr>
          <w:rFonts w:ascii="Arial" w:cs="Arial" w:eastAsia="Arial" w:hAnsi="Arial"/>
          <w:sz w:val="18"/>
          <w:szCs w:val="18"/>
          <w:b w:val="1"/>
          <w:bCs w:val="1"/>
          <w:color w:val="auto"/>
        </w:rPr>
        <w:t xml:space="preserve"> </w:t>
      </w:r>
      <w:r>
        <w:rPr>
          <w:rFonts w:ascii="Arial" w:cs="Arial" w:eastAsia="Arial" w:hAnsi="Arial"/>
          <w:sz w:val="18"/>
          <w:szCs w:val="18"/>
          <w:color w:val="auto"/>
        </w:rPr>
        <w:t>until such time as such Bank is no longer a Defaulting Bank, to the extent permitted by applicable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274" w:right="239" w:bottom="1440" w:gutter="0" w:footer="0" w:header="0"/>
        </w:sectPr>
      </w:pPr>
    </w:p>
    <w:bookmarkStart w:id="56" w:name="page57"/>
    <w:bookmarkEnd w:id="56"/>
    <w:p>
      <w:pPr>
        <w:ind w:left="-280" w:right="520" w:firstLine="421"/>
        <w:spacing w:after="0" w:line="277" w:lineRule="auto"/>
        <w:tabs>
          <w:tab w:leader="none" w:pos="355"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Defaulting Bank’s right to approve or disapprove any amendment, waiver or consent with respect to this Agreement shall be restricted as set forth in §15.9;</w:t>
      </w:r>
    </w:p>
    <w:p>
      <w:pPr>
        <w:spacing w:after="0" w:line="62" w:lineRule="exact"/>
        <w:rPr>
          <w:rFonts w:ascii="Arial" w:cs="Arial" w:eastAsia="Arial" w:hAnsi="Arial"/>
          <w:sz w:val="18"/>
          <w:szCs w:val="18"/>
          <w:color w:val="auto"/>
        </w:rPr>
      </w:pPr>
    </w:p>
    <w:p>
      <w:pPr>
        <w:ind w:left="-280" w:firstLine="421"/>
        <w:spacing w:after="0" w:line="284" w:lineRule="auto"/>
        <w:tabs>
          <w:tab w:leader="none" w:pos="4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Administrative Agent for the account of any such Bank on account of such Bank’s Syndicated Loans or from such Bank pursuant to §13, shall be applied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Bank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that Defaulting Bank to the Issuing Banks or Swing Line Bank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or requested by the Issuing Banks or Swing Line Bank, to be held as cash collateral for future funding obligations of that Defaulting Bank of any participation in any Swing Line Loan or Letter of Credit (and each such Bank hereby grants to the Administrative Agent a security interest therein); </w:t>
      </w:r>
      <w:r>
        <w:rPr>
          <w:rFonts w:ascii="Arial" w:cs="Arial" w:eastAsia="Arial" w:hAnsi="Arial"/>
          <w:sz w:val="16"/>
          <w:szCs w:val="16"/>
          <w:i w:val="1"/>
          <w:iCs w:val="1"/>
          <w:color w:val="auto"/>
        </w:rPr>
        <w:t>fourth</w:t>
      </w:r>
      <w:r>
        <w:rPr>
          <w:rFonts w:ascii="Arial" w:cs="Arial" w:eastAsia="Arial" w:hAnsi="Arial"/>
          <w:sz w:val="16"/>
          <w:szCs w:val="16"/>
          <w:color w:val="auto"/>
        </w:rPr>
        <w:t xml:space="preserve">, if the Borrower so requests (so long as no Default or Event of Default exists), to the funding of any Syndicated Loan in respect of which that Defaulting Bank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if so determined by the Administrative Agent and the Borrower, to be held in a non-interest bearing deposit account and released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satisfy obligations of that Defaulting Bank to fund Syndicated Loans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Banks as a result of any judgment of a court of competent jurisdiction obtained by any Bank against that Defaulting Bank as a result of that Defaulting Bank’s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that Defaulting Bank as a result of that Defaulting Bank’s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that Defaulting Bank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Syndicated Loans or Letter of Credit Participations in respect of which that Defaulting Bank has not fully funded its appropriate share and (y) such Loans or Letter of Credit Participations were made at a time when the conditions set forth in §11 were satisfied or waived, such payment shall be applied solely to pay the Loans of, and Letter of Credit Participations owed to, all non-Defaulting Banks on a pro rata basis prior to being applied to the payment of any Loans of, or Letter of Credit Participations owed to, that Defaulting Bank (and any such amounts paid or payable to a Defaulting Bank that are applied to pay amounts owed by a Defaulting Bank or to post cash collateral pursuant to this §5.14 shall be deemed paid to and redirected by such Defaulting Bank, and each Bank irrevocably consents hereto);</w:t>
      </w:r>
    </w:p>
    <w:p>
      <w:pPr>
        <w:spacing w:after="0" w:line="73" w:lineRule="exact"/>
        <w:rPr>
          <w:rFonts w:ascii="Arial" w:cs="Arial" w:eastAsia="Arial" w:hAnsi="Arial"/>
          <w:sz w:val="16"/>
          <w:szCs w:val="16"/>
          <w:color w:val="auto"/>
        </w:rPr>
      </w:pPr>
    </w:p>
    <w:p>
      <w:pPr>
        <w:jc w:val="both"/>
        <w:ind w:left="-280" w:right="60" w:firstLine="421"/>
        <w:spacing w:after="0" w:line="264" w:lineRule="auto"/>
        <w:tabs>
          <w:tab w:leader="none" w:pos="4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Defaulting Bank (x) shall be entitled to receive Facility Fees only to extent allocable to the sum of (1) the outstanding amount of the Syndicated Loans funded by it and (2) its Commitment Percentage of the stated amount of Letters of Credit and Swing Line Loans for which it has provided cash</w:t>
      </w:r>
    </w:p>
    <w:p>
      <w:pPr>
        <w:spacing w:after="0" w:line="113" w:lineRule="exact"/>
        <w:rPr>
          <w:rFonts w:ascii="Arial" w:cs="Arial" w:eastAsia="Arial" w:hAnsi="Arial"/>
          <w:sz w:val="18"/>
          <w:szCs w:val="18"/>
          <w:color w:val="auto"/>
        </w:rPr>
      </w:pPr>
    </w:p>
    <w:p>
      <w:pPr>
        <w:ind w:left="4420" w:hanging="101"/>
        <w:spacing w:after="0"/>
        <w:tabs>
          <w:tab w:leader="none" w:pos="4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0200"/>
          </w:cols>
          <w:pgMar w:left="1440" w:top="274" w:right="259" w:bottom="1440" w:gutter="0" w:footer="0" w:header="0"/>
        </w:sectPr>
      </w:pPr>
    </w:p>
    <w:bookmarkStart w:id="57" w:name="page58"/>
    <w:bookmarkEnd w:id="57"/>
    <w:p>
      <w:pPr>
        <w:ind w:left="920"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 or other credit support satisfactory to each Issuing Bank (in its sole discretion) and the Swing Line Bank (in its sole discretion) (and the Borrower shall (A) be required to pay to each Issuing Bank and the Swing Line Bank, as applicable, the amount of such Facility Fee allocable to its fronting exposure arising from that Defaulting Bank and (B) not be required to pay the remaining amount of such fee that otherwise would have been required to have been paid to that Defaulting Bank) and (y) shall be limited in its right to receive Letter of Credit Fees as provided in §3.6;</w:t>
      </w:r>
    </w:p>
    <w:p>
      <w:pPr>
        <w:spacing w:after="0" w:line="80" w:lineRule="exact"/>
        <w:rPr>
          <w:sz w:val="20"/>
          <w:szCs w:val="20"/>
          <w:color w:val="auto"/>
        </w:rPr>
      </w:pPr>
    </w:p>
    <w:p>
      <w:pPr>
        <w:ind w:left="920" w:right="40" w:firstLine="421"/>
        <w:spacing w:after="0" w:line="271" w:lineRule="auto"/>
        <w:tabs>
          <w:tab w:leader="none" w:pos="1645"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for purposes of computing the amount of the obligation of each non-Defaulting Bank to acquire, refinance or fund participations in Letters of Credit or Swing Line Loans hereunder, including, without limitation, under §3.1(c), the “Commitment Percentage” of each non-Defaulting Bank shall be computed without giving effect to the Commitment of that Defaulting Bank using a fraction the numerator of which is the Commitment of such non-Defaulting Bank and the denominator of which is the aggregate Commitments of all non-Defaulting Banks;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foregoing change in computation shall be given effect only if, at the date the applicable Bank becomes a Defaulting Bank, no Default or Event of Default exists, and (B) the aggregate obligation of each non-Defaulting Bank to acquire, refinance or fund participations in Letters of Credit and Swing Line Loans shall not exceed the positive difference, if any, of (1) the Commitment of that non-Defaulting Bank minus (2) the aggregate outstanding amount of the Syndicated Loans of that non-Defaulting Bank; and</w:t>
      </w:r>
    </w:p>
    <w:p>
      <w:pPr>
        <w:spacing w:after="0" w:line="70" w:lineRule="exact"/>
        <w:rPr>
          <w:rFonts w:ascii="Arial" w:cs="Arial" w:eastAsia="Arial" w:hAnsi="Arial"/>
          <w:sz w:val="17"/>
          <w:szCs w:val="17"/>
          <w:color w:val="auto"/>
        </w:rPr>
      </w:pPr>
    </w:p>
    <w:p>
      <w:pPr>
        <w:ind w:left="920" w:firstLine="421"/>
        <w:spacing w:after="0" w:line="288" w:lineRule="auto"/>
        <w:tabs>
          <w:tab w:leader="none" w:pos="1595" w:val="left"/>
        </w:tabs>
        <w:numPr>
          <w:ilvl w:val="1"/>
          <w:numId w:val="43"/>
        </w:numPr>
        <w:rPr>
          <w:rFonts w:ascii="Arial" w:cs="Arial" w:eastAsia="Arial" w:hAnsi="Arial"/>
          <w:sz w:val="16"/>
          <w:szCs w:val="16"/>
          <w:color w:val="auto"/>
        </w:rPr>
      </w:pPr>
      <w:r>
        <w:rPr>
          <w:rFonts w:ascii="Arial" w:cs="Arial" w:eastAsia="Arial" w:hAnsi="Arial"/>
          <w:sz w:val="16"/>
          <w:szCs w:val="16"/>
          <w:color w:val="auto"/>
        </w:rPr>
        <w:t>immediately upon the request of the Administrative Agent, the Swing Line Bank or any Issuing Bank and provided that such Defaulting Bank has not provided cash collateral or other credit support satisfactory to the Administrative Agent, the Swing Line Bank or each such Issuing Bank (in its sole discretion) (which each Bank hereby agrees to provide in the event that it becomes a Defaulting Bank), the Borrower shall</w:t>
      </w:r>
    </w:p>
    <w:p>
      <w:pPr>
        <w:ind w:left="920" w:right="20" w:firstLine="1"/>
        <w:spacing w:after="0" w:line="270" w:lineRule="auto"/>
        <w:tabs>
          <w:tab w:leader="none" w:pos="121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prepay Swing Line Loans in an amount equal to the Swing Line Bank’s fronting exposure for the Defaulting Bank’s participation in any outstanding Swing Line Loans and (B) </w:t>
      </w:r>
      <w:r>
        <w:rPr>
          <w:rFonts w:ascii="Arial" w:cs="Arial" w:eastAsia="Arial" w:hAnsi="Arial"/>
          <w:sz w:val="17"/>
          <w:szCs w:val="17"/>
          <w:u w:val="single" w:color="auto"/>
          <w:color w:val="auto"/>
        </w:rPr>
        <w:t>second</w:t>
      </w:r>
      <w:r>
        <w:rPr>
          <w:rFonts w:ascii="Arial" w:cs="Arial" w:eastAsia="Arial" w:hAnsi="Arial"/>
          <w:sz w:val="17"/>
          <w:szCs w:val="17"/>
          <w:color w:val="auto"/>
        </w:rPr>
        <w:t>, deliver to the Administrative Agent cash collateral or other credit support satisfactory to the Administrative Agent or each such Issuing Bank (in its sole discretion) (and the Borrower hereby grants to the Administrative Agent a security interest therein) in an amount sufficient to cover the fronting exposure of such Persons for the Defaulting Bank’s participation in any outstanding Letters of Credit, in each case, after giving effect to the reallocation of such exposure to the non-Defaulting Banks pursuant to clause (iv) above and any cash collateral or other credit support provided by the Defaulting Bank.</w:t>
      </w:r>
    </w:p>
    <w:p>
      <w:pPr>
        <w:spacing w:after="0" w:line="179"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If the Borrower, the Administrative Agent, the Swing Line Bank and the Issuing Banks agree in writing in their sole discretion that a Defaulting Bank should no longer be deemed to be a Defaulting Bank, the Administrative Agent will so notify the parties hereto, whereupon as of the effective date specified in such notice and subject to any conditions set forth therein (which may include arrangements with respect to any cash collateral or other credit support satisfactory to the Administrative Agent, the Swing Line Bank and each applicable Issuing Bank), such Bank will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00"/>
          </w:cols>
          <w:pgMar w:left="240" w:top="274" w:right="259" w:bottom="1440" w:gutter="0" w:footer="0" w:header="0"/>
        </w:sectPr>
      </w:pPr>
    </w:p>
    <w:bookmarkStart w:id="58" w:name="page59"/>
    <w:bookmarkEnd w:id="5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purchase at par such portion of outstanding Syndicated Loans of the other Banks or take such other actions as the Administrative Agent may determine to be necessary to cause the Syndicated Loans and funded and unfunded participations in Letters of Credit and Swing Line Loans to be held on a pro rata basis by the Banks in accordance with their Commitment Percentages (disregarding any portions not funded by other Defaulting Banks), whereupon such Bank will cease to be a Defaulting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Borrower while such Bank was a Defaulting Bank;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Bank to Bank will constitute a waiver or release of any claim of any party hereunder arising from such Bank’s having been a Defaulting Bank.</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So long as any Bank is a Defaulting Bank, the Swing Line Bank shall not be required to fund any Swing Line Loans unless it is satisfied that it will have no actual or potential fronting exposure with respect to such Defaulting Bank after giving effect to such Swing Line Loan.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§6. </w:t>
      </w:r>
      <w:r>
        <w:rPr>
          <w:rFonts w:ascii="Arial" w:cs="Arial" w:eastAsia="Arial" w:hAnsi="Arial"/>
          <w:sz w:val="17"/>
          <w:szCs w:val="17"/>
          <w:b w:val="1"/>
          <w:bCs w:val="1"/>
          <w:u w:val="single" w:color="auto"/>
          <w:color w:val="auto"/>
        </w:rPr>
        <w:t>REPRESENTATIONS AND WARRANTIES</w:t>
      </w:r>
      <w:r>
        <w:rPr>
          <w:rFonts w:ascii="Arial" w:cs="Arial" w:eastAsia="Arial" w:hAnsi="Arial"/>
          <w:sz w:val="17"/>
          <w:szCs w:val="17"/>
          <w:color w:val="auto"/>
        </w:rPr>
        <w:t>. The Borrower (and the Guarantor, where applicable) represents and warrants to the Banks that: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§6.1. Corporate Authority</w:t>
      </w:r>
      <w:r>
        <w:rPr>
          <w:rFonts w:ascii="Arial" w:cs="Arial" w:eastAsia="Arial" w:hAnsi="Arial"/>
          <w:sz w:val="18"/>
          <w:szCs w:val="18"/>
          <w:color w:val="auto"/>
        </w:rPr>
        <w:t>.</w:t>
      </w:r>
    </w:p>
    <w:p>
      <w:pPr>
        <w:spacing w:after="0" w:line="121" w:lineRule="exact"/>
        <w:rPr>
          <w:sz w:val="20"/>
          <w:szCs w:val="20"/>
          <w:color w:val="auto"/>
        </w:rPr>
      </w:pPr>
    </w:p>
    <w:p>
      <w:pPr>
        <w:ind w:left="460" w:right="120" w:firstLine="443"/>
        <w:spacing w:after="0" w:line="257" w:lineRule="auto"/>
        <w:tabs>
          <w:tab w:leader="none" w:pos="114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Incorporation; Good Standing</w:t>
      </w:r>
      <w:r>
        <w:rPr>
          <w:rFonts w:ascii="Arial" w:cs="Arial" w:eastAsia="Arial" w:hAnsi="Arial"/>
          <w:sz w:val="18"/>
          <w:szCs w:val="18"/>
          <w:color w:val="auto"/>
        </w:rPr>
        <w:t>. The Borrower and each of its Significant Subsidiaries (i) is duly organized, validly existing and in good standing under the laws of its respective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80" w:lineRule="exact"/>
        <w:rPr>
          <w:rFonts w:ascii="Arial" w:cs="Arial" w:eastAsia="Arial" w:hAnsi="Arial"/>
          <w:sz w:val="18"/>
          <w:szCs w:val="18"/>
          <w:color w:val="auto"/>
        </w:rPr>
      </w:pPr>
    </w:p>
    <w:p>
      <w:pPr>
        <w:ind w:left="460" w:right="80" w:firstLine="443"/>
        <w:spacing w:after="0" w:line="271" w:lineRule="auto"/>
        <w:tabs>
          <w:tab w:leader="none" w:pos="115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The execution, delivery and performance of its Loan Documents and the transactions contemplated hereby and thereby (i) are within the corporate authority of the Borrower and the Guarantor, (ii) have been duly authorized by all necessary corporate proceedings on the part of each of the Borrower and the Guarantor, (iii) do not conflict with or result in any breach or contravention of any provision of law, statute, rule or regulation to which any of the Borrower or the Guarantor or any of their Subsidiaries is subject, (iv) do not contravene any judgment, order, writ, injunction, license or permit applicable to the Borrower, the Guarantor or any of their Subsidiaries so as to have a Material Adverse Effect, and (v) do not conflict with any provision of the corporate charter or bylaws of the Borrower, the Guarantor or any Significant Subsidiary or any agreement or other instrument binding upon the Borrower, the Guarantor or any of their Significant Subsidiaries, except for those conflicts with any such agreement or instrument which could not reasonably be expected to have a Material Adverse Effect.</w:t>
      </w:r>
    </w:p>
    <w:p>
      <w:pPr>
        <w:spacing w:after="0" w:line="70" w:lineRule="exact"/>
        <w:rPr>
          <w:rFonts w:ascii="Arial" w:cs="Arial" w:eastAsia="Arial" w:hAnsi="Arial"/>
          <w:sz w:val="17"/>
          <w:szCs w:val="17"/>
          <w:color w:val="auto"/>
        </w:rPr>
      </w:pPr>
    </w:p>
    <w:p>
      <w:pPr>
        <w:ind w:left="460" w:right="180" w:firstLine="443"/>
        <w:spacing w:after="0" w:line="277" w:lineRule="auto"/>
        <w:tabs>
          <w:tab w:leader="none" w:pos="114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The execution, delivery and performance of the Loan Documents by the Borrower and the Guarantor will result in valid and legally binding</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380"/>
          </w:cols>
          <w:pgMar w:left="240" w:top="274" w:right="279" w:bottom="1440" w:gutter="0" w:footer="0" w:header="0"/>
        </w:sectPr>
      </w:pPr>
    </w:p>
    <w:bookmarkStart w:id="59" w:name="page60"/>
    <w:bookmarkEnd w:id="59"/>
    <w:p>
      <w:pPr>
        <w:ind w:left="460"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of the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177" w:lineRule="exact"/>
        <w:rPr>
          <w:sz w:val="20"/>
          <w:szCs w:val="20"/>
          <w:color w:val="auto"/>
        </w:rPr>
      </w:pPr>
    </w:p>
    <w:p>
      <w:pPr>
        <w:ind w:right="100" w:firstLine="913"/>
        <w:spacing w:after="0" w:line="261" w:lineRule="auto"/>
        <w:rPr>
          <w:sz w:val="20"/>
          <w:szCs w:val="20"/>
          <w:color w:val="auto"/>
        </w:rPr>
      </w:pPr>
      <w:r>
        <w:rPr>
          <w:rFonts w:ascii="Arial" w:cs="Arial" w:eastAsia="Arial" w:hAnsi="Arial"/>
          <w:sz w:val="18"/>
          <w:szCs w:val="18"/>
          <w:b w:val="1"/>
          <w:bCs w:val="1"/>
          <w:color w:val="auto"/>
        </w:rPr>
        <w:t>§6.2. Governmental and Other Approvals</w:t>
      </w:r>
      <w:r>
        <w:rPr>
          <w:rFonts w:ascii="Arial" w:cs="Arial" w:eastAsia="Arial" w:hAnsi="Arial"/>
          <w:sz w:val="18"/>
          <w:szCs w:val="18"/>
          <w:color w:val="auto"/>
        </w:rPr>
        <w:t>. The execution, delivery and performance of the Loan Documents by the Borrower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and the consummation by the Borrower and the Guarantor of the 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the covenants contained in §§7, 8 and 9 hereof.</w:t>
      </w:r>
    </w:p>
    <w:p>
      <w:pPr>
        <w:spacing w:after="0" w:line="180" w:lineRule="exact"/>
        <w:rPr>
          <w:sz w:val="20"/>
          <w:szCs w:val="20"/>
          <w:color w:val="auto"/>
        </w:rPr>
      </w:pPr>
    </w:p>
    <w:p>
      <w:pPr>
        <w:ind w:right="120" w:firstLine="913"/>
        <w:spacing w:after="0" w:line="261" w:lineRule="auto"/>
        <w:rPr>
          <w:sz w:val="20"/>
          <w:szCs w:val="20"/>
          <w:color w:val="auto"/>
        </w:rPr>
      </w:pPr>
      <w:r>
        <w:rPr>
          <w:rFonts w:ascii="Arial" w:cs="Arial" w:eastAsia="Arial" w:hAnsi="Arial"/>
          <w:sz w:val="18"/>
          <w:szCs w:val="18"/>
          <w:b w:val="1"/>
          <w:bCs w:val="1"/>
          <w:color w:val="auto"/>
        </w:rPr>
        <w:t>§6.3. Title to Properties; Leases</w:t>
      </w:r>
      <w:r>
        <w:rPr>
          <w:rFonts w:ascii="Arial" w:cs="Arial" w:eastAsia="Arial" w:hAnsi="Arial"/>
          <w:sz w:val="18"/>
          <w:szCs w:val="18"/>
          <w:color w:val="auto"/>
        </w:rPr>
        <w:t>. The Borrower and its Subsidiaries own all of the assets reflected in the consolidated balance sheet as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Interim Balance Sheet Date or acquired since that date (except property and assets (a) operated under Capital Leases, (b) sold or otherwise disposed of in the ordinary course of business since that date, or (c) consolidated in accordance with variable entity guidance in FASB ASC 810), subject to no Liens except Permitted Liens.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§6.4. Financial Statements; Solvency</w:t>
      </w:r>
      <w:r>
        <w:rPr>
          <w:rFonts w:ascii="Arial" w:cs="Arial" w:eastAsia="Arial" w:hAnsi="Arial"/>
          <w:sz w:val="18"/>
          <w:szCs w:val="18"/>
          <w:color w:val="auto"/>
        </w:rPr>
        <w:t>.</w:t>
      </w:r>
    </w:p>
    <w:p>
      <w:pPr>
        <w:spacing w:after="0" w:line="121" w:lineRule="exact"/>
        <w:rPr>
          <w:sz w:val="20"/>
          <w:szCs w:val="20"/>
          <w:color w:val="auto"/>
        </w:rPr>
      </w:pPr>
    </w:p>
    <w:p>
      <w:pPr>
        <w:ind w:left="460" w:firstLine="443"/>
        <w:spacing w:after="0" w:line="270" w:lineRule="auto"/>
        <w:tabs>
          <w:tab w:leader="none" w:pos="1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There have been furnished to the Banks consolidated balance sheets of the Borrower dated the Balance Sheet Date and consolidated statements of operations for the fiscal periods then ended, certified by the Accountants. In addition, there have been furnished to the Banks consolidated balance sheets of the Borrower and its Subsidiaries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the Borrower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 amounts, known to the officers of the Borrower or the Guarantor, which have not been disclosed in said balance sheets and the related notes thereto or otherwise in writing to the Banks.</w:t>
      </w:r>
    </w:p>
    <w:p>
      <w:pPr>
        <w:spacing w:after="0" w:line="69" w:lineRule="exact"/>
        <w:rPr>
          <w:rFonts w:ascii="Arial" w:cs="Arial" w:eastAsia="Arial" w:hAnsi="Arial"/>
          <w:sz w:val="17"/>
          <w:szCs w:val="17"/>
          <w:color w:val="auto"/>
        </w:rPr>
      </w:pPr>
    </w:p>
    <w:p>
      <w:pPr>
        <w:ind w:left="460" w:right="60" w:firstLine="443"/>
        <w:spacing w:after="0" w:line="312" w:lineRule="auto"/>
        <w:tabs>
          <w:tab w:leader="none" w:pos="11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Borrower on a consolidated basis (both before and after giving effect to the transactions contemplated by this Agreement) is solvent (</w:t>
      </w:r>
      <w:r>
        <w:rPr>
          <w:rFonts w:ascii="Arial" w:cs="Arial" w:eastAsia="Arial" w:hAnsi="Arial"/>
          <w:sz w:val="16"/>
          <w:szCs w:val="16"/>
          <w:u w:val="single" w:color="auto"/>
          <w:color w:val="auto"/>
        </w:rPr>
        <w:t>i.e</w:t>
      </w:r>
      <w:r>
        <w:rPr>
          <w:rFonts w:ascii="Arial" w:cs="Arial" w:eastAsia="Arial" w:hAnsi="Arial"/>
          <w:sz w:val="16"/>
          <w:szCs w:val="16"/>
          <w:color w:val="auto"/>
        </w:rPr>
        <w:t>.,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79" w:lineRule="exact"/>
        <w:rPr>
          <w:rFonts w:ascii="Arial" w:cs="Arial" w:eastAsia="Arial" w:hAnsi="Arial"/>
          <w:sz w:val="16"/>
          <w:szCs w:val="16"/>
          <w:color w:val="auto"/>
        </w:rPr>
      </w:pPr>
    </w:p>
    <w:p>
      <w:pPr>
        <w:ind w:left="5620" w:hanging="101"/>
        <w:spacing w:after="0"/>
        <w:tabs>
          <w:tab w:leader="none" w:pos="5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420"/>
          </w:cols>
          <w:pgMar w:left="240" w:top="274" w:right="239" w:bottom="1440" w:gutter="0" w:footer="0" w:header="0"/>
        </w:sectPr>
      </w:pPr>
    </w:p>
    <w:bookmarkStart w:id="60" w:name="page61"/>
    <w:bookmarkEnd w:id="60"/>
    <w:p>
      <w:pPr>
        <w:ind w:right="280"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§6.5. No Material Changes, Etc</w:t>
      </w:r>
      <w:r>
        <w:rPr>
          <w:rFonts w:ascii="Arial" w:cs="Arial" w:eastAsia="Arial" w:hAnsi="Arial"/>
          <w:sz w:val="18"/>
          <w:szCs w:val="18"/>
          <w:color w:val="auto"/>
        </w:rPr>
        <w:t>. Since the Balance Sheet Date, there have been no material adverse changes in the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business, assets or liabilities (contingent or otherwise) of the Borrower and its Subsidiaries, taken as a whole, other than changes in the ordinary course of business which have not had a Material Adverse Effect.</w:t>
      </w:r>
    </w:p>
    <w:p>
      <w:pPr>
        <w:spacing w:after="0" w:line="176"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b w:val="1"/>
          <w:bCs w:val="1"/>
          <w:color w:val="auto"/>
        </w:rPr>
        <w:t>§6.6. Franchises, Patents, Copyrights, Etc</w:t>
      </w:r>
      <w:r>
        <w:rPr>
          <w:rFonts w:ascii="Arial" w:cs="Arial" w:eastAsia="Arial" w:hAnsi="Arial"/>
          <w:sz w:val="18"/>
          <w:szCs w:val="18"/>
          <w:color w:val="auto"/>
        </w:rPr>
        <w:t>. The Borrower and each of its Subsidiaries possess all franchises, patents, copyrights, trademarks,</w:t>
      </w:r>
      <w:r>
        <w:rPr>
          <w:rFonts w:ascii="Arial" w:cs="Arial" w:eastAsia="Arial" w:hAnsi="Arial"/>
          <w:sz w:val="18"/>
          <w:szCs w:val="18"/>
          <w:b w:val="1"/>
          <w:bCs w:val="1"/>
          <w:color w:val="auto"/>
        </w:rPr>
        <w:t xml:space="preserve"> </w:t>
      </w:r>
      <w:r>
        <w:rPr>
          <w:rFonts w:ascii="Arial" w:cs="Arial" w:eastAsia="Arial" w:hAnsi="Arial"/>
          <w:sz w:val="18"/>
          <w:szCs w:val="18"/>
          <w:color w:val="auto"/>
        </w:rPr>
        <w:t>trade 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72" w:lineRule="exact"/>
        <w:rPr>
          <w:sz w:val="20"/>
          <w:szCs w:val="20"/>
          <w:color w:val="auto"/>
        </w:rPr>
      </w:pPr>
    </w:p>
    <w:p>
      <w:pPr>
        <w:jc w:val="both"/>
        <w:ind w:right="80" w:firstLine="913"/>
        <w:spacing w:after="0" w:line="314" w:lineRule="auto"/>
        <w:rPr>
          <w:sz w:val="20"/>
          <w:szCs w:val="20"/>
          <w:color w:val="auto"/>
        </w:rPr>
      </w:pPr>
      <w:r>
        <w:rPr>
          <w:rFonts w:ascii="Arial" w:cs="Arial" w:eastAsia="Arial" w:hAnsi="Arial"/>
          <w:sz w:val="16"/>
          <w:szCs w:val="16"/>
          <w:b w:val="1"/>
          <w:bCs w:val="1"/>
          <w:color w:val="auto"/>
        </w:rPr>
        <w:t>§6.7. Litigation</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6.7</w:t>
      </w:r>
      <w:r>
        <w:rPr>
          <w:rFonts w:ascii="Arial" w:cs="Arial" w:eastAsia="Arial" w:hAnsi="Arial"/>
          <w:sz w:val="16"/>
          <w:szCs w:val="16"/>
          <w:b w:val="1"/>
          <w:bCs w:val="1"/>
          <w:color w:val="auto"/>
        </w:rPr>
        <w:t xml:space="preserve"> </w:t>
      </w:r>
      <w:r>
        <w:rPr>
          <w:rFonts w:ascii="Arial" w:cs="Arial" w:eastAsia="Arial" w:hAnsi="Arial"/>
          <w:sz w:val="16"/>
          <w:szCs w:val="16"/>
          <w:color w:val="auto"/>
        </w:rPr>
        <w:t>or in the Disclosure Documents, there are no actions, suits, proceedings or investigations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kind pending or, to the knowledge of the Borrower, threatened against the Borrower or any of its Subsidiaries before any court, tribunal or administrative agency or board which, either in any case or in the aggregate, could reasonably be expected to have a Material Adverse Effect.</w:t>
      </w:r>
    </w:p>
    <w:p>
      <w:pPr>
        <w:spacing w:after="0" w:line="142"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§6.8. No Materially Adverse Contracts, Etc</w:t>
      </w:r>
      <w:r>
        <w:rPr>
          <w:rFonts w:ascii="Arial" w:cs="Arial" w:eastAsia="Arial" w:hAnsi="Arial"/>
          <w:sz w:val="18"/>
          <w:szCs w:val="18"/>
          <w:color w:val="auto"/>
        </w:rPr>
        <w:t>. Neither the Borrower nor any of its Subsidiaries is subject to any charter, corporate or other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 or any judgment, decree, order, rule or regulation which in the judgment of the Borrower’s or such Subsidiary’s officers has or could reasonably be expected in the future to have a Material Adverse Effect. Neither the Borrower nor any of its Subsidiaries is a party to any contract or agreement which in the judgment of the Borrower’s or its Subsidiary’s officers has or could reasonably be expected to have any Material Adverse Effect, except as otherwise reflected in adequate reserves as required by GAAP.</w:t>
      </w:r>
    </w:p>
    <w:p>
      <w:pPr>
        <w:spacing w:after="0" w:line="184"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b w:val="1"/>
          <w:bCs w:val="1"/>
          <w:color w:val="auto"/>
        </w:rPr>
        <w:t>§6.9. Compliance With Other Instruments, Laws, Etc</w:t>
      </w:r>
      <w:r>
        <w:rPr>
          <w:rFonts w:ascii="Arial" w:cs="Arial" w:eastAsia="Arial" w:hAnsi="Arial"/>
          <w:sz w:val="18"/>
          <w:szCs w:val="18"/>
          <w:color w:val="auto"/>
        </w:rPr>
        <w:t>. Neither the Borrower nor any of its Subsidiaries is (a) violating any provision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charter 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180"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b w:val="1"/>
          <w:bCs w:val="1"/>
          <w:color w:val="auto"/>
        </w:rPr>
        <w:t>§6.10. Tax Status</w:t>
      </w:r>
      <w:r>
        <w:rPr>
          <w:rFonts w:ascii="Arial" w:cs="Arial" w:eastAsia="Arial" w:hAnsi="Arial"/>
          <w:sz w:val="17"/>
          <w:szCs w:val="17"/>
          <w:color w:val="auto"/>
        </w:rPr>
        <w:t>. The Borrower and its Subsidiaries have filed all federal, state, provincial and territorial income and all other tax returns,</w:t>
      </w:r>
      <w:r>
        <w:rPr>
          <w:rFonts w:ascii="Arial" w:cs="Arial" w:eastAsia="Arial" w:hAnsi="Arial"/>
          <w:sz w:val="17"/>
          <w:szCs w:val="17"/>
          <w:b w:val="1"/>
          <w:bCs w:val="1"/>
          <w:color w:val="auto"/>
        </w:rPr>
        <w:t xml:space="preserve"> </w:t>
      </w:r>
      <w:r>
        <w:rPr>
          <w:rFonts w:ascii="Arial" w:cs="Arial" w:eastAsia="Arial" w:hAnsi="Arial"/>
          <w:sz w:val="17"/>
          <w:szCs w:val="17"/>
          <w:color w:val="auto"/>
        </w:rPr>
        <w:t>reports and 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on a consolidated basis) that are material in amount, shown or determined to be due on such returns, reports and declarations, except those being contested in good faith; and, as required by GAAP, have set aside on their books provisions reasonably adequate for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20"/>
          </w:cols>
          <w:pgMar w:left="240" w:top="270" w:right="239" w:bottom="1440" w:gutter="0" w:footer="0" w:header="0"/>
        </w:sectPr>
      </w:pPr>
    </w:p>
    <w:bookmarkStart w:id="61" w:name="page62"/>
    <w:bookmarkEnd w:id="61"/>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§6.11. No Event of Default</w:t>
      </w:r>
      <w:r>
        <w:rPr>
          <w:rFonts w:ascii="Arial" w:cs="Arial" w:eastAsia="Arial" w:hAnsi="Arial"/>
          <w:sz w:val="18"/>
          <w:szCs w:val="18"/>
          <w:color w:val="auto"/>
        </w:rPr>
        <w:t>. No Default or Event of Default has occurred hereunder and is continuing.</w:t>
      </w:r>
    </w:p>
    <w:p>
      <w:pPr>
        <w:spacing w:after="0" w:line="225" w:lineRule="exact"/>
        <w:rPr>
          <w:sz w:val="20"/>
          <w:szCs w:val="20"/>
          <w:color w:val="auto"/>
        </w:rPr>
      </w:pPr>
    </w:p>
    <w:p>
      <w:pPr>
        <w:ind w:right="460" w:firstLine="913"/>
        <w:spacing w:after="0" w:line="347" w:lineRule="auto"/>
        <w:rPr>
          <w:sz w:val="20"/>
          <w:szCs w:val="20"/>
          <w:color w:val="auto"/>
        </w:rPr>
      </w:pPr>
      <w:r>
        <w:rPr>
          <w:rFonts w:ascii="Arial" w:cs="Arial" w:eastAsia="Arial" w:hAnsi="Arial"/>
          <w:sz w:val="16"/>
          <w:szCs w:val="16"/>
          <w:b w:val="1"/>
          <w:bCs w:val="1"/>
          <w:color w:val="auto"/>
        </w:rPr>
        <w:t>§6.12. Investment Company Act</w:t>
      </w:r>
      <w:r>
        <w:rPr>
          <w:rFonts w:ascii="Arial" w:cs="Arial" w:eastAsia="Arial" w:hAnsi="Arial"/>
          <w:sz w:val="16"/>
          <w:szCs w:val="16"/>
          <w:color w:val="auto"/>
        </w:rPr>
        <w:t>. Neither the Borrower nor any of its Subsidiaries is a “registered investment company”, or an “affiliated</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“principal underwriter” of a “registered investment company”, as such terms are defined in the Investment Company Act of 1940.</w:t>
      </w:r>
    </w:p>
    <w:p>
      <w:pPr>
        <w:spacing w:after="0" w:line="116" w:lineRule="exact"/>
        <w:rPr>
          <w:sz w:val="20"/>
          <w:szCs w:val="20"/>
          <w:color w:val="auto"/>
        </w:rPr>
      </w:pPr>
    </w:p>
    <w:p>
      <w:pPr>
        <w:ind w:right="340" w:firstLine="913"/>
        <w:spacing w:after="0" w:line="281" w:lineRule="auto"/>
        <w:rPr>
          <w:sz w:val="20"/>
          <w:szCs w:val="20"/>
          <w:color w:val="auto"/>
        </w:rPr>
      </w:pPr>
      <w:r>
        <w:rPr>
          <w:rFonts w:ascii="Arial" w:cs="Arial" w:eastAsia="Arial" w:hAnsi="Arial"/>
          <w:sz w:val="17"/>
          <w:szCs w:val="17"/>
          <w:b w:val="1"/>
          <w:bCs w:val="1"/>
          <w:color w:val="auto"/>
        </w:rPr>
        <w:t>§6.13. Absence of Financing Statements, Etc</w:t>
      </w:r>
      <w:r>
        <w:rPr>
          <w:rFonts w:ascii="Arial" w:cs="Arial" w:eastAsia="Arial" w:hAnsi="Arial"/>
          <w:sz w:val="17"/>
          <w:szCs w:val="17"/>
          <w:color w:val="auto"/>
        </w:rPr>
        <w:t>. Except as permitted by §8.1 of this Agreement, there is no Indebtedness senior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and except for Permitted Liens, there are no Liens, or any effective financing statement, security agreement, chattel mortgage, real estate mortgage or other document filed or recorded with any filing records, registry, or other public office, which purports to cover, affect or give notice of any present or possible future Lien on any assets or property of the Borrower or any of its Subsidiaries or right thereunder.</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§6.14. Employee Benefit Plans</w:t>
      </w:r>
      <w:r>
        <w:rPr>
          <w:rFonts w:ascii="Arial" w:cs="Arial" w:eastAsia="Arial" w:hAnsi="Arial"/>
          <w:sz w:val="18"/>
          <w:szCs w:val="18"/>
          <w:color w:val="auto"/>
        </w:rPr>
        <w:t>.</w:t>
      </w:r>
    </w:p>
    <w:p>
      <w:pPr>
        <w:spacing w:after="0" w:line="225" w:lineRule="exact"/>
        <w:rPr>
          <w:sz w:val="20"/>
          <w:szCs w:val="20"/>
          <w:color w:val="auto"/>
        </w:rPr>
      </w:pPr>
    </w:p>
    <w:p>
      <w:pPr>
        <w:ind w:right="20" w:firstLine="1484"/>
        <w:spacing w:after="0" w:line="303" w:lineRule="auto"/>
        <w:rPr>
          <w:sz w:val="20"/>
          <w:szCs w:val="20"/>
          <w:color w:val="auto"/>
        </w:rPr>
      </w:pPr>
      <w:r>
        <w:rPr>
          <w:rFonts w:ascii="Arial" w:cs="Arial" w:eastAsia="Arial" w:hAnsi="Arial"/>
          <w:sz w:val="16"/>
          <w:szCs w:val="16"/>
          <w:b w:val="1"/>
          <w:bCs w:val="1"/>
          <w:color w:val="auto"/>
        </w:rPr>
        <w:t>§6.14.1 In General</w:t>
      </w:r>
      <w:r>
        <w:rPr>
          <w:rFonts w:ascii="Arial" w:cs="Arial" w:eastAsia="Arial" w:hAnsi="Arial"/>
          <w:sz w:val="16"/>
          <w:szCs w:val="16"/>
          <w:color w:val="auto"/>
        </w:rPr>
        <w:t>. Each Employee Benefit Plan has been maintained and operated in material compliance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ERISA and, to the extent applicable, the 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§103(d) of ERISA, with respect to each Guaranteed Pension Plan.</w:t>
      </w:r>
    </w:p>
    <w:p>
      <w:pPr>
        <w:spacing w:after="0" w:line="151" w:lineRule="exact"/>
        <w:rPr>
          <w:sz w:val="20"/>
          <w:szCs w:val="20"/>
          <w:color w:val="auto"/>
        </w:rPr>
      </w:pPr>
    </w:p>
    <w:p>
      <w:pPr>
        <w:ind w:right="100" w:firstLine="1484"/>
        <w:spacing w:after="0" w:line="258" w:lineRule="auto"/>
        <w:rPr>
          <w:sz w:val="20"/>
          <w:szCs w:val="20"/>
          <w:color w:val="auto"/>
        </w:rPr>
      </w:pPr>
      <w:r>
        <w:rPr>
          <w:rFonts w:ascii="Arial" w:cs="Arial" w:eastAsia="Arial" w:hAnsi="Arial"/>
          <w:sz w:val="18"/>
          <w:szCs w:val="18"/>
          <w:b w:val="1"/>
          <w:bCs w:val="1"/>
          <w:color w:val="auto"/>
        </w:rPr>
        <w:t>§6.14.2 Terminability of Welfare Plans</w:t>
      </w:r>
      <w:r>
        <w:rPr>
          <w:rFonts w:ascii="Arial" w:cs="Arial" w:eastAsia="Arial" w:hAnsi="Arial"/>
          <w:sz w:val="18"/>
          <w:szCs w:val="18"/>
          <w:color w:val="auto"/>
        </w:rPr>
        <w:t>. Under each Employee Benefit Plan which is an employee welfare benefit plan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§3(1) or §3(2)(B) of ERISA, no benefits are due unless the event giving rise to the benefit entitlement occurs prior to plan termination (except as required by Title 1, Part 6 of ERISA). The Borrower or an ERISA Affiliate, as appropriate, may terminate each such employee welfare benefit plan at any time (or at any time subsequent to the expiration of any applicable bargaining agreement) in the discretion of the Borrower or such ERISA Affiliate without material liability to any Person.</w:t>
      </w:r>
    </w:p>
    <w:p>
      <w:pPr>
        <w:spacing w:after="0" w:line="184" w:lineRule="exact"/>
        <w:rPr>
          <w:sz w:val="20"/>
          <w:szCs w:val="20"/>
          <w:color w:val="auto"/>
        </w:rPr>
      </w:pPr>
    </w:p>
    <w:p>
      <w:pPr>
        <w:ind w:firstLine="1484"/>
        <w:spacing w:after="0" w:line="258" w:lineRule="auto"/>
        <w:rPr>
          <w:sz w:val="20"/>
          <w:szCs w:val="20"/>
          <w:color w:val="auto"/>
        </w:rPr>
      </w:pPr>
      <w:r>
        <w:rPr>
          <w:rFonts w:ascii="Arial" w:cs="Arial" w:eastAsia="Arial" w:hAnsi="Arial"/>
          <w:sz w:val="18"/>
          <w:szCs w:val="18"/>
          <w:b w:val="1"/>
          <w:bCs w:val="1"/>
          <w:color w:val="auto"/>
        </w:rPr>
        <w:t xml:space="preserve">§6.14.3 Guaranteed Pension Plans. </w:t>
      </w:r>
      <w:r>
        <w:rPr>
          <w:rFonts w:ascii="Arial" w:cs="Arial" w:eastAsia="Arial" w:hAnsi="Arial"/>
          <w:sz w:val="18"/>
          <w:szCs w:val="18"/>
          <w:color w:val="auto"/>
        </w:rPr>
        <w:t>Each contribution required to be made to a Guaranteed Pension Plan, whether required to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to avoid a violation of the minimum funding standards under §§412 and 430 of the Code, the notice or lien provisions of §303(k) of ERISA, or otherwise, has been timely made. No waiver of the minimum funding standards under §§412 and 430 of the Code or extension of amortization periods has been received with respect to any Guaranteed Pension Plan. No liability to the PBGC (other than required insurance premiums, all of which have been paid) has been incurred by the Borrower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380"/>
          </w:cols>
          <w:pgMar w:left="240" w:top="274" w:right="279" w:bottom="1440" w:gutter="0" w:footer="0" w:header="0"/>
        </w:sectPr>
      </w:pPr>
    </w:p>
    <w:bookmarkStart w:id="62" w:name="page63"/>
    <w:bookmarkEnd w:id="62"/>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any ERISA Affiliate with respect to any Guaranteed Pension Plan (other than Terminated 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each Guaranteed Pension Plan is in compliance with the minimum funding standards as set forth in §302 of ERISA and is not subject to any restrictions concerning (i) providing shutdown or similar benefits, (ii) amendments to increase benefits, (iii) paying lump sums or (iv) continuing to accrue benefits, as described by the Pension Protection Act of 2006.</w:t>
      </w:r>
    </w:p>
    <w:p>
      <w:pPr>
        <w:spacing w:after="0" w:line="161" w:lineRule="exact"/>
        <w:rPr>
          <w:sz w:val="20"/>
          <w:szCs w:val="20"/>
          <w:color w:val="auto"/>
        </w:rPr>
      </w:pPr>
    </w:p>
    <w:p>
      <w:pPr>
        <w:ind w:right="60" w:firstLine="1484"/>
        <w:spacing w:after="0" w:line="256" w:lineRule="auto"/>
        <w:rPr>
          <w:sz w:val="20"/>
          <w:szCs w:val="20"/>
          <w:color w:val="auto"/>
        </w:rPr>
      </w:pPr>
      <w:r>
        <w:rPr>
          <w:rFonts w:ascii="Arial" w:cs="Arial" w:eastAsia="Arial" w:hAnsi="Arial"/>
          <w:sz w:val="18"/>
          <w:szCs w:val="18"/>
          <w:b w:val="1"/>
          <w:bCs w:val="1"/>
          <w:color w:val="auto"/>
        </w:rPr>
        <w:t>§6.14.4 Multiemployer Plans</w:t>
      </w:r>
      <w:r>
        <w:rPr>
          <w:rFonts w:ascii="Arial" w:cs="Arial" w:eastAsia="Arial" w:hAnsi="Arial"/>
          <w:sz w:val="18"/>
          <w:szCs w:val="18"/>
          <w:color w:val="auto"/>
        </w:rPr>
        <w:t>. Except for liabilities that have been discharged prior to the Effective Date or as to which accruals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made in accordance with GAAP prior to the Effective Date as reflected in the Disclosure Documents, neither the Borrower nor any ERISA Affiliate has incurred any material liability (including secondary liability) to any Multiemployer Plan as a result of a complete or partial withdrawal from such Multiemployer Plan under §4201 of ERISA or as a result of a sale of assets described in §4204 of ERISA. Neither the Borrower nor any ERISA Affiliate has been notified that any Multiemployer Plan is in reorganization or insolvent under and within the meaning of §4241 or §4245 of ERISA or that any Multiemployer Plan intends to terminate or has been terminated under §4041A of ERISA.</w:t>
      </w:r>
    </w:p>
    <w:p>
      <w:pPr>
        <w:spacing w:after="0" w:line="188" w:lineRule="exact"/>
        <w:rPr>
          <w:sz w:val="20"/>
          <w:szCs w:val="20"/>
          <w:color w:val="auto"/>
        </w:rPr>
      </w:pPr>
    </w:p>
    <w:p>
      <w:pPr>
        <w:ind w:right="120" w:firstLine="913"/>
        <w:spacing w:after="0" w:line="289" w:lineRule="auto"/>
        <w:rPr>
          <w:sz w:val="20"/>
          <w:szCs w:val="20"/>
          <w:color w:val="auto"/>
        </w:rPr>
      </w:pPr>
      <w:r>
        <w:rPr>
          <w:rFonts w:ascii="Arial" w:cs="Arial" w:eastAsia="Arial" w:hAnsi="Arial"/>
          <w:sz w:val="17"/>
          <w:szCs w:val="17"/>
          <w:b w:val="1"/>
          <w:bCs w:val="1"/>
          <w:color w:val="auto"/>
        </w:rPr>
        <w:t>§6.15. Environmental Compliance</w:t>
      </w:r>
      <w:r>
        <w:rPr>
          <w:rFonts w:ascii="Arial" w:cs="Arial" w:eastAsia="Arial" w:hAnsi="Arial"/>
          <w:sz w:val="17"/>
          <w:szCs w:val="17"/>
          <w:color w:val="auto"/>
        </w:rPr>
        <w:t>. The Borrower and its Subsidiaries have taken all steps that they have deemed reasonably necessary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investigate the past and present condition and usage of the Real Property and the operations conducted by the Borrower and its Subsidiaries and, based upon such diligent investigation, have determined that, except as set forth on </w:t>
      </w:r>
      <w:r>
        <w:rPr>
          <w:rFonts w:ascii="Arial" w:cs="Arial" w:eastAsia="Arial" w:hAnsi="Arial"/>
          <w:sz w:val="17"/>
          <w:szCs w:val="17"/>
          <w:u w:val="single" w:color="auto"/>
          <w:color w:val="auto"/>
        </w:rPr>
        <w:t>Schedule 6.15</w:t>
      </w:r>
      <w:r>
        <w:rPr>
          <w:rFonts w:ascii="Arial" w:cs="Arial" w:eastAsia="Arial" w:hAnsi="Arial"/>
          <w:sz w:val="17"/>
          <w:szCs w:val="17"/>
          <w:color w:val="auto"/>
        </w:rPr>
        <w:t xml:space="preserve"> or in the Disclosure Documents:</w:t>
      </w:r>
    </w:p>
    <w:p>
      <w:pPr>
        <w:spacing w:after="0" w:line="54" w:lineRule="exact"/>
        <w:rPr>
          <w:sz w:val="20"/>
          <w:szCs w:val="20"/>
          <w:color w:val="auto"/>
        </w:rPr>
      </w:pPr>
    </w:p>
    <w:p>
      <w:pPr>
        <w:ind w:left="460" w:firstLine="443"/>
        <w:spacing w:after="0" w:line="272" w:lineRule="auto"/>
        <w:tabs>
          <w:tab w:leader="none" w:pos="1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Neither the Borrower, its Significant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w:t>
      </w:r>
      <w:r>
        <w:rPr>
          <w:rFonts w:ascii="Arial" w:cs="Arial" w:eastAsia="Arial" w:hAnsi="Arial"/>
          <w:sz w:val="17"/>
          <w:szCs w:val="17"/>
          <w:u w:val="single" w:color="auto"/>
          <w:color w:val="auto"/>
        </w:rPr>
        <w:t>RCRA</w:t>
      </w:r>
      <w:r>
        <w:rPr>
          <w:rFonts w:ascii="Arial" w:cs="Arial" w:eastAsia="Arial" w:hAnsi="Arial"/>
          <w:sz w:val="17"/>
          <w:szCs w:val="17"/>
          <w:color w:val="auto"/>
        </w:rPr>
        <w:t>”), the Comprehensive Environmental Response, Compensation and Liability Act of 1980 as amended (“</w:t>
      </w:r>
      <w:r>
        <w:rPr>
          <w:rFonts w:ascii="Arial" w:cs="Arial" w:eastAsia="Arial" w:hAnsi="Arial"/>
          <w:sz w:val="17"/>
          <w:szCs w:val="17"/>
          <w:u w:val="single" w:color="auto"/>
          <w:color w:val="auto"/>
        </w:rPr>
        <w:t>CERCLA</w:t>
      </w:r>
      <w:r>
        <w:rPr>
          <w:rFonts w:ascii="Arial" w:cs="Arial" w:eastAsia="Arial" w:hAnsi="Arial"/>
          <w:sz w:val="17"/>
          <w:szCs w:val="17"/>
          <w:color w:val="auto"/>
        </w:rPr>
        <w:t>”), the Superfund Amendments and Reauthorization Act of 1986 (“</w:t>
      </w:r>
      <w:r>
        <w:rPr>
          <w:rFonts w:ascii="Arial" w:cs="Arial" w:eastAsia="Arial" w:hAnsi="Arial"/>
          <w:sz w:val="17"/>
          <w:szCs w:val="17"/>
          <w:u w:val="single" w:color="auto"/>
          <w:color w:val="auto"/>
        </w:rPr>
        <w:t>SARA</w:t>
      </w:r>
      <w:r>
        <w:rPr>
          <w:rFonts w:ascii="Arial" w:cs="Arial" w:eastAsia="Arial" w:hAnsi="Arial"/>
          <w:sz w:val="17"/>
          <w:szCs w:val="17"/>
          <w:color w:val="auto"/>
        </w:rPr>
        <w:t>”),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could reasonably be expected to have a Material Adverse Effect.</w:t>
      </w:r>
    </w:p>
    <w:p>
      <w:pPr>
        <w:spacing w:after="0" w:line="69" w:lineRule="exact"/>
        <w:rPr>
          <w:rFonts w:ascii="Arial" w:cs="Arial" w:eastAsia="Arial" w:hAnsi="Arial"/>
          <w:sz w:val="17"/>
          <w:szCs w:val="17"/>
          <w:color w:val="auto"/>
        </w:rPr>
      </w:pPr>
    </w:p>
    <w:p>
      <w:pPr>
        <w:ind w:left="460" w:right="280" w:firstLine="443"/>
        <w:spacing w:after="0" w:line="259"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with respect to any such matters that could not reasonably be expected to have a Material Adverse Effect, neither the Borrower nor any of its Significant Subsidiaries has received notice from any third party including, without limitation: any federal, state, provincial, territorial or local governmental authority, (i) that any one of them has been identified by the United States Environmental Protection Agency (“</w:t>
      </w:r>
      <w:r>
        <w:rPr>
          <w:rFonts w:ascii="Arial" w:cs="Arial" w:eastAsia="Arial" w:hAnsi="Arial"/>
          <w:sz w:val="18"/>
          <w:szCs w:val="18"/>
          <w:u w:val="single" w:color="auto"/>
          <w:color w:val="auto"/>
        </w:rPr>
        <w:t>EPA</w:t>
      </w:r>
      <w:r>
        <w:rPr>
          <w:rFonts w:ascii="Arial" w:cs="Arial" w:eastAsia="Arial" w:hAnsi="Arial"/>
          <w:sz w:val="18"/>
          <w:szCs w:val="18"/>
          <w:color w:val="auto"/>
        </w:rPr>
        <w:t>”) as a potentially responsible party under CERCLA with respect to a site</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400"/>
          </w:cols>
          <w:pgMar w:left="240" w:top="274" w:right="259" w:bottom="1440" w:gutter="0" w:footer="0" w:header="0"/>
        </w:sectPr>
      </w:pPr>
    </w:p>
    <w:bookmarkStart w:id="63" w:name="page64"/>
    <w:bookmarkEnd w:id="63"/>
    <w:p>
      <w:pPr>
        <w:ind w:left="4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71" w:lineRule="exact"/>
        <w:rPr>
          <w:sz w:val="20"/>
          <w:szCs w:val="20"/>
          <w:color w:val="auto"/>
        </w:rPr>
      </w:pPr>
    </w:p>
    <w:p>
      <w:pPr>
        <w:ind w:left="460" w:firstLine="443"/>
        <w:spacing w:after="0" w:line="288" w:lineRule="auto"/>
        <w:tabs>
          <w:tab w:leader="none" w:pos="11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Except for those occurrences or situations that could not reasonably be expected to have a Material Adverse Effect, (i) no portion of the Real Property or other assets of the Borrower and its Significant Subsidiaries has been used for the handling, processing, storage or disposal of Hazardous Substances except in accordance with applicable Environmental Laws; (ii) in the course of any activities conducted by the Borrower, its Significant Subsidiaries, or operators of the Real Property or other assets of the Borrower and its Significant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the Borrower or its Significant Subsidiaries; and (iv) any Hazardous Substances that have been generated on the Real Property or other assets of the Borrower or its Significant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Borrower’s knowledge, operating in compliance with such permits and applicable Environmental Laws.</w:t>
      </w:r>
    </w:p>
    <w:p>
      <w:pPr>
        <w:spacing w:after="0" w:line="165"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b w:val="1"/>
          <w:bCs w:val="1"/>
          <w:color w:val="auto"/>
        </w:rPr>
        <w:t>§6.16. Disclosure</w:t>
      </w:r>
      <w:r>
        <w:rPr>
          <w:rFonts w:ascii="Arial" w:cs="Arial" w:eastAsia="Arial" w:hAnsi="Arial"/>
          <w:sz w:val="18"/>
          <w:szCs w:val="18"/>
          <w:color w:val="auto"/>
        </w:rPr>
        <w:t>. No representation or warranty made by the Borrower or the Guarantor in this Agreement or in any agreement, instrument,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certificate, or financial statement furnished to the Banks or 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184"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b w:val="1"/>
          <w:bCs w:val="1"/>
          <w:color w:val="auto"/>
        </w:rPr>
        <w:t>§6.17. Permits and Governmental Authority</w:t>
      </w:r>
      <w:r>
        <w:rPr>
          <w:rFonts w:ascii="Arial" w:cs="Arial" w:eastAsia="Arial" w:hAnsi="Arial"/>
          <w:sz w:val="16"/>
          <w:szCs w:val="16"/>
          <w:color w:val="auto"/>
        </w:rPr>
        <w:t>. All permits (other than those the absence of which could not reasonably be expected to have a</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Adverse Effect) required for the construction and operation of all landfills currently owned or operated by the Borrower or any of its Significant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the holder of such permits is in violation of any such permits, except for any violation which could not reasonably be expected to have a Material Adverse Effect.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274" w:right="239" w:bottom="1440" w:gutter="0" w:footer="0" w:header="0"/>
        </w:sectPr>
      </w:pPr>
    </w:p>
    <w:bookmarkStart w:id="64" w:name="page65"/>
    <w:bookmarkEnd w:id="64"/>
    <w:p>
      <w:pPr>
        <w:ind w:firstLine="913"/>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§6.18. Margin Stock</w:t>
      </w:r>
      <w:r>
        <w:rPr>
          <w:rFonts w:ascii="Arial" w:cs="Arial" w:eastAsia="Arial" w:hAnsi="Arial"/>
          <w:sz w:val="18"/>
          <w:szCs w:val="18"/>
          <w:color w:val="auto"/>
        </w:rPr>
        <w:t>. The Borrower is not engaged in the business of extending credit for the purpose of purchasing or carrying margin stock</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meaning of Regulation U issued by the Board of Governors of the Federal Reserve System), and no proceeds of any Loans will be used to purchase or carry any margin stock or to extend credit to others for the purpose of purchasing or carrying any margin stock in violation of Regulations T, U or X of the Board of Governors of the Federal Reserve System.</w:t>
      </w:r>
    </w:p>
    <w:p>
      <w:pPr>
        <w:spacing w:after="0" w:line="180" w:lineRule="exact"/>
        <w:rPr>
          <w:sz w:val="20"/>
          <w:szCs w:val="20"/>
          <w:color w:val="auto"/>
        </w:rPr>
      </w:pPr>
    </w:p>
    <w:p>
      <w:pPr>
        <w:ind w:right="340" w:firstLine="913"/>
        <w:spacing w:after="0" w:line="293" w:lineRule="auto"/>
        <w:rPr>
          <w:sz w:val="20"/>
          <w:szCs w:val="20"/>
          <w:color w:val="auto"/>
        </w:rPr>
      </w:pPr>
      <w:r>
        <w:rPr>
          <w:rFonts w:ascii="Arial" w:cs="Arial" w:eastAsia="Arial" w:hAnsi="Arial"/>
          <w:sz w:val="16"/>
          <w:szCs w:val="16"/>
          <w:b w:val="1"/>
          <w:bCs w:val="1"/>
          <w:color w:val="auto"/>
        </w:rPr>
        <w:t>§6.19. Sanctions</w:t>
      </w:r>
      <w:r>
        <w:rPr>
          <w:rFonts w:ascii="Arial" w:cs="Arial" w:eastAsia="Arial" w:hAnsi="Arial"/>
          <w:sz w:val="16"/>
          <w:szCs w:val="16"/>
          <w:color w:val="auto"/>
        </w:rPr>
        <w:t>. Neither the Borrower, nor any of its Subsidiaries, nor, to the knowledge of the Borrower and its Subsidiaries, any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employee, agent, affiliate or representative thereof, is an individual or entity that is, or is owned or controlled by any individual or entity that is</w:t>
      </w:r>
    </w:p>
    <w:p>
      <w:pPr>
        <w:spacing w:after="0" w:line="1" w:lineRule="exact"/>
        <w:rPr>
          <w:sz w:val="20"/>
          <w:szCs w:val="20"/>
          <w:color w:val="auto"/>
        </w:rPr>
      </w:pPr>
    </w:p>
    <w:p>
      <w:pPr>
        <w:ind w:right="180" w:firstLine="8"/>
        <w:spacing w:after="0" w:line="261" w:lineRule="auto"/>
        <w:tabs>
          <w:tab w:leader="none" w:pos="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currently the subject or target of any Sanctions, (b) included on OFAC’s List of Specially Designated nationals or HMT’s Consolidated List of Financial Sanctions Targets and the Investment Ban List or (c) located, organized or resident in a Designated Jurisdiction.</w:t>
      </w:r>
    </w:p>
    <w:p>
      <w:pPr>
        <w:spacing w:after="0" w:line="180"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b w:val="1"/>
          <w:bCs w:val="1"/>
          <w:color w:val="auto"/>
        </w:rPr>
        <w:t>§6.20. Anti-Corruption Laws</w:t>
      </w:r>
      <w:r>
        <w:rPr>
          <w:rFonts w:ascii="Arial" w:cs="Arial" w:eastAsia="Arial" w:hAnsi="Arial"/>
          <w:sz w:val="18"/>
          <w:szCs w:val="18"/>
          <w:color w:val="auto"/>
        </w:rPr>
        <w:t>. The Borrower and its Subsidiaries have conducted their businesses in compliance with the FCPA, the UK</w:t>
      </w:r>
      <w:r>
        <w:rPr>
          <w:rFonts w:ascii="Arial" w:cs="Arial" w:eastAsia="Arial" w:hAnsi="Arial"/>
          <w:sz w:val="18"/>
          <w:szCs w:val="18"/>
          <w:b w:val="1"/>
          <w:bCs w:val="1"/>
          <w:color w:val="auto"/>
        </w:rPr>
        <w:t xml:space="preserve"> </w:t>
      </w:r>
      <w:r>
        <w:rPr>
          <w:rFonts w:ascii="Arial" w:cs="Arial" w:eastAsia="Arial" w:hAnsi="Arial"/>
          <w:sz w:val="18"/>
          <w:szCs w:val="18"/>
          <w:color w:val="auto"/>
        </w:rPr>
        <w:t>Bribery Act 2010, and other similar anti-corruption legislation in other jurisdictions, and have instituted and maintained policies and procedures designed to promote and achieve compliance with such laws, regulations and rules.</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AFFIRMATIVE COVENANTS OF THE BORROWER</w:t>
      </w:r>
      <w:r>
        <w:rPr>
          <w:rFonts w:ascii="Arial" w:cs="Arial" w:eastAsia="Arial" w:hAnsi="Arial"/>
          <w:sz w:val="18"/>
          <w:szCs w:val="18"/>
          <w:color w:val="auto"/>
        </w:rPr>
        <w:t>. The Borrower agrees that, so long as any Obligation or Letter of Credit is outstanding or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Banks have any obligation to make Loans or any Issuing Bank has any obligation to issue, extend or renew any Letter of Credit hereunder, or the Banks have any obligations to reimburse any Issuing Bank for drawings honored under any Letter of Credit, it shall, and shall cause its Subsidiaries to, comply with the following covenants:</w:t>
      </w:r>
    </w:p>
    <w:p>
      <w:pPr>
        <w:spacing w:after="0" w:line="180"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§7.1. Punctual Payment</w:t>
      </w:r>
      <w:r>
        <w:rPr>
          <w:rFonts w:ascii="Arial" w:cs="Arial" w:eastAsia="Arial" w:hAnsi="Arial"/>
          <w:sz w:val="18"/>
          <w:szCs w:val="18"/>
          <w:color w:val="auto"/>
        </w:rPr>
        <w:t>. The Borrower will duly and punctually pay or cause to be paid the principal of and interest on the Loans, all</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Obligations, fees and other amounts provided for in this Agreement and the other Loan Documents, all in accordance with the terms of this Agreement and such other Loan Documents.</w:t>
      </w:r>
    </w:p>
    <w:p>
      <w:pPr>
        <w:spacing w:after="0" w:line="176"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b w:val="1"/>
          <w:bCs w:val="1"/>
          <w:color w:val="auto"/>
        </w:rPr>
        <w:t>§7.2. Maintenance of U.S. Office</w:t>
      </w:r>
      <w:r>
        <w:rPr>
          <w:rFonts w:ascii="Arial" w:cs="Arial" w:eastAsia="Arial" w:hAnsi="Arial"/>
          <w:sz w:val="18"/>
          <w:szCs w:val="18"/>
          <w:color w:val="auto"/>
        </w:rPr>
        <w:t>. The Borrower will maintain its chief executive offices at Houston, Texas, or at such other place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of America as the Borrower shall designate upon 30 days’ prior written notice to the Administrative Agent.</w:t>
      </w:r>
    </w:p>
    <w:p>
      <w:pPr>
        <w:spacing w:after="0" w:line="162"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b w:val="1"/>
          <w:bCs w:val="1"/>
          <w:color w:val="auto"/>
        </w:rPr>
        <w:t>§7.3. Records and Accounts</w:t>
      </w:r>
      <w:r>
        <w:rPr>
          <w:rFonts w:ascii="Arial" w:cs="Arial" w:eastAsia="Arial" w:hAnsi="Arial"/>
          <w:sz w:val="18"/>
          <w:szCs w:val="18"/>
          <w:color w:val="auto"/>
        </w:rPr>
        <w:t>. The Borrower will, and will cause each of its Subsidiaries to, keep true and accurate records and books of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380"/>
          </w:cols>
          <w:pgMar w:left="240" w:top="270" w:right="279" w:bottom="1440" w:gutter="0" w:footer="0" w:header="0"/>
        </w:sectPr>
      </w:pPr>
    </w:p>
    <w:bookmarkStart w:id="65" w:name="page66"/>
    <w:bookmarkEnd w:id="65"/>
    <w:p>
      <w:pPr>
        <w:ind w:left="1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§7.4. Financial Statements, Certificates and Information</w:t>
      </w:r>
      <w:r>
        <w:rPr>
          <w:rFonts w:ascii="Arial" w:cs="Arial" w:eastAsia="Arial" w:hAnsi="Arial"/>
          <w:sz w:val="18"/>
          <w:szCs w:val="18"/>
          <w:color w:val="auto"/>
        </w:rPr>
        <w:t>. The Borrower will deliver to the Banks:</w:t>
      </w:r>
    </w:p>
    <w:p>
      <w:pPr>
        <w:spacing w:after="0" w:line="121" w:lineRule="exact"/>
        <w:rPr>
          <w:sz w:val="20"/>
          <w:szCs w:val="20"/>
          <w:color w:val="auto"/>
        </w:rPr>
      </w:pPr>
    </w:p>
    <w:p>
      <w:pPr>
        <w:ind w:left="-443" w:right="20" w:firstLine="443"/>
        <w:spacing w:after="0" w:line="270" w:lineRule="auto"/>
        <w:tabs>
          <w:tab w:leader="none" w:pos="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soon as practicable, but, in any event not later than 100 days after the end of each fiscal year of the Borrower, the consolidated balance sheet of the Borrower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Borrower and reasonably satisfactory to the Administrative Agent (the “</w:t>
      </w:r>
      <w:r>
        <w:rPr>
          <w:rFonts w:ascii="Arial" w:cs="Arial" w:eastAsia="Arial" w:hAnsi="Arial"/>
          <w:sz w:val="17"/>
          <w:szCs w:val="17"/>
          <w:u w:val="single" w:color="auto"/>
          <w:color w:val="auto"/>
        </w:rPr>
        <w:t>Accountant</w:t>
      </w:r>
      <w:r>
        <w:rPr>
          <w:rFonts w:ascii="Arial" w:cs="Arial" w:eastAsia="Arial" w:hAnsi="Arial"/>
          <w:sz w:val="17"/>
          <w:szCs w:val="17"/>
          <w:color w:val="auto"/>
        </w:rPr>
        <w: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73" w:lineRule="exact"/>
        <w:rPr>
          <w:rFonts w:ascii="Arial" w:cs="Arial" w:eastAsia="Arial" w:hAnsi="Arial"/>
          <w:sz w:val="17"/>
          <w:szCs w:val="17"/>
          <w:color w:val="auto"/>
        </w:rPr>
      </w:pPr>
    </w:p>
    <w:p>
      <w:pPr>
        <w:ind w:left="-443" w:firstLine="443"/>
        <w:spacing w:after="0" w:line="291" w:lineRule="auto"/>
        <w:tabs>
          <w:tab w:leader="none" w:pos="25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 soon as practicable, but in any event not later than 60 days after the end of each of the first three fiscal quarters of each fiscal year of the Borrower, copies of the consolidated balance sheet and statement of operations of the Borrower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w:t>
      </w:r>
      <w:r>
        <w:rPr>
          <w:rFonts w:ascii="Arial" w:cs="Arial" w:eastAsia="Arial" w:hAnsi="Arial"/>
          <w:sz w:val="16"/>
          <w:szCs w:val="16"/>
          <w:u w:val="single" w:color="auto"/>
          <w:color w:val="auto"/>
        </w:rPr>
        <w:t>CFO</w:t>
      </w:r>
      <w:r>
        <w:rPr>
          <w:rFonts w:ascii="Arial" w:cs="Arial" w:eastAsia="Arial" w:hAnsi="Arial"/>
          <w:sz w:val="16"/>
          <w:szCs w:val="16"/>
          <w:color w:val="auto"/>
        </w:rPr>
        <w:t>” or the “</w:t>
      </w:r>
      <w:r>
        <w:rPr>
          <w:rFonts w:ascii="Arial" w:cs="Arial" w:eastAsia="Arial" w:hAnsi="Arial"/>
          <w:sz w:val="16"/>
          <w:szCs w:val="16"/>
          <w:u w:val="single" w:color="auto"/>
          <w:color w:val="auto"/>
        </w:rPr>
        <w:t>CAO</w:t>
      </w:r>
      <w:r>
        <w:rPr>
          <w:rFonts w:ascii="Arial" w:cs="Arial" w:eastAsia="Arial" w:hAnsi="Arial"/>
          <w:sz w:val="16"/>
          <w:szCs w:val="16"/>
          <w:color w:val="auto"/>
        </w:rPr>
        <w:t>”) that the consolidated financial statements are prepared in accordance with GAAP (to the extent GAAP is applicable to interim unaudited financial statements) and fairly present, in all material respects, the consolidated financial condition of the Borrower as at the close of business on the date thereof and the results of operations for the period then ended, subject to year-end adjustments and the exclusion of detailed footnotes;</w:t>
      </w:r>
    </w:p>
    <w:p>
      <w:pPr>
        <w:spacing w:after="0" w:line="59" w:lineRule="exact"/>
        <w:rPr>
          <w:rFonts w:ascii="Arial" w:cs="Arial" w:eastAsia="Arial" w:hAnsi="Arial"/>
          <w:sz w:val="16"/>
          <w:szCs w:val="16"/>
          <w:color w:val="auto"/>
        </w:rPr>
      </w:pPr>
    </w:p>
    <w:p>
      <w:pPr>
        <w:ind w:left="-443" w:right="40" w:firstLine="443"/>
        <w:spacing w:after="0" w:line="272" w:lineRule="auto"/>
        <w:tabs>
          <w:tab w:leader="none" w:pos="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simultaneously with the delivery of the financial statements referred to in (a) and (b) above, a certificate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signed by the CFO or the CAO or the Borrower’s corporate treasurer, stating that the Borrower and its Subsidiaries are in compliance with the covenants contained in §§7, 8 and 9 hereof as of the end of the applicable period and setting forth in reasonable detail computations evidencing such compliance with respect to the covenants contained in §9 hereof and that no Default or Event of Default exists,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110" w:lineRule="exact"/>
        <w:rPr>
          <w:rFonts w:ascii="Arial" w:cs="Arial" w:eastAsia="Arial" w:hAnsi="Arial"/>
          <w:sz w:val="17"/>
          <w:szCs w:val="17"/>
          <w:color w:val="auto"/>
        </w:rPr>
      </w:pPr>
    </w:p>
    <w:p>
      <w:pPr>
        <w:ind w:left="4717" w:hanging="101"/>
        <w:spacing w:after="0"/>
        <w:tabs>
          <w:tab w:leader="none" w:pos="4717" w:val="left"/>
        </w:tabs>
        <w:numPr>
          <w:ilvl w:val="1"/>
          <w:numId w:val="50"/>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0497"/>
          </w:cols>
          <w:pgMar w:left="1143" w:top="270" w:right="259" w:bottom="1440" w:gutter="0" w:footer="0" w:header="0"/>
        </w:sectPr>
      </w:pPr>
    </w:p>
    <w:bookmarkStart w:id="66" w:name="page67"/>
    <w:bookmarkEnd w:id="66"/>
    <w:p>
      <w:pPr>
        <w:ind w:left="460" w:right="860" w:firstLine="443"/>
        <w:spacing w:after="0" w:line="277" w:lineRule="auto"/>
        <w:tabs>
          <w:tab w:leader="none" w:pos="1153"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following the filing or mailing thereof, copies of all material of a financial nature filed with the Securities and Exchange Commission or sent to the Borrower’s and its Subsidiaries’ stockholders generally; and</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from time to time such other financial data and other information as any of the Banks may reasonably request through the Administrative</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Agent.</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Borrower hereby authorizes each Bank to disclose any information obtained pursuant to this Agreement to all appropriate governmental regulatory authorities where required by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8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b w:val="1"/>
          <w:bCs w:val="1"/>
          <w:color w:val="auto"/>
        </w:rPr>
        <w:t>§7.5. Existence and Conduct of Business</w:t>
      </w:r>
      <w:r>
        <w:rPr>
          <w:rFonts w:ascii="Arial" w:cs="Arial" w:eastAsia="Arial" w:hAnsi="Arial"/>
          <w:sz w:val="18"/>
          <w:szCs w:val="18"/>
          <w:color w:val="auto"/>
        </w:rPr>
        <w:t>. The Borrower will, and will cause each Significant Subsidiary to, do or cause to be done all things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necessary to preserve and keep in full force and effect its existence, rights and franchises; and effect and maintain its foreign qualifications (except where the failure of the Borrower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termination could not reasonably be expected to have a Material Adverse Effect. The Borrower will not, and will cause its Subsidiaries not to, become obligated under any contract or binding arrangement which, at the time it was entered into, could reasonably be expected to have a Material Adverse Effect. The Borrower will, and will cause each Subsidiary to, continue to engage primarily in any of the businesses now conducted by the Borrower and its Subsidiaries and in related, complementary or supplemental businesses, and any additional businesses acquired pursuant to the terms of §8.4(a) hereunder.</w:t>
      </w:r>
    </w:p>
    <w:p>
      <w:pPr>
        <w:spacing w:after="0" w:line="189"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b w:val="1"/>
          <w:bCs w:val="1"/>
          <w:color w:val="auto"/>
        </w:rPr>
        <w:t>§7.6. Maintenance of Properties</w:t>
      </w:r>
      <w:r>
        <w:rPr>
          <w:rFonts w:ascii="Arial" w:cs="Arial" w:eastAsia="Arial" w:hAnsi="Arial"/>
          <w:sz w:val="17"/>
          <w:szCs w:val="17"/>
          <w:color w:val="auto"/>
        </w:rPr>
        <w:t>. The Borrower will, and will cause its Significant Subsidiaries to, cause all material properties used or useful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Significant Subsidiaries may be necessary so that the businesses carried on in connection therewith may be properly and advantageously conducted at all times;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could not reasonably be expected to have a Material Adverse Effect.</w:t>
      </w:r>
    </w:p>
    <w:p>
      <w:pPr>
        <w:spacing w:after="0" w:line="172" w:lineRule="exact"/>
        <w:rPr>
          <w:sz w:val="20"/>
          <w:szCs w:val="20"/>
          <w:color w:val="auto"/>
        </w:rPr>
      </w:pPr>
    </w:p>
    <w:p>
      <w:pPr>
        <w:ind w:right="180" w:firstLine="913"/>
        <w:spacing w:after="0" w:line="261" w:lineRule="auto"/>
        <w:rPr>
          <w:sz w:val="20"/>
          <w:szCs w:val="20"/>
          <w:color w:val="auto"/>
        </w:rPr>
      </w:pPr>
      <w:r>
        <w:rPr>
          <w:rFonts w:ascii="Arial" w:cs="Arial" w:eastAsia="Arial" w:hAnsi="Arial"/>
          <w:sz w:val="18"/>
          <w:szCs w:val="18"/>
          <w:b w:val="1"/>
          <w:bCs w:val="1"/>
          <w:color w:val="auto"/>
        </w:rPr>
        <w:t>§7.7. Insurance</w:t>
      </w:r>
      <w:r>
        <w:rPr>
          <w:rFonts w:ascii="Arial" w:cs="Arial" w:eastAsia="Arial" w:hAnsi="Arial"/>
          <w:sz w:val="18"/>
          <w:szCs w:val="18"/>
          <w:color w:val="auto"/>
        </w:rPr>
        <w:t>. The Borrower will, and will cause its Subsidiaries to, maintain insurance of the kinds, covering the risks (other than risks</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maintained by the Borrower and its Subsidiaries. Such insurance shall be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380"/>
          </w:cols>
          <w:pgMar w:left="240" w:top="274" w:right="279" w:bottom="1440" w:gutter="0" w:footer="0" w:header="0"/>
        </w:sectPr>
      </w:pPr>
    </w:p>
    <w:bookmarkStart w:id="67" w:name="page68"/>
    <w:bookmarkEnd w:id="6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financially sound and reputable insurance companies (including captive insurance companies), funds or underwriters, or may be pursuant to self-insurance plans. In addition, the Borrower will furnish from time to time, upon the Administrative Agent’s request, a summary of the insurance coverage of the Borrower and its Subsidiaries, which summary shall be in form and substance satisfactory to the Administrative Agent and, if requested by the Administrative Agent, will furnish to the Administrative Agent copies of the applicable policies.</w:t>
      </w:r>
    </w:p>
    <w:p>
      <w:pPr>
        <w:spacing w:after="0" w:line="75"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b w:val="1"/>
          <w:bCs w:val="1"/>
          <w:color w:val="auto"/>
        </w:rPr>
        <w:t>§7.8. Taxes</w:t>
      </w:r>
      <w:r>
        <w:rPr>
          <w:rFonts w:ascii="Arial" w:cs="Arial" w:eastAsia="Arial" w:hAnsi="Arial"/>
          <w:sz w:val="17"/>
          <w:szCs w:val="17"/>
          <w:color w:val="auto"/>
        </w:rPr>
        <w:t>. The Borrower will, and will cause its Subsidiaries to, duly pay and discharge, or cause to be paid and discharged, before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the Borrower or such Subsidiary shall have set aside on its books adequate reserves with respect thereto as required by GAAP;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Borrower or such Subsidiary will pay all such taxes, assessments, charges, levies or claims prior to the foreclosure on any Lien which may have attached as security therefor.</w:t>
      </w:r>
    </w:p>
    <w:p>
      <w:pPr>
        <w:spacing w:after="0" w:line="172"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§7.9. Inspection of Properties, Books and Contracts</w:t>
      </w:r>
      <w:r>
        <w:rPr>
          <w:rFonts w:ascii="Arial" w:cs="Arial" w:eastAsia="Arial" w:hAnsi="Arial"/>
          <w:sz w:val="18"/>
          <w:szCs w:val="18"/>
          <w:color w:val="auto"/>
        </w:rPr>
        <w:t>. The Borrower will, and will cause its Significant Subsidiaries to, permit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or any Bank or any of their designated representatives, upon reasonable notice, to visit and inspect any of the properties of the Borrower and its Significant Subsidiaries, to examine the books of account of the Borrower and its Significant Subsidiaries, or contracts (and to make copies thereof and extracts therefrom), and to discuss the affairs, finances and accounts of the Borrower and its Significant Subsidiaries with, and to be advised as to the same by, their officers, all at such times and intervals as may be reasonably requested.</w:t>
      </w:r>
    </w:p>
    <w:p>
      <w:pPr>
        <w:spacing w:after="0" w:line="184"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§7.10. Compliance with Laws, Contracts, Licenses and Permits; Maintenance of Material Licenses and Permits</w:t>
      </w:r>
      <w:r>
        <w:rPr>
          <w:rFonts w:ascii="Arial" w:cs="Arial" w:eastAsia="Arial" w:hAnsi="Arial"/>
          <w:sz w:val="17"/>
          <w:szCs w:val="17"/>
          <w:color w:val="auto"/>
        </w:rPr>
        <w:t>. The Borrower will, and</w:t>
      </w:r>
      <w:r>
        <w:rPr>
          <w:rFonts w:ascii="Arial" w:cs="Arial" w:eastAsia="Arial" w:hAnsi="Arial"/>
          <w:sz w:val="17"/>
          <w:szCs w:val="17"/>
          <w:b w:val="1"/>
          <w:bCs w:val="1"/>
          <w:color w:val="auto"/>
        </w:rPr>
        <w:t xml:space="preserve"> </w:t>
      </w:r>
      <w:r>
        <w:rPr>
          <w:rFonts w:ascii="Arial" w:cs="Arial" w:eastAsia="Arial" w:hAnsi="Arial"/>
          <w:sz w:val="17"/>
          <w:szCs w:val="17"/>
          <w:color w:val="auto"/>
        </w:rPr>
        <w:t>will cause each Subsidiary to, (i) comply with the provisions of its charter documents and by-laws; (ii) comply with all agreements and instruments by which it or any of its properties may be bound except where noncompliance could not reasonably be expected to have a Material Adverse Effect; (iii) comply with all applicable laws and regulations (including Environmental Laws), decrees, orders, judgments, licenses and permits, including, without limitation, all environmental permits (“</w:t>
      </w:r>
      <w:r>
        <w:rPr>
          <w:rFonts w:ascii="Arial" w:cs="Arial" w:eastAsia="Arial" w:hAnsi="Arial"/>
          <w:sz w:val="17"/>
          <w:szCs w:val="17"/>
          <w:u w:val="single" w:color="auto"/>
          <w:color w:val="auto"/>
        </w:rPr>
        <w:t>Applicable Requirements</w:t>
      </w:r>
      <w:r>
        <w:rPr>
          <w:rFonts w:ascii="Arial" w:cs="Arial" w:eastAsia="Arial" w:hAnsi="Arial"/>
          <w:sz w:val="17"/>
          <w:szCs w:val="17"/>
          <w:color w:val="auto"/>
        </w:rPr>
        <w:t>”), except where noncompliance with such Applicable Requirements could not reasonably be expected to have a Material Adverse Effect; (iv) maintain all operating permits for all landfills now owned or hereafter acquired, except where the failure to do so could not reasonably be expected to have a Material Adverse Effect; and (v) dispose of hazardous waste only at licensed disposal facilities operating, to the Borrower’s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the Borrower or any Significant Subsidiary may fulfill any of its obligations hereunder or under any other Loan Document, the Borrower will immediately take or</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340"/>
          </w:cols>
          <w:pgMar w:left="240" w:top="274" w:right="319" w:bottom="1440" w:gutter="0" w:footer="0" w:header="0"/>
        </w:sectPr>
      </w:pPr>
    </w:p>
    <w:bookmarkStart w:id="68" w:name="page69"/>
    <w:bookmarkEnd w:id="68"/>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cause to be taken all reasonable steps within the power of the Borrower or such Significant Subsidiary to obtain such authorization, consent, approval, permit or license and furnish the Banks with evidence thereof.</w:t>
      </w:r>
    </w:p>
    <w:p>
      <w:pPr>
        <w:spacing w:after="0" w:line="166"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b w:val="1"/>
          <w:bCs w:val="1"/>
          <w:color w:val="auto"/>
        </w:rPr>
        <w:t>§7.11. Environmental Indemnification</w:t>
      </w:r>
      <w:r>
        <w:rPr>
          <w:rFonts w:ascii="Arial" w:cs="Arial" w:eastAsia="Arial" w:hAnsi="Arial"/>
          <w:sz w:val="17"/>
          <w:szCs w:val="17"/>
          <w:color w:val="auto"/>
        </w:rPr>
        <w:t>. The Borrower covenants and agrees that it will indemnify and hold the Banks, the Issuing Banks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reasonable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178"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§7.12. Further Assurances</w:t>
      </w:r>
      <w:r>
        <w:rPr>
          <w:rFonts w:ascii="Arial" w:cs="Arial" w:eastAsia="Arial" w:hAnsi="Arial"/>
          <w:sz w:val="18"/>
          <w:szCs w:val="18"/>
          <w:color w:val="auto"/>
        </w:rPr>
        <w:t>. The Borrower and the Guarantor will cooperate with the Administrative Agent and execute such further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documents as the Administrative Agent shall reasonably request to carry out to the Majority Banks’ satisfaction the transactions contemplated by this Agreement.</w:t>
      </w:r>
    </w:p>
    <w:p>
      <w:pPr>
        <w:spacing w:after="0" w:line="176"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§7.13. Notice of Potential Claims or Litigation</w:t>
      </w:r>
      <w:r>
        <w:rPr>
          <w:rFonts w:ascii="Arial" w:cs="Arial" w:eastAsia="Arial" w:hAnsi="Arial"/>
          <w:sz w:val="18"/>
          <w:szCs w:val="18"/>
          <w:color w:val="auto"/>
        </w:rPr>
        <w:t>. The Borrower shall deliver to the Banks written notice of the initiation of any action, claim,</w:t>
      </w:r>
      <w:r>
        <w:rPr>
          <w:rFonts w:ascii="Arial" w:cs="Arial" w:eastAsia="Arial" w:hAnsi="Arial"/>
          <w:sz w:val="18"/>
          <w:szCs w:val="18"/>
          <w:b w:val="1"/>
          <w:bCs w:val="1"/>
          <w:color w:val="auto"/>
        </w:rPr>
        <w:t xml:space="preserve"> </w:t>
      </w:r>
      <w:r>
        <w:rPr>
          <w:rFonts w:ascii="Arial" w:cs="Arial" w:eastAsia="Arial" w:hAnsi="Arial"/>
          <w:sz w:val="18"/>
          <w:szCs w:val="18"/>
          <w:color w:val="auto"/>
        </w:rPr>
        <w:t>complaint, investigation or any other notice of dispute or litigation against the Borrower or any of its Subsidiaries that could reasonably be expected to have a Material Adverse Effect, or which questions the validity or enforceability of any Loan Document, together with a copy of each such complaint or other notice received by the Borrower or any of its Subsidiaries if requested by the Administrative Agent within 30 days of receipt thereof or of the determination that such action could reasonably be expected to have a Material Adverse Effect, whichever occurs later (and the Borrower will make such determination in each case as promptly as practicable).</w:t>
      </w:r>
    </w:p>
    <w:p>
      <w:pPr>
        <w:spacing w:after="0" w:line="188" w:lineRule="exact"/>
        <w:rPr>
          <w:sz w:val="20"/>
          <w:szCs w:val="20"/>
          <w:color w:val="auto"/>
        </w:rPr>
      </w:pPr>
    </w:p>
    <w:p>
      <w:pPr>
        <w:ind w:right="180" w:firstLine="913"/>
        <w:spacing w:after="0" w:line="282" w:lineRule="auto"/>
        <w:rPr>
          <w:sz w:val="20"/>
          <w:szCs w:val="20"/>
          <w:color w:val="auto"/>
        </w:rPr>
      </w:pPr>
      <w:r>
        <w:rPr>
          <w:rFonts w:ascii="Arial" w:cs="Arial" w:eastAsia="Arial" w:hAnsi="Arial"/>
          <w:sz w:val="18"/>
          <w:szCs w:val="18"/>
          <w:b w:val="1"/>
          <w:bCs w:val="1"/>
          <w:color w:val="auto"/>
        </w:rPr>
        <w:t>§7.14. Notice of Certain Events Concerning Environmental Claims</w:t>
      </w:r>
      <w:r>
        <w:rPr>
          <w:rFonts w:ascii="Arial" w:cs="Arial" w:eastAsia="Arial" w:hAnsi="Arial"/>
          <w:sz w:val="18"/>
          <w:szCs w:val="18"/>
          <w:color w:val="auto"/>
        </w:rPr>
        <w:t>. The Borrower will promptly, and in any event within ten (10)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Days of the Borrower’s obtaining knowledge thereof, notify the Banks in writing of any of the following events:</w:t>
      </w:r>
    </w:p>
    <w:p>
      <w:pPr>
        <w:spacing w:after="0" w:line="58" w:lineRule="exact"/>
        <w:rPr>
          <w:sz w:val="20"/>
          <w:szCs w:val="20"/>
          <w:color w:val="auto"/>
        </w:rPr>
      </w:pPr>
    </w:p>
    <w:p>
      <w:pPr>
        <w:jc w:val="both"/>
        <w:ind w:left="920" w:right="400" w:firstLine="421"/>
        <w:spacing w:after="0" w:line="342" w:lineRule="auto"/>
        <w:tabs>
          <w:tab w:leader="none" w:pos="15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Borrower’s or any Significant Subsidiary’s obtaining knowledge of any violation of any Environmental Law regarding the Real Property or the Borrower’s or any Subsidiary’s operations which violation could reasonably be expected to have a Material Adverse Effect;</w:t>
      </w:r>
    </w:p>
    <w:p>
      <w:pPr>
        <w:spacing w:after="0" w:line="15" w:lineRule="exact"/>
        <w:rPr>
          <w:rFonts w:ascii="Arial" w:cs="Arial" w:eastAsia="Arial" w:hAnsi="Arial"/>
          <w:sz w:val="16"/>
          <w:szCs w:val="16"/>
          <w:color w:val="auto"/>
        </w:rPr>
      </w:pPr>
    </w:p>
    <w:p>
      <w:pPr>
        <w:ind w:left="1600" w:hanging="259"/>
        <w:spacing w:after="0"/>
        <w:tabs>
          <w:tab w:leader="none" w:pos="1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Borrower’s or any Significant Subsidiary’s obtaining knowledge of any potential or known Release, or threat of Release, of any</w:t>
      </w:r>
    </w:p>
    <w:p>
      <w:pPr>
        <w:spacing w:after="0" w:line="169" w:lineRule="exact"/>
        <w:rPr>
          <w:rFonts w:ascii="Arial" w:cs="Arial" w:eastAsia="Arial" w:hAnsi="Arial"/>
          <w:sz w:val="17"/>
          <w:szCs w:val="17"/>
          <w:color w:val="auto"/>
        </w:rPr>
      </w:pPr>
    </w:p>
    <w:p>
      <w:pPr>
        <w:ind w:left="5620" w:hanging="101"/>
        <w:spacing w:after="0"/>
        <w:tabs>
          <w:tab w:leader="none" w:pos="5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400"/>
          </w:cols>
          <w:pgMar w:left="240" w:top="274" w:right="259" w:bottom="1440" w:gutter="0" w:footer="0" w:header="0"/>
        </w:sectPr>
      </w:pPr>
    </w:p>
    <w:bookmarkStart w:id="69" w:name="page70"/>
    <w:bookmarkEnd w:id="6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Hazardous Substance at, from, or into the Real Property which could reasonably be expected to have a Material Adverse Effect;</w:t>
      </w:r>
    </w:p>
    <w:p>
      <w:pPr>
        <w:spacing w:after="0" w:line="117" w:lineRule="exact"/>
        <w:rPr>
          <w:sz w:val="20"/>
          <w:szCs w:val="20"/>
          <w:color w:val="auto"/>
        </w:rPr>
      </w:pPr>
    </w:p>
    <w:p>
      <w:pPr>
        <w:ind w:left="920" w:right="180" w:firstLine="421"/>
        <w:spacing w:after="0" w:line="272" w:lineRule="auto"/>
        <w:tabs>
          <w:tab w:leader="none" w:pos="16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Borrower’s or any Significant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Significant Subsidiary’s or any Person’s operation of the Real Property, (B) contamination on, from, or into the Real Property, or (C) investigation or remediation of offsite locations at which the Borrower, any Significant Subsidiary, or its predecessors are alleged to have directly or indirectly Disposed of Hazardous Substances, if any thereof could reasonably be expected to have a Material Adverse Effect; or</w:t>
      </w:r>
    </w:p>
    <w:p>
      <w:pPr>
        <w:spacing w:after="0" w:line="69" w:lineRule="exact"/>
        <w:rPr>
          <w:rFonts w:ascii="Arial" w:cs="Arial" w:eastAsia="Arial" w:hAnsi="Arial"/>
          <w:sz w:val="17"/>
          <w:szCs w:val="17"/>
          <w:color w:val="auto"/>
        </w:rPr>
      </w:pPr>
    </w:p>
    <w:p>
      <w:pPr>
        <w:ind w:left="920" w:right="100" w:firstLine="421"/>
        <w:spacing w:after="0" w:line="302" w:lineRule="auto"/>
        <w:tabs>
          <w:tab w:leader="none" w:pos="164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Borrower’s or any Significant Subsidiary’s obtaining knowledge that any expense or loss has been incurred by any governmental authority in connection with the assessment, containment, removal or remediation of any Hazardous Substances with respect to which the Borrower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150" w:lineRule="exact"/>
        <w:rPr>
          <w:sz w:val="20"/>
          <w:szCs w:val="20"/>
          <w:color w:val="auto"/>
        </w:rPr>
      </w:pPr>
    </w:p>
    <w:p>
      <w:pPr>
        <w:ind w:right="60" w:firstLine="913"/>
        <w:spacing w:after="0" w:line="277" w:lineRule="auto"/>
        <w:rPr>
          <w:sz w:val="20"/>
          <w:szCs w:val="20"/>
          <w:color w:val="auto"/>
        </w:rPr>
      </w:pPr>
      <w:r>
        <w:rPr>
          <w:rFonts w:ascii="Arial" w:cs="Arial" w:eastAsia="Arial" w:hAnsi="Arial"/>
          <w:sz w:val="17"/>
          <w:szCs w:val="17"/>
          <w:b w:val="1"/>
          <w:bCs w:val="1"/>
          <w:color w:val="auto"/>
        </w:rPr>
        <w:t>§7.15. Notice of Default</w:t>
      </w:r>
      <w:r>
        <w:rPr>
          <w:rFonts w:ascii="Arial" w:cs="Arial" w:eastAsia="Arial" w:hAnsi="Arial"/>
          <w:sz w:val="17"/>
          <w:szCs w:val="17"/>
          <w:color w:val="auto"/>
        </w:rPr>
        <w:t>. The Borrower will promptly notify the Banks in writing of the occurrence of any Default or Event of Default. If any</w:t>
      </w:r>
      <w:r>
        <w:rPr>
          <w:rFonts w:ascii="Arial" w:cs="Arial" w:eastAsia="Arial" w:hAnsi="Arial"/>
          <w:sz w:val="17"/>
          <w:szCs w:val="17"/>
          <w:b w:val="1"/>
          <w:bCs w:val="1"/>
          <w:color w:val="auto"/>
        </w:rPr>
        <w:t xml:space="preserve"> </w:t>
      </w:r>
      <w:r>
        <w:rPr>
          <w:rFonts w:ascii="Arial" w:cs="Arial" w:eastAsia="Arial" w:hAnsi="Arial"/>
          <w:sz w:val="17"/>
          <w:szCs w:val="17"/>
          <w:color w:val="auto"/>
        </w:rPr>
        <w:t>Person shall give any notice or take any other action in respect of a claimed default (whether or not constituting an Event of Default) under this Agreement or any other note, evidence of indebtedness, indenture or other obligation evidencing indebtedness in excess of $75,000,000 as to which the Borrower or any of its Significant Subsidiaries is a party or obligor, whether as principal or surety, the Borrower shall promptly upon obtaining actual knowledge thereof give written notice thereof to the Banks, describing the notice of action and the nature of the claimed default.</w:t>
      </w:r>
    </w:p>
    <w:p>
      <w:pPr>
        <w:spacing w:after="0" w:line="16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b w:val="1"/>
          <w:bCs w:val="1"/>
          <w:color w:val="auto"/>
        </w:rPr>
        <w:t>§7.16. Use of Proceeds</w:t>
      </w:r>
      <w:r>
        <w:rPr>
          <w:rFonts w:ascii="Arial" w:cs="Arial" w:eastAsia="Arial" w:hAnsi="Arial"/>
          <w:sz w:val="16"/>
          <w:szCs w:val="16"/>
          <w:color w:val="auto"/>
        </w:rPr>
        <w:t>. The proceeds of the Loans shall be used for general corporate purposes, to provide working capital, to provide letters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and as an extension and continuation of the Indebtedness of the Borrower and its Subsidiaries under the Existing Credit Agreement. After application of the proceeds of any Loan, not more than 25% of the value of the assets (either of the Borrower only or of the Borrower and its Subsidiaries on a consolidated basis) that are subject to any restriction on sale, pledge, or disposal under this Agreement will be represented by “margin stock,” as defined in accordance with Regulation U issued by the Board of Governors of the Federal Reserve System, now or hereafter in effect.</w:t>
      </w:r>
    </w:p>
    <w:p>
      <w:pPr>
        <w:spacing w:after="0" w:line="154" w:lineRule="exact"/>
        <w:rPr>
          <w:sz w:val="20"/>
          <w:szCs w:val="20"/>
          <w:color w:val="auto"/>
        </w:rPr>
      </w:pPr>
    </w:p>
    <w:p>
      <w:pPr>
        <w:jc w:val="both"/>
        <w:ind w:right="740" w:firstLine="913"/>
        <w:spacing w:after="0" w:line="266" w:lineRule="auto"/>
        <w:rPr>
          <w:sz w:val="20"/>
          <w:szCs w:val="20"/>
          <w:color w:val="auto"/>
        </w:rPr>
      </w:pPr>
      <w:r>
        <w:rPr>
          <w:rFonts w:ascii="Arial" w:cs="Arial" w:eastAsia="Arial" w:hAnsi="Arial"/>
          <w:sz w:val="18"/>
          <w:szCs w:val="18"/>
          <w:b w:val="1"/>
          <w:bCs w:val="1"/>
          <w:color w:val="auto"/>
        </w:rPr>
        <w:t>§7.17. Certain Transactions</w:t>
      </w:r>
      <w:r>
        <w:rPr>
          <w:rFonts w:ascii="Arial" w:cs="Arial" w:eastAsia="Arial" w:hAnsi="Arial"/>
          <w:sz w:val="18"/>
          <w:szCs w:val="18"/>
          <w:color w:val="auto"/>
        </w:rPr>
        <w:t>. Except as disclosed in the Disclosure Documents prior to the Effective Date, and except for arm’s length</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pursuant to which the Borrower or any Subsidiary makes payments in the ordinary course of business, none of the officers, directors, or employees or any other affiliate of the Borrower or any Subsidiary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20"/>
          </w:cols>
          <w:pgMar w:left="240" w:top="274" w:right="239" w:bottom="1440" w:gutter="0" w:footer="0" w:header="0"/>
        </w:sectPr>
      </w:pPr>
    </w:p>
    <w:bookmarkStart w:id="70" w:name="page71"/>
    <w:bookmarkEnd w:id="7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18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NEGATIVE COVENANTS OF THE BORROWER</w:t>
      </w:r>
      <w:r>
        <w:rPr>
          <w:rFonts w:ascii="Arial" w:cs="Arial" w:eastAsia="Arial" w:hAnsi="Arial"/>
          <w:sz w:val="18"/>
          <w:szCs w:val="18"/>
          <w:color w:val="auto"/>
        </w:rPr>
        <w:t>. The Borrower agrees that, so long as any Obligation or Letter of Credit is outstanding or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Banks have any obligation to make Loans or any Issuing Bank has any obligation to issue, extend or renew any Letter of Credit hereunder, or the Banks have any obligation to reimburse any Issuing Bank for drawings honored under any Letter of Credit, it shall, and shall cause its Subsidiaries to, comply with the following covenants:</w:t>
      </w:r>
    </w:p>
    <w:p>
      <w:pPr>
        <w:spacing w:after="0" w:line="180" w:lineRule="exact"/>
        <w:rPr>
          <w:sz w:val="20"/>
          <w:szCs w:val="20"/>
          <w:color w:val="auto"/>
        </w:rPr>
      </w:pPr>
    </w:p>
    <w:p>
      <w:pPr>
        <w:ind w:right="260" w:firstLine="913"/>
        <w:spacing w:after="0" w:line="281" w:lineRule="auto"/>
        <w:rPr>
          <w:sz w:val="20"/>
          <w:szCs w:val="20"/>
          <w:color w:val="auto"/>
        </w:rPr>
      </w:pPr>
      <w:r>
        <w:rPr>
          <w:rFonts w:ascii="Arial" w:cs="Arial" w:eastAsia="Arial" w:hAnsi="Arial"/>
          <w:sz w:val="17"/>
          <w:szCs w:val="17"/>
          <w:b w:val="1"/>
          <w:bCs w:val="1"/>
          <w:color w:val="auto"/>
        </w:rPr>
        <w:t>§8.1. Restrictions on Indebtedness</w:t>
      </w:r>
      <w:r>
        <w:rPr>
          <w:rFonts w:ascii="Arial" w:cs="Arial" w:eastAsia="Arial" w:hAnsi="Arial"/>
          <w:sz w:val="17"/>
          <w:szCs w:val="17"/>
          <w:color w:val="auto"/>
        </w:rPr>
        <w:t>. The Borrower will not permit any of its Subsidiaries to create, incur, assume, or be or remain liable,</w:t>
      </w:r>
      <w:r>
        <w:rPr>
          <w:rFonts w:ascii="Arial" w:cs="Arial" w:eastAsia="Arial" w:hAnsi="Arial"/>
          <w:sz w:val="17"/>
          <w:szCs w:val="17"/>
          <w:b w:val="1"/>
          <w:bCs w:val="1"/>
          <w:color w:val="auto"/>
        </w:rPr>
        <w:t xml:space="preserve"> </w:t>
      </w:r>
      <w:r>
        <w:rPr>
          <w:rFonts w:ascii="Arial" w:cs="Arial" w:eastAsia="Arial" w:hAnsi="Arial"/>
          <w:sz w:val="17"/>
          <w:szCs w:val="17"/>
          <w:color w:val="auto"/>
        </w:rPr>
        <w:t>contingently or otherwise, with respect to any Indebtedness, or to become or be responsible in any manner (whether by agreement to purchase any obligations, stock, assets, goods or services, or to supply or advance any funds, assets, goods or services or otherwise) with respect to any Indebtedness, in each case, of any other Person other than the Borrower or any of its Subsidiaries, other than:</w:t>
      </w:r>
    </w:p>
    <w:p>
      <w:pPr>
        <w:spacing w:after="0" w:line="61" w:lineRule="exact"/>
        <w:rPr>
          <w:sz w:val="20"/>
          <w:szCs w:val="20"/>
          <w:color w:val="auto"/>
        </w:rPr>
      </w:pPr>
    </w:p>
    <w:p>
      <w:pPr>
        <w:ind w:left="460" w:right="40" w:firstLine="443"/>
        <w:spacing w:after="0" w:line="273" w:lineRule="auto"/>
        <w:tabs>
          <w:tab w:leader="none" w:pos="1143"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Indebtedness of the Borrower’s Subsidiaries listed in </w:t>
      </w:r>
      <w:r>
        <w:rPr>
          <w:rFonts w:ascii="Arial" w:cs="Arial" w:eastAsia="Arial" w:hAnsi="Arial"/>
          <w:sz w:val="17"/>
          <w:szCs w:val="17"/>
          <w:u w:val="single" w:color="auto"/>
          <w:color w:val="auto"/>
        </w:rPr>
        <w:t>Schedule 8.1(a)</w:t>
      </w:r>
      <w:r>
        <w:rPr>
          <w:rFonts w:ascii="Arial" w:cs="Arial" w:eastAsia="Arial" w:hAnsi="Arial"/>
          <w:sz w:val="17"/>
          <w:szCs w:val="17"/>
          <w:color w:val="auto"/>
        </w:rPr>
        <w:t xml:space="preserve">, any extension, renewal or refinancing of such Indebtedness and any additional bonds issued and Capital Leases entered into from time to time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Indebtedness is an extension, renewal or refinancing of existing Indebtedness, the terms and conditions of any such extensions, renewals or refinancings shall not increase the relative priority of such Indebtedness over the priority of the original Indebtedness, and (ii) in no event shall the aggregate outstanding principal amount of Indebtedness permitted by this §8.1(a) exceed the aggregate principal amount of the Indebtedness listed on </w:t>
      </w:r>
      <w:r>
        <w:rPr>
          <w:rFonts w:ascii="Arial" w:cs="Arial" w:eastAsia="Arial" w:hAnsi="Arial"/>
          <w:sz w:val="17"/>
          <w:szCs w:val="17"/>
          <w:u w:val="single" w:color="auto"/>
          <w:color w:val="auto"/>
        </w:rPr>
        <w:t>Schedule 8.1(a)</w:t>
      </w:r>
      <w:r>
        <w:rPr>
          <w:rFonts w:ascii="Arial" w:cs="Arial" w:eastAsia="Arial" w:hAnsi="Arial"/>
          <w:sz w:val="17"/>
          <w:szCs w:val="17"/>
          <w:color w:val="auto"/>
        </w:rPr>
        <w:t xml:space="preserve"> that is outstanding on the Effective Date (plus transaction costs, including premiums and fees, related thereto); and</w:t>
      </w:r>
    </w:p>
    <w:p>
      <w:pPr>
        <w:spacing w:after="0" w:line="70" w:lineRule="exact"/>
        <w:rPr>
          <w:rFonts w:ascii="Arial" w:cs="Arial" w:eastAsia="Arial" w:hAnsi="Arial"/>
          <w:sz w:val="17"/>
          <w:szCs w:val="17"/>
          <w:color w:val="auto"/>
        </w:rPr>
      </w:pPr>
    </w:p>
    <w:p>
      <w:pPr>
        <w:ind w:left="460" w:right="220" w:firstLine="443"/>
        <w:spacing w:after="0" w:line="276" w:lineRule="auto"/>
        <w:tabs>
          <w:tab w:leader="none" w:pos="1153"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other Indebtedness of the Borrower’s Subsidiaries (other than of the Guarantor)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sum (without duplication) of (i) the aggregate outstanding principal amount of Indebtedness permitted under this §8.1(b),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aggregate outstanding principal amount of secured Indebtedness of the Borrower and its Subsidiaries permitted under subsections (k), (l) and (m) of the definition of “Permitted Liens”,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the aggregate amount of Indebtedness with respect to outstanding Permitted Receivables Transactions (determined in accordance with the proviso to the definition of “Indebtedness”), shall not exceed 15% of Consolidated Tangible Assets at any time.</w:t>
      </w:r>
    </w:p>
    <w:p>
      <w:pPr>
        <w:spacing w:after="0" w:line="169" w:lineRule="exact"/>
        <w:rPr>
          <w:sz w:val="20"/>
          <w:szCs w:val="20"/>
          <w:color w:val="auto"/>
        </w:rPr>
      </w:pPr>
    </w:p>
    <w:p>
      <w:pPr>
        <w:jc w:val="both"/>
        <w:ind w:firstLine="913"/>
        <w:spacing w:after="0" w:line="314" w:lineRule="auto"/>
        <w:rPr>
          <w:sz w:val="20"/>
          <w:szCs w:val="20"/>
          <w:color w:val="auto"/>
        </w:rPr>
      </w:pPr>
      <w:r>
        <w:rPr>
          <w:rFonts w:ascii="Arial" w:cs="Arial" w:eastAsia="Arial" w:hAnsi="Arial"/>
          <w:sz w:val="16"/>
          <w:szCs w:val="16"/>
          <w:b w:val="1"/>
          <w:bCs w:val="1"/>
          <w:color w:val="auto"/>
        </w:rPr>
        <w:t>§8.2. Restrictions on Liens</w:t>
      </w:r>
      <w:r>
        <w:rPr>
          <w:rFonts w:ascii="Arial" w:cs="Arial" w:eastAsia="Arial" w:hAnsi="Arial"/>
          <w:sz w:val="16"/>
          <w:szCs w:val="16"/>
          <w:color w:val="auto"/>
        </w:rPr>
        <w:t>. The Borrower will not, and will cause its Subsidiaries not to, create or incur or suffer to be created or incurred or to</w:t>
      </w:r>
      <w:r>
        <w:rPr>
          <w:rFonts w:ascii="Arial" w:cs="Arial" w:eastAsia="Arial" w:hAnsi="Arial"/>
          <w:sz w:val="16"/>
          <w:szCs w:val="16"/>
          <w:b w:val="1"/>
          <w:bCs w:val="1"/>
          <w:color w:val="auto"/>
        </w:rPr>
        <w:t xml:space="preserve"> </w:t>
      </w:r>
      <w:r>
        <w:rPr>
          <w:rFonts w:ascii="Arial" w:cs="Arial" w:eastAsia="Arial" w:hAnsi="Arial"/>
          <w:sz w:val="16"/>
          <w:szCs w:val="16"/>
          <w:color w:val="auto"/>
        </w:rPr>
        <w:t>exist any 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00"/>
          </w:cols>
          <w:pgMar w:left="240" w:top="274" w:right="259" w:bottom="1440" w:gutter="0" w:footer="0" w:header="0"/>
        </w:sectPr>
      </w:pPr>
    </w:p>
    <w:bookmarkStart w:id="71" w:name="page72"/>
    <w:bookmarkEnd w:id="7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for Permitted Liens.</w:t>
      </w:r>
    </w:p>
    <w:p>
      <w:pPr>
        <w:spacing w:after="0" w:line="1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Borrower and the Guarantor covenant and agree that if either of them or any of their Subsidiaries shall create or incur any Lien upon any of their respective properties or assets, whether now owned or hereafter acquired, other than Permitted Liens (unless prior written consent shall have been obtained from the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provided that the covenants of the Borrower and the Guarantor contained in this sentence shall only be in effect for so long as the Borrower or the Guarantor shall be similarly obligated under any other Indebtedness; provided, further, that an Event of Default shall occur for so long as such other Indebtedness becomes secured notwithstanding any actions taken by the Borrower or the Guarantor to ratably secure the Obligations and the Guaranteed Obligations hereunder.</w:t>
      </w:r>
    </w:p>
    <w:p>
      <w:pPr>
        <w:spacing w:after="0" w:line="188" w:lineRule="exact"/>
        <w:rPr>
          <w:sz w:val="20"/>
          <w:szCs w:val="20"/>
          <w:color w:val="auto"/>
        </w:rPr>
      </w:pPr>
    </w:p>
    <w:p>
      <w:pPr>
        <w:ind w:firstLine="913"/>
        <w:spacing w:after="0" w:line="274" w:lineRule="auto"/>
        <w:rPr>
          <w:sz w:val="20"/>
          <w:szCs w:val="20"/>
          <w:color w:val="auto"/>
        </w:rPr>
      </w:pPr>
      <w:r>
        <w:rPr>
          <w:rFonts w:ascii="Arial" w:cs="Arial" w:eastAsia="Arial" w:hAnsi="Arial"/>
          <w:sz w:val="17"/>
          <w:szCs w:val="17"/>
          <w:b w:val="1"/>
          <w:bCs w:val="1"/>
          <w:color w:val="auto"/>
        </w:rPr>
        <w:t>§8.3. Restrictions on Investments</w:t>
      </w:r>
      <w:r>
        <w:rPr>
          <w:rFonts w:ascii="Arial" w:cs="Arial" w:eastAsia="Arial" w:hAnsi="Arial"/>
          <w:sz w:val="17"/>
          <w:szCs w:val="17"/>
          <w:color w:val="auto"/>
        </w:rPr>
        <w:t>. Except to the extent provided in §8.4, neither the Borrower nor any Subsidiary may make or permit to exist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to remain outstanding any Investment, other than Investments in Cash Equivalents unless both before and after giving effect thereto (i) the Borrower and its Subsidiaries are in compliance with the covenants set forth in §§7, 8 and 9 hereof and (ii) there does not exist a Default or Event of Default and no Default or Event of Default would be created by the making of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all Investments (excluding Investments in Cash Equivalents), does not exceed 15% of Consolidated Tangible Assets;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ability of the Subsidiaries of the Borrower to incur any Indebtedness in connection with any Investment permitted by this §8.3 shall be governed by §8.1.</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§8.4. Mergers, Consolidations, Sales</w:t>
      </w:r>
      <w:r>
        <w:rPr>
          <w:rFonts w:ascii="Arial" w:cs="Arial" w:eastAsia="Arial" w:hAnsi="Arial"/>
          <w:sz w:val="18"/>
          <w:szCs w:val="18"/>
          <w:color w:val="auto"/>
        </w:rPr>
        <w:t>.</w:t>
      </w:r>
    </w:p>
    <w:p>
      <w:pPr>
        <w:spacing w:after="0" w:line="121" w:lineRule="exact"/>
        <w:rPr>
          <w:sz w:val="20"/>
          <w:szCs w:val="20"/>
          <w:color w:val="auto"/>
        </w:rPr>
      </w:pPr>
    </w:p>
    <w:p>
      <w:pPr>
        <w:ind w:left="460" w:right="100" w:firstLine="443"/>
        <w:spacing w:after="0" w:line="291" w:lineRule="auto"/>
        <w:tabs>
          <w:tab w:leader="none" w:pos="1143"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Neither the Borrower nor any Subsidiary shall be a party to any merger, consolidation or exchange of stock unless the Borrower shall be the surviving entity with respect to any such transaction to which the Borrower is a party and the Guarantor shall be the survivor of any merger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§8.3 or this §8.4.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w:t>
      </w:r>
    </w:p>
    <w:p>
      <w:pPr>
        <w:spacing w:after="0" w:line="99" w:lineRule="exact"/>
        <w:rPr>
          <w:rFonts w:ascii="Arial" w:cs="Arial" w:eastAsia="Arial" w:hAnsi="Arial"/>
          <w:sz w:val="16"/>
          <w:szCs w:val="16"/>
          <w:color w:val="auto"/>
        </w:rPr>
      </w:pPr>
    </w:p>
    <w:p>
      <w:pPr>
        <w:ind w:left="5620" w:hanging="101"/>
        <w:spacing w:after="0"/>
        <w:tabs>
          <w:tab w:leader="none" w:pos="5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420"/>
          </w:cols>
          <w:pgMar w:left="240" w:top="274" w:right="239" w:bottom="1440" w:gutter="0" w:footer="0" w:header="0"/>
        </w:sectPr>
      </w:pPr>
    </w:p>
    <w:bookmarkStart w:id="72" w:name="page73"/>
    <w:bookmarkEnd w:id="72"/>
    <w:p>
      <w:pPr>
        <w:ind w:left="452"/>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or its Subsidiaries may purchase or otherwise acquire all or substantially all of the assets or stock of any class of, or any partnership, membership or joint venture or other interest in, any Persons in unrelated businesses, not to exceed a total aggregate amount of $400,000,000 during the term of this Agreement. Notwithstanding anything herein to the contrary, the ability of the Subsidiaries of the Borrower to incur any Indebtedness in connection with any transaction permitted pursuant to this §8.4 shall be governed by §8.1.</w:t>
      </w:r>
    </w:p>
    <w:p>
      <w:pPr>
        <w:spacing w:after="0" w:line="70" w:lineRule="exact"/>
        <w:rPr>
          <w:sz w:val="20"/>
          <w:szCs w:val="20"/>
          <w:color w:val="auto"/>
        </w:rPr>
      </w:pPr>
    </w:p>
    <w:p>
      <w:pPr>
        <w:ind w:left="452" w:right="40" w:firstLine="443"/>
        <w:spacing w:after="0" w:line="270" w:lineRule="auto"/>
        <w:tabs>
          <w:tab w:leader="none" w:pos="1145"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or sell or assign, with or without recourse, any receivables, except (i) transfers of real or personal property among Subsidiaries of the Borrower, (ii) so long as no Default or Event of Default has occurred and is continuing, or would result therefrom, sales of assets or pursuant to a sale-leaseback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net cash proceeds from any such sale or sale-leaseback shall, within 180 days, either be used to pay down outstanding Loans under this Agreement or be reinvested by such Person in assets of the business of the Borrower and its Subsidiaries, used for working capital, invested in Investments in accordance with the provisions of §8.3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174" w:lineRule="exact"/>
        <w:rPr>
          <w:sz w:val="20"/>
          <w:szCs w:val="20"/>
          <w:color w:val="auto"/>
        </w:rPr>
      </w:pPr>
    </w:p>
    <w:p>
      <w:pPr>
        <w:ind w:left="912"/>
        <w:spacing w:after="0"/>
        <w:rPr>
          <w:sz w:val="20"/>
          <w:szCs w:val="20"/>
          <w:color w:val="auto"/>
        </w:rPr>
      </w:pPr>
      <w:r>
        <w:rPr>
          <w:rFonts w:ascii="Arial" w:cs="Arial" w:eastAsia="Arial" w:hAnsi="Arial"/>
          <w:sz w:val="16"/>
          <w:szCs w:val="16"/>
          <w:b w:val="1"/>
          <w:bCs w:val="1"/>
          <w:color w:val="auto"/>
        </w:rPr>
        <w:t>§8.5. Restricted Distributions and Redemptions</w:t>
      </w:r>
      <w:r>
        <w:rPr>
          <w:rFonts w:ascii="Arial" w:cs="Arial" w:eastAsia="Arial" w:hAnsi="Arial"/>
          <w:sz w:val="16"/>
          <w:szCs w:val="16"/>
          <w:color w:val="auto"/>
        </w:rPr>
        <w:t>. Neither the Borrower nor any of its Subsidiaries will (a) declare or pay any Distributions, or</w:t>
      </w:r>
    </w:p>
    <w:p>
      <w:pPr>
        <w:spacing w:after="0" w:line="50" w:lineRule="exact"/>
        <w:rPr>
          <w:sz w:val="20"/>
          <w:szCs w:val="20"/>
          <w:color w:val="auto"/>
        </w:rPr>
      </w:pPr>
    </w:p>
    <w:p>
      <w:pPr>
        <w:ind w:left="-8" w:right="20" w:firstLine="8"/>
        <w:spacing w:after="0" w:line="253" w:lineRule="auto"/>
        <w:tabs>
          <w:tab w:leader="none" w:pos="2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redeem, convert, retire or otherwise acquire shares of any class of its capital stock (other than in connection with a merger permitted by §8.4 hereof or conversion into another form of equity of any preferred shares of the Borrower existing as of the Effective Date pursuant to the terms thereof), unless at the time of such Distribution or redemption no Default or Event of Default exists or would be created hereunder. Notwithstanding the above, any Subsidiary may make Distributions to the Borrower and the Borrower agrees that neither the Borrower nor any Significant Subsidiary will enter into any agreement restricting Distributions from such Significant Subsidiary to the Borrower.</w:t>
      </w:r>
    </w:p>
    <w:p>
      <w:pPr>
        <w:spacing w:after="0" w:line="187"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§8.6. Employee Benefit Plans</w:t>
      </w:r>
      <w:r>
        <w:rPr>
          <w:rFonts w:ascii="Arial" w:cs="Arial" w:eastAsia="Arial" w:hAnsi="Arial"/>
          <w:sz w:val="18"/>
          <w:szCs w:val="18"/>
          <w:color w:val="auto"/>
        </w:rPr>
        <w:t>. None of the Borrower, any of its Subsidiaries, or any ERISA Affiliate will:</w:t>
      </w:r>
    </w:p>
    <w:p>
      <w:pPr>
        <w:spacing w:after="0" w:line="121" w:lineRule="exact"/>
        <w:rPr>
          <w:sz w:val="20"/>
          <w:szCs w:val="20"/>
          <w:color w:val="auto"/>
        </w:rPr>
      </w:pPr>
    </w:p>
    <w:p>
      <w:pPr>
        <w:ind w:left="452" w:right="200" w:firstLine="443"/>
        <w:spacing w:after="0" w:line="277" w:lineRule="auto"/>
        <w:tabs>
          <w:tab w:leader="none" w:pos="11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engage in any “prohibited transaction” within the meaning of §406 of ERISA or §4975 of the Code which could result in a material liability for the Borrower on a consolidated basis; or</w:t>
      </w:r>
    </w:p>
    <w:p>
      <w:pPr>
        <w:spacing w:after="0" w:line="102" w:lineRule="exact"/>
        <w:rPr>
          <w:rFonts w:ascii="Arial" w:cs="Arial" w:eastAsia="Arial" w:hAnsi="Arial"/>
          <w:sz w:val="18"/>
          <w:szCs w:val="18"/>
          <w:color w:val="auto"/>
        </w:rPr>
      </w:pPr>
    </w:p>
    <w:p>
      <w:pPr>
        <w:ind w:left="5612" w:hanging="101"/>
        <w:spacing w:after="0"/>
        <w:tabs>
          <w:tab w:leader="none" w:pos="5612" w:val="left"/>
        </w:tabs>
        <w:numPr>
          <w:ilvl w:val="1"/>
          <w:numId w:val="58"/>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412"/>
          </w:cols>
          <w:pgMar w:left="248" w:top="274" w:right="239" w:bottom="1440" w:gutter="0" w:footer="0" w:header="0"/>
        </w:sectPr>
      </w:pPr>
    </w:p>
    <w:bookmarkStart w:id="73" w:name="page74"/>
    <w:bookmarkEnd w:id="73"/>
    <w:p>
      <w:pPr>
        <w:ind w:left="460" w:right="40" w:firstLine="443"/>
        <w:spacing w:after="0" w:line="277" w:lineRule="auto"/>
        <w:tabs>
          <w:tab w:leader="none" w:pos="1153"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 any Guaranteed Pension Plan to be in “at risk” status or subject to the notice and lien provisions described in §303 of ERISA, whether or not a minimum funding waiver has been granted; or</w:t>
      </w:r>
    </w:p>
    <w:p>
      <w:pPr>
        <w:spacing w:after="0" w:line="62" w:lineRule="exact"/>
        <w:rPr>
          <w:rFonts w:ascii="Arial" w:cs="Arial" w:eastAsia="Arial" w:hAnsi="Arial"/>
          <w:sz w:val="18"/>
          <w:szCs w:val="18"/>
          <w:color w:val="auto"/>
        </w:rPr>
      </w:pPr>
    </w:p>
    <w:p>
      <w:pPr>
        <w:ind w:left="460" w:right="320" w:firstLine="443"/>
        <w:spacing w:after="0" w:line="342" w:lineRule="auto"/>
        <w:tabs>
          <w:tab w:leader="none" w:pos="11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fail to contribute to any Guaranteed Pension Plan to an extent which, or terminate any Guaranteed Pension Plan in a manner which, could result in the imposition of a lien or encumbrance on the assets of the Borrower or the Guarantor pursuant to §303 or §4068 of ERISA; or</w:t>
      </w:r>
    </w:p>
    <w:p>
      <w:pPr>
        <w:spacing w:after="0" w:line="15" w:lineRule="exact"/>
        <w:rPr>
          <w:rFonts w:ascii="Arial" w:cs="Arial" w:eastAsia="Arial" w:hAnsi="Arial"/>
          <w:sz w:val="16"/>
          <w:szCs w:val="16"/>
          <w:color w:val="auto"/>
        </w:rPr>
      </w:pPr>
    </w:p>
    <w:p>
      <w:pPr>
        <w:ind w:left="460" w:right="360" w:firstLine="443"/>
        <w:spacing w:after="0" w:line="312" w:lineRule="auto"/>
        <w:tabs>
          <w:tab w:leader="none" w:pos="1153" w:val="left"/>
        </w:tabs>
        <w:numPr>
          <w:ilvl w:val="0"/>
          <w:numId w:val="59"/>
        </w:numPr>
        <w:rPr>
          <w:rFonts w:ascii="Arial" w:cs="Arial" w:eastAsia="Arial" w:hAnsi="Arial"/>
          <w:sz w:val="16"/>
          <w:szCs w:val="16"/>
          <w:color w:val="auto"/>
        </w:rPr>
      </w:pPr>
      <w:r>
        <w:rPr>
          <w:rFonts w:ascii="Arial" w:cs="Arial" w:eastAsia="Arial" w:hAnsi="Arial"/>
          <w:sz w:val="16"/>
          <w:szCs w:val="16"/>
          <w:color w:val="auto"/>
        </w:rPr>
        <w:t>permit or take any action which would result in the aggregate benefit liabilities (within the meaning of §4001 of ERISA), other than with respect to the Terminated Plans, of all Guaranteed Pension Plans exceeding the value of the aggregate assets of such Guaranteed Pension Plans, disregarding for this purpose the benefit liabilities and assets of any such Guaranteed Pension Plan with assets in excess of benefit liabilities.</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Borrower and its Subsidiaries will (i) promptly upon the request of any Bank or the Administrative Agent, furnish to the Banks a copy of the most recent actuarial statement required to be submitted under §103(d) of ERISA and Annual Report, Form 5500, with all required attachments, in respect of each Guaranteed Pension Plan, and (ii) promptly upon receipt or dispatch, furnish to the Banks any notice, report or demand sent or received in respect of a Guaranteed Pension Plan under §§302, 303, 4041, 4042, 4043, 4063, 4065, 4066 and 4068 of ERISA, or in respect of a Multiemployer Plan, under §§4041A, 4202, 4219, 4242 or 4245 of ERISA.</w:t>
      </w:r>
    </w:p>
    <w:p>
      <w:pPr>
        <w:spacing w:after="0" w:line="18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color w:val="auto"/>
        </w:rPr>
        <w:t>§8.7. Sanctions</w:t>
      </w:r>
      <w:r>
        <w:rPr>
          <w:rFonts w:ascii="Arial" w:cs="Arial" w:eastAsia="Arial" w:hAnsi="Arial"/>
          <w:sz w:val="18"/>
          <w:szCs w:val="18"/>
          <w:color w:val="auto"/>
        </w:rPr>
        <w:t>. Neither the Borrower nor any of its Subsidiaries will, directly or indirectly, use the proceeds of any Loan or Letter of Credit, or</w:t>
      </w:r>
      <w:r>
        <w:rPr>
          <w:rFonts w:ascii="Arial" w:cs="Arial" w:eastAsia="Arial" w:hAnsi="Arial"/>
          <w:sz w:val="18"/>
          <w:szCs w:val="18"/>
          <w:b w:val="1"/>
          <w:bCs w:val="1"/>
          <w:color w:val="auto"/>
        </w:rPr>
        <w:t xml:space="preserve"> </w:t>
      </w:r>
      <w:r>
        <w:rPr>
          <w:rFonts w:ascii="Arial" w:cs="Arial" w:eastAsia="Arial" w:hAnsi="Arial"/>
          <w:sz w:val="18"/>
          <w:szCs w:val="18"/>
          <w:color w:val="auto"/>
        </w:rPr>
        <w:t>(knowingly, in the case of any joint venture partner, individual or entity that is not a controlled Affiliate)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any material violation by an individual or entity (including any individual or entity participating in the transaction, whether as Lender, Lead Arranger, Administrative Agent, Issuing Bank, Swing Line Bank, or otherwise) of Sanctions or any applicable anti-money laundering and counter-terrorism financing provisions of The Bank Secrecy Act of 1970 (as amended) or any regulations issued pursuant to it.</w:t>
      </w:r>
    </w:p>
    <w:p>
      <w:pPr>
        <w:spacing w:after="0" w:line="189" w:lineRule="exact"/>
        <w:rPr>
          <w:sz w:val="20"/>
          <w:szCs w:val="20"/>
          <w:color w:val="auto"/>
        </w:rPr>
      </w:pPr>
    </w:p>
    <w:p>
      <w:pPr>
        <w:ind w:right="60" w:firstLine="913"/>
        <w:spacing w:after="0" w:line="289" w:lineRule="auto"/>
        <w:rPr>
          <w:sz w:val="20"/>
          <w:szCs w:val="20"/>
          <w:color w:val="auto"/>
        </w:rPr>
      </w:pPr>
      <w:r>
        <w:rPr>
          <w:rFonts w:ascii="Arial" w:cs="Arial" w:eastAsia="Arial" w:hAnsi="Arial"/>
          <w:sz w:val="17"/>
          <w:szCs w:val="17"/>
          <w:b w:val="1"/>
          <w:bCs w:val="1"/>
          <w:color w:val="auto"/>
        </w:rPr>
        <w:t>§8.8. Anti-Corruption Laws</w:t>
      </w:r>
      <w:r>
        <w:rPr>
          <w:rFonts w:ascii="Arial" w:cs="Arial" w:eastAsia="Arial" w:hAnsi="Arial"/>
          <w:sz w:val="17"/>
          <w:szCs w:val="17"/>
          <w:color w:val="auto"/>
        </w:rPr>
        <w:t>. Neither the Borrower nor any of its Subsidiaries will, directly or indirectly knowingly (as such term is used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FCPA (as defined below)) use the proceeds of any Loan or Letter of Credit for any purpose which would breach the FCPA, the UK Bribery Act 2010 and other similar legislation governing bribery or corruption, in each case, as applicable to the Borrower or its Subsidiaries from time to time.</w:t>
      </w:r>
    </w:p>
    <w:p>
      <w:pPr>
        <w:spacing w:after="0" w:line="158"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b w:val="1"/>
          <w:bCs w:val="1"/>
          <w:color w:val="auto"/>
        </w:rPr>
        <w:t xml:space="preserve">§9. </w:t>
      </w:r>
      <w:r>
        <w:rPr>
          <w:rFonts w:ascii="Arial" w:cs="Arial" w:eastAsia="Arial" w:hAnsi="Arial"/>
          <w:sz w:val="17"/>
          <w:szCs w:val="17"/>
          <w:b w:val="1"/>
          <w:bCs w:val="1"/>
          <w:u w:val="single" w:color="auto"/>
          <w:color w:val="auto"/>
        </w:rPr>
        <w:t>FINANCIAL COVENANTS OF THE BORROWER</w:t>
      </w:r>
      <w:r>
        <w:rPr>
          <w:rFonts w:ascii="Arial" w:cs="Arial" w:eastAsia="Arial" w:hAnsi="Arial"/>
          <w:sz w:val="17"/>
          <w:szCs w:val="17"/>
          <w:color w:val="auto"/>
        </w:rPr>
        <w:t>. The Borrower agrees that, so long as any Obligation or Letter of Credit is outstanding or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Banks have any obligation to make Loans or any Issuing Bank has any obligation to issue, extend or renew any Letter of</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380"/>
          </w:cols>
          <w:pgMar w:left="240" w:top="274" w:right="279" w:bottom="1440" w:gutter="0" w:footer="0" w:header="0"/>
        </w:sectPr>
      </w:pPr>
    </w:p>
    <w:bookmarkStart w:id="74" w:name="page75"/>
    <w:bookmarkEnd w:id="74"/>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hereunder, or the Banks have any obligation to reimburse any Issuing Bank for drawings honored under any Letter of Credit, it shall comply with the following covenants:</w:t>
      </w:r>
    </w:p>
    <w:p>
      <w:pPr>
        <w:spacing w:after="0" w:line="166"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§9.1. Interest Coverage Ratio</w:t>
      </w:r>
      <w:r>
        <w:rPr>
          <w:rFonts w:ascii="Arial" w:cs="Arial" w:eastAsia="Arial" w:hAnsi="Arial"/>
          <w:sz w:val="18"/>
          <w:szCs w:val="18"/>
          <w:color w:val="auto"/>
        </w:rPr>
        <w:t>. As of the end of any fiscal quarter of the Borrower, the Borrower will not permit the ratio of (a) EBIT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 fiscal quarters then ending to (b) Consolidated Total Interest Expense for such period to be less than 2.75:1.00.</w:t>
      </w:r>
    </w:p>
    <w:p>
      <w:pPr>
        <w:spacing w:after="0" w:line="162" w:lineRule="exact"/>
        <w:rPr>
          <w:sz w:val="20"/>
          <w:szCs w:val="20"/>
          <w:color w:val="auto"/>
        </w:rPr>
      </w:pPr>
    </w:p>
    <w:p>
      <w:pPr>
        <w:ind w:right="360" w:firstLine="913"/>
        <w:spacing w:after="0" w:line="282" w:lineRule="auto"/>
        <w:rPr>
          <w:sz w:val="20"/>
          <w:szCs w:val="20"/>
          <w:color w:val="auto"/>
        </w:rPr>
      </w:pPr>
      <w:r>
        <w:rPr>
          <w:rFonts w:ascii="Arial" w:cs="Arial" w:eastAsia="Arial" w:hAnsi="Arial"/>
          <w:sz w:val="18"/>
          <w:szCs w:val="18"/>
          <w:b w:val="1"/>
          <w:bCs w:val="1"/>
          <w:color w:val="auto"/>
        </w:rPr>
        <w:t>§9.2. Total Debt to EBITDA</w:t>
      </w:r>
      <w:r>
        <w:rPr>
          <w:rFonts w:ascii="Arial" w:cs="Arial" w:eastAsia="Arial" w:hAnsi="Arial"/>
          <w:sz w:val="18"/>
          <w:szCs w:val="18"/>
          <w:color w:val="auto"/>
        </w:rPr>
        <w:t>. As of the end of any fiscal quarter of the Borrower, the Borrower will not permit the ratio of (a) Total Debt to</w:t>
      </w:r>
      <w:r>
        <w:rPr>
          <w:rFonts w:ascii="Arial" w:cs="Arial" w:eastAsia="Arial" w:hAnsi="Arial"/>
          <w:sz w:val="18"/>
          <w:szCs w:val="18"/>
          <w:b w:val="1"/>
          <w:bCs w:val="1"/>
          <w:color w:val="auto"/>
        </w:rPr>
        <w:t xml:space="preserve"> </w:t>
      </w:r>
      <w:r>
        <w:rPr>
          <w:rFonts w:ascii="Arial" w:cs="Arial" w:eastAsia="Arial" w:hAnsi="Arial"/>
          <w:sz w:val="18"/>
          <w:szCs w:val="18"/>
          <w:color w:val="auto"/>
        </w:rPr>
        <w:t>(b) EBITDA for the four fiscal quarters then ending to exceed 3.50:1.00.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b w:val="1"/>
          <w:bCs w:val="1"/>
          <w:u w:val="single" w:color="auto"/>
          <w:color w:val="auto"/>
        </w:rPr>
        <w:t>CONDITIONS PRECEDENT</w:t>
      </w:r>
      <w:r>
        <w:rPr>
          <w:rFonts w:ascii="Arial" w:cs="Arial" w:eastAsia="Arial" w:hAnsi="Arial"/>
          <w:sz w:val="18"/>
          <w:szCs w:val="18"/>
          <w:color w:val="auto"/>
        </w:rPr>
        <w:t>.</w:t>
      </w:r>
    </w:p>
    <w:p>
      <w:pPr>
        <w:spacing w:after="0" w:line="225" w:lineRule="exact"/>
        <w:rPr>
          <w:sz w:val="20"/>
          <w:szCs w:val="20"/>
          <w:color w:val="auto"/>
        </w:rPr>
      </w:pPr>
    </w:p>
    <w:p>
      <w:pPr>
        <w:jc w:val="both"/>
        <w:ind w:right="220" w:firstLine="913"/>
        <w:spacing w:after="0" w:line="282" w:lineRule="auto"/>
        <w:rPr>
          <w:sz w:val="20"/>
          <w:szCs w:val="20"/>
          <w:color w:val="auto"/>
        </w:rPr>
      </w:pPr>
      <w:r>
        <w:rPr>
          <w:rFonts w:ascii="Arial" w:cs="Arial" w:eastAsia="Arial" w:hAnsi="Arial"/>
          <w:sz w:val="18"/>
          <w:szCs w:val="18"/>
          <w:b w:val="1"/>
          <w:bCs w:val="1"/>
          <w:color w:val="auto"/>
        </w:rPr>
        <w:t>§10.1. Conditions To Effectiveness</w:t>
      </w:r>
      <w:r>
        <w:rPr>
          <w:rFonts w:ascii="Arial" w:cs="Arial" w:eastAsia="Arial" w:hAnsi="Arial"/>
          <w:sz w:val="18"/>
          <w:szCs w:val="18"/>
          <w:color w:val="auto"/>
        </w:rPr>
        <w:t>. The effectiveness of this Agreement as an amendment and restatement of the Existing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the satisfaction of each of the following conditions precedent:</w:t>
      </w:r>
    </w:p>
    <w:p>
      <w:pPr>
        <w:spacing w:after="0" w:line="162" w:lineRule="exact"/>
        <w:rPr>
          <w:sz w:val="20"/>
          <w:szCs w:val="20"/>
          <w:color w:val="auto"/>
        </w:rPr>
      </w:pPr>
    </w:p>
    <w:p>
      <w:pPr>
        <w:jc w:val="both"/>
        <w:ind w:right="220" w:firstLine="1484"/>
        <w:spacing w:after="0" w:line="266" w:lineRule="auto"/>
        <w:rPr>
          <w:sz w:val="20"/>
          <w:szCs w:val="20"/>
          <w:color w:val="auto"/>
        </w:rPr>
      </w:pPr>
      <w:r>
        <w:rPr>
          <w:rFonts w:ascii="Arial" w:cs="Arial" w:eastAsia="Arial" w:hAnsi="Arial"/>
          <w:sz w:val="18"/>
          <w:szCs w:val="18"/>
          <w:b w:val="1"/>
          <w:bCs w:val="1"/>
          <w:color w:val="auto"/>
        </w:rPr>
        <w:t>§10.1.1 Corporate Action</w:t>
      </w:r>
      <w:r>
        <w:rPr>
          <w:rFonts w:ascii="Arial" w:cs="Arial" w:eastAsia="Arial" w:hAnsi="Arial"/>
          <w:sz w:val="18"/>
          <w:szCs w:val="18"/>
          <w:color w:val="auto"/>
        </w:rPr>
        <w:t>. All corporate action necessary for the valid execution, delivery and performance by the Borrower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of the Loan Documents shall have been duly and effectively taken, and evidence thereof certified by authorized officers of the Borrower and the Guarantor and satisfactory to the Administrative Agent shall have been provided to the Banks.</w:t>
      </w:r>
    </w:p>
    <w:p>
      <w:pPr>
        <w:spacing w:after="0" w:line="176" w:lineRule="exact"/>
        <w:rPr>
          <w:sz w:val="20"/>
          <w:szCs w:val="20"/>
          <w:color w:val="auto"/>
        </w:rPr>
      </w:pPr>
    </w:p>
    <w:p>
      <w:pPr>
        <w:jc w:val="both"/>
        <w:ind w:right="40" w:firstLine="1484"/>
        <w:spacing w:after="0" w:line="347" w:lineRule="auto"/>
        <w:rPr>
          <w:sz w:val="20"/>
          <w:szCs w:val="20"/>
          <w:color w:val="auto"/>
        </w:rPr>
      </w:pPr>
      <w:r>
        <w:rPr>
          <w:rFonts w:ascii="Arial" w:cs="Arial" w:eastAsia="Arial" w:hAnsi="Arial"/>
          <w:sz w:val="16"/>
          <w:szCs w:val="16"/>
          <w:b w:val="1"/>
          <w:bCs w:val="1"/>
          <w:color w:val="auto"/>
        </w:rPr>
        <w:t>§10.1.2 Loan Documents, Etc</w:t>
      </w:r>
      <w:r>
        <w:rPr>
          <w:rFonts w:ascii="Arial" w:cs="Arial" w:eastAsia="Arial" w:hAnsi="Arial"/>
          <w:sz w:val="16"/>
          <w:szCs w:val="16"/>
          <w:color w:val="auto"/>
        </w:rPr>
        <w:t>. Each of the Loan Documents and other documents listed on the closing agenda shall have been duly and</w:t>
      </w:r>
      <w:r>
        <w:rPr>
          <w:rFonts w:ascii="Arial" w:cs="Arial" w:eastAsia="Arial" w:hAnsi="Arial"/>
          <w:sz w:val="16"/>
          <w:szCs w:val="16"/>
          <w:b w:val="1"/>
          <w:bCs w:val="1"/>
          <w:color w:val="auto"/>
        </w:rPr>
        <w:t xml:space="preserve"> </w:t>
      </w:r>
      <w:r>
        <w:rPr>
          <w:rFonts w:ascii="Arial" w:cs="Arial" w:eastAsia="Arial" w:hAnsi="Arial"/>
          <w:sz w:val="16"/>
          <w:szCs w:val="16"/>
          <w:color w:val="auto"/>
        </w:rPr>
        <w:t>properly authorized, executed and delivered by the respective parties thereto and shall be in full force and effect in a form satisfactory to the Majority Banks.</w:t>
      </w:r>
    </w:p>
    <w:p>
      <w:pPr>
        <w:spacing w:after="0" w:line="116" w:lineRule="exact"/>
        <w:rPr>
          <w:sz w:val="20"/>
          <w:szCs w:val="20"/>
          <w:color w:val="auto"/>
        </w:rPr>
      </w:pPr>
    </w:p>
    <w:p>
      <w:pPr>
        <w:jc w:val="both"/>
        <w:ind w:firstLine="1484"/>
        <w:spacing w:after="0" w:line="289" w:lineRule="auto"/>
        <w:rPr>
          <w:sz w:val="20"/>
          <w:szCs w:val="20"/>
          <w:color w:val="auto"/>
        </w:rPr>
      </w:pPr>
      <w:r>
        <w:rPr>
          <w:rFonts w:ascii="Arial" w:cs="Arial" w:eastAsia="Arial" w:hAnsi="Arial"/>
          <w:sz w:val="17"/>
          <w:szCs w:val="17"/>
          <w:b w:val="1"/>
          <w:bCs w:val="1"/>
          <w:color w:val="auto"/>
        </w:rPr>
        <w:t>§10.1.3 Certified Copies of Charter Documents</w:t>
      </w:r>
      <w:r>
        <w:rPr>
          <w:rFonts w:ascii="Arial" w:cs="Arial" w:eastAsia="Arial" w:hAnsi="Arial"/>
          <w:sz w:val="17"/>
          <w:szCs w:val="17"/>
          <w:color w:val="auto"/>
        </w:rPr>
        <w:t>. The Banks shall have received from each of the Borrower and the Guarantor, certified</w:t>
      </w:r>
      <w:r>
        <w:rPr>
          <w:rFonts w:ascii="Arial" w:cs="Arial" w:eastAsia="Arial" w:hAnsi="Arial"/>
          <w:sz w:val="17"/>
          <w:szCs w:val="17"/>
          <w:b w:val="1"/>
          <w:bCs w:val="1"/>
          <w:color w:val="auto"/>
        </w:rPr>
        <w:t xml:space="preserve"> </w:t>
      </w:r>
      <w:r>
        <w:rPr>
          <w:rFonts w:ascii="Arial" w:cs="Arial" w:eastAsia="Arial" w:hAnsi="Arial"/>
          <w:sz w:val="17"/>
          <w:szCs w:val="17"/>
          <w:color w:val="auto"/>
        </w:rPr>
        <w:t>by a duly authorized officer of such Person to be true and complete on the Effective Date, (a) its charter or other incorporation documents, (b) its by-laws and (c) good standing certificates and such foreign qualifications as may be requested by the Administrative Agent.</w:t>
      </w:r>
    </w:p>
    <w:p>
      <w:pPr>
        <w:spacing w:after="0" w:line="158" w:lineRule="exact"/>
        <w:rPr>
          <w:sz w:val="20"/>
          <w:szCs w:val="20"/>
          <w:color w:val="auto"/>
        </w:rPr>
      </w:pPr>
    </w:p>
    <w:p>
      <w:pPr>
        <w:jc w:val="both"/>
        <w:ind w:right="300" w:firstLine="1484"/>
        <w:spacing w:after="0" w:line="293" w:lineRule="auto"/>
        <w:rPr>
          <w:sz w:val="20"/>
          <w:szCs w:val="20"/>
          <w:color w:val="auto"/>
        </w:rPr>
      </w:pPr>
      <w:r>
        <w:rPr>
          <w:rFonts w:ascii="Arial" w:cs="Arial" w:eastAsia="Arial" w:hAnsi="Arial"/>
          <w:sz w:val="16"/>
          <w:szCs w:val="16"/>
          <w:b w:val="1"/>
          <w:bCs w:val="1"/>
          <w:color w:val="auto"/>
        </w:rPr>
        <w:t>§10.1.4 Incumbency Certificate</w:t>
      </w:r>
      <w:r>
        <w:rPr>
          <w:rFonts w:ascii="Arial" w:cs="Arial" w:eastAsia="Arial" w:hAnsi="Arial"/>
          <w:sz w:val="16"/>
          <w:szCs w:val="16"/>
          <w:color w:val="auto"/>
        </w:rPr>
        <w:t>. The Banks shall have received an incumbency certificate, dated as of the Effective Date, signed by</w:t>
      </w:r>
      <w:r>
        <w:rPr>
          <w:rFonts w:ascii="Arial" w:cs="Arial" w:eastAsia="Arial" w:hAnsi="Arial"/>
          <w:sz w:val="16"/>
          <w:szCs w:val="16"/>
          <w:b w:val="1"/>
          <w:bCs w:val="1"/>
          <w:color w:val="auto"/>
        </w:rPr>
        <w:t xml:space="preserve"> </w:t>
      </w:r>
      <w:r>
        <w:rPr>
          <w:rFonts w:ascii="Arial" w:cs="Arial" w:eastAsia="Arial" w:hAnsi="Arial"/>
          <w:sz w:val="16"/>
          <w:szCs w:val="16"/>
          <w:color w:val="auto"/>
        </w:rPr>
        <w:t>duly authorized officers of the Borrower and the Guarantor giving the name and bearing a specimen signature of each individual who shall be authorized:</w:t>
      </w:r>
    </w:p>
    <w:p>
      <w:pPr>
        <w:spacing w:after="0" w:line="1" w:lineRule="exact"/>
        <w:rPr>
          <w:sz w:val="20"/>
          <w:szCs w:val="20"/>
          <w:color w:val="auto"/>
        </w:rPr>
      </w:pPr>
    </w:p>
    <w:p>
      <w:pPr>
        <w:ind w:right="20" w:firstLine="8"/>
        <w:spacing w:after="0" w:line="261" w:lineRule="auto"/>
        <w:tabs>
          <w:tab w:leader="none" w:pos="2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sign the Loan Documents on behalf of the Borrower and the Guarantor; (b) to make Syndicated Loan Requests and Letter of Credit Requests; and (c) to give notices and to take other action on the Borrower’s or the Guarantor’s behalf under the Loan Documents.</w:t>
      </w:r>
    </w:p>
    <w:p>
      <w:pPr>
        <w:spacing w:after="0" w:line="180" w:lineRule="exact"/>
        <w:rPr>
          <w:sz w:val="20"/>
          <w:szCs w:val="20"/>
          <w:color w:val="auto"/>
        </w:rPr>
      </w:pPr>
    </w:p>
    <w:p>
      <w:pPr>
        <w:ind w:firstLine="1484"/>
        <w:spacing w:after="0" w:line="261" w:lineRule="auto"/>
        <w:rPr>
          <w:sz w:val="20"/>
          <w:szCs w:val="20"/>
          <w:color w:val="auto"/>
        </w:rPr>
      </w:pPr>
      <w:r>
        <w:rPr>
          <w:rFonts w:ascii="Arial" w:cs="Arial" w:eastAsia="Arial" w:hAnsi="Arial"/>
          <w:sz w:val="18"/>
          <w:szCs w:val="18"/>
          <w:b w:val="1"/>
          <w:bCs w:val="1"/>
          <w:color w:val="auto"/>
        </w:rPr>
        <w:t>§10.1.5 Opinion of Counsel</w:t>
      </w:r>
      <w:r>
        <w:rPr>
          <w:rFonts w:ascii="Arial" w:cs="Arial" w:eastAsia="Arial" w:hAnsi="Arial"/>
          <w:sz w:val="18"/>
          <w:szCs w:val="18"/>
          <w:color w:val="auto"/>
        </w:rPr>
        <w:t>. The Banks shall have received a favorable legal opinion from the Assistant General Counsel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the Guarantor addressed to the Banks, dated the Effective Date, in form and substance satisfactory to the Administrative Agent, and a favorable legal opinion of McGuireWoods LLP, special New York counsel to the Administrative Agent, dated the Effective Date, as to the validity and binding effect of this Agreement.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380"/>
          </w:cols>
          <w:pgMar w:left="240" w:top="274" w:right="279" w:bottom="1440" w:gutter="0" w:footer="0" w:header="0"/>
        </w:sectPr>
      </w:pPr>
    </w:p>
    <w:bookmarkStart w:id="75" w:name="page76"/>
    <w:bookmarkEnd w:id="75"/>
    <w:p>
      <w:pPr>
        <w:ind w:right="20"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§10.1.6 Satisfactory Financial Condition</w:t>
      </w:r>
      <w:r>
        <w:rPr>
          <w:rFonts w:ascii="Arial" w:cs="Arial" w:eastAsia="Arial" w:hAnsi="Arial"/>
          <w:sz w:val="18"/>
          <w:szCs w:val="18"/>
          <w:color w:val="auto"/>
        </w:rPr>
        <w:t>. Other than as disclosed in the Disclosure Documents, no material adverse change shall have occurred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financial condition, results of operations, business, properties or prospects of the Borrower and its Subsidiaries, taken as a whole, since the Balance Sheet Date.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§10.1.7 Payment of Closing Fees</w:t>
      </w:r>
      <w:r>
        <w:rPr>
          <w:rFonts w:ascii="Arial" w:cs="Arial" w:eastAsia="Arial" w:hAnsi="Arial"/>
          <w:sz w:val="17"/>
          <w:szCs w:val="17"/>
          <w:color w:val="auto"/>
        </w:rPr>
        <w:t>. The Borrower shall have paid the agreed-upon closing fees to the Administrative Agent and Banks.</w:t>
      </w:r>
    </w:p>
    <w:p>
      <w:pPr>
        <w:spacing w:after="0" w:line="237" w:lineRule="exact"/>
        <w:rPr>
          <w:sz w:val="20"/>
          <w:szCs w:val="20"/>
          <w:color w:val="auto"/>
        </w:rPr>
      </w:pPr>
    </w:p>
    <w:p>
      <w:pPr>
        <w:jc w:val="both"/>
        <w:ind w:right="140" w:firstLine="913"/>
        <w:spacing w:after="0" w:line="266" w:lineRule="auto"/>
        <w:rPr>
          <w:sz w:val="20"/>
          <w:szCs w:val="20"/>
          <w:color w:val="auto"/>
        </w:rPr>
      </w:pPr>
      <w:r>
        <w:rPr>
          <w:rFonts w:ascii="Arial" w:cs="Arial" w:eastAsia="Arial" w:hAnsi="Arial"/>
          <w:sz w:val="18"/>
          <w:szCs w:val="18"/>
          <w:b w:val="1"/>
          <w:bCs w:val="1"/>
          <w:color w:val="auto"/>
        </w:rPr>
        <w:t>§10.1.8 Closing Certificate</w:t>
      </w:r>
      <w:r>
        <w:rPr>
          <w:rFonts w:ascii="Arial" w:cs="Arial" w:eastAsia="Arial" w:hAnsi="Arial"/>
          <w:sz w:val="18"/>
          <w:szCs w:val="18"/>
          <w:color w:val="auto"/>
        </w:rPr>
        <w:t>. The Borrower shall have delivered to the Administrative Agent a certificate, dated as of the Effective Date, stating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as of such date (a) the representations and warranties set forth herein and in the other Loan Documents are true and correct, and (b) no Default or Event of Default has occurred and is continuing.</w:t>
      </w:r>
    </w:p>
    <w:p>
      <w:pPr>
        <w:spacing w:after="0" w:line="176" w:lineRule="exact"/>
        <w:rPr>
          <w:sz w:val="20"/>
          <w:szCs w:val="20"/>
          <w:color w:val="auto"/>
        </w:rPr>
      </w:pPr>
    </w:p>
    <w:p>
      <w:pPr>
        <w:jc w:val="both"/>
        <w:ind w:right="420" w:firstLine="913"/>
        <w:spacing w:after="0" w:line="266" w:lineRule="auto"/>
        <w:rPr>
          <w:sz w:val="20"/>
          <w:szCs w:val="20"/>
          <w:color w:val="auto"/>
        </w:rPr>
      </w:pPr>
      <w:r>
        <w:rPr>
          <w:rFonts w:ascii="Arial" w:cs="Arial" w:eastAsia="Arial" w:hAnsi="Arial"/>
          <w:sz w:val="18"/>
          <w:szCs w:val="18"/>
          <w:b w:val="1"/>
          <w:bCs w:val="1"/>
          <w:color w:val="auto"/>
        </w:rPr>
        <w:t>§10.1.9 USA Patriot Act</w:t>
      </w:r>
      <w:r>
        <w:rPr>
          <w:rFonts w:ascii="Arial" w:cs="Arial" w:eastAsia="Arial" w:hAnsi="Arial"/>
          <w:sz w:val="18"/>
          <w:szCs w:val="18"/>
          <w:color w:val="auto"/>
        </w:rPr>
        <w:t>. The Borrower shall have delivered all documentation and other information that the Administrative Agent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Bank requests in order to comply with its ongoing obligations under applicable “know your customer” and anti-money laundering rules and regulations, including the USA Patriot Act.</w:t>
      </w:r>
    </w:p>
    <w:p>
      <w:pPr>
        <w:spacing w:after="0" w:line="18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Without limiting the generality of the provisions of the last paragraph of §15.2, for purposes of determining compliance with the conditions specified in this §10, each Bank that has signed this Agreement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Effective Date specifying its objection thereto.</w:t>
      </w:r>
    </w:p>
    <w:p>
      <w:pPr>
        <w:spacing w:after="0" w:line="18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CONDITIONS TO ALL LOANS</w:t>
      </w:r>
      <w:r>
        <w:rPr>
          <w:rFonts w:ascii="Arial" w:cs="Arial" w:eastAsia="Arial" w:hAnsi="Arial"/>
          <w:sz w:val="18"/>
          <w:szCs w:val="18"/>
          <w:color w:val="auto"/>
        </w:rPr>
        <w:t>. The obligations of the Banks to make or continue for an additional Interest Period in accordance with §2.7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obligation of any Issuing Bank to issue, extend, or renew any Letter of Credit at the time of and subsequent to the Effective Date is subject to the following conditions precedent:</w:t>
      </w:r>
    </w:p>
    <w:p>
      <w:pPr>
        <w:spacing w:after="0" w:line="176"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color w:val="auto"/>
        </w:rPr>
        <w:t>§11.1. Representations True</w:t>
      </w:r>
      <w:r>
        <w:rPr>
          <w:rFonts w:ascii="Arial" w:cs="Arial" w:eastAsia="Arial" w:hAnsi="Arial"/>
          <w:sz w:val="17"/>
          <w:szCs w:val="17"/>
          <w:color w:val="auto"/>
        </w:rPr>
        <w:t>. The Borrower shall have certified to the Administrative Agent and the Banks that each of the representations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of the Borrower and the Guarantor (as applicable) contained in this Agreement or in any document or instrument delivered pursuant to or in connection with this Agreement, other than the representation and warranty in §6.5 hereof, is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172" w:lineRule="exact"/>
        <w:rPr>
          <w:sz w:val="20"/>
          <w:szCs w:val="20"/>
          <w:color w:val="auto"/>
        </w:rPr>
      </w:pPr>
    </w:p>
    <w:p>
      <w:pPr>
        <w:ind w:right="20" w:firstLine="913"/>
        <w:spacing w:after="0" w:line="289" w:lineRule="auto"/>
        <w:rPr>
          <w:sz w:val="20"/>
          <w:szCs w:val="20"/>
          <w:color w:val="auto"/>
        </w:rPr>
      </w:pPr>
      <w:r>
        <w:rPr>
          <w:rFonts w:ascii="Arial" w:cs="Arial" w:eastAsia="Arial" w:hAnsi="Arial"/>
          <w:sz w:val="17"/>
          <w:szCs w:val="17"/>
          <w:b w:val="1"/>
          <w:bCs w:val="1"/>
          <w:color w:val="auto"/>
        </w:rPr>
        <w:t>§11.2. Performance; No Event of Default</w:t>
      </w:r>
      <w:r>
        <w:rPr>
          <w:rFonts w:ascii="Arial" w:cs="Arial" w:eastAsia="Arial" w:hAnsi="Arial"/>
          <w:sz w:val="17"/>
          <w:szCs w:val="17"/>
          <w:color w:val="auto"/>
        </w:rPr>
        <w:t>. The Borrower shall have performed and complied with all terms and conditions herein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or complied with by it prior to or at the time of the making of any Loan or the issuance, extension or renewal of any Letter of Credit, and at the time of the making of any Loan or the issuance, renewal or extension of any Letter of Credit there shall exist no Default or Event of Default or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20"/>
          </w:cols>
          <w:pgMar w:left="240" w:top="270" w:right="239" w:bottom="1440" w:gutter="0" w:footer="0" w:header="0"/>
        </w:sectPr>
      </w:pPr>
    </w:p>
    <w:bookmarkStart w:id="76" w:name="page77"/>
    <w:bookmarkEnd w:id="76"/>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 specified in this §11.2 will be duly satisfied on the date of such Loan or Letter of Credit issuance, extension or renewal.</w:t>
      </w:r>
    </w:p>
    <w:p>
      <w:pPr>
        <w:spacing w:after="0" w:line="162"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b w:val="1"/>
          <w:bCs w:val="1"/>
          <w:color w:val="auto"/>
        </w:rPr>
        <w:t>§11.3. Proceedings and Documents</w:t>
      </w:r>
      <w:r>
        <w:rPr>
          <w:rFonts w:ascii="Arial" w:cs="Arial" w:eastAsia="Arial" w:hAnsi="Arial"/>
          <w:sz w:val="17"/>
          <w:szCs w:val="17"/>
          <w:color w:val="auto"/>
        </w:rPr>
        <w:t>. All proceedings in connection with the transactions contemplated by this Agreement shall have been taken</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documents incident thereto shall have been delivered to the Banks as of the date of the making of any extension of credit in substance and in form satisfactory to the Banks, including without limitation a Syndicated Loan Request or a Letter of Credit Request and the Banks shall have received all information and such counterpart originals or certified or other copies of such documents as the Banks may reasonably request.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EVENTS OF DEFAULT; ACCELERATION; TERMINATION OF COMMITMENT</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§12.1. Events of Default and Acceleration</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or, if the giving of notice or the lapse of time or</w:t>
      </w:r>
      <w:r>
        <w:rPr>
          <w:rFonts w:ascii="Arial" w:cs="Arial" w:eastAsia="Arial" w:hAnsi="Arial"/>
          <w:sz w:val="18"/>
          <w:szCs w:val="18"/>
          <w:b w:val="1"/>
          <w:bCs w:val="1"/>
          <w:color w:val="auto"/>
        </w:rPr>
        <w:t xml:space="preserve"> </w:t>
      </w:r>
      <w:r>
        <w:rPr>
          <w:rFonts w:ascii="Arial" w:cs="Arial" w:eastAsia="Arial" w:hAnsi="Arial"/>
          <w:sz w:val="18"/>
          <w:szCs w:val="18"/>
          <w:color w:val="auto"/>
        </w:rPr>
        <w:t>both is required, then, prior to such notice and/or lapse of time, “</w:t>
      </w:r>
      <w:r>
        <w:rPr>
          <w:rFonts w:ascii="Arial" w:cs="Arial" w:eastAsia="Arial" w:hAnsi="Arial"/>
          <w:sz w:val="18"/>
          <w:szCs w:val="18"/>
          <w:u w:val="single" w:color="auto"/>
          <w:color w:val="auto"/>
        </w:rPr>
        <w:t>Defaults</w:t>
      </w:r>
      <w:r>
        <w:rPr>
          <w:rFonts w:ascii="Arial" w:cs="Arial" w:eastAsia="Arial" w:hAnsi="Arial"/>
          <w:sz w:val="18"/>
          <w:szCs w:val="18"/>
          <w:color w:val="auto"/>
        </w:rPr>
        <w:t>”) shall occur:</w:t>
      </w:r>
    </w:p>
    <w:p>
      <w:pPr>
        <w:spacing w:after="0" w:line="58" w:lineRule="exact"/>
        <w:rPr>
          <w:sz w:val="20"/>
          <w:szCs w:val="20"/>
          <w:color w:val="auto"/>
        </w:rPr>
      </w:pPr>
    </w:p>
    <w:p>
      <w:pPr>
        <w:ind w:left="460" w:right="560" w:firstLine="443"/>
        <w:spacing w:after="0" w:line="277" w:lineRule="auto"/>
        <w:tabs>
          <w:tab w:leader="none" w:pos="11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62" w:lineRule="exact"/>
        <w:rPr>
          <w:rFonts w:ascii="Arial" w:cs="Arial" w:eastAsia="Arial" w:hAnsi="Arial"/>
          <w:sz w:val="18"/>
          <w:szCs w:val="18"/>
          <w:color w:val="auto"/>
        </w:rPr>
      </w:pPr>
    </w:p>
    <w:p>
      <w:pPr>
        <w:ind w:left="460" w:right="120" w:firstLine="443"/>
        <w:spacing w:after="0" w:line="264" w:lineRule="auto"/>
        <w:tabs>
          <w:tab w:leader="none" w:pos="11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Borrower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73" w:lineRule="exact"/>
        <w:rPr>
          <w:rFonts w:ascii="Arial" w:cs="Arial" w:eastAsia="Arial" w:hAnsi="Arial"/>
          <w:sz w:val="18"/>
          <w:szCs w:val="18"/>
          <w:color w:val="auto"/>
        </w:rPr>
      </w:pPr>
    </w:p>
    <w:p>
      <w:pPr>
        <w:ind w:left="1140" w:hanging="237"/>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Borrower shall fail to comply with any of the covenants contained in §§7.4, 7.5, 7.15, 7.16, 8 and 9 hereof;</w:t>
      </w:r>
    </w:p>
    <w:p>
      <w:pPr>
        <w:spacing w:after="0" w:line="117" w:lineRule="exact"/>
        <w:rPr>
          <w:rFonts w:ascii="Arial" w:cs="Arial" w:eastAsia="Arial" w:hAnsi="Arial"/>
          <w:sz w:val="18"/>
          <w:szCs w:val="18"/>
          <w:color w:val="auto"/>
        </w:rPr>
      </w:pPr>
    </w:p>
    <w:p>
      <w:pPr>
        <w:jc w:val="both"/>
        <w:ind w:left="460" w:right="280" w:firstLine="443"/>
        <w:spacing w:after="0" w:line="264" w:lineRule="auto"/>
        <w:tabs>
          <w:tab w:leader="none" w:pos="11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73" w:lineRule="exact"/>
        <w:rPr>
          <w:rFonts w:ascii="Arial" w:cs="Arial" w:eastAsia="Arial" w:hAnsi="Arial"/>
          <w:sz w:val="18"/>
          <w:szCs w:val="18"/>
          <w:color w:val="auto"/>
        </w:rPr>
      </w:pPr>
    </w:p>
    <w:p>
      <w:pPr>
        <w:ind w:left="460" w:right="160" w:firstLine="443"/>
        <w:spacing w:after="0" w:line="277" w:lineRule="auto"/>
        <w:tabs>
          <w:tab w:leader="none" w:pos="11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62" w:lineRule="exact"/>
        <w:rPr>
          <w:rFonts w:ascii="Arial" w:cs="Arial" w:eastAsia="Arial" w:hAnsi="Arial"/>
          <w:sz w:val="18"/>
          <w:szCs w:val="18"/>
          <w:color w:val="auto"/>
        </w:rPr>
      </w:pPr>
    </w:p>
    <w:p>
      <w:pPr>
        <w:ind w:left="460" w:right="20" w:firstLine="443"/>
        <w:spacing w:after="0" w:line="312" w:lineRule="auto"/>
        <w:tabs>
          <w:tab w:leader="none" w:pos="112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Borrower or any of its Subsidiaries shall fail to pay when due, or within any applicable period of grace, any Indebtedness or obligations under Swap Contracts in an aggregate amount greater than $75,000,000, or fail to observe or perform any material term, covenant or agreement contained in any one or more agreements by which it is bound, evidencing or securing any Indebtedness or obligations under Swap</w:t>
      </w:r>
    </w:p>
    <w:p>
      <w:pPr>
        <w:spacing w:after="0" w:line="79" w:lineRule="exact"/>
        <w:rPr>
          <w:rFonts w:ascii="Arial" w:cs="Arial" w:eastAsia="Arial" w:hAnsi="Arial"/>
          <w:sz w:val="16"/>
          <w:szCs w:val="16"/>
          <w:color w:val="auto"/>
        </w:rPr>
      </w:pPr>
    </w:p>
    <w:p>
      <w:pPr>
        <w:ind w:left="5620" w:hanging="101"/>
        <w:spacing w:after="0"/>
        <w:tabs>
          <w:tab w:leader="none" w:pos="5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1340"/>
          </w:cols>
          <w:pgMar w:left="240" w:top="274" w:right="319" w:bottom="1440" w:gutter="0" w:footer="0" w:header="0"/>
        </w:sectPr>
      </w:pPr>
    </w:p>
    <w:bookmarkStart w:id="77" w:name="page78"/>
    <w:bookmarkEnd w:id="77"/>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Contracts in an aggregate amount greater than $75,000,000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73" w:lineRule="exact"/>
        <w:rPr>
          <w:sz w:val="20"/>
          <w:szCs w:val="20"/>
          <w:color w:val="auto"/>
        </w:rPr>
      </w:pPr>
    </w:p>
    <w:p>
      <w:pPr>
        <w:ind w:firstLine="443"/>
        <w:spacing w:after="0" w:line="271" w:lineRule="auto"/>
        <w:tabs>
          <w:tab w:leader="none" w:pos="693"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the Borrower, the Guarantor or any Significant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 or any Significant Subsidiary, or of any substantial part of the assets of the Borrower, the Guarantor or any Significant Subsidiary or commences any case or other proceeding relating to the Borrower,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 or any Significant Subsidiary or the Borrower, the Guarantor or any Significant Subsidiary indicates its approval thereof, consent thereto or acquiescence therein;</w:t>
      </w:r>
    </w:p>
    <w:p>
      <w:pPr>
        <w:spacing w:after="0" w:line="70" w:lineRule="exact"/>
        <w:rPr>
          <w:rFonts w:ascii="Arial" w:cs="Arial" w:eastAsia="Arial" w:hAnsi="Arial"/>
          <w:sz w:val="17"/>
          <w:szCs w:val="17"/>
          <w:color w:val="auto"/>
        </w:rPr>
      </w:pPr>
    </w:p>
    <w:p>
      <w:pPr>
        <w:jc w:val="both"/>
        <w:ind w:right="100" w:firstLine="443"/>
        <w:spacing w:after="0" w:line="259" w:lineRule="auto"/>
        <w:tabs>
          <w:tab w:leader="none" w:pos="6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 decree or order is entered appointing any such trustee, custodian, liquidator or receiver or adjudicating the Borrower or the Guarantor or any Significant Subsidiary bankrupt or insolvent, or approving a petition in any such case or other proceeding, or a decree or order for relief is entered in respect of the Borrower or the Guarantor or any Significant Subsidiary in an involuntary case under federal bankruptcy laws of any jurisdiction as now or hereafter constituted;</w:t>
      </w:r>
    </w:p>
    <w:p>
      <w:pPr>
        <w:spacing w:after="0" w:line="78" w:lineRule="exact"/>
        <w:rPr>
          <w:rFonts w:ascii="Arial" w:cs="Arial" w:eastAsia="Arial" w:hAnsi="Arial"/>
          <w:sz w:val="18"/>
          <w:szCs w:val="18"/>
          <w:color w:val="auto"/>
        </w:rPr>
      </w:pPr>
    </w:p>
    <w:p>
      <w:pPr>
        <w:ind w:right="160" w:firstLine="443"/>
        <w:spacing w:after="0" w:line="264" w:lineRule="auto"/>
        <w:tabs>
          <w:tab w:leader="none" w:pos="6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$50,000,000 after taking into account any undisputed insurance coverage;</w:t>
      </w:r>
    </w:p>
    <w:p>
      <w:pPr>
        <w:spacing w:after="0" w:line="73" w:lineRule="exact"/>
        <w:rPr>
          <w:rFonts w:ascii="Arial" w:cs="Arial" w:eastAsia="Arial" w:hAnsi="Arial"/>
          <w:sz w:val="18"/>
          <w:szCs w:val="18"/>
          <w:color w:val="auto"/>
        </w:rPr>
      </w:pPr>
    </w:p>
    <w:p>
      <w:pPr>
        <w:ind w:right="20" w:firstLine="443"/>
        <w:spacing w:after="0" w:line="255" w:lineRule="auto"/>
        <w:tabs>
          <w:tab w:leader="none" w:pos="6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with respect to any Guaranteed Pension Plan, an ERISA Reportable Event shall have occurred and the Banks shall have determined in their reasonable discretion that such event reasonably could be expected to result in liability of the Borrower or any Subsidiary to the PBGC or such Plan in an aggregate amount exceeding $50,000,000 and such event in the circumstances occurring reasonably could constitute grounds for the partial or complete termination of such Plan by the PBGC or for the appointment by the appropriate United States District Court of a trustee to administer such Plan; or a trustee shall have been appointed by the appropriate United States District Court to administer such Plan; or the PBGC shall have instituted proceedings to terminate such Plan;</w:t>
      </w:r>
    </w:p>
    <w:p>
      <w:pPr>
        <w:spacing w:after="0" w:line="85" w:lineRule="exact"/>
        <w:rPr>
          <w:rFonts w:ascii="Arial" w:cs="Arial" w:eastAsia="Arial" w:hAnsi="Arial"/>
          <w:sz w:val="18"/>
          <w:szCs w:val="18"/>
          <w:color w:val="auto"/>
        </w:rPr>
      </w:pPr>
    </w:p>
    <w:p>
      <w:pPr>
        <w:ind w:right="320" w:firstLine="443"/>
        <w:spacing w:after="0" w:line="277" w:lineRule="auto"/>
        <w:tabs>
          <w:tab w:leader="none" w:pos="6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any of the Loan Documents shall be cancelled, terminated, revoked or rescinded otherwise than in accordance with the terms thereof or with the express prior written agreement, consent or approval of the Banks, or any action at law, suit or in</w:t>
      </w:r>
    </w:p>
    <w:p>
      <w:pPr>
        <w:spacing w:after="0" w:line="102" w:lineRule="exact"/>
        <w:rPr>
          <w:rFonts w:ascii="Arial" w:cs="Arial" w:eastAsia="Arial" w:hAnsi="Arial"/>
          <w:sz w:val="18"/>
          <w:szCs w:val="18"/>
          <w:color w:val="auto"/>
        </w:rPr>
      </w:pPr>
    </w:p>
    <w:p>
      <w:pPr>
        <w:ind w:left="5160" w:hanging="101"/>
        <w:spacing w:after="0"/>
        <w:tabs>
          <w:tab w:leader="none" w:pos="51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0920"/>
          </w:cols>
          <w:pgMar w:left="700" w:top="274" w:right="279" w:bottom="1440" w:gutter="0" w:footer="0" w:header="0"/>
        </w:sectPr>
      </w:pPr>
    </w:p>
    <w:bookmarkStart w:id="78" w:name="page79"/>
    <w:bookmarkEnd w:id="78"/>
    <w:p>
      <w:pPr>
        <w:ind w:left="46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or other legal proceeding to cancel, revoke or rescind any of the Loan Documents shall be commenced by or on behalf of the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79" w:lineRule="exact"/>
        <w:rPr>
          <w:sz w:val="20"/>
          <w:szCs w:val="20"/>
          <w:color w:val="auto"/>
        </w:rPr>
      </w:pPr>
    </w:p>
    <w:p>
      <w:pPr>
        <w:ind w:left="460" w:right="100" w:firstLine="443"/>
        <w:spacing w:after="0" w:line="255" w:lineRule="auto"/>
        <w:tabs>
          <w:tab w:leader="none" w:pos="11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(together with any new directors whose election by such board or whose nomination for election by the shareholders of the Borrower was approved by a vote of a majority of the directors still in office who were either directors at the beginning of such period or whose election or nomination for election was previously so approved) shall cease to constitute a majority of the board of directors of the Borrower;</w:t>
      </w:r>
    </w:p>
    <w:p>
      <w:pPr>
        <w:spacing w:after="0" w:line="18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then, and in any such event, so long as the same may be continuing, the Administrative Agent may, and upon the request of the Majority Banks shall, by notice in writing to the Borrower, declare all amounts owing with respect to this Agreement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§12.1(g) or 12.1(h) with respect to the Borrower or the Guarantor, all such amounts shall become immediately due and 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162" w:lineRule="exact"/>
        <w:rPr>
          <w:sz w:val="20"/>
          <w:szCs w:val="20"/>
          <w:color w:val="auto"/>
        </w:rPr>
      </w:pPr>
    </w:p>
    <w:p>
      <w:pPr>
        <w:ind w:firstLine="913"/>
        <w:spacing w:after="0" w:line="292" w:lineRule="auto"/>
        <w:rPr>
          <w:sz w:val="20"/>
          <w:szCs w:val="20"/>
          <w:color w:val="auto"/>
        </w:rPr>
      </w:pPr>
      <w:r>
        <w:rPr>
          <w:rFonts w:ascii="Arial" w:cs="Arial" w:eastAsia="Arial" w:hAnsi="Arial"/>
          <w:sz w:val="16"/>
          <w:szCs w:val="16"/>
          <w:b w:val="1"/>
          <w:bCs w:val="1"/>
          <w:color w:val="auto"/>
        </w:rPr>
        <w:t>§12.2. Termination of Commitments</w:t>
      </w:r>
      <w:r>
        <w:rPr>
          <w:rFonts w:ascii="Arial" w:cs="Arial" w:eastAsia="Arial" w:hAnsi="Arial"/>
          <w:sz w:val="16"/>
          <w:szCs w:val="16"/>
          <w:color w:val="auto"/>
        </w:rPr>
        <w:t>. If any Event of Default pursuant to §§ 12.1(g) or 12.1(h) hereof shall occur with respect to the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or the Guarantor,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20"/>
          </w:cols>
          <w:pgMar w:left="240" w:top="274" w:right="239" w:bottom="1440" w:gutter="0" w:footer="0" w:header="0"/>
        </w:sectPr>
      </w:pPr>
    </w:p>
    <w:bookmarkStart w:id="79" w:name="page80"/>
    <w:bookmarkEnd w:id="79"/>
    <w:p>
      <w:pPr>
        <w:ind w:right="40" w:firstLine="913"/>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§12.3. Remedies</w:t>
      </w:r>
      <w:r>
        <w:rPr>
          <w:rFonts w:ascii="Arial" w:cs="Arial" w:eastAsia="Arial" w:hAnsi="Arial"/>
          <w:sz w:val="17"/>
          <w:szCs w:val="17"/>
          <w:color w:val="auto"/>
        </w:rPr>
        <w:t>. In case any one or more of the Events of Default shall have occurred and be continuing, and whether or not the Banks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have accelerated the maturity of the Loans and other Obligations pursuant to §12.1, the Administrative Agent shall, at the request of, or may, with the consent of, the Majority Banks, proceed to protect and enforce the respective rights of the Administrative Agent and the Banks by suit in equity, action at law or other appropriate proceeding, whether for the specific performance of any covenant or agreement contained in this Agreement and the other Loan Documents or any instrument pursuant to which the Obligations to the Administrative Agent or the Banks are evidenced, including, without limitation, as permitted by applicable law the obtaining of the </w:t>
      </w:r>
      <w:r>
        <w:rPr>
          <w:rFonts w:ascii="Arial" w:cs="Arial" w:eastAsia="Arial" w:hAnsi="Arial"/>
          <w:sz w:val="17"/>
          <w:szCs w:val="17"/>
          <w:u w:val="single" w:color="auto"/>
          <w:color w:val="auto"/>
        </w:rPr>
        <w:t>ex parte</w:t>
      </w:r>
      <w:r>
        <w:rPr>
          <w:rFonts w:ascii="Arial" w:cs="Arial" w:eastAsia="Arial" w:hAnsi="Arial"/>
          <w:sz w:val="17"/>
          <w:szCs w:val="17"/>
          <w:color w:val="auto"/>
        </w:rPr>
        <w:t xml:space="preserve"> appointment of a receiver, and, if such amount shall have become due, by declaration or otherwise, proceed to enforce the payment thereof or any legal or equitable right available to the Administrative Agent and the Banks, any recovery being subject to the terms of §29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7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u w:val="single" w:color="auto"/>
          <w:color w:val="auto"/>
        </w:rPr>
        <w:t>SETOFF</w:t>
      </w:r>
      <w:r>
        <w:rPr>
          <w:rFonts w:ascii="Arial" w:cs="Arial" w:eastAsia="Arial" w:hAnsi="Arial"/>
          <w:sz w:val="16"/>
          <w:szCs w:val="16"/>
          <w:color w:val="auto"/>
        </w:rPr>
        <w:t>. During the continuance of an Event of Default, any deposits or other sums credited by or due from any Bank to the Borrower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or other property of the Borrower in the possession of such Bank may be applied to or set off against the payment of the Obligations and any and all other liabilities, direct, or indirect, absolute or contingent, due or to become due, now existing or hereafter arising, of the Borrower to the Banks or the Administrative Agent. Any amounts set off with respect to the Obligations shall, except to the extent §5.14 applies, be distributed ratably in accordance with §29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156"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b w:val="1"/>
          <w:bCs w:val="1"/>
          <w:u w:val="single" w:color="auto"/>
          <w:color w:val="auto"/>
        </w:rPr>
        <w:t>EXPENSES</w:t>
      </w:r>
      <w:r>
        <w:rPr>
          <w:rFonts w:ascii="Arial" w:cs="Arial" w:eastAsia="Arial" w:hAnsi="Arial"/>
          <w:sz w:val="17"/>
          <w:szCs w:val="17"/>
          <w:color w:val="auto"/>
        </w:rPr>
        <w:t>. Whether or not the transactions contemplated herein shall be consummated, the Borrower hereby promises to reimburse the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Agent and the Lead Arrangers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THE AGENTS</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§15.1. Authorization and Action</w:t>
      </w:r>
      <w:r>
        <w:rPr>
          <w:rFonts w:ascii="Arial" w:cs="Arial" w:eastAsia="Arial" w:hAnsi="Arial"/>
          <w:sz w:val="18"/>
          <w:szCs w:val="18"/>
          <w:color w:val="auto"/>
        </w:rPr>
        <w:t>. Each Bank hereby irrevocably appoints Bank of America as Administrative Agent hereunder and authorizes</w:t>
      </w:r>
      <w:r>
        <w:rPr>
          <w:rFonts w:ascii="Arial" w:cs="Arial" w:eastAsia="Arial" w:hAnsi="Arial"/>
          <w:sz w:val="18"/>
          <w:szCs w:val="18"/>
          <w:b w:val="1"/>
          <w:bCs w:val="1"/>
          <w:color w:val="auto"/>
        </w:rPr>
        <w:t xml:space="preserve"> </w:t>
      </w:r>
      <w:r>
        <w:rPr>
          <w:rFonts w:ascii="Arial" w:cs="Arial" w:eastAsia="Arial" w:hAnsi="Arial"/>
          <w:sz w:val="18"/>
          <w:szCs w:val="18"/>
          <w:color w:val="auto"/>
        </w:rPr>
        <w:t>Bank of America to take such action as Administrative Agent on its behalf and to exercise such powers under this Agreement as are delegated to the Administrative Agent by the terms hereof and thereof,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270" w:right="239" w:bottom="1440" w:gutter="0" w:footer="0" w:header="0"/>
        </w:sectPr>
      </w:pPr>
    </w:p>
    <w:bookmarkStart w:id="80" w:name="page81"/>
    <w:bookmarkEnd w:id="80"/>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together with such powers as are reasonably incidental thereto. As to any matters not expressly provided for by this Agreement and the other Loan Documents, the Administrative Agent shall not be required to exercise any discretion or take any action, but shall be required to act or to refrain from acting (and shall be fully protected in so acting or refraining from acting) upon the instructions of the Majority Banks (or, when expressly required hereby, all of the Banks), and such instructions shall be binding upon all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Administrative Agent shall not be required to take any action which exposes the Administrative Agent to personal liability or which is contrary to this Agreement or the other Loan Documents or applicable law.</w:t>
      </w:r>
    </w:p>
    <w:p>
      <w:pPr>
        <w:spacing w:after="0" w:line="154"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b w:val="1"/>
          <w:bCs w:val="1"/>
          <w:color w:val="auto"/>
        </w:rPr>
        <w:t>§15.2. Administrative Agent’s Reliance, Etc</w:t>
      </w:r>
      <w:r>
        <w:rPr>
          <w:rFonts w:ascii="Arial" w:cs="Arial" w:eastAsia="Arial" w:hAnsi="Arial"/>
          <w:sz w:val="16"/>
          <w:szCs w:val="16"/>
          <w:color w:val="auto"/>
        </w:rPr>
        <w:t>. Neither the Administrative Agent nor any of its directors, officers, agents or employees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liable to any of the Banks for any action taken or omitted to be taken by it or them under or in connection with this Agreement or the other Loan Documents, except for its or their own gross negligence or willful misconduct. Without limitation of the generality of the foregoing, the Administrative Agent: (i) may consult with legal counsel (including counsel for the Borrower), independent public accountants and other experts selected by it and shall not be liable to the Banks for any action taken or omitted to be taken in good faith by it in accordance with the advice of such counsel, accountants or experts; (ii) shall not be subject to any fiduciary or other implied duties, regardless of whether a Default has occurred and is continuing; (iii)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 (iv) makes no warranty or representation to any Bank and shall not be responsible to any Bank for any statements, warranties or representations (whether written or oral) made in or in connection with this Agreement or the other Loan Documents; (v) shall not have any duty to ascertain or to inquire as to the performance or observance of any of the terms, covenants or conditions of this Agreement or the other Loan Documents on the part of the Borrower or the Guarantor (or as to the contents of any certificate, report or other document delivered hereunder or thereunder) or to inspect the property (including the books and records) of the Borrower or the Guarantor or any of their Subsidiaries, and shall not be deemed to have knowledge or notice of any Default or Event of Default unless and until it shall have received, at its office specified in §22, a notice describing the same and entitled “Notice of Default”; (vi) shall not be responsible to any Bank for the due execution (other than its own), legality, validity, enforceability, genuineness, sufficiency or value of this Agreement or any related agreement, instrument or document furnished pursuant hereto; and (vii) shall incur no liability to the Banks under or in respect of this Agreement by acting upon any notice, consent, certificate or other instrument or writing (which may be by telecopier, telegram, cable or telex) reasonably believed by it to be genuine and signed or sent by the proper party or parties. In determining compliance with any condition hereunder to the making of a Loan, or the issuance of a Letter of Credit, that by its terms must be fulfilled to the satisfaction of a Bank or an Issuing Bank, the Administrative Agent may presume that such condition is satisfactory to such Bank or Issuing Bank unless the Administrative Agent shall have received notice to the contrary from such Bank or Issuing Bank prior to the making of such Loan or the issuance of such Letter of Credit.</w:t>
      </w:r>
    </w:p>
    <w:p>
      <w:pPr>
        <w:spacing w:after="0" w:line="384" w:lineRule="exact"/>
        <w:rPr>
          <w:sz w:val="20"/>
          <w:szCs w:val="20"/>
          <w:color w:val="auto"/>
        </w:rPr>
      </w:pPr>
    </w:p>
    <w:p>
      <w:pPr>
        <w:ind w:right="360" w:firstLine="913"/>
        <w:spacing w:after="0" w:line="282" w:lineRule="auto"/>
        <w:rPr>
          <w:sz w:val="20"/>
          <w:szCs w:val="20"/>
          <w:color w:val="auto"/>
        </w:rPr>
      </w:pPr>
      <w:r>
        <w:rPr>
          <w:rFonts w:ascii="Arial" w:cs="Arial" w:eastAsia="Arial" w:hAnsi="Arial"/>
          <w:sz w:val="18"/>
          <w:szCs w:val="18"/>
          <w:b w:val="1"/>
          <w:bCs w:val="1"/>
          <w:color w:val="auto"/>
        </w:rPr>
        <w:t>§15.3. Bank of America and Affiliates</w:t>
      </w:r>
      <w:r>
        <w:rPr>
          <w:rFonts w:ascii="Arial" w:cs="Arial" w:eastAsia="Arial" w:hAnsi="Arial"/>
          <w:sz w:val="18"/>
          <w:szCs w:val="18"/>
          <w:color w:val="auto"/>
        </w:rPr>
        <w:t>. With respect to its Commitment, Bank of America shall have the same rights and powers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under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20"/>
          </w:cols>
          <w:pgMar w:left="240" w:top="274" w:right="239" w:bottom="1440" w:gutter="0" w:footer="0" w:header="0"/>
        </w:sectPr>
      </w:pPr>
    </w:p>
    <w:bookmarkStart w:id="81" w:name="page82"/>
    <w:bookmarkEnd w:id="81"/>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Loan Documents as any other Bank and may exercise the same as though it were not the Administrative Agent, and the term “Bank” or “Banks” shall, unless otherwise expressly indicated, include Bank of America in its individual capacity. Bank of America and its Bank Affiliates may accept deposits from, lend money to, act as trustee under indentures of, and generally engage in any kind of business with, the Borrower, the Guarantor, any of their Subsidiaries and any Person who may do business with or own securities of the Borrower, the Guarantor, or any such Subsidiary, all as if Bank of America were not the Administrative Agent and without any duty to account therefor to the Banks. The Administrative Agent may perform any and all of its duties and exercise its rights and powers hereunder or under any other Loan Document by or through any one or more sub-agents appointed by the Administrative Agent. To the extent any such rights or powers are delegated to a sub-agent, the Administrative Agent shall remain responsible for such sub-agent’s performance or exercise of such duties, rights and powers; provided, that the exculpatory provisions of this Agreement (including the provisions in §15) shall apply to any such sub-agent.</w:t>
      </w:r>
    </w:p>
    <w:p>
      <w:pPr>
        <w:spacing w:after="0" w:line="193" w:lineRule="exact"/>
        <w:rPr>
          <w:sz w:val="20"/>
          <w:szCs w:val="20"/>
          <w:color w:val="auto"/>
        </w:rPr>
      </w:pPr>
    </w:p>
    <w:p>
      <w:pPr>
        <w:ind w:right="20" w:firstLine="913"/>
        <w:spacing w:after="0" w:line="277" w:lineRule="auto"/>
        <w:rPr>
          <w:sz w:val="20"/>
          <w:szCs w:val="20"/>
          <w:color w:val="auto"/>
        </w:rPr>
      </w:pPr>
      <w:r>
        <w:rPr>
          <w:rFonts w:ascii="Arial" w:cs="Arial" w:eastAsia="Arial" w:hAnsi="Arial"/>
          <w:sz w:val="17"/>
          <w:szCs w:val="17"/>
          <w:b w:val="1"/>
          <w:bCs w:val="1"/>
          <w:color w:val="auto"/>
        </w:rPr>
        <w:t>§15.4. Bank Credit Decision</w:t>
      </w:r>
      <w:r>
        <w:rPr>
          <w:rFonts w:ascii="Arial" w:cs="Arial" w:eastAsia="Arial" w:hAnsi="Arial"/>
          <w:sz w:val="17"/>
          <w:szCs w:val="17"/>
          <w:color w:val="auto"/>
        </w:rPr>
        <w:t>. Each Bank acknowledges that it has, independently and without reliance upon the Administrative Agent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Bank and based on the financial statements referred to in §6.4 and such other documents and information as it has deemed appropriate, made its own credit analysis and decision to enter into this Agreement and the other Loan Documents. Each Bank also acknowledges that it will, independently and without reliance upon the Administrative Agent or any other Bank and based on such documents and information as it shall deem appropriate at the time, continue to make its own credit decisions in taking or not taking action under this Agreement and the other Loan Documents.</w:t>
      </w:r>
    </w:p>
    <w:p>
      <w:pPr>
        <w:spacing w:after="0" w:line="16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§15.5. Indemnification</w:t>
      </w:r>
      <w:r>
        <w:rPr>
          <w:rFonts w:ascii="Arial" w:cs="Arial" w:eastAsia="Arial" w:hAnsi="Arial"/>
          <w:sz w:val="16"/>
          <w:szCs w:val="16"/>
          <w:color w:val="auto"/>
        </w:rPr>
        <w:t>. The Banks agree to indemnify the Administrative Agent (to the extent not reimbursed by the Borrower), ratably</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 to the respective amounts of their Commitments as most recently in effect at the time such indemnity is sought, from and against any and all liabilities, obligations, losses, damages, penalties, actions, judgments, suits and reasonable costs, expenses and disbursements of any kind or nature whatsoever which may be imposed on, incurred by, or asserted against the Administrative Agent in any way relating to or arising out of this Agreement or the other Loan Documents or any action taken or omitted by the Administrative Agent under this Agreement or the other Loan Documents, provided that no Bank shall be liable for any portion of such liabilities, obligations, losses, damages, penalties, actions, judgments, suits, costs, expenses or disbursements resulting from the Administrative Agent’s gross negligence or willful misconduct or from a material breach by the Administrative Agent of its obligations under this Agreement or under any other Loan Document, as determined by a court of competent jurisdiction. Without limiting the foregoing, each Bank agrees to reimburse the Administrative Agent promptly upon demand for its ratable share as aforesaid of any reasonable out of pocket expenses (including reasonable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Administrative Agent is not reimbursed for such expenses by the Borrower.</w:t>
      </w:r>
    </w:p>
    <w:p>
      <w:pPr>
        <w:spacing w:after="0" w:line="169"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b w:val="1"/>
          <w:bCs w:val="1"/>
          <w:color w:val="auto"/>
        </w:rPr>
        <w:t>§15.6. Successor Administrative Agent</w:t>
      </w:r>
      <w:r>
        <w:rPr>
          <w:rFonts w:ascii="Arial" w:cs="Arial" w:eastAsia="Arial" w:hAnsi="Arial"/>
          <w:sz w:val="18"/>
          <w:szCs w:val="18"/>
          <w:color w:val="auto"/>
        </w:rPr>
        <w:t>. The Administrative Agent may resign at any time by giving written notice thereof to the Banks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may be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20"/>
          </w:cols>
          <w:pgMar w:left="240" w:top="274" w:right="239" w:bottom="1440" w:gutter="0" w:footer="0" w:header="0"/>
        </w:sectPr>
      </w:pPr>
    </w:p>
    <w:bookmarkStart w:id="82" w:name="page83"/>
    <w:bookmarkEnd w:id="8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removed at any time with or without cause by the Majority Banks. Upon any such resignation or removal, the Majority Banks shall have the right to appoint a successor Administrative Agent that, unless a Default or Event of Default shall have occurred and then be continuing, is reasonably acceptable to the Borrower. If no successor Administrative Agent shall have been so appointed by the Majority Banks, and shall have accepted such appointment, within 45 days after the retiring Administrative Agent’s giving of notice of resignation or the Majority Banks’ removal of the retiring Administrative Agent, then the retiring Administrative Agent may, on behalf of the Banks, appoint a successor Administrative Agent, which shall be a commercial bank, financial institution, trust company or similar entity regularly engaged in the business of administering syndicated loans and which successor Administrative Agent shall be organized under the laws of the United States of America or of any State thereof and have total assets of at least $1,000,000,000;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Banks that no such qualifying Person has accepted such appointment, then (x) such resignation shall nonetheless become effective in accordance with such notice and the retiring Administrative Agent shall be discharged from its duties and obligations hereunder and under the other Loan Documents, and (y) the Borrower may appoint a successor Administrative Agent to act until replaced by a successor Administrative Agent that is appointed by the Majority Banks (which successor Administrative Agent appointed by the Borrower shall be a commercial bank, financial institution, trust company or similar entity regularly engaged in the business of administering syndicated loans that is organized under the laws of the United States of America or of any State thereof and have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not already discharged therefrom as provided above in this Section). After any retiring Administrative Agent’s resignation or removal hereunder as Administrative Agent, the provisions of this §15 and §16 shall inure to its benefit as to any actions taken or omitted to be taken by it while it was Administrative Agent under this Agreement.</w:t>
      </w:r>
    </w:p>
    <w:p>
      <w:pPr>
        <w:spacing w:after="0" w:line="169" w:lineRule="exact"/>
        <w:rPr>
          <w:sz w:val="20"/>
          <w:szCs w:val="20"/>
          <w:color w:val="auto"/>
        </w:rPr>
      </w:pPr>
    </w:p>
    <w:p>
      <w:pPr>
        <w:ind w:right="260" w:firstLine="913"/>
        <w:spacing w:after="0" w:line="313" w:lineRule="auto"/>
        <w:rPr>
          <w:sz w:val="20"/>
          <w:szCs w:val="20"/>
          <w:color w:val="auto"/>
        </w:rPr>
      </w:pPr>
      <w:r>
        <w:rPr>
          <w:rFonts w:ascii="Arial" w:cs="Arial" w:eastAsia="Arial" w:hAnsi="Arial"/>
          <w:sz w:val="17"/>
          <w:szCs w:val="17"/>
          <w:b w:val="1"/>
          <w:bCs w:val="1"/>
          <w:color w:val="auto"/>
        </w:rPr>
        <w:t>§15.7. Lead Arrangers, Etc</w:t>
      </w:r>
      <w:r>
        <w:rPr>
          <w:rFonts w:ascii="Arial" w:cs="Arial" w:eastAsia="Arial" w:hAnsi="Arial"/>
          <w:sz w:val="17"/>
          <w:szCs w:val="17"/>
          <w:color w:val="auto"/>
        </w:rPr>
        <w:t>. The parties identified on the cover hereof as Lead Arrangers and Joint Bookrunners, Documentation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Co- Documentation Agents shall have no obligations or liabilities under this Agreement and the other Loan Documents.</w:t>
      </w:r>
    </w:p>
    <w:p>
      <w:pPr>
        <w:spacing w:after="0" w:line="138" w:lineRule="exact"/>
        <w:rPr>
          <w:sz w:val="20"/>
          <w:szCs w:val="20"/>
          <w:color w:val="auto"/>
        </w:rPr>
      </w:pPr>
    </w:p>
    <w:p>
      <w:pPr>
        <w:ind w:right="40" w:firstLine="913"/>
        <w:spacing w:after="0" w:line="314" w:lineRule="auto"/>
        <w:rPr>
          <w:sz w:val="20"/>
          <w:szCs w:val="20"/>
          <w:color w:val="auto"/>
        </w:rPr>
      </w:pPr>
      <w:r>
        <w:rPr>
          <w:rFonts w:ascii="Arial" w:cs="Arial" w:eastAsia="Arial" w:hAnsi="Arial"/>
          <w:sz w:val="16"/>
          <w:szCs w:val="16"/>
          <w:b w:val="1"/>
          <w:bCs w:val="1"/>
          <w:color w:val="auto"/>
        </w:rPr>
        <w:t>§15.8. Documents</w:t>
      </w:r>
      <w:r>
        <w:rPr>
          <w:rFonts w:ascii="Arial" w:cs="Arial" w:eastAsia="Arial" w:hAnsi="Arial"/>
          <w:sz w:val="16"/>
          <w:szCs w:val="16"/>
          <w:color w:val="auto"/>
        </w:rPr>
        <w:t>. The Administrative Agent will forward to each Bank, promptly after receipt thereof, a copy of each notice or other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furnished to the Administrative Agent for such Bank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the Administrative Agent may furnish to the Banks a monthly summary with respect to Letters of Credit issued hereunder in lieu of copies of the related Letter of Credit Applications.</w:t>
      </w:r>
    </w:p>
    <w:p>
      <w:pPr>
        <w:spacing w:after="0" w:line="142" w:lineRule="exact"/>
        <w:rPr>
          <w:sz w:val="20"/>
          <w:szCs w:val="20"/>
          <w:color w:val="auto"/>
        </w:rPr>
      </w:pPr>
    </w:p>
    <w:p>
      <w:pPr>
        <w:ind w:right="140" w:firstLine="913"/>
        <w:spacing w:after="0" w:line="261" w:lineRule="auto"/>
        <w:rPr>
          <w:sz w:val="20"/>
          <w:szCs w:val="20"/>
          <w:color w:val="auto"/>
        </w:rPr>
      </w:pPr>
      <w:r>
        <w:rPr>
          <w:rFonts w:ascii="Arial" w:cs="Arial" w:eastAsia="Arial" w:hAnsi="Arial"/>
          <w:sz w:val="18"/>
          <w:szCs w:val="18"/>
          <w:b w:val="1"/>
          <w:bCs w:val="1"/>
          <w:color w:val="auto"/>
        </w:rPr>
        <w:t xml:space="preserve">§15.9. Action by the Banks, Consents, Amendments, Waivers, Etc. </w:t>
      </w:r>
      <w:r>
        <w:rPr>
          <w:rFonts w:ascii="Arial" w:cs="Arial" w:eastAsia="Arial" w:hAnsi="Arial"/>
          <w:sz w:val="18"/>
          <w:szCs w:val="18"/>
          <w:color w:val="auto"/>
        </w:rPr>
        <w:t>(a) No failure or delay by the Administrative Agent, any Issuing Bank or</w:t>
      </w:r>
      <w:r>
        <w:rPr>
          <w:rFonts w:ascii="Arial" w:cs="Arial" w:eastAsia="Arial" w:hAnsi="Arial"/>
          <w:sz w:val="18"/>
          <w:szCs w:val="18"/>
          <w:b w:val="1"/>
          <w:bCs w:val="1"/>
          <w:color w:val="auto"/>
        </w:rPr>
        <w:t xml:space="preserve"> </w:t>
      </w:r>
      <w:r>
        <w:rPr>
          <w:rFonts w:ascii="Arial" w:cs="Arial" w:eastAsia="Arial" w:hAnsi="Arial"/>
          <w:sz w:val="18"/>
          <w:szCs w:val="18"/>
          <w:color w:val="auto"/>
        </w:rPr>
        <w:t>any Bank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20"/>
          </w:cols>
          <w:pgMar w:left="240" w:top="274" w:right="239" w:bottom="1440" w:gutter="0" w:footer="0" w:header="0"/>
        </w:sectPr>
      </w:pPr>
    </w:p>
    <w:bookmarkStart w:id="83" w:name="page84"/>
    <w:bookmarkEnd w:id="83"/>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Banks and the Banks hereunder are cumulative and are not exclusive of any rights or remedies that they would otherwise have. No waiver of any provision of this Agreement or consent to any departure by the Borrower or the Guarantor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any Bank or the Issuing Bank may have had notice or knowledge of such Default or Event of Default at the time.</w:t>
      </w:r>
    </w:p>
    <w:p>
      <w:pPr>
        <w:spacing w:after="0" w:line="85" w:lineRule="exact"/>
        <w:rPr>
          <w:sz w:val="20"/>
          <w:szCs w:val="20"/>
          <w:color w:val="auto"/>
        </w:rPr>
      </w:pPr>
    </w:p>
    <w:p>
      <w:pPr>
        <w:ind w:left="460" w:firstLine="443"/>
        <w:spacing w:after="0" w:line="283" w:lineRule="auto"/>
        <w:tabs>
          <w:tab w:leader="none" w:pos="1153"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Except as otherwise provided in §3.1(a) hereof with respect to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neither this Agreement nor any provision hereof may be waived, amended or modified except pursuant to an agreement or agreements in writing entered into by the Borrower and the Majority Banks, and delivered to the Administrative Agent, or by the Borrower and the Administrative Agent with the consent of the Majority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Bank without the written consent of such Bank; (ii) reduce the principal amount of any Loan or Reimbursement Obligations, or reduce the rate of interest on the Loans or reduce any fees payable hereunder, without the written consent of each Bank affected thereby; (iii) postpone the date of any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the Borrower from its Obligations or the Guarantor from its Guaranteed Obligations hereunder without the written consent of each Bank; (v) modify §29(a) without the written consent of each Bank; (vi) modify the definition of “Commitment Percentage”; or</w:t>
      </w:r>
    </w:p>
    <w:p>
      <w:pPr>
        <w:spacing w:after="0" w:line="6" w:lineRule="exact"/>
        <w:rPr>
          <w:rFonts w:ascii="Arial" w:cs="Arial" w:eastAsia="Arial" w:hAnsi="Arial"/>
          <w:sz w:val="16"/>
          <w:szCs w:val="16"/>
          <w:color w:val="auto"/>
        </w:rPr>
      </w:pPr>
    </w:p>
    <w:p>
      <w:pPr>
        <w:ind w:left="460" w:right="100" w:firstLine="4"/>
        <w:spacing w:after="0" w:line="268" w:lineRule="auto"/>
        <w:tabs>
          <w:tab w:leader="none" w:pos="815"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change any of the provisions of this §15.9 or any provision of this Agreement requiring action by all the Banks, or the percentage of Banks constituting “Majority Banks”, without the written consent of each Bank;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agreement shall amend, modify or otherwise affect the rights or duties of the Administrative Agent, the Swing Line Bank or any Issuing Bank hereunder without the prior written consent of the Administrative Agent, the Swing Line Bank or the Issuing Banks, as the case may be. Notwithstanding anything to the contrary herein, no Defaulting Bank shall have any right to approve or disapprove any amendment, waiver or consent hereunder (and any amendment, waiver or consent which by its terms requires the consent of all Banks or each affected Bank may be effected with the consent of the applicable Banks other than Defaulting Banks), except that (x) the Commitment of any Defaulting Bank may not be increased or extended without the consent of such Bank and (y) any waiver, amendment or modification requiring the consent of all Banks or each affected Bank that by its terms affects any Defaulting Bank disproportionately adversely than other affected Banks shall require the consent of such Defaulting Bank.</w:t>
      </w:r>
    </w:p>
    <w:p>
      <w:pPr>
        <w:spacing w:after="0" w:line="178"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 The Borrower agrees to indemnify and hold harmless the Banks, the Issuing Banks, the Lead Arrangers and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and their affiliates, as well as their and their affiliates’ shareholders, directors, agents, officers, subsidiaries and affiliates, from and against all damages, losses, settlement payments, obligations, liabilities, claims, suits, penalties, assessments, citations, directives, demands, judgments, actions or causes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20"/>
          </w:cols>
          <w:pgMar w:left="240" w:top="274" w:right="239" w:bottom="1440" w:gutter="0" w:footer="0" w:header="0"/>
        </w:sectPr>
      </w:pPr>
    </w:p>
    <w:bookmarkStart w:id="84" w:name="page85"/>
    <w:bookmarkEnd w:id="84"/>
    <w:p>
      <w:pPr>
        <w:ind w:right="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or a material breach of the obligations of such indemnified party under this Agreement or under any other Loan Document, as determined by a court of competent jurisdiction. In any investigation, enforcement matter, proceeding or litigation, or the preparation therefor, the Banks, the Issuing Banks, the Lead Arrangers and the Administrative Agent shall be entitled to select their own counsel and, in addition to the foregoing indemnity, the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 shall be entitled to participate in such proceeding or litigation with counsel of their choice at their expense. In the case of an investigation, litigation or proceeding to which the indemnity in this §16 applies, such indemnity shall be effective, subject to the limitations herein, whether or not such investigation, litigation or proceeding is brought by the Borrower, the Borrower’s equityholders, affiliates or creditors or such an indemnified party, whether or not such indemnified party is otherwise a party thereto and whether or not the transactions contemplated hereby are consummated. The covenants of this §16 shall survive payment or satisfaction of payment of amounts owing with respect to any Note or the Loans and satisfaction of all the Obligations hereunder and under the Loan Documents, IT BEING THE INTENT OF THE PARTIES HERETO THAT ALL SUCH INDEMNIFIED PARTIES SHALL BE INDEMNIFIED FOR THEIR ORDINARY SOLE, COMPARATIVE OR CONTRIBUTORY NEGLIGENCE. WITHOUT LIMITATION OF THE FOREGOING, NO PARTY SHALL BE LIABLE TO ANY OTHER PARTY IN RESPECT OF ANY INDIRECT, CONSEQUENTIAL OR PUNITIVE DAMAGES ASSERTED BY SUCH OTHER PARTY WITH RESPECT TO THE MATTERS CONTEMPLATED BY THIS AGREEMENT, ANY OTHER LOAN DOCUMENT OR ANY USE MADE OR TO BE MADE WITH THE PROCEEDS OF ANY CREDIT EXTENSION HEREUNDER OR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The Borrower hereby agrees that:</w:t>
      </w:r>
    </w:p>
    <w:p>
      <w:pPr>
        <w:spacing w:after="0" w:line="121" w:lineRule="exact"/>
        <w:rPr>
          <w:sz w:val="20"/>
          <w:szCs w:val="20"/>
          <w:color w:val="auto"/>
        </w:rPr>
      </w:pPr>
    </w:p>
    <w:p>
      <w:pPr>
        <w:ind w:left="460" w:firstLine="443"/>
        <w:spacing w:after="0" w:line="270" w:lineRule="auto"/>
        <w:tabs>
          <w:tab w:leader="none" w:pos="1143"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each of the Administrative Agent and each of the Banks (including, without limitation, the Issuing Banks), (i) taxes imposed on, or measured by, its net income or profits, (ii) 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(iv) taxes imposed by reason of its failure to comply with any applicable certification, identification, information, documentation or other reporting requirement, and (v) any United States Federal withholding taxes imposed under FATCA (all such non-excluded taxes being hereinafter referred to as “</w:t>
      </w:r>
      <w:r>
        <w:rPr>
          <w:rFonts w:ascii="Arial" w:cs="Arial" w:eastAsia="Arial" w:hAnsi="Arial"/>
          <w:sz w:val="17"/>
          <w:szCs w:val="17"/>
          <w:u w:val="single" w:color="auto"/>
          <w:color w:val="auto"/>
        </w:rPr>
        <w:t>Indemnifiable Taxes</w:t>
      </w:r>
      <w:r>
        <w:rPr>
          <w:rFonts w:ascii="Arial" w:cs="Arial" w:eastAsia="Arial" w:hAnsi="Arial"/>
          <w:sz w:val="17"/>
          <w:szCs w:val="17"/>
          <w:color w:val="auto"/>
        </w:rPr>
        <w:t>”). In the event that any withholding or deduction from any payment to be made by the Borrower hereunder is required in respect of any</w:t>
      </w:r>
    </w:p>
    <w:p>
      <w:pPr>
        <w:spacing w:after="0" w:line="114" w:lineRule="exact"/>
        <w:rPr>
          <w:rFonts w:ascii="Arial" w:cs="Arial" w:eastAsia="Arial" w:hAnsi="Arial"/>
          <w:sz w:val="17"/>
          <w:szCs w:val="17"/>
          <w:color w:val="auto"/>
        </w:rPr>
      </w:pPr>
    </w:p>
    <w:p>
      <w:pPr>
        <w:ind w:left="5620" w:hanging="101"/>
        <w:spacing w:after="0"/>
        <w:tabs>
          <w:tab w:leader="none" w:pos="5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400"/>
          </w:cols>
          <w:pgMar w:left="240" w:top="274" w:right="259" w:bottom="1440" w:gutter="0" w:footer="0" w:header="0"/>
        </w:sectPr>
      </w:pPr>
    </w:p>
    <w:bookmarkStart w:id="85" w:name="page86"/>
    <w:bookmarkEnd w:id="8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Bank, as the case may be, agrees to use commercially reasonable efforts, at the expense of the Borrower, to contest or otherwise challenge such Indemnifiable Taxes if the Administrative Agent or such Bank, as applicable, determines in good faith that a reasonable basis exists to do so.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61" w:lineRule="exact"/>
        <w:rPr>
          <w:sz w:val="20"/>
          <w:szCs w:val="20"/>
          <w:color w:val="auto"/>
        </w:rPr>
      </w:pPr>
    </w:p>
    <w:p>
      <w:pPr>
        <w:ind w:right="40" w:firstLine="443"/>
        <w:spacing w:after="0" w:line="264" w:lineRule="auto"/>
        <w:tabs>
          <w:tab w:leader="none" w:pos="6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20" w:firstLine="443"/>
        <w:spacing w:after="0" w:line="272" w:lineRule="auto"/>
        <w:tabs>
          <w:tab w:leader="none" w:pos="683"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Borrower hereby indemnifies and holds harmless the Administrative Agent and each Bank for the full amount of Indemnifiable Taxes or Other Taxes (including, without limitation, any Indemnifiable Taxes or Other Taxes imposed on amounts payable under this §17)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69" w:lineRule="exact"/>
        <w:rPr>
          <w:rFonts w:ascii="Arial" w:cs="Arial" w:eastAsia="Arial" w:hAnsi="Arial"/>
          <w:sz w:val="17"/>
          <w:szCs w:val="17"/>
          <w:color w:val="auto"/>
        </w:rPr>
      </w:pPr>
    </w:p>
    <w:p>
      <w:pPr>
        <w:ind w:right="120" w:firstLine="443"/>
        <w:spacing w:after="0" w:line="277" w:lineRule="auto"/>
        <w:tabs>
          <w:tab w:leader="none" w:pos="6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Borrower pays any amount under this §17 to the Administrative Agent or any Bank and such payee knowingly receives a refund or tax credit in respect</w:t>
      </w:r>
    </w:p>
    <w:p>
      <w:pPr>
        <w:spacing w:after="0" w:line="102" w:lineRule="exact"/>
        <w:rPr>
          <w:rFonts w:ascii="Arial" w:cs="Arial" w:eastAsia="Arial" w:hAnsi="Arial"/>
          <w:sz w:val="18"/>
          <w:szCs w:val="18"/>
          <w:color w:val="auto"/>
        </w:rPr>
      </w:pPr>
    </w:p>
    <w:p>
      <w:pPr>
        <w:ind w:left="5160" w:hanging="101"/>
        <w:spacing w:after="0"/>
        <w:tabs>
          <w:tab w:leader="none" w:pos="5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0960"/>
          </w:cols>
          <w:pgMar w:left="700" w:top="274" w:right="239" w:bottom="1440" w:gutter="0" w:footer="0" w:header="0"/>
        </w:sectPr>
      </w:pPr>
    </w:p>
    <w:bookmarkStart w:id="86" w:name="page87"/>
    <w:bookmarkEnd w:id="86"/>
    <w:p>
      <w:pPr>
        <w:ind w:left="460" w:right="2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any taxes with respect to which such amount was paid, the Administrative Agent or such Bank, as the case may be, shall remit to the Borrower, promptly following the receipt thereof by such payee, an amount equal to the amount determined by such payee to be equal to the amount of any net reduction in taxes actually obtained by such payee and determined by it to be allocable to such refund or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decision as to whether or not to claim any such refund or credit, and as to the amount and allocation of any such refund or credit so claimed, shall be made by each such payee in its sole and absolute discretion; and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nothing herein shall be deemed to obligate any Bank or the Administrative Agent to disclose to the Borrower or the Guarantor its tax returns or any information regarding its tax affairs.</w:t>
      </w:r>
    </w:p>
    <w:p>
      <w:pPr>
        <w:spacing w:after="0" w:line="57" w:lineRule="exact"/>
        <w:rPr>
          <w:sz w:val="20"/>
          <w:szCs w:val="20"/>
          <w:color w:val="auto"/>
        </w:rPr>
      </w:pPr>
    </w:p>
    <w:p>
      <w:pPr>
        <w:ind w:left="460" w:right="120" w:firstLine="443"/>
        <w:spacing w:after="0" w:line="264" w:lineRule="auto"/>
        <w:tabs>
          <w:tab w:leader="none" w:pos="1143"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event any taxing authority notifies the Borrower or the Guarantor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73" w:lineRule="exact"/>
        <w:rPr>
          <w:rFonts w:ascii="Arial" w:cs="Arial" w:eastAsia="Arial" w:hAnsi="Arial"/>
          <w:sz w:val="18"/>
          <w:szCs w:val="18"/>
          <w:color w:val="auto"/>
        </w:rPr>
      </w:pPr>
    </w:p>
    <w:p>
      <w:pPr>
        <w:jc w:val="both"/>
        <w:ind w:left="460" w:right="120" w:firstLine="443"/>
        <w:spacing w:after="0" w:line="264" w:lineRule="auto"/>
        <w:tabs>
          <w:tab w:leader="none" w:pos="11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73"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Without prejudice to the survival of any other agreement of the parties hereunder, the agreements and obligations of the Borrower contained in this §17 shall survive the payment in full of the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b w:val="1"/>
          <w:bCs w:val="1"/>
          <w:u w:val="single" w:color="auto"/>
          <w:color w:val="auto"/>
        </w:rPr>
        <w:t>TREATMENT OF CERTAIN CONFIDENTIAL INFORMATION</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b w:val="1"/>
          <w:bCs w:val="1"/>
          <w:color w:val="auto"/>
        </w:rPr>
        <w:t>§18.1. Confidentiality</w:t>
      </w:r>
      <w:r>
        <w:rPr>
          <w:rFonts w:ascii="Arial" w:cs="Arial" w:eastAsia="Arial" w:hAnsi="Arial"/>
          <w:sz w:val="17"/>
          <w:szCs w:val="17"/>
          <w:color w:val="auto"/>
        </w:rPr>
        <w:t>. Each of the Banks and the Administrative Agent agrees, on behalf of itself and each of its affiliates,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limit the disclosure of any such information (a) after such information shall have become public other than through a violation of this §18, or becomes available to any of the Banks or the Administrative Agent on a nonconfidential basis from a source other than the Borrower, (b) to the extent required by statute, rule, regulation or judicial process, (c) to counsel, employees and/or agents for any of the Banks or the Administrative Agent, (d) to bank examiners or any other regulatory authority having jurisdiction over any Bank or any of its affiliates or the Administrative Agent or any self-regulatory body in which any of such Persons participates, or to auditors or accountants, (e) to the Administrative Agent, any Bank or any Financial Affiliate, (f) in connection with any litigation to which any one or more of the Banks, the Administrative Agent or any Financial Affiliate is a party, or in connection with the enforcement of rights or remedies hereunder or under any other Loan Document, (g) to a Bank Affiliate of any Bank</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360"/>
          </w:cols>
          <w:pgMar w:left="240" w:top="274" w:right="299" w:bottom="1440" w:gutter="0" w:footer="0" w:header="0"/>
        </w:sectPr>
      </w:pPr>
    </w:p>
    <w:bookmarkStart w:id="87" w:name="page88"/>
    <w:bookmarkEnd w:id="87"/>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or to any credit insurance provider relating to the Borrower and its Obligations so long as such assignee, participant, counterparty or credit insurance provider, as the case may be, agrees to be bound by a confidentiality agreement the provisions of which shall be no less restrictive than §18.1, or (i) with the consent of the Borrower.</w:t>
      </w:r>
    </w:p>
    <w:p>
      <w:pPr>
        <w:spacing w:after="0" w:line="150"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b w:val="1"/>
          <w:bCs w:val="1"/>
          <w:color w:val="auto"/>
        </w:rPr>
        <w:t>§18.2. Prior Notification</w:t>
      </w:r>
      <w:r>
        <w:rPr>
          <w:rFonts w:ascii="Arial" w:cs="Arial" w:eastAsia="Arial" w:hAnsi="Arial"/>
          <w:sz w:val="18"/>
          <w:szCs w:val="18"/>
          <w:color w:val="auto"/>
        </w:rPr>
        <w:t>. Unless specifically prohibited by applicable law or court order, each of the Banks and the Administrative Agent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disclosure thereof, notify the Borrower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180" w:lineRule="exact"/>
        <w:rPr>
          <w:sz w:val="20"/>
          <w:szCs w:val="20"/>
          <w:color w:val="auto"/>
        </w:rPr>
      </w:pPr>
    </w:p>
    <w:p>
      <w:pPr>
        <w:ind w:firstLine="913"/>
        <w:spacing w:after="0" w:line="303" w:lineRule="auto"/>
        <w:rPr>
          <w:sz w:val="20"/>
          <w:szCs w:val="20"/>
          <w:color w:val="auto"/>
        </w:rPr>
      </w:pPr>
      <w:r>
        <w:rPr>
          <w:rFonts w:ascii="Arial" w:cs="Arial" w:eastAsia="Arial" w:hAnsi="Arial"/>
          <w:sz w:val="16"/>
          <w:szCs w:val="16"/>
          <w:b w:val="1"/>
          <w:bCs w:val="1"/>
          <w:color w:val="auto"/>
        </w:rPr>
        <w:t>§18.3. Other</w:t>
      </w:r>
      <w:r>
        <w:rPr>
          <w:rFonts w:ascii="Arial" w:cs="Arial" w:eastAsia="Arial" w:hAnsi="Arial"/>
          <w:sz w:val="16"/>
          <w:szCs w:val="16"/>
          <w:color w:val="auto"/>
        </w:rPr>
        <w:t>. In no event shall any Bank or the Administrative Agent be obligated or required to return any materials furnished to it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Affiliate by the Borrower or any of its Subsidiaries. The obligations of each Bank under this §18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pacing w:after="0" w:line="15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 xml:space="preserve">§19. </w:t>
      </w:r>
      <w:r>
        <w:rPr>
          <w:rFonts w:ascii="Arial" w:cs="Arial" w:eastAsia="Arial" w:hAnsi="Arial"/>
          <w:sz w:val="16"/>
          <w:szCs w:val="16"/>
          <w:b w:val="1"/>
          <w:bCs w:val="1"/>
          <w:u w:val="single" w:color="auto"/>
          <w:color w:val="auto"/>
        </w:rPr>
        <w:t>SURVIVAL OF COVENANTS, ETC</w:t>
      </w:r>
      <w:r>
        <w:rPr>
          <w:rFonts w:ascii="Arial" w:cs="Arial" w:eastAsia="Arial" w:hAnsi="Arial"/>
          <w:sz w:val="16"/>
          <w:szCs w:val="16"/>
          <w:color w:val="auto"/>
        </w:rPr>
        <w:t>. Unless otherwise stated herein, all covenants, agreements, representations and warranties made herein,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Documents or in any documents or other papers delivered by or on behalf of the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or any Letter of Credit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6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18"/>
          <w:szCs w:val="18"/>
          <w:b w:val="1"/>
          <w:bCs w:val="1"/>
          <w:u w:val="single" w:color="auto"/>
          <w:color w:val="auto"/>
        </w:rPr>
        <w:t>ASSIGNMENT AND PARTICIPATION</w:t>
      </w:r>
      <w:r>
        <w:rPr>
          <w:rFonts w:ascii="Arial" w:cs="Arial" w:eastAsia="Arial" w:hAnsi="Arial"/>
          <w:sz w:val="18"/>
          <w:szCs w:val="18"/>
          <w:color w:val="auto"/>
        </w:rPr>
        <w:t>. It is understood and agreed that each Bank shall have the right to assign at any time all or a portion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Percentage and interests in the risk relating to the Loans, outstanding Letters of Credit and its Commitment hereunder in an amount equal to or greater than (except in the case of an assignment by a Bank to any other Bank or Bank Affiliate, or unless otherwise agreed to by the Borrower and the Administrative Agent) $5,000,000 (or, if a Bank’s Commitment is less than $5,000,000, in a minimum amount equal to such Bank’s Commitment; provided that prior to any Commitment reductions pursuant to §2.3.1, such Bank’s Commitment was at least $5,000,000), to additional banks, other financial institutions or Bank Affiliates (other than Defaulting Banks) with the prior written approval of the Administrative Agent, the Swing Line Bank and each Issuing Bank and,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360"/>
          </w:cols>
          <w:pgMar w:left="240" w:top="274" w:right="299" w:bottom="1440" w:gutter="0" w:footer="0" w:header="0"/>
        </w:sectPr>
      </w:pPr>
    </w:p>
    <w:bookmarkStart w:id="88" w:name="page89"/>
    <w:bookmarkEnd w:id="88"/>
    <w:p>
      <w:pPr>
        <w:ind w:right="1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so long as no Event of Default has occurred and is continuing, the consent of the Borrower (provided that (i) the Borrower’s consent shall not be required in the case of an assignment by a Bank to any other Bank, any Bank Affiliate of any Bank or any Approved Fund of any Bank and (ii) the Borrower shall be deemed to have consented to any such assignment unless it shall object thereto by written notice to the Administrative Agent within ten (10) Business Days after having received notice thereof), which approvals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approval shall be required by the Administrative Agent, the Swing Line Bank, any Issuing Bank or the Borrower for any assignment by BNP Paribas to either (A) Bank of the West or</w:t>
      </w:r>
    </w:p>
    <w:p>
      <w:pPr>
        <w:spacing w:after="0" w:line="2" w:lineRule="exact"/>
        <w:rPr>
          <w:sz w:val="20"/>
          <w:szCs w:val="20"/>
          <w:color w:val="auto"/>
        </w:rPr>
      </w:pPr>
    </w:p>
    <w:p>
      <w:pPr>
        <w:ind w:firstLine="8"/>
        <w:spacing w:after="0" w:line="283" w:lineRule="auto"/>
        <w:tabs>
          <w:tab w:leader="none" w:pos="2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BNP Paribas Fortis. Any Bank may at any time, and from time to time, assign to any branch, lending office, or Bank Affiliate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Assumption substantially in the form of Exhibit E hereto, or such other form approved by the Administrative Agent (an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together with an assignment fee in the amount of $3,500 payable by the assigning Bank to the Administrative Agent, shall, on the date specified in such Assignment and Assumption, become a party to this Agreement and the other Loan Documents for all purposes of this Agreement and the other Loan Documents, and its portion of the Commitment, the Loans and Letters of Credit shall be as set forth in such Assignment and Assumption; provided, that the Administrative Agent may, in its sole discretion, elect to waive such assignment fee. The Bank assignor thereunder shall, to the extent that rights and obligations hereunder have been assigned by it pursuant to such Assignment and Assumption, relinquish its rights (except for indemnity rights arising out of the period prior to such assignment) and be released from its obligations under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assignment by a Defaulting Bank will constitute a waiver or release of any claim of any party hereunder arising from that Bank’s having been a Defaulting Bank. In connection with any assignment of rights and obligations of any Defaulting Bank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Syndicated Loans previously requested but not funded by the Defaulting Bank, to each of which the applicable assignee and assignor hereby irrevocably consent), to (x) pay and satisfy in full all payment liabilities then owed by such Defaulting Bank to the Administrative Agent, the Issuing Banks or any Bank hereunder (and interest accrued thereon) and (y) acquire (and fund as appropriate) its full pro rata share of all Syndicated Loans and participations in Letters of Credit and Swing Line Loans in accordance with its Commitment Percentage. Notwithstanding the foregoing, in the event that any assignment of rights and obligations of any Defaulting Bank hereunder shall become effective under applicable law without compliance with the provisions of this paragraph, then the assignee of such interest shall be deemed to be a Defaulting Bank for all purposes of this Agreement until such compliance occurs. Upon the execution and delivery of such Assignment and Assumption (a) to the extent applicable, the Borrower shall issue Notes (and replacement Notes) or the Administrative Agent shall make appropriate entries on the applicable loan account(s) to reflect such assignment of Loan(s); and (b) this Agreement and Schedule 1 shall be deemed to be appropriately amended to reflect (i) the status of the bank,</w:t>
      </w:r>
    </w:p>
    <w:p>
      <w:pPr>
        <w:spacing w:after="0" w:line="330" w:lineRule="exact"/>
        <w:rPr>
          <w:rFonts w:ascii="Arial" w:cs="Arial" w:eastAsia="Arial" w:hAnsi="Arial"/>
          <w:sz w:val="16"/>
          <w:szCs w:val="16"/>
          <w:color w:val="auto"/>
        </w:rPr>
      </w:pPr>
    </w:p>
    <w:p>
      <w:pPr>
        <w:ind w:left="5620" w:hanging="101"/>
        <w:spacing w:after="0"/>
        <w:tabs>
          <w:tab w:leader="none" w:pos="5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420"/>
          </w:cols>
          <w:pgMar w:left="240" w:top="274" w:right="239" w:bottom="1440" w:gutter="0" w:footer="0" w:header="0"/>
        </w:sectPr>
      </w:pPr>
    </w:p>
    <w:bookmarkStart w:id="89" w:name="page90"/>
    <w:bookmarkEnd w:id="89"/>
    <w:p>
      <w:pPr>
        <w:ind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institution or Bank Affiliate as a party hereto and (ii) the status and rights of the Banks hereunder. The Administrative Agent, acting solely for this purpose as an agent of the Borrower, shall maintain at one of its offices in the United States a copy of each Assignment and Assumption delivered to it and a register for the recordation of the names and addresses of the Banks, and the Commitment Percentages of, and principal amounts (and stated interest) of the Loans owing to, each Bank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Banks shall treat each Person whose name is recorded in the Register pursuant to the terms hereof as a Bank hereunder for all purposes of this Agreement. The Register shall be available for inspection by the Borrower and any Bank, at any reasonable time and from time to time upon reasonable prior notice.</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Each Bank shall also have the right to grant participations to one or more banks, other financial institutions or Bank Affiliates (other than Defaulting Banks) in its Commitment, the Loans and outstanding Letters of Credit. The documents evidencing any such participation shall limit such participating bank’s, financial institution’s or Bank Affiliate’s, voting rights with respect to this Agreement to the matters set forth in §15.9(b)(i) – (v) and §15.9(b)(vi); and each such participant shall be entitled to the benefit of §5.5 hereof to the extent of its participation, subject to the limitations set forth therein. Each Bank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Bank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§5f.103-1(c) of the United States Treasury Regulations.</w:t>
      </w:r>
    </w:p>
    <w:p>
      <w:pPr>
        <w:spacing w:after="0" w:line="17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Notwithstanding the foregoing, no assignment or participation shall (a) be made to the Borrower or any of its affiliates, a Defaulting Bank or any of its Subsidiaries or a natural person (including any holding company, investment vehicle or trust for, or owned and operated for the primary benefit of a natural person) or (b) operate to increase the Total Commitment hereunder or otherwise alter the substantive terms of this Agreement, and no Bank which retains a Commitment hereunder shall have a Commitment of less than $5,000,000, except as a result of reductions in the Total Commitment pursuant to §2.3 hereof.</w:t>
      </w:r>
    </w:p>
    <w:p>
      <w:pPr>
        <w:spacing w:after="0" w:line="154"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Anything contained in this §20 to the contrary notwithstanding, any Bank may at any time pledge or assign a security interest in all or any portion of its interest and rights under this Agreement (including all or any portion of its Notes) to secure obligations of such Bank, including any pledge or assignment to secure obligations to a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Bank from any of its obligations hereunder or under any of the other Loan Documents or substitute any such pledgee or assignee for such Bank as a party hereto or thereto.</w:t>
      </w:r>
    </w:p>
    <w:p>
      <w:pPr>
        <w:spacing w:after="0" w:line="154"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Borrower agrees that in addition to disclosures made in accordance with standard and customary banking practices any Bank may disclose information obtained by such Bank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20"/>
          </w:cols>
          <w:pgMar w:left="240" w:top="274" w:right="239" w:bottom="1440" w:gutter="0" w:footer="0" w:header="0"/>
        </w:sectPr>
      </w:pPr>
    </w:p>
    <w:bookmarkStart w:id="90" w:name="page91"/>
    <w:bookmarkEnd w:id="90"/>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pursuant to this Agreement to assignees or participants and potential assignees or participants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assignees or participants or potential assignees or participants shall agree to be bound by §18 hereof.</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Notwithstanding anything to the contrary contained herein, if at any time a Bank that is an Issuing Bank or the Swing Line Bank assigns all of its Commitment and Syndicated Loans pursuant to this §20, such Bank may, (i) upon 45 days’ notice to the Borrower and the Banks, resign as an Issuing Bank and/or (ii) upon 45 days’ notice to the Borrower, resign as the Swing Line Bank. In the event of any such resignation as Issuing Bank or Swing Line Bank, the Borrower shall be entitled to appoint from among the Banks a successor Issuing Bank or Swing Line Bank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no failure by the Borrower to appoint any such successor shall affect the resignation of the Bank that has elected to resign as Issuing Bank or Swing Line Bank, as the case may be, and (y) any such appointment of a successor Issuing Bank or Swing Line Bank must be acceptable to the Bank appointed to act in such capacity. If a Bank resigns as Issuing Bank, it shall retain the rights, powers, privileges and duties of an Issuing Bank hereunder with respect to all Letters of Credit outstanding as of the effective date of its resignation as Issuing Bank and all Reimbursement Obligations with respect thereto (including the right to require the Banks to make Base Rate Syndicated Loans pursuant to §3.2(a) or fund Letter of Credit Participations pursuant to §3.1(c)). If a Bank resigns as the Swing Line Bank, it shall retain all the rights of the Swing Line Bank provided for hereunder with respect to Swing Line Loans made by it and outstanding as of the effective date of such resignation (including the right to require the Banks to make Base Rate Syndicated Loans or fund risk participations in outstanding Swing Line Loans pursuant to §2.11). Upon the appointment of a successor Issuing Bank and/or Swing Line Bank in accordance with the foregoing, (a) such successor shall succeed to and become vested with all of the rights, powers, privileges and duties of the retiring Issuing Bank or Swing Line Bank, as the case may be, and (b) the successor Issuing Bank shall issue letters of credit in substitution for the Letters of Credit issued by the resigning Issuing Bank, if any, that are outstanding at the time such resignation occurs or make other arrangements satisfactory to the resigning Issuing Bank to effectively assume the obligations of such resigning Issuing Bank with respect to such Letters of Credit.</w:t>
      </w:r>
    </w:p>
    <w:p>
      <w:pPr>
        <w:spacing w:after="0" w:line="174"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PARTIES IN INTEREST</w:t>
      </w:r>
      <w:r>
        <w:rPr>
          <w:rFonts w:ascii="Arial" w:cs="Arial" w:eastAsia="Arial" w:hAnsi="Arial"/>
          <w:sz w:val="16"/>
          <w:szCs w:val="16"/>
          <w:color w:val="auto"/>
        </w:rPr>
        <w:t>. All the terms of this Agreement and the other Loan Documents shall be binding upon and inure to the benefit of and be</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enforceable by the respective successors and assigns of the parties hereto and thereto; provided, that neither the Borrower nor the Guarantor shall assign or transfer its rights or obligations hereunder or thereunder without the prior written consent of each of the Banks and the Administrative Agent.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NOTICES, ETC</w:t>
      </w:r>
      <w:r>
        <w:rPr>
          <w:rFonts w:ascii="Arial" w:cs="Arial" w:eastAsia="Arial" w:hAnsi="Arial"/>
          <w:sz w:val="18"/>
          <w:szCs w:val="18"/>
          <w:color w:val="auto"/>
        </w:rPr>
        <w:t>.</w:t>
      </w:r>
    </w:p>
    <w:p>
      <w:pPr>
        <w:spacing w:after="0" w:line="121" w:lineRule="exact"/>
        <w:rPr>
          <w:sz w:val="20"/>
          <w:szCs w:val="20"/>
          <w:color w:val="auto"/>
        </w:rPr>
      </w:pPr>
    </w:p>
    <w:p>
      <w:pPr>
        <w:ind w:left="1140" w:hanging="237"/>
        <w:spacing w:after="0"/>
        <w:tabs>
          <w:tab w:leader="none" w:pos="11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Except in the case of notices and other communications expressly permitted to be given by telephone (and except as provided in subsection</w:t>
      </w:r>
    </w:p>
    <w:p>
      <w:pPr>
        <w:spacing w:after="0" w:line="46" w:lineRule="exact"/>
        <w:rPr>
          <w:rFonts w:ascii="Arial" w:cs="Arial" w:eastAsia="Arial" w:hAnsi="Arial"/>
          <w:sz w:val="16"/>
          <w:szCs w:val="16"/>
          <w:color w:val="auto"/>
        </w:rPr>
      </w:pPr>
    </w:p>
    <w:p>
      <w:pPr>
        <w:jc w:val="both"/>
        <w:ind w:left="460" w:right="280" w:firstLine="4"/>
        <w:spacing w:after="0" w:line="255" w:lineRule="auto"/>
        <w:tabs>
          <w:tab w:leader="none" w:pos="7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22" w:lineRule="exact"/>
        <w:rPr>
          <w:rFonts w:ascii="Arial" w:cs="Arial" w:eastAsia="Arial" w:hAnsi="Arial"/>
          <w:sz w:val="18"/>
          <w:szCs w:val="18"/>
          <w:color w:val="auto"/>
        </w:rPr>
      </w:pPr>
    </w:p>
    <w:p>
      <w:pPr>
        <w:ind w:left="5620" w:hanging="101"/>
        <w:spacing w:after="0"/>
        <w:tabs>
          <w:tab w:leader="none" w:pos="56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1420"/>
          </w:cols>
          <w:pgMar w:left="240" w:top="274" w:right="239" w:bottom="1440" w:gutter="0" w:footer="0" w:header="0"/>
        </w:sectPr>
      </w:pPr>
    </w:p>
    <w:bookmarkStart w:id="91" w:name="page92"/>
    <w:bookmarkEnd w:id="91"/>
    <w:p>
      <w:pPr>
        <w:ind w:left="460" w:right="20" w:firstLine="421"/>
        <w:spacing w:after="0" w:line="277" w:lineRule="auto"/>
        <w:tabs>
          <w:tab w:leader="none" w:pos="1095"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to the Borrower, the Administrative Agent, an Issuing Bank or the Swing Line Bank, to the address, telecopier number, electronic mail address or telephone number specified for such Person on </w:t>
      </w:r>
      <w:r>
        <w:rPr>
          <w:rFonts w:ascii="Arial" w:cs="Arial" w:eastAsia="Arial" w:hAnsi="Arial"/>
          <w:sz w:val="18"/>
          <w:szCs w:val="18"/>
          <w:u w:val="single" w:color="auto"/>
          <w:color w:val="auto"/>
        </w:rPr>
        <w:t>Schedule 22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right="80" w:firstLine="421"/>
        <w:spacing w:after="0" w:line="286" w:lineRule="auto"/>
        <w:tabs>
          <w:tab w:leader="none" w:pos="1145"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to any other Bank, to the address, telecopier number, electronic 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the Borrower).</w:t>
      </w:r>
    </w:p>
    <w:p>
      <w:pPr>
        <w:spacing w:after="0" w:line="5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80" w:lineRule="exact"/>
        <w:rPr>
          <w:sz w:val="20"/>
          <w:szCs w:val="20"/>
          <w:color w:val="auto"/>
        </w:rPr>
      </w:pPr>
    </w:p>
    <w:p>
      <w:pPr>
        <w:ind w:firstLine="443"/>
        <w:spacing w:after="0" w:line="286" w:lineRule="auto"/>
        <w:tabs>
          <w:tab w:leader="none" w:pos="69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Notices, requests, financial statements, financial and other reports, certificates and other information materials and other communications to the Banks and the Issuing Banks hereunder (collectively, “</w:t>
      </w:r>
      <w:r>
        <w:rPr>
          <w:rFonts w:ascii="Arial" w:cs="Arial" w:eastAsia="Arial" w:hAnsi="Arial"/>
          <w:sz w:val="16"/>
          <w:szCs w:val="16"/>
          <w:u w:val="single" w:color="auto"/>
          <w:color w:val="auto"/>
        </w:rPr>
        <w:t>Communications</w:t>
      </w:r>
      <w:r>
        <w:rPr>
          <w:rFonts w:ascii="Arial" w:cs="Arial" w:eastAsia="Arial" w:hAnsi="Arial"/>
          <w:sz w:val="16"/>
          <w:szCs w:val="16"/>
          <w:color w:val="auto"/>
        </w:rPr>
        <w:t xml:space="preserve">”) may be delivered or furnished by electronic communication (including e-mail, FpML messaging,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Bank or any Issuing Bank pursuant to §2 or §3 if such Bank or Issuing Bank, as applicable, has notified the Administrative Agent that it is incapable of receiving notices under such Section by electronic communication. The Administrative Agent, the Swing Line Bank, each Issuing Bank or the Borrower may each, in its discretion, agree to accept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Communications. Unless the Administrative Agent otherwise prescribes, (i)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66" w:lineRule="exact"/>
        <w:rPr>
          <w:rFonts w:ascii="Arial" w:cs="Arial" w:eastAsia="Arial" w:hAnsi="Arial"/>
          <w:sz w:val="16"/>
          <w:szCs w:val="16"/>
          <w:color w:val="auto"/>
        </w:rPr>
      </w:pPr>
    </w:p>
    <w:p>
      <w:pPr>
        <w:ind w:right="140" w:firstLine="443"/>
        <w:spacing w:after="0" w:line="264" w:lineRule="auto"/>
        <w:tabs>
          <w:tab w:leader="none" w:pos="6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Borrower further agrees that (i) the Administrative Agent and/or the Lead Arrangers may make the Communications and/or information provided by or on behalf of the Borrower hereunder available to the Banks by posting the Communications and such other information on SyndTrak, Intralinks or a substantially similar electronic</w:t>
      </w:r>
    </w:p>
    <w:p>
      <w:pPr>
        <w:spacing w:after="0" w:line="113" w:lineRule="exact"/>
        <w:rPr>
          <w:rFonts w:ascii="Arial" w:cs="Arial" w:eastAsia="Arial" w:hAnsi="Arial"/>
          <w:sz w:val="18"/>
          <w:szCs w:val="18"/>
          <w:color w:val="auto"/>
        </w:rPr>
      </w:pPr>
    </w:p>
    <w:p>
      <w:pPr>
        <w:ind w:left="5160" w:hanging="101"/>
        <w:spacing w:after="0"/>
        <w:tabs>
          <w:tab w:leader="none" w:pos="5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80 -</w:t>
      </w:r>
    </w:p>
    <w:p>
      <w:pPr>
        <w:sectPr>
          <w:pgSz w:w="11900" w:h="16838" w:orient="portrait"/>
          <w:cols w:equalWidth="0" w:num="1">
            <w:col w:w="10960"/>
          </w:cols>
          <w:pgMar w:left="700" w:top="274" w:right="239" w:bottom="1440" w:gutter="0" w:footer="0" w:header="0"/>
        </w:sectPr>
      </w:pPr>
    </w:p>
    <w:bookmarkStart w:id="92" w:name="page93"/>
    <w:bookmarkEnd w:id="9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transmission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(ii) certain of the Banks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Communications and such other information that are to be made available to Public Lenders shall be clearly and conspicuously marked “PUBLIC” which, at a minimum, shall mean that the word “PUBLIC” shall appear prominently on the first page thereof; (x) by marking such Communications and other information “PUBLIC,” the Borrower shall be deemed to have authorized the Administrative Agent, the Lead Arrangers, the Issuing Banks and the Banks to treat such Communications and other information as not containing any material non-public information with respect to the Borrower or its securities for purposes of United States Federal and state securities laws (provided, however, that to the extent such Communications and other information subject to §18.1, they shall be treated as set forth in §18.1); (y) all Communications and other information marked “PUBLIC” are permitted to be made available through a portion of the Platform designated “Public Side Information;” and (z) the Administrative Agent and the Lead Arrangers shall be entitled to treat any Communications and other information that are not marked “PUBLIC” as being suitable only for posting on a portion of the Platform not designated “Public Side Information.”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85" w:lineRule="exact"/>
        <w:rPr>
          <w:sz w:val="20"/>
          <w:szCs w:val="20"/>
          <w:color w:val="auto"/>
        </w:rPr>
      </w:pPr>
    </w:p>
    <w:p>
      <w:pPr>
        <w:ind w:right="60" w:firstLine="443"/>
        <w:spacing w:after="0" w:line="253" w:lineRule="auto"/>
        <w:tabs>
          <w:tab w:leader="none" w:pos="69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“AGENT PARTIES”) HAVE ANY LIABILITY TO THE BORROWER, ANY BANK OR ANY OTHER PERSON OR ENTITY FOR DAMAGES OF ANY KIND ARISING OUT OF THE BORROWER’S OR THE ADMINISTRATIVE AGENT’S TRANSMISSION OF COMMUNICATIONS OR NOTICES THROUGH THE PLATFORM, ANY OTHER ELECTRONIC PLATFORM OR ELECTRONIC</w:t>
      </w:r>
    </w:p>
    <w:p>
      <w:pPr>
        <w:spacing w:after="0" w:line="125" w:lineRule="exact"/>
        <w:rPr>
          <w:rFonts w:ascii="Arial" w:cs="Arial" w:eastAsia="Arial" w:hAnsi="Arial"/>
          <w:sz w:val="18"/>
          <w:szCs w:val="18"/>
          <w:color w:val="auto"/>
        </w:rPr>
      </w:pPr>
    </w:p>
    <w:p>
      <w:pPr>
        <w:ind w:left="5160" w:hanging="101"/>
        <w:spacing w:after="0"/>
        <w:tabs>
          <w:tab w:leader="none" w:pos="5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81 -</w:t>
      </w:r>
    </w:p>
    <w:p>
      <w:pPr>
        <w:sectPr>
          <w:pgSz w:w="11900" w:h="16838" w:orient="portrait"/>
          <w:cols w:equalWidth="0" w:num="1">
            <w:col w:w="10960"/>
          </w:cols>
          <w:pgMar w:left="700" w:top="274" w:right="239" w:bottom="1440" w:gutter="0" w:footer="0" w:header="0"/>
        </w:sectPr>
      </w:pPr>
    </w:p>
    <w:bookmarkStart w:id="93" w:name="page94"/>
    <w:bookmarkEnd w:id="93"/>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MESSAGING SERVICE, OR THROUGH THE INTERNET, EXCEPT TO THE EXTENT THE LIABILITY OF ANY AGENT PARTY IS FOUND IN A FINAL NON-APPEALABLE JUDGMENT BY A COURT OF COMPETENT JURISDICTION TO HAVE RESULTED PRIMARILY FROM SUCH AGENT PARTY’S GROSS NEGLIGENCE, WILLFUL MISCONDUCT OR MATERIAL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THE BORROWER, ANY BANK, ANY ISSUING BANK OR ANY OTHER PERSON FOR INDIRECT, SPECIAL, INCIDENTAL, CONSEQUENTIAL OR PUNITIVE DAMAGES (AS OPPOSED TO DIRECT OR ACTUAL DAMAGES).</w:t>
      </w:r>
    </w:p>
    <w:p>
      <w:pPr>
        <w:spacing w:after="0" w:line="85" w:lineRule="exact"/>
        <w:rPr>
          <w:sz w:val="20"/>
          <w:szCs w:val="20"/>
          <w:color w:val="auto"/>
        </w:rPr>
      </w:pPr>
    </w:p>
    <w:p>
      <w:pPr>
        <w:ind w:left="460" w:right="20" w:firstLine="443"/>
        <w:spacing w:after="0" w:line="255"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Administrative Agent agrees that the receipt of the Communications by the Administrative Agent at its e-mail address set forth above shall constitute effective delivery of the Communications to the Administrative Agent for purposes of this Agreement. Each Bank agrees that notice to it (as provided in the next sentence) specifying that the Communications have been posted to the Platform shall constitute effective delivery of the Communications to such Bank for purposes of this Agreement. Each Bank agrees to notify the Administrative Agent in writing (including by electronic communication) from time to time of such Bank’s e-mail address to which the foregoing notice may be sent by electronic transmission and (ii) that the foregoing notice may be sent to such e-mail address.</w:t>
      </w:r>
    </w:p>
    <w:p>
      <w:pPr>
        <w:spacing w:after="0" w:line="85" w:lineRule="exact"/>
        <w:rPr>
          <w:rFonts w:ascii="Arial" w:cs="Arial" w:eastAsia="Arial" w:hAnsi="Arial"/>
          <w:sz w:val="18"/>
          <w:szCs w:val="18"/>
          <w:color w:val="auto"/>
        </w:rPr>
      </w:pPr>
    </w:p>
    <w:p>
      <w:pPr>
        <w:ind w:left="460" w:right="180" w:firstLine="443"/>
        <w:spacing w:after="0" w:line="277" w:lineRule="auto"/>
        <w:tabs>
          <w:tab w:leader="none" w:pos="1123"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or any Bank to give any notice or other communication pursuant to this Agreement in any other manner specified herein.</w:t>
      </w:r>
    </w:p>
    <w:p>
      <w:pPr>
        <w:spacing w:after="0" w:line="16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 The rights and remedies herein expressed are cumulative and not exclusive of any other rights which the Banks, the Issuing</w:t>
      </w:r>
      <w:r>
        <w:rPr>
          <w:rFonts w:ascii="Arial" w:cs="Arial" w:eastAsia="Arial" w:hAnsi="Arial"/>
          <w:sz w:val="17"/>
          <w:szCs w:val="17"/>
          <w:b w:val="1"/>
          <w:bCs w:val="1"/>
          <w:color w:val="auto"/>
        </w:rPr>
        <w:t xml:space="preserve"> </w:t>
      </w:r>
      <w:r>
        <w:rPr>
          <w:rFonts w:ascii="Arial" w:cs="Arial" w:eastAsia="Arial" w:hAnsi="Arial"/>
          <w:sz w:val="17"/>
          <w:szCs w:val="17"/>
          <w:color w:val="auto"/>
        </w:rPr>
        <w:t>Banks or 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or other electronic imaging means,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or other electronic imaging means to deliver a signature or the fact that any signature or agreement or instrument was transmitted or communicated through the use of a facsimile machine or other electronic imaging means as a defense to the formation of a contract and each party forever waives such defense.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400"/>
          </w:cols>
          <w:pgMar w:left="240" w:top="274" w:right="259" w:bottom="1440" w:gutter="0" w:footer="0" w:header="0"/>
        </w:sectPr>
      </w:pPr>
    </w:p>
    <w:bookmarkStart w:id="94" w:name="page95"/>
    <w:bookmarkEnd w:id="94"/>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CONSENTS, ETC</w:t>
      </w:r>
      <w:r>
        <w:rPr>
          <w:rFonts w:ascii="Arial" w:cs="Arial" w:eastAsia="Arial" w:hAnsi="Arial"/>
          <w:sz w:val="17"/>
          <w:szCs w:val="17"/>
          <w:color w:val="auto"/>
        </w:rPr>
        <w:t>. Neither this Agreement nor any term hereof may be changed, waived, discharged or terminated, except as provided in this §24,</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§15.9.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or the Guarantor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or the Guarantor shall entitle the Borrower to other or further notice or demand in similar or other circumstances.</w:t>
      </w:r>
    </w:p>
    <w:p>
      <w:pPr>
        <w:spacing w:after="0" w:line="1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 HEREBY WAIVE ANY RIGHT EITHER OF THEM MAY HAVE TO CLAIM OR RECOVER IN ANY LITIGATION REFERRED TO IN THE PRECEDING SENTENCE ANY SPECIAL, EXEMPLARY, PUNITIVE OR CONSEQUENTIAL DAMAGES OR ANY DAMAGES OTHER THAN, OR IN ADDITION TO, ACTUAL DAMAGES. THE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189"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GOVERNING LAW; SUBMISSION TO JURISDICTION</w:t>
      </w:r>
      <w:r>
        <w:rPr>
          <w:rFonts w:ascii="Arial" w:cs="Arial" w:eastAsia="Arial" w:hAnsi="Arial"/>
          <w:sz w:val="18"/>
          <w:szCs w:val="18"/>
          <w:color w:val="auto"/>
        </w:rPr>
        <w:t>. THIS AGREEMENT AND EACH OF THE OTHER LOAN DOCUMENTS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UNDER THE LAWS OF THE STATE OF NEW YORK AND SHALL, PURSUANT TO NEW YORK GENERAL OBLIGATIONS LAW §5-1401, BE CONSTRUED IN ACCORDANCE WITH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20"/>
          </w:cols>
          <w:pgMar w:left="240" w:top="274" w:right="239" w:bottom="1440" w:gutter="0" w:footer="0" w:header="0"/>
        </w:sectPr>
      </w:pPr>
    </w:p>
    <w:bookmarkStart w:id="95" w:name="page96"/>
    <w:bookmarkEnd w:id="9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GOVERNED BY THE LAW OF THE STATE OF NEW YORK. THE BORROWER AND THE GUARANTOR CONSENT AND AGREE THAT ANY SUIT FOR THE ENFORCEMENT OF THIS AGREEMENT OR ANY OF THE OTHER LOAN DOCUMENTS MAY BE BROUGHT IN THE COURTS OF THE STATE OF NEW YORK SITTING IN MANHATTAN OR THE UNITED STATES DISTRICT COURT OF THE SOUTHERN DISTRICT OF NEW YORK AND ANY APPELLATE COURT FROM ANY THEREOF AND CONSENTS TO THE EXCLUSIVE JURISDICTION OF SUCH COURTS AND SERVICE OF PROCESS IN ANY SUCH SUIT BEING MADE UPON THE BORROWER IN ACCORDANCE WITH LAW AT THE ADDRESS SPECIFIED IN §22. THE BORROWER AND THE GUARANTOR HEREBY WAIVE ANY OBJECTION THAT THEY MAY NOW OR HEREAFTER HAVE TO THE VENUE OF ANY SUCH SUIT OR ANY SUCH COURT OR THAT SUCH SUIT IS BROUGHT IN AN INCONVENIENT FORUM. EACH OF THE PARTIES HERETO AGREES THAT A FINAL JUDGMENT IN ANY SUCH ACTION OR PROCEEDING SHALL BE CONCLUSIVE AND MAY BE ENFORCED IN OTHER JURISDICTIONS BY SUIT ON THE JUDGMENT OR IN ANY OTHER MANNER PROVIDED BY LAW.</w:t>
      </w:r>
    </w:p>
    <w:p>
      <w:pPr>
        <w:spacing w:after="0" w:line="19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The provisions of this Agreement are severable and if any one clause or provision hereof shall be held invalid or unenforceable in</w:t>
      </w:r>
      <w:r>
        <w:rPr>
          <w:rFonts w:ascii="Arial" w:cs="Arial" w:eastAsia="Arial" w:hAnsi="Arial"/>
          <w:sz w:val="16"/>
          <w:szCs w:val="16"/>
          <w:b w:val="1"/>
          <w:bCs w:val="1"/>
          <w:color w:val="auto"/>
        </w:rPr>
        <w:t xml:space="preserve"> </w:t>
      </w:r>
      <w:r>
        <w:rPr>
          <w:rFonts w:ascii="Arial" w:cs="Arial" w:eastAsia="Arial" w:hAnsi="Arial"/>
          <w:sz w:val="16"/>
          <w:szCs w:val="16"/>
          <w:color w:val="auto"/>
        </w:rPr>
        <w:t>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 Without limiting the foregoing provisions of this §27, if and to the extent that the enforceability of any provisions in this Agreement relating to Defaulting Banks shall be limited by bankruptcy, insolvency, reorganization, moratorium or other similar laws, as determined in good faith by the Administrative Agent, the Issuing Banks or the Swing Line Bank, as applicable, then such provisions shall be deemed to be in effect only to the extent not so limited.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b w:val="1"/>
          <w:bCs w:val="1"/>
          <w:u w:val="single" w:color="auto"/>
          <w:color w:val="auto"/>
        </w:rPr>
        <w:t>GUARANTY</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4" w:lineRule="auto"/>
        <w:rPr>
          <w:sz w:val="20"/>
          <w:szCs w:val="20"/>
          <w:color w:val="auto"/>
        </w:rPr>
      </w:pPr>
      <w:r>
        <w:rPr>
          <w:rFonts w:ascii="Arial" w:cs="Arial" w:eastAsia="Arial" w:hAnsi="Arial"/>
          <w:sz w:val="17"/>
          <w:szCs w:val="17"/>
          <w:b w:val="1"/>
          <w:bCs w:val="1"/>
          <w:color w:val="auto"/>
        </w:rPr>
        <w:t>§28.1. Guaranty</w:t>
      </w:r>
      <w:r>
        <w:rPr>
          <w:rFonts w:ascii="Arial" w:cs="Arial" w:eastAsia="Arial" w:hAnsi="Arial"/>
          <w:sz w:val="17"/>
          <w:szCs w:val="17"/>
          <w:color w:val="auto"/>
        </w:rPr>
        <w:t>. For value received and hereby acknowledged and as an inducement to the Banks and the Issuing Banks to make the Loans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the Borrower, and issue, extend or renew Letters of Credit for the account of the Borrower, the Guarantor hereby unconditionally and irrevocably guarantees (a) 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(such Obligations collectively being hereafter referred to as the “Guaranteed Obligations”).</w:t>
      </w:r>
    </w:p>
    <w:p>
      <w:pPr>
        <w:spacing w:after="0" w:line="174"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§28.2. Guaranty Absolute</w:t>
      </w:r>
      <w:r>
        <w:rPr>
          <w:rFonts w:ascii="Arial" w:cs="Arial" w:eastAsia="Arial" w:hAnsi="Arial"/>
          <w:sz w:val="18"/>
          <w:szCs w:val="18"/>
          <w:color w:val="auto"/>
        </w:rPr>
        <w:t>. The Guarantor guarantees that the Guaranteed Obligations will be paid strictly in accordance with the terms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any law, regulation or order now or hereafter in effect 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380"/>
          </w:cols>
          <w:pgMar w:left="240" w:top="274" w:right="279" w:bottom="1440" w:gutter="0" w:footer="0" w:header="0"/>
        </w:sectPr>
      </w:pPr>
    </w:p>
    <w:bookmarkStart w:id="96" w:name="page97"/>
    <w:bookmarkEnd w:id="96"/>
    <w:p>
      <w:pPr>
        <w:ind w:left="460" w:right="140" w:firstLine="443"/>
        <w:spacing w:after="0" w:line="342" w:lineRule="auto"/>
        <w:tabs>
          <w:tab w:leader="none" w:pos="1143"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15" w:lineRule="exact"/>
        <w:rPr>
          <w:rFonts w:ascii="Arial" w:cs="Arial" w:eastAsia="Arial" w:hAnsi="Arial"/>
          <w:sz w:val="16"/>
          <w:szCs w:val="16"/>
          <w:color w:val="auto"/>
        </w:rPr>
      </w:pPr>
    </w:p>
    <w:p>
      <w:pPr>
        <w:ind w:left="1160" w:hanging="257"/>
        <w:spacing w:after="0"/>
        <w:tabs>
          <w:tab w:leader="none" w:pos="11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release or amendment or waiver of or consent to departure from any other guaranty for all or any of its Guaranteed Obligations;</w:t>
      </w:r>
    </w:p>
    <w:p>
      <w:pPr>
        <w:spacing w:after="0" w:line="128" w:lineRule="exact"/>
        <w:rPr>
          <w:rFonts w:ascii="Arial" w:cs="Arial" w:eastAsia="Arial" w:hAnsi="Arial"/>
          <w:sz w:val="17"/>
          <w:szCs w:val="17"/>
          <w:color w:val="auto"/>
        </w:rPr>
      </w:pPr>
    </w:p>
    <w:p>
      <w:pPr>
        <w:ind w:left="1140" w:hanging="237"/>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change in ownership of the Borrower;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acceptance of any partial payment(s) from the Borrower or the Guarantor; or</w:t>
      </w:r>
    </w:p>
    <w:p>
      <w:pPr>
        <w:spacing w:after="0" w:line="117" w:lineRule="exact"/>
        <w:rPr>
          <w:rFonts w:ascii="Arial" w:cs="Arial" w:eastAsia="Arial" w:hAnsi="Arial"/>
          <w:sz w:val="18"/>
          <w:szCs w:val="18"/>
          <w:color w:val="auto"/>
        </w:rPr>
      </w:pPr>
    </w:p>
    <w:p>
      <w:pPr>
        <w:ind w:left="460" w:right="340" w:firstLine="443"/>
        <w:spacing w:after="0" w:line="277" w:lineRule="auto"/>
        <w:tabs>
          <w:tab w:leader="none" w:pos="11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circumstance whatsoever which might otherwise constitute a defense available to, or a discharge of, a guarantor or surety or the Borrower in respect of its Obligations under any Loan Document.</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17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§28.3. Effectiveness; Enforcement</w:t>
      </w:r>
      <w:r>
        <w:rPr>
          <w:rFonts w:ascii="Arial" w:cs="Arial" w:eastAsia="Arial" w:hAnsi="Arial"/>
          <w:sz w:val="16"/>
          <w:szCs w:val="16"/>
          <w:color w:val="auto"/>
        </w:rPr>
        <w:t>. The guaranty under this Agreement shall be effective and shall be deemed to be made with respect to each</w:t>
      </w:r>
      <w:r>
        <w:rPr>
          <w:rFonts w:ascii="Arial" w:cs="Arial" w:eastAsia="Arial" w:hAnsi="Arial"/>
          <w:sz w:val="16"/>
          <w:szCs w:val="16"/>
          <w:b w:val="1"/>
          <w:bCs w:val="1"/>
          <w:color w:val="auto"/>
        </w:rPr>
        <w:t xml:space="preserve"> </w:t>
      </w:r>
      <w:r>
        <w:rPr>
          <w:rFonts w:ascii="Arial" w:cs="Arial" w:eastAsia="Arial" w:hAnsi="Arial"/>
          <w:sz w:val="16"/>
          <w:szCs w:val="16"/>
          <w:color w:val="auto"/>
        </w:rPr>
        <w:t>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a guaranty of payment (and not of collection)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161"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b w:val="1"/>
          <w:bCs w:val="1"/>
          <w:color w:val="auto"/>
        </w:rPr>
        <w:t>§28.4. Waiver</w:t>
      </w:r>
      <w:r>
        <w:rPr>
          <w:rFonts w:ascii="Arial" w:cs="Arial" w:eastAsia="Arial" w:hAnsi="Arial"/>
          <w:sz w:val="18"/>
          <w:szCs w:val="18"/>
          <w:color w:val="auto"/>
        </w:rPr>
        <w:t>. Except as otherwise specifically provided in any of the Loan Documents, the Guarantor hereby waives promptness, diligence,</w:t>
      </w:r>
      <w:r>
        <w:rPr>
          <w:rFonts w:ascii="Arial" w:cs="Arial" w:eastAsia="Arial" w:hAnsi="Arial"/>
          <w:sz w:val="18"/>
          <w:szCs w:val="18"/>
          <w:b w:val="1"/>
          <w:bCs w:val="1"/>
          <w:color w:val="auto"/>
        </w:rPr>
        <w:t xml:space="preserve"> </w:t>
      </w:r>
      <w:r>
        <w:rPr>
          <w:rFonts w:ascii="Arial" w:cs="Arial" w:eastAsia="Arial" w:hAnsi="Arial"/>
          <w:sz w:val="18"/>
          <w:szCs w:val="18"/>
          <w:color w:val="auto"/>
        </w:rPr>
        <w:t>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00"/>
          </w:cols>
          <w:pgMar w:left="240" w:top="274" w:right="259" w:bottom="1440" w:gutter="0" w:footer="0" w:header="0"/>
        </w:sectPr>
      </w:pPr>
    </w:p>
    <w:bookmarkStart w:id="97" w:name="page98"/>
    <w:bookmarkEnd w:id="97"/>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7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b w:val="1"/>
          <w:bCs w:val="1"/>
          <w:color w:val="auto"/>
        </w:rPr>
        <w:t>§28.5. Expenses</w:t>
      </w:r>
      <w:r>
        <w:rPr>
          <w:rFonts w:ascii="Arial" w:cs="Arial" w:eastAsia="Arial" w:hAnsi="Arial"/>
          <w:sz w:val="17"/>
          <w:szCs w:val="17"/>
          <w:color w:val="auto"/>
        </w:rPr>
        <w:t>. The Guarantor hereby promises to reimburse (a) the Administrative Agent for all reasonable out-of-pocket fees and</w:t>
      </w:r>
      <w:r>
        <w:rPr>
          <w:rFonts w:ascii="Arial" w:cs="Arial" w:eastAsia="Arial" w:hAnsi="Arial"/>
          <w:sz w:val="17"/>
          <w:szCs w:val="17"/>
          <w:b w:val="1"/>
          <w:bCs w:val="1"/>
          <w:color w:val="auto"/>
        </w:rPr>
        <w:t xml:space="preserve"> </w:t>
      </w:r>
      <w:r>
        <w:rPr>
          <w:rFonts w:ascii="Arial" w:cs="Arial" w:eastAsia="Arial" w:hAnsi="Arial"/>
          <w:sz w:val="17"/>
          <w:szCs w:val="17"/>
          <w:color w:val="auto"/>
        </w:rPr>
        <w:t>disbursements (including all reasonable attorneys’ fees), incurred or expended in connection with the preparation, filing or recording, or interpretation of the guaranty under this Agreement, the other Loan Documents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§28.6. Concerning Joint and Several Liability of the Guarantor</w:t>
      </w:r>
      <w:r>
        <w:rPr>
          <w:rFonts w:ascii="Arial" w:cs="Arial" w:eastAsia="Arial" w:hAnsi="Arial"/>
          <w:sz w:val="18"/>
          <w:szCs w:val="18"/>
          <w:color w:val="auto"/>
        </w:rPr>
        <w:t>.</w:t>
      </w:r>
    </w:p>
    <w:p>
      <w:pPr>
        <w:spacing w:after="0" w:line="121" w:lineRule="exact"/>
        <w:rPr>
          <w:sz w:val="20"/>
          <w:szCs w:val="20"/>
          <w:color w:val="auto"/>
        </w:rPr>
      </w:pPr>
    </w:p>
    <w:p>
      <w:pPr>
        <w:ind w:left="460" w:right="160" w:firstLine="443"/>
        <w:spacing w:after="0" w:line="279" w:lineRule="auto"/>
        <w:tabs>
          <w:tab w:leader="none" w:pos="1143"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§28), it being the intention of the parties hereto that all such Guaranteed Obligations shall be the joint and several Guaranteed Obligations of the Guarantor and the Borrower without preferences or distinction among them.</w:t>
      </w:r>
    </w:p>
    <w:p>
      <w:pPr>
        <w:spacing w:after="0" w:line="63" w:lineRule="exact"/>
        <w:rPr>
          <w:rFonts w:ascii="Arial" w:cs="Arial" w:eastAsia="Arial" w:hAnsi="Arial"/>
          <w:sz w:val="17"/>
          <w:szCs w:val="17"/>
          <w:color w:val="auto"/>
        </w:rPr>
      </w:pPr>
    </w:p>
    <w:p>
      <w:pPr>
        <w:ind w:left="460" w:right="60" w:firstLine="443"/>
        <w:spacing w:after="0" w:line="264"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and to the extent that the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73" w:lineRule="exact"/>
        <w:rPr>
          <w:rFonts w:ascii="Arial" w:cs="Arial" w:eastAsia="Arial" w:hAnsi="Arial"/>
          <w:sz w:val="18"/>
          <w:szCs w:val="18"/>
          <w:color w:val="auto"/>
        </w:rPr>
      </w:pPr>
    </w:p>
    <w:p>
      <w:pPr>
        <w:ind w:left="460" w:firstLine="443"/>
        <w:spacing w:after="0" w:line="264" w:lineRule="auto"/>
        <w:tabs>
          <w:tab w:leader="none" w:pos="11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Guaranteed Obligations of the Guarantor under the provisions of this §28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73" w:lineRule="exact"/>
        <w:rPr>
          <w:rFonts w:ascii="Arial" w:cs="Arial" w:eastAsia="Arial" w:hAnsi="Arial"/>
          <w:sz w:val="18"/>
          <w:szCs w:val="18"/>
          <w:color w:val="auto"/>
        </w:rPr>
      </w:pPr>
    </w:p>
    <w:p>
      <w:pPr>
        <w:ind w:left="460" w:right="20" w:firstLine="443"/>
        <w:spacing w:after="0" w:line="276" w:lineRule="auto"/>
        <w:tabs>
          <w:tab w:leader="none" w:pos="1153" w:val="left"/>
        </w:tabs>
        <w:numPr>
          <w:ilvl w:val="0"/>
          <w:numId w:val="77"/>
        </w:numPr>
        <w:rPr>
          <w:rFonts w:ascii="Arial" w:cs="Arial" w:eastAsia="Arial" w:hAnsi="Arial"/>
          <w:sz w:val="17"/>
          <w:szCs w:val="17"/>
          <w:color w:val="auto"/>
        </w:rPr>
      </w:pPr>
      <w:r>
        <w:rPr>
          <w:rFonts w:ascii="Arial" w:cs="Arial" w:eastAsia="Arial" w:hAnsi="Arial"/>
          <w:sz w:val="17"/>
          <w:szCs w:val="17"/>
          <w:color w:val="auto"/>
        </w:rPr>
        <w:t>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86 -</w:t>
      </w:r>
    </w:p>
    <w:p>
      <w:pPr>
        <w:sectPr>
          <w:pgSz w:w="11900" w:h="16838" w:orient="portrait"/>
          <w:cols w:equalWidth="0" w:num="1">
            <w:col w:w="11400"/>
          </w:cols>
          <w:pgMar w:left="240" w:top="274" w:right="259" w:bottom="1440" w:gutter="0" w:footer="0" w:header="0"/>
        </w:sectPr>
      </w:pPr>
    </w:p>
    <w:bookmarkStart w:id="98" w:name="page99"/>
    <w:bookmarkEnd w:id="9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the Issuing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§28, afford grounds for terminating, discharging or relieving the Guarantor, in whole or in part, from any of the Guaranteed Obligations under this §28, it being the intention of the Guarantor that, so long as any of the Guaranteed Obligations hereunder remain unsatisfied, the Guaranteed Obligations of the Guarantor under this §28 shall not be discharged except by performance and then only to the extent of such performance. The Guaranteed Obligations of the Guarantor under this §28 shall not be diminished or rendered unenforceable by any winding up, reorganization, arrangement, liquidation, reconstruction or similar proceeding with respect to the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the Issuing Banks or the Administrative Agent.</w:t>
      </w:r>
    </w:p>
    <w:p>
      <w:pPr>
        <w:spacing w:after="0" w:line="67" w:lineRule="exact"/>
        <w:rPr>
          <w:sz w:val="20"/>
          <w:szCs w:val="20"/>
          <w:color w:val="auto"/>
        </w:rPr>
      </w:pPr>
    </w:p>
    <w:p>
      <w:pPr>
        <w:ind w:right="160" w:firstLine="443"/>
        <w:spacing w:after="0" w:line="272" w:lineRule="auto"/>
        <w:tabs>
          <w:tab w:leader="none" w:pos="683"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Guarantor shall be liable under this §28 only for the maximum amount of such liabilities that can be incurred under applicable law without rendering this §28 voidable under applicable law relating to fraudulent conveyance and fraudulent transfer, and not for any greater amount. Accordingly, if any obligation under any provision under this §28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§28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 as the case may be.</w:t>
      </w:r>
    </w:p>
    <w:p>
      <w:pPr>
        <w:spacing w:after="0" w:line="69" w:lineRule="exact"/>
        <w:rPr>
          <w:rFonts w:ascii="Arial" w:cs="Arial" w:eastAsia="Arial" w:hAnsi="Arial"/>
          <w:sz w:val="17"/>
          <w:szCs w:val="17"/>
          <w:color w:val="auto"/>
        </w:rPr>
      </w:pPr>
    </w:p>
    <w:p>
      <w:pPr>
        <w:ind w:right="300" w:firstLine="443"/>
        <w:spacing w:after="0" w:line="264" w:lineRule="auto"/>
        <w:tabs>
          <w:tab w:leader="none" w:pos="66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of this §28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w:t>
      </w:r>
    </w:p>
    <w:p>
      <w:pPr>
        <w:spacing w:after="0" w:line="113" w:lineRule="exact"/>
        <w:rPr>
          <w:rFonts w:ascii="Arial" w:cs="Arial" w:eastAsia="Arial" w:hAnsi="Arial"/>
          <w:sz w:val="18"/>
          <w:szCs w:val="18"/>
          <w:color w:val="auto"/>
        </w:rPr>
      </w:pPr>
    </w:p>
    <w:p>
      <w:pPr>
        <w:ind w:left="5160" w:hanging="101"/>
        <w:spacing w:after="0"/>
        <w:tabs>
          <w:tab w:leader="none" w:pos="5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87 -</w:t>
      </w:r>
    </w:p>
    <w:p>
      <w:pPr>
        <w:sectPr>
          <w:pgSz w:w="11900" w:h="16838" w:orient="portrait"/>
          <w:cols w:equalWidth="0" w:num="1">
            <w:col w:w="10920"/>
          </w:cols>
          <w:pgMar w:left="700" w:top="274" w:right="279" w:bottom="1440" w:gutter="0" w:footer="0" w:header="0"/>
        </w:sectPr>
      </w:pPr>
    </w:p>
    <w:bookmarkStart w:id="99" w:name="page100"/>
    <w:bookmarkEnd w:id="99"/>
    <w:p>
      <w:pPr>
        <w:ind w:left="46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the Issuing Banks or the Banks first to marshal any of their claims or to exercise any of their rights against the Borrower or the Guarantor or to exhaust any remedies available to them against the Borrower or the Guarantor or to resort to any other source or means of obtaining payment of any of the obligations hereunder or to elect any other remedy. The provisions of this §28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the Guarantor, or otherwise, the provisions of this §28 will forthwith be reinstated in effect, as though such payment had not been made.</w:t>
      </w:r>
    </w:p>
    <w:p>
      <w:pPr>
        <w:spacing w:after="0" w:line="163" w:lineRule="exact"/>
        <w:rPr>
          <w:sz w:val="20"/>
          <w:szCs w:val="20"/>
          <w:color w:val="auto"/>
        </w:rPr>
      </w:pPr>
    </w:p>
    <w:p>
      <w:pPr>
        <w:ind w:right="240" w:firstLine="913"/>
        <w:spacing w:after="0" w:line="295" w:lineRule="auto"/>
        <w:rPr>
          <w:sz w:val="20"/>
          <w:szCs w:val="20"/>
          <w:color w:val="auto"/>
        </w:rPr>
      </w:pPr>
      <w:r>
        <w:rPr>
          <w:rFonts w:ascii="Arial" w:cs="Arial" w:eastAsia="Arial" w:hAnsi="Arial"/>
          <w:sz w:val="16"/>
          <w:szCs w:val="16"/>
          <w:b w:val="1"/>
          <w:bCs w:val="1"/>
          <w:color w:val="auto"/>
        </w:rPr>
        <w:t>§28.7. Waiver</w:t>
      </w:r>
      <w:r>
        <w:rPr>
          <w:rFonts w:ascii="Arial" w:cs="Arial" w:eastAsia="Arial" w:hAnsi="Arial"/>
          <w:sz w:val="16"/>
          <w:szCs w:val="16"/>
          <w:color w:val="auto"/>
        </w:rPr>
        <w:t>. Until the final payment and performance in full of all of the Obligations, the Guarantor shall not exercise and the Guarantor</w:t>
      </w:r>
      <w:r>
        <w:rPr>
          <w:rFonts w:ascii="Arial" w:cs="Arial" w:eastAsia="Arial" w:hAnsi="Arial"/>
          <w:sz w:val="16"/>
          <w:szCs w:val="16"/>
          <w:b w:val="1"/>
          <w:bCs w:val="1"/>
          <w:color w:val="auto"/>
        </w:rPr>
        <w:t xml:space="preserve"> </w:t>
      </w:r>
      <w:r>
        <w:rPr>
          <w:rFonts w:ascii="Arial" w:cs="Arial" w:eastAsia="Arial" w:hAnsi="Arial"/>
          <w:sz w:val="16"/>
          <w:szCs w:val="16"/>
          <w:color w:val="auto"/>
        </w:rPr>
        <w:t>hereby waives any rights the Guarantor may have against the Borrower 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the Issuing Banks or any Bank.</w:t>
      </w:r>
    </w:p>
    <w:p>
      <w:pPr>
        <w:spacing w:after="0" w:line="48"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b w:val="1"/>
          <w:bCs w:val="1"/>
          <w:color w:val="auto"/>
        </w:rPr>
        <w:t>§28.8. Subrogation; Subordination</w:t>
      </w:r>
      <w:r>
        <w:rPr>
          <w:rFonts w:ascii="Arial" w:cs="Arial" w:eastAsia="Arial" w:hAnsi="Arial"/>
          <w:sz w:val="17"/>
          <w:szCs w:val="17"/>
          <w:color w:val="auto"/>
        </w:rPr>
        <w:t>. The payment of any amounts due with respect to any indebtedness of the Borrower for money borrowed or</w:t>
      </w:r>
      <w:r>
        <w:rPr>
          <w:rFonts w:ascii="Arial" w:cs="Arial" w:eastAsia="Arial" w:hAnsi="Arial"/>
          <w:sz w:val="17"/>
          <w:szCs w:val="17"/>
          <w:b w:val="1"/>
          <w:bCs w:val="1"/>
          <w:color w:val="auto"/>
        </w:rPr>
        <w:t xml:space="preserve"> </w:t>
      </w:r>
      <w:r>
        <w:rPr>
          <w:rFonts w:ascii="Arial" w:cs="Arial" w:eastAsia="Arial" w:hAnsi="Arial"/>
          <w:sz w:val="17"/>
          <w:szCs w:val="17"/>
          <w:color w:val="auto"/>
        </w:rPr>
        <w:t>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w:t>
      </w:r>
      <w:r>
        <w:rPr>
          <w:rFonts w:ascii="Arial" w:cs="Arial" w:eastAsia="Arial" w:hAnsi="Arial"/>
          <w:sz w:val="17"/>
          <w:szCs w:val="17"/>
          <w:i w:val="1"/>
          <w:iCs w:val="1"/>
          <w:color w:val="auto"/>
        </w:rPr>
        <w:t>.</w:t>
      </w:r>
      <w:r>
        <w:rPr>
          <w:rFonts w:ascii="Arial" w:cs="Arial" w:eastAsia="Arial" w:hAnsi="Arial"/>
          <w:sz w:val="17"/>
          <w:szCs w:val="17"/>
          <w:color w:val="auto"/>
        </w:rPr>
        <w:t xml:space="preserve">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172"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§28.9. Consent and Confirmation</w:t>
      </w:r>
      <w:r>
        <w:rPr>
          <w:rFonts w:ascii="Arial" w:cs="Arial" w:eastAsia="Arial" w:hAnsi="Arial"/>
          <w:sz w:val="18"/>
          <w:szCs w:val="18"/>
          <w:color w:val="auto"/>
        </w:rPr>
        <w:t>. The Guarantor hereby (i) consents, acknowledges and agrees to the amendment and restatement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Credit Agreement provided hereby and set forth herein, (ii) confirms and ratifies in all respects this Agreement and the enforceability of this Agreement in accordance with its terms, and (iii) confirms and agrees that the Guarantor’s payment and performance obligations under this Agreement, and the Guaranteed Obligations, do and shall continue as to and include all Obligations upon and after the effectiveness of this Agreement and the amendment and restatement of the Existing Credit Agreement contemplated hereby.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20"/>
          </w:cols>
          <w:pgMar w:left="240" w:top="274"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 </w:t>
      </w:r>
      <w:r>
        <w:rPr>
          <w:rFonts w:ascii="Arial" w:cs="Arial" w:eastAsia="Arial" w:hAnsi="Arial"/>
          <w:sz w:val="18"/>
          <w:szCs w:val="18"/>
          <w:b w:val="1"/>
          <w:bCs w:val="1"/>
          <w:u w:val="single" w:color="auto"/>
          <w:color w:val="auto"/>
        </w:rPr>
        <w:t>PRO RATA TREATMENT</w:t>
      </w:r>
      <w:r>
        <w:rPr>
          <w:rFonts w:ascii="Arial" w:cs="Arial" w:eastAsia="Arial" w:hAnsi="Arial"/>
          <w:sz w:val="18"/>
          <w:szCs w:val="18"/>
          <w:color w:val="auto"/>
        </w:rPr>
        <w:t>.</w:t>
      </w:r>
    </w:p>
    <w:p>
      <w:pPr>
        <w:spacing w:after="0" w:line="121" w:lineRule="exact"/>
        <w:rPr>
          <w:sz w:val="20"/>
          <w:szCs w:val="20"/>
          <w:color w:val="auto"/>
        </w:rPr>
      </w:pPr>
    </w:p>
    <w:p>
      <w:pPr>
        <w:jc w:val="both"/>
        <w:ind w:left="460" w:right="80" w:firstLine="443"/>
        <w:spacing w:after="0" w:line="286" w:lineRule="auto"/>
        <w:tabs>
          <w:tab w:leader="none" w:pos="1143"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set forth herein, each payment or prepayment of principal and interest received after the occurrence of an Event of Default hereunder shall be distributed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Banks, in accordance with the aggregate outstanding principal amount of the Obligations owing to each Bank divided by the aggregate outstanding principal amount of all Obligations.</w:t>
      </w:r>
    </w:p>
    <w:p>
      <w:pPr>
        <w:spacing w:after="0" w:line="57" w:lineRule="exact"/>
        <w:rPr>
          <w:rFonts w:ascii="Arial" w:cs="Arial" w:eastAsia="Arial" w:hAnsi="Arial"/>
          <w:sz w:val="17"/>
          <w:szCs w:val="17"/>
          <w:color w:val="auto"/>
        </w:rPr>
      </w:pPr>
    </w:p>
    <w:p>
      <w:pPr>
        <w:ind w:left="460" w:firstLine="443"/>
        <w:spacing w:after="0" w:line="283" w:lineRule="auto"/>
        <w:tabs>
          <w:tab w:leader="none" w:pos="1153" w:val="left"/>
        </w:tabs>
        <w:numPr>
          <w:ilvl w:val="1"/>
          <w:numId w:val="79"/>
        </w:numPr>
        <w:rPr>
          <w:rFonts w:ascii="Arial" w:cs="Arial" w:eastAsia="Arial" w:hAnsi="Arial"/>
          <w:sz w:val="16"/>
          <w:szCs w:val="16"/>
          <w:color w:val="auto"/>
        </w:rPr>
      </w:pPr>
      <w:r>
        <w:rPr>
          <w:rFonts w:ascii="Arial" w:cs="Arial" w:eastAsia="Arial" w:hAnsi="Arial"/>
          <w:sz w:val="16"/>
          <w:szCs w:val="16"/>
          <w:color w:val="auto"/>
        </w:rPr>
        <w:t>Each Bank agrees that if it shall, through the exercise of a right of banker’s lien, setoff or counterclaim against the Borrower (pursuant to §13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§5.5, §5.6 or §5.8) as a result of which the unpaid principal portion of the Notes and the Obligations held by it shall be proportionately less than the unpaid principal portion of the Notes and the Obligations held by any other Bank, it shall be deemed to have simultaneously purchased from such 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 all Notes and Obligations outstanding prior to such exercise of banker’s lien, setoff or counterclaim; provided, however, that</w:t>
      </w:r>
    </w:p>
    <w:p>
      <w:pPr>
        <w:spacing w:after="0" w:line="5" w:lineRule="exact"/>
        <w:rPr>
          <w:rFonts w:ascii="Arial" w:cs="Arial" w:eastAsia="Arial" w:hAnsi="Arial"/>
          <w:sz w:val="16"/>
          <w:szCs w:val="16"/>
          <w:color w:val="auto"/>
        </w:rPr>
      </w:pPr>
    </w:p>
    <w:p>
      <w:pPr>
        <w:ind w:left="460" w:right="40" w:firstLine="4"/>
        <w:spacing w:after="0" w:line="268" w:lineRule="auto"/>
        <w:tabs>
          <w:tab w:leader="none" w:pos="675"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any such purchase or purchases or adjustments shall be made pursuant to this §29 and the payment giving rise thereto shall thereafter be recovered, such purchase or purchases or adjustments shall be rescinded to the extent of such recovery and the purchase price or prices or adjustments restored without interest and (ii) the provisions of this Section shall not be construed to apply to (x) any payment made by or on behalf of the Borrower pursuant to and in accordance with the express terms of this Agreement (including the application of funds arising from the existence of a Defaulting Bank), or (y) any payment obtained by a Bank as consideration for the assignment of or sale of a participation in any of its Syndicated Loans or subparticipations in Reimbursement Obligations or Swing Line Loans to any assignee or participant, other than an assignment to the Borrower or any Subsidiary thereof (as to which the provisions of this Section shall apply). The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176"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b w:val="1"/>
          <w:bCs w:val="1"/>
          <w:color w:val="auto"/>
        </w:rPr>
        <w:t xml:space="preserve">§30. </w:t>
      </w:r>
      <w:r>
        <w:rPr>
          <w:rFonts w:ascii="Arial" w:cs="Arial" w:eastAsia="Arial" w:hAnsi="Arial"/>
          <w:sz w:val="17"/>
          <w:szCs w:val="17"/>
          <w:b w:val="1"/>
          <w:bCs w:val="1"/>
          <w:u w:val="single" w:color="auto"/>
          <w:color w:val="auto"/>
        </w:rPr>
        <w:t>FINAL AGREEMENT</w:t>
      </w:r>
      <w:r>
        <w:rPr>
          <w:rFonts w:ascii="Arial" w:cs="Arial" w:eastAsia="Arial" w:hAnsi="Arial"/>
          <w:sz w:val="17"/>
          <w:szCs w:val="17"/>
          <w:color w:val="auto"/>
        </w:rPr>
        <w:t>. THIS AGREEMENT AND THE OTHER LOAN DOCUMENTS REPRESENT THE FINAL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AND MAY NOT BE CONTRADICTED BY EVIDENCE OF PRIOR, CONTEMPORANEOUS, OR SUBSEQUENT ORAL AGREEMENTS OF THE PARTIES. THERE ARE NO UNWRITTEN ORAL AGREEMENTS BETWEEN THE PARTIES.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00"/>
          </w:cols>
          <w:pgMar w:left="240" w:top="270" w:right="259" w:bottom="1440" w:gutter="0" w:footer="0" w:header="0"/>
        </w:sectPr>
      </w:pPr>
    </w:p>
    <w:bookmarkStart w:id="101" w:name="page102"/>
    <w:bookmarkEnd w:id="101"/>
    <w:p>
      <w:pPr>
        <w:ind w:right="12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 </w:t>
      </w:r>
      <w:r>
        <w:rPr>
          <w:rFonts w:ascii="Arial" w:cs="Arial" w:eastAsia="Arial" w:hAnsi="Arial"/>
          <w:sz w:val="18"/>
          <w:szCs w:val="18"/>
          <w:b w:val="1"/>
          <w:bCs w:val="1"/>
          <w:u w:val="single" w:color="auto"/>
          <w:color w:val="auto"/>
        </w:rPr>
        <w:t>USA PATRIOT ACT</w:t>
      </w:r>
      <w:r>
        <w:rPr>
          <w:rFonts w:ascii="Arial" w:cs="Arial" w:eastAsia="Arial" w:hAnsi="Arial"/>
          <w:sz w:val="18"/>
          <w:szCs w:val="18"/>
          <w:color w:val="auto"/>
        </w:rPr>
        <w:t>. Each Bank hereby notifies the Borrower that pursuant to the requirements of the USA Patriot Act, it is required to obtain, verify</w:t>
      </w:r>
      <w:r>
        <w:rPr>
          <w:rFonts w:ascii="Arial" w:cs="Arial" w:eastAsia="Arial" w:hAnsi="Arial"/>
          <w:sz w:val="18"/>
          <w:szCs w:val="18"/>
          <w:b w:val="1"/>
          <w:bCs w:val="1"/>
          <w:color w:val="auto"/>
        </w:rPr>
        <w:t xml:space="preserve"> </w:t>
      </w:r>
      <w:r>
        <w:rPr>
          <w:rFonts w:ascii="Arial" w:cs="Arial" w:eastAsia="Arial" w:hAnsi="Arial"/>
          <w:sz w:val="18"/>
          <w:szCs w:val="18"/>
          <w:color w:val="auto"/>
        </w:rPr>
        <w:t>and record information that identifies the Borrower, which information includes the name and address of the Borrower and other information that will allow such Bank to identify the Borrower in accordance with the USA Patriot Act. Each Borrower and each of its Subsidiaries shall provide such information and take such actions as are reasonably requested by the Administrative Agent or any Bank in order to assist the Administrative Agent and the Banks in maintaining compliance with the USA Patriot Act.</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Loan Document), each of the Borrower and the Guarantor acknowledges and agrees, and acknowledges its affiliates’ understanding, that: (i) (A) the arranging and other services regarding this Agreement provided by the Administrative Agent, the Banks and the Lead Arrangers are arm’s-length commercial transactions between the Borrower, the Guarantor and their respective affiliates, on the one hand, and the Administrative Agent, the Banks and the other Lead Arrangers, on the other hand, (B) each of the Borrower and the Guarantor has consulted its own legal, accounting, regulatory and tax advisors to the extent it has deemed appropriate, and (C) the Borrower and the Guarantor is capable of evaluating, and understands and accepts, the terms, risks and conditions of the transactions contemplated hereby and by the other Loan Documents; (ii) (A) the Administrative Agent, each Bank and each Lead Arranger each is and has been acting solely as a principal and, except as expressly agreed in writing by the relevant parties, has not been, is not, and will not be acting as an advisor, agent or fiduciary for the Borrower, the Guarantor or any of their respective affiliates, or any other Person and (B) neither the Administrative Agent nor any Bank nor any Lead Arranger has any obligation to the Borrower, the Guarantor or any of their respective affiliates with respect to the transactions contemplated hereby except those obligations expressly set forth herein and in the other Loan Documents; and (iii) the Administrative Agent, the Banks and the Lead Arrangers and their respective affiliates may be engaged in a broad range of transactions that involve interests that differ from those of the Borrower, the Guarantor and their respective affiliates, and neither the Administrative Agent nor any Bank nor any Lead Arranger has any obligation to disclose any of such interests to the Borrower, the Guarantor or any of their respective affiliates. To the fullest extent permitted by law, each of the Borrower and the Guarantor hereby waives and releases any claims that it may have against the Administrative Agent, the Banks and the other Lead Arrangers with respect to any breach or alleged breach of any agency or fiduciary duty to the Borrower, the Guarantor or any of their respective affiliates in connection with any aspect of any transaction contemplated hereby.</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PAYMENTS SET ASIDE</w:t>
      </w:r>
      <w:r>
        <w:rPr>
          <w:rFonts w:ascii="Arial" w:cs="Arial" w:eastAsia="Arial" w:hAnsi="Arial"/>
          <w:sz w:val="18"/>
          <w:szCs w:val="18"/>
          <w:color w:val="auto"/>
        </w:rPr>
        <w:t>. To the extent that any payment by or on behalf of the Borrower is made to the Administrative Agent, an Issuing Bank or any</w:t>
      </w:r>
      <w:r>
        <w:rPr>
          <w:rFonts w:ascii="Arial" w:cs="Arial" w:eastAsia="Arial" w:hAnsi="Arial"/>
          <w:sz w:val="18"/>
          <w:szCs w:val="18"/>
          <w:b w:val="1"/>
          <w:bCs w:val="1"/>
          <w:color w:val="auto"/>
        </w:rPr>
        <w:t xml:space="preserve"> </w:t>
      </w:r>
      <w:r>
        <w:rPr>
          <w:rFonts w:ascii="Arial" w:cs="Arial" w:eastAsia="Arial" w:hAnsi="Arial"/>
          <w:sz w:val="18"/>
          <w:szCs w:val="18"/>
          <w:color w:val="auto"/>
        </w:rPr>
        <w:t>Bank, or the Administrative Agent, an Issuing Bank or any Bank exercises its right of setoff, and such payment or the proceeds of such setoff or any part thereof is subsequently invalidated, declared to be fraudulent or preferential, set aside or required (including pursuant to any settlement entered into by the Administrative Agent, an Issuing Bank or such Bank in its discretion) to be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20"/>
          </w:cols>
          <w:pgMar w:left="240" w:top="270" w:right="239" w:bottom="1440" w:gutter="0" w:footer="0" w:header="0"/>
        </w:sectPr>
      </w:pPr>
    </w:p>
    <w:bookmarkStart w:id="102" w:name="page103"/>
    <w:bookmarkEnd w:id="10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repaid to a trustee, receiver or any other party, in connection with any proceeding under any bankruptcy, insolvency or similar law or otherwise, then (a) to the extent of such recovery, the obligation or part thereof originally intended to be satisfied shall be revived and continued in full force and effect as if such payment had not been made or such setoff had not occurred, and (b) each Bank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Banks and each Issuing Bank under clause (b) of the preceding sentence shall survive the payment in full of the Obligations and the termination of this Agreement.</w:t>
      </w:r>
    </w:p>
    <w:p>
      <w:pPr>
        <w:spacing w:after="0" w:line="18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ELECTRONIC EXECUTION OF ASSIGNMENTS AND CERTAIN OTHER DOCUMENTS</w:t>
      </w:r>
      <w:r>
        <w:rPr>
          <w:rFonts w:ascii="Arial" w:cs="Arial" w:eastAsia="Arial" w:hAnsi="Arial"/>
          <w:sz w:val="17"/>
          <w:szCs w:val="17"/>
          <w:color w:val="auto"/>
        </w:rPr>
        <w:t>. The words “execute,” “execution,” “signed,”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“signature,” and words of like import in or related to any document to be signed in connection with this Agreement and the transactions contemplated hereby (including without limitation Assignment and Assumptions, amendments or other modifications, Syndicated Loan Requests, Swing Line Loan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is intentionally left blank; 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20"/>
          </w:cols>
          <w:pgMar w:left="240" w:top="27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have duly executed this Agreement as of the date first set forth above.</w:t>
      </w:r>
    </w:p>
    <w:p>
      <w:pPr>
        <w:spacing w:after="0" w:line="374"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THE BORROWER AND GUARANTOR:</w:t>
      </w:r>
    </w:p>
    <w:p>
      <w:pPr>
        <w:spacing w:after="0" w:line="13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WASTE MANAGEMENT, INC.</w:t>
      </w:r>
    </w:p>
    <w:p>
      <w:pPr>
        <w:spacing w:after="0" w:line="2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Devina A Rankin</w:t>
      </w:r>
    </w:p>
    <w:p>
      <w:pPr>
        <w:spacing w:after="0" w:line="23" w:lineRule="exact"/>
        <w:rPr>
          <w:sz w:val="20"/>
          <w:szCs w:val="20"/>
          <w:color w:val="auto"/>
        </w:rPr>
      </w:pPr>
    </w:p>
    <w:p>
      <w:pPr>
        <w:ind w:left="6400"/>
        <w:spacing w:after="0"/>
        <w:tabs>
          <w:tab w:leader="none" w:pos="7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400"/>
        <w:spacing w:after="0"/>
        <w:tabs>
          <w:tab w:leader="none" w:pos="7020" w:val="left"/>
        </w:tabs>
        <w:rPr>
          <w:sz w:val="20"/>
          <w:szCs w:val="20"/>
          <w:color w:val="auto"/>
        </w:rPr>
      </w:pPr>
      <w:r>
        <w:rPr>
          <w:rFonts w:ascii="Arial" w:cs="Arial" w:eastAsia="Arial" w:hAnsi="Arial"/>
          <w:sz w:val="18"/>
          <w:szCs w:val="18"/>
          <w:color w:val="auto"/>
        </w:rPr>
        <w:t>Title:</w:t>
        <w:tab/>
        <w:t>Vice President &amp; Treasurer</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WASTE MANAGEMENT HOLDINGS,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Devina A Rankin</w:t>
      </w:r>
    </w:p>
    <w:p>
      <w:pPr>
        <w:spacing w:after="0" w:line="23" w:lineRule="exact"/>
        <w:rPr>
          <w:sz w:val="20"/>
          <w:szCs w:val="20"/>
          <w:color w:val="auto"/>
        </w:rPr>
      </w:pPr>
    </w:p>
    <w:p>
      <w:pPr>
        <w:ind w:left="6400"/>
        <w:spacing w:after="0"/>
        <w:tabs>
          <w:tab w:leader="none" w:pos="7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400"/>
        <w:spacing w:after="0"/>
        <w:tabs>
          <w:tab w:leader="none" w:pos="7020" w:val="left"/>
        </w:tabs>
        <w:rPr>
          <w:sz w:val="20"/>
          <w:szCs w:val="20"/>
          <w:color w:val="auto"/>
        </w:rPr>
      </w:pPr>
      <w:r>
        <w:rPr>
          <w:rFonts w:ascii="Arial" w:cs="Arial" w:eastAsia="Arial" w:hAnsi="Arial"/>
          <w:sz w:val="18"/>
          <w:szCs w:val="18"/>
          <w:color w:val="auto"/>
        </w:rPr>
        <w:t>Title:</w:t>
        <w:tab/>
        <w:t>Vice President &amp;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Ed Egl</w:t>
      </w:r>
    </w:p>
    <w:p>
      <w:pPr>
        <w:spacing w:after="0" w:line="23" w:lineRule="exact"/>
        <w:rPr>
          <w:sz w:val="20"/>
          <w:szCs w:val="20"/>
          <w:color w:val="auto"/>
        </w:rPr>
      </w:pPr>
    </w:p>
    <w:p>
      <w:pPr>
        <w:ind w:left="6400"/>
        <w:spacing w:after="0"/>
        <w:tabs>
          <w:tab w:leader="none" w:pos="7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Ed Egl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400"/>
        <w:spacing w:after="0"/>
        <w:tabs>
          <w:tab w:leader="none" w:pos="7020" w:val="left"/>
        </w:tabs>
        <w:rPr>
          <w:sz w:val="20"/>
          <w:szCs w:val="20"/>
          <w:color w:val="auto"/>
        </w:rPr>
      </w:pPr>
      <w:r>
        <w:rPr>
          <w:rFonts w:ascii="Arial" w:cs="Arial" w:eastAsia="Arial" w:hAnsi="Arial"/>
          <w:sz w:val="18"/>
          <w:szCs w:val="18"/>
          <w:color w:val="auto"/>
        </w:rPr>
        <w:t>Title:</w:t>
        <w:tab/>
        <w:t>Assistant Treasurer</w:t>
      </w:r>
    </w:p>
    <w:p>
      <w:pPr>
        <w:spacing w:after="0" w:line="206" w:lineRule="exact"/>
        <w:rPr>
          <w:sz w:val="20"/>
          <w:szCs w:val="20"/>
          <w:color w:val="auto"/>
        </w:rPr>
      </w:pPr>
    </w:p>
    <w:p>
      <w:pPr>
        <w:jc w:val="center"/>
        <w:ind w:right="-599"/>
        <w:spacing w:after="0"/>
        <w:rPr>
          <w:sz w:val="20"/>
          <w:szCs w:val="20"/>
          <w:color w:val="auto"/>
        </w:rPr>
      </w:pPr>
      <w:r>
        <w:rPr>
          <w:rFonts w:ascii="Arial" w:cs="Arial" w:eastAsia="Arial" w:hAnsi="Arial"/>
          <w:sz w:val="14"/>
          <w:szCs w:val="14"/>
          <w:color w:val="auto"/>
        </w:rPr>
        <w:t>Waste Management, Inc.</w:t>
      </w:r>
    </w:p>
    <w:p>
      <w:pPr>
        <w:jc w:val="center"/>
        <w:ind w:right="-599"/>
        <w:spacing w:after="0" w:line="221" w:lineRule="auto"/>
        <w:rPr>
          <w:sz w:val="20"/>
          <w:szCs w:val="20"/>
          <w:color w:val="auto"/>
        </w:rPr>
      </w:pPr>
      <w:r>
        <w:rPr>
          <w:rFonts w:ascii="Arial" w:cs="Arial" w:eastAsia="Arial" w:hAnsi="Arial"/>
          <w:sz w:val="14"/>
          <w:szCs w:val="14"/>
          <w:color w:val="auto"/>
        </w:rPr>
        <w:t>Third Amended and Restated Credit Agreement</w:t>
      </w:r>
    </w:p>
    <w:p>
      <w:pPr>
        <w:jc w:val="center"/>
        <w:ind w:right="-599"/>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920"/>
          </w:cols>
          <w:pgMar w:left="700" w:top="270" w:right="1279" w:bottom="1440" w:gutter="0" w:footer="0" w:header="0"/>
        </w:sectPr>
      </w:pPr>
    </w:p>
    <w:bookmarkStart w:id="104" w:name="page105"/>
    <w:bookmarkEnd w:id="104"/>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w:t>
      </w:r>
      <w:r>
        <w:rPr>
          <w:rFonts w:ascii="Arial" w:cs="Arial" w:eastAsia="Arial" w:hAnsi="Arial"/>
          <w:sz w:val="18"/>
          <w:szCs w:val="18"/>
          <w:b w:val="1"/>
          <w:bCs w:val="1"/>
          <w:color w:val="auto"/>
        </w:rPr>
        <w:t>:</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 as Administrative Agent</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Darleen R. Parmelee</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Darleen R. Parmelee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Vice President</w:t>
      </w:r>
    </w:p>
    <w:p>
      <w:pPr>
        <w:spacing w:after="0" w:line="206" w:lineRule="exact"/>
        <w:rPr>
          <w:sz w:val="20"/>
          <w:szCs w:val="20"/>
          <w:color w:val="auto"/>
        </w:rPr>
      </w:pPr>
    </w:p>
    <w:p>
      <w:pPr>
        <w:jc w:val="center"/>
        <w:ind w:right="640"/>
        <w:spacing w:after="0"/>
        <w:rPr>
          <w:sz w:val="20"/>
          <w:szCs w:val="20"/>
          <w:color w:val="auto"/>
        </w:rPr>
      </w:pPr>
      <w:r>
        <w:rPr>
          <w:rFonts w:ascii="Arial" w:cs="Arial" w:eastAsia="Arial" w:hAnsi="Arial"/>
          <w:sz w:val="14"/>
          <w:szCs w:val="14"/>
          <w:color w:val="auto"/>
        </w:rPr>
        <w:t>Waste Management, Inc.</w:t>
      </w:r>
    </w:p>
    <w:p>
      <w:pPr>
        <w:jc w:val="center"/>
        <w:ind w:right="640"/>
        <w:spacing w:after="0"/>
        <w:rPr>
          <w:sz w:val="20"/>
          <w:szCs w:val="20"/>
          <w:color w:val="auto"/>
        </w:rPr>
      </w:pPr>
      <w:r>
        <w:rPr>
          <w:rFonts w:ascii="Arial" w:cs="Arial" w:eastAsia="Arial" w:hAnsi="Arial"/>
          <w:sz w:val="13"/>
          <w:szCs w:val="13"/>
          <w:color w:val="auto"/>
        </w:rPr>
        <w:t>Third Amended and Restated Credit Agreement</w:t>
      </w:r>
    </w:p>
    <w:p>
      <w:pPr>
        <w:jc w:val="center"/>
        <w:ind w:right="64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680"/>
          </w:cols>
          <w:pgMar w:left="1440" w:top="270" w:right="779" w:bottom="1440" w:gutter="0" w:footer="0" w:header="0"/>
        </w:sectPr>
      </w:pPr>
    </w:p>
    <w:bookmarkStart w:id="105" w:name="page106"/>
    <w:bookmarkEnd w:id="105"/>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BANKS</w:t>
      </w:r>
      <w:r>
        <w:rPr>
          <w:rFonts w:ascii="Arial" w:cs="Arial" w:eastAsia="Arial" w:hAnsi="Arial"/>
          <w:sz w:val="18"/>
          <w:szCs w:val="18"/>
          <w:b w:val="1"/>
          <w:bCs w:val="1"/>
          <w:color w:val="auto"/>
        </w:rPr>
        <w:t>:</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 as a Bank, Swing Line Bank</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an Issuing Bank</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Kyle Atmore</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Kyle Atmore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Assistant Vice President</w:t>
      </w:r>
    </w:p>
    <w:p>
      <w:pPr>
        <w:spacing w:after="0" w:line="206"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Waste Management, Inc.</w:t>
      </w:r>
    </w:p>
    <w:p>
      <w:pPr>
        <w:jc w:val="center"/>
        <w:ind w:right="940"/>
        <w:spacing w:after="0"/>
        <w:rPr>
          <w:sz w:val="20"/>
          <w:szCs w:val="20"/>
          <w:color w:val="auto"/>
        </w:rPr>
      </w:pPr>
      <w:r>
        <w:rPr>
          <w:rFonts w:ascii="Arial" w:cs="Arial" w:eastAsia="Arial" w:hAnsi="Arial"/>
          <w:sz w:val="13"/>
          <w:szCs w:val="13"/>
          <w:color w:val="auto"/>
        </w:rPr>
        <w:t>Third Amended and Restated Credit Agreement</w:t>
      </w:r>
    </w:p>
    <w:p>
      <w:pPr>
        <w:jc w:val="center"/>
        <w:ind w:right="94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980"/>
          </w:cols>
          <w:pgMar w:left="1440" w:top="270" w:right="479" w:bottom="1440" w:gutter="0" w:footer="0" w:header="0"/>
        </w:sectPr>
      </w:pPr>
    </w:p>
    <w:bookmarkStart w:id="106" w:name="page107"/>
    <w:bookmarkEnd w:id="106"/>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r>
        <w:rPr>
          <w:rFonts w:ascii="Arial" w:cs="Arial" w:eastAsia="Arial" w:hAnsi="Arial"/>
          <w:sz w:val="17"/>
          <w:szCs w:val="17"/>
          <w:color w:val="auto"/>
        </w:rPr>
        <w:t>, as a Bank and an</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Issuing Bank</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Gene Riez de Dios</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Gene Riez de 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Vice President</w:t>
      </w:r>
    </w:p>
    <w:p>
      <w:pPr>
        <w:spacing w:after="0" w:line="206" w:lineRule="exact"/>
        <w:rPr>
          <w:sz w:val="20"/>
          <w:szCs w:val="20"/>
          <w:color w:val="auto"/>
        </w:rPr>
      </w:pPr>
    </w:p>
    <w:p>
      <w:pPr>
        <w:jc w:val="center"/>
        <w:ind w:right="640"/>
        <w:spacing w:after="0"/>
        <w:rPr>
          <w:sz w:val="20"/>
          <w:szCs w:val="20"/>
          <w:color w:val="auto"/>
        </w:rPr>
      </w:pPr>
      <w:r>
        <w:rPr>
          <w:rFonts w:ascii="Arial" w:cs="Arial" w:eastAsia="Arial" w:hAnsi="Arial"/>
          <w:sz w:val="14"/>
          <w:szCs w:val="14"/>
          <w:color w:val="auto"/>
        </w:rPr>
        <w:t>Waste Management, Inc.</w:t>
      </w:r>
    </w:p>
    <w:p>
      <w:pPr>
        <w:jc w:val="center"/>
        <w:ind w:right="640"/>
        <w:spacing w:after="0"/>
        <w:rPr>
          <w:sz w:val="20"/>
          <w:szCs w:val="20"/>
          <w:color w:val="auto"/>
        </w:rPr>
      </w:pPr>
      <w:r>
        <w:rPr>
          <w:rFonts w:ascii="Arial" w:cs="Arial" w:eastAsia="Arial" w:hAnsi="Arial"/>
          <w:sz w:val="13"/>
          <w:szCs w:val="13"/>
          <w:color w:val="auto"/>
        </w:rPr>
        <w:t>Third Amended and Restated Credit Agreement</w:t>
      </w:r>
    </w:p>
    <w:p>
      <w:pPr>
        <w:jc w:val="center"/>
        <w:ind w:right="64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680"/>
          </w:cols>
          <w:pgMar w:left="1440" w:top="270" w:right="779" w:bottom="1440" w:gutter="0" w:footer="0" w:header="0"/>
        </w:sectPr>
      </w:pPr>
    </w:p>
    <w:bookmarkStart w:id="107" w:name="page108"/>
    <w:bookmarkEnd w:id="107"/>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w:t>
      </w:r>
      <w:r>
        <w:rPr>
          <w:rFonts w:ascii="Arial" w:cs="Arial" w:eastAsia="Arial" w:hAnsi="Arial"/>
          <w:sz w:val="16"/>
          <w:szCs w:val="16"/>
          <w:color w:val="auto"/>
        </w:rPr>
        <w:t>, as a Bank and an Issuing Bank</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Craig J. Malloy</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Craig J.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Director</w:t>
      </w:r>
    </w:p>
    <w:p>
      <w:pPr>
        <w:spacing w:after="0" w:line="206" w:lineRule="exact"/>
        <w:rPr>
          <w:sz w:val="20"/>
          <w:szCs w:val="20"/>
          <w:color w:val="auto"/>
        </w:rPr>
      </w:pPr>
    </w:p>
    <w:p>
      <w:pPr>
        <w:jc w:val="center"/>
        <w:ind w:right="860"/>
        <w:spacing w:after="0"/>
        <w:rPr>
          <w:sz w:val="20"/>
          <w:szCs w:val="20"/>
          <w:color w:val="auto"/>
        </w:rPr>
      </w:pPr>
      <w:r>
        <w:rPr>
          <w:rFonts w:ascii="Arial" w:cs="Arial" w:eastAsia="Arial" w:hAnsi="Arial"/>
          <w:sz w:val="14"/>
          <w:szCs w:val="14"/>
          <w:color w:val="auto"/>
        </w:rPr>
        <w:t>Waste Management, Inc.</w:t>
      </w:r>
    </w:p>
    <w:p>
      <w:pPr>
        <w:jc w:val="center"/>
        <w:ind w:right="860"/>
        <w:spacing w:after="0"/>
        <w:rPr>
          <w:sz w:val="20"/>
          <w:szCs w:val="20"/>
          <w:color w:val="auto"/>
        </w:rPr>
      </w:pPr>
      <w:r>
        <w:rPr>
          <w:rFonts w:ascii="Arial" w:cs="Arial" w:eastAsia="Arial" w:hAnsi="Arial"/>
          <w:sz w:val="13"/>
          <w:szCs w:val="13"/>
          <w:color w:val="auto"/>
        </w:rPr>
        <w:t>Third Amended and Restated Credit Agreement</w:t>
      </w:r>
    </w:p>
    <w:p>
      <w:pPr>
        <w:jc w:val="center"/>
        <w:ind w:right="86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900"/>
          </w:cols>
          <w:pgMar w:left="1440" w:top="270" w:right="559" w:bottom="1440" w:gutter="0" w:footer="0" w:header="0"/>
        </w:sectPr>
      </w:pPr>
    </w:p>
    <w:bookmarkStart w:id="108" w:name="page109"/>
    <w:bookmarkEnd w:id="108"/>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BNP PARIBAS</w:t>
      </w:r>
      <w:r>
        <w:rPr>
          <w:rFonts w:ascii="Arial" w:cs="Arial" w:eastAsia="Arial" w:hAnsi="Arial"/>
          <w:sz w:val="16"/>
          <w:szCs w:val="16"/>
          <w:color w:val="auto"/>
        </w:rPr>
        <w:t>, as a Bank and an Issuing Bank</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Emma Petersen</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Emma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Todd Grossnickle</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Todd Grossnickle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Vice President</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Waste Management, Inc.</w:t>
      </w:r>
    </w:p>
    <w:p>
      <w:pPr>
        <w:jc w:val="center"/>
        <w:ind w:right="100"/>
        <w:spacing w:after="0"/>
        <w:rPr>
          <w:sz w:val="20"/>
          <w:szCs w:val="20"/>
          <w:color w:val="auto"/>
        </w:rPr>
      </w:pPr>
      <w:r>
        <w:rPr>
          <w:rFonts w:ascii="Arial" w:cs="Arial" w:eastAsia="Arial" w:hAnsi="Arial"/>
          <w:sz w:val="13"/>
          <w:szCs w:val="13"/>
          <w:color w:val="auto"/>
        </w:rPr>
        <w:t>Third Amended and Restated Credit Agreement</w:t>
      </w:r>
    </w:p>
    <w:p>
      <w:pPr>
        <w:jc w:val="center"/>
        <w:ind w:right="10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140"/>
          </w:cols>
          <w:pgMar w:left="1440" w:top="270" w:right="1319" w:bottom="1440" w:gutter="0" w:footer="0" w:header="0"/>
        </w:sectPr>
      </w:pPr>
    </w:p>
    <w:bookmarkStart w:id="109" w:name="page110"/>
    <w:bookmarkEnd w:id="109"/>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r>
        <w:rPr>
          <w:rFonts w:ascii="Arial" w:cs="Arial" w:eastAsia="Arial" w:hAnsi="Arial"/>
          <w:sz w:val="17"/>
          <w:szCs w:val="17"/>
          <w:color w:val="auto"/>
        </w:rPr>
        <w:t>, as a Bank</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Millie Schild</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Millie Schild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Vice President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Waste Management, Inc.</w:t>
      </w:r>
    </w:p>
    <w:p>
      <w:pPr>
        <w:jc w:val="center"/>
        <w:ind w:right="-20"/>
        <w:spacing w:after="0"/>
        <w:rPr>
          <w:sz w:val="20"/>
          <w:szCs w:val="20"/>
          <w:color w:val="auto"/>
        </w:rPr>
      </w:pPr>
      <w:r>
        <w:rPr>
          <w:rFonts w:ascii="Arial" w:cs="Arial" w:eastAsia="Arial" w:hAnsi="Arial"/>
          <w:sz w:val="13"/>
          <w:szCs w:val="13"/>
          <w:color w:val="auto"/>
        </w:rPr>
        <w:t>Third Amended and Restated Credit Agreement</w:t>
      </w:r>
    </w:p>
    <w:p>
      <w:pPr>
        <w:jc w:val="center"/>
        <w:ind w:right="-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019"/>
          </w:cols>
          <w:pgMar w:left="1440" w:top="270" w:right="1440" w:bottom="1440" w:gutter="0" w:footer="0" w:header="0"/>
        </w:sectPr>
      </w:pPr>
    </w:p>
    <w:bookmarkStart w:id="110" w:name="page111"/>
    <w:bookmarkEnd w:id="110"/>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w:t>
      </w:r>
      <w:r>
        <w:rPr>
          <w:rFonts w:ascii="Arial" w:cs="Arial" w:eastAsia="Arial" w:hAnsi="Arial"/>
          <w:sz w:val="17"/>
          <w:szCs w:val="17"/>
          <w:color w:val="auto"/>
        </w:rPr>
        <w:t>, as a Bank</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Ming K. Chu</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Virginia Cosenza</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Vice President</w:t>
      </w:r>
    </w:p>
    <w:p>
      <w:pPr>
        <w:spacing w:after="0" w:line="206"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Waste Management, Inc.</w:t>
      </w:r>
    </w:p>
    <w:p>
      <w:pPr>
        <w:jc w:val="center"/>
        <w:ind w:right="1160"/>
        <w:spacing w:after="0"/>
        <w:rPr>
          <w:sz w:val="20"/>
          <w:szCs w:val="20"/>
          <w:color w:val="auto"/>
        </w:rPr>
      </w:pPr>
      <w:r>
        <w:rPr>
          <w:rFonts w:ascii="Arial" w:cs="Arial" w:eastAsia="Arial" w:hAnsi="Arial"/>
          <w:sz w:val="13"/>
          <w:szCs w:val="13"/>
          <w:color w:val="auto"/>
        </w:rPr>
        <w:t>Third Amended and Restated Credit Agreement</w:t>
      </w:r>
    </w:p>
    <w:p>
      <w:pPr>
        <w:jc w:val="center"/>
        <w:ind w:right="116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200"/>
          </w:cols>
          <w:pgMar w:left="1440" w:top="270" w:right="259" w:bottom="1440" w:gutter="0" w:footer="0" w:header="0"/>
        </w:sectPr>
      </w:pPr>
    </w:p>
    <w:bookmarkStart w:id="111" w:name="page112"/>
    <w:bookmarkEnd w:id="111"/>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MIZUHO BANK LTD.</w:t>
      </w:r>
      <w:r>
        <w:rPr>
          <w:rFonts w:ascii="Arial" w:cs="Arial" w:eastAsia="Arial" w:hAnsi="Arial"/>
          <w:sz w:val="17"/>
          <w:szCs w:val="17"/>
          <w:color w:val="auto"/>
        </w:rPr>
        <w:t>, as a Bank</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Donna De Magistris</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Donna De 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Authorized Signatory</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Waste Management, Inc.</w:t>
      </w:r>
    </w:p>
    <w:p>
      <w:pPr>
        <w:jc w:val="center"/>
        <w:ind w:right="-20"/>
        <w:spacing w:after="0"/>
        <w:rPr>
          <w:sz w:val="20"/>
          <w:szCs w:val="20"/>
          <w:color w:val="auto"/>
        </w:rPr>
      </w:pPr>
      <w:r>
        <w:rPr>
          <w:rFonts w:ascii="Arial" w:cs="Arial" w:eastAsia="Arial" w:hAnsi="Arial"/>
          <w:sz w:val="13"/>
          <w:szCs w:val="13"/>
          <w:color w:val="auto"/>
        </w:rPr>
        <w:t>Third Amended and Restated Credit Agreement</w:t>
      </w:r>
    </w:p>
    <w:p>
      <w:pPr>
        <w:jc w:val="center"/>
        <w:ind w:right="-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019"/>
          </w:cols>
          <w:pgMar w:left="1440" w:top="270" w:right="1440" w:bottom="1440" w:gutter="0" w:footer="0" w:header="0"/>
        </w:sectPr>
      </w:pPr>
    </w:p>
    <w:bookmarkStart w:id="112" w:name="page113"/>
    <w:bookmarkEnd w:id="11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MITSUI BANKING CORPORATION</w:t>
      </w:r>
      <w:r>
        <w:rPr>
          <w:rFonts w:ascii="Arial" w:cs="Arial" w:eastAsia="Arial" w:hAnsi="Arial"/>
          <w:sz w:val="18"/>
          <w:szCs w:val="18"/>
          <w:color w:val="auto"/>
        </w:rPr>
        <w:t>, as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James D. Weinstein</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D.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Managing Director</w:t>
      </w:r>
    </w:p>
    <w:p>
      <w:pPr>
        <w:spacing w:after="0" w:line="206" w:lineRule="exact"/>
        <w:rPr>
          <w:sz w:val="20"/>
          <w:szCs w:val="20"/>
          <w:color w:val="auto"/>
        </w:rPr>
      </w:pPr>
    </w:p>
    <w:p>
      <w:pPr>
        <w:jc w:val="center"/>
        <w:ind w:right="1020"/>
        <w:spacing w:after="0"/>
        <w:rPr>
          <w:sz w:val="20"/>
          <w:szCs w:val="20"/>
          <w:color w:val="auto"/>
        </w:rPr>
      </w:pPr>
      <w:r>
        <w:rPr>
          <w:rFonts w:ascii="Arial" w:cs="Arial" w:eastAsia="Arial" w:hAnsi="Arial"/>
          <w:sz w:val="14"/>
          <w:szCs w:val="14"/>
          <w:color w:val="auto"/>
        </w:rPr>
        <w:t>Waste Management, Inc.</w:t>
      </w:r>
    </w:p>
    <w:p>
      <w:pPr>
        <w:jc w:val="center"/>
        <w:ind w:right="1020"/>
        <w:spacing w:after="0"/>
        <w:rPr>
          <w:sz w:val="20"/>
          <w:szCs w:val="20"/>
          <w:color w:val="auto"/>
        </w:rPr>
      </w:pPr>
      <w:r>
        <w:rPr>
          <w:rFonts w:ascii="Arial" w:cs="Arial" w:eastAsia="Arial" w:hAnsi="Arial"/>
          <w:sz w:val="13"/>
          <w:szCs w:val="13"/>
          <w:color w:val="auto"/>
        </w:rPr>
        <w:t>Third Amended and Restated Credit Agreement</w:t>
      </w:r>
    </w:p>
    <w:p>
      <w:pPr>
        <w:jc w:val="center"/>
        <w:ind w:right="10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060"/>
          </w:cols>
          <w:pgMar w:left="1440" w:top="270" w:right="399" w:bottom="1440" w:gutter="0" w:footer="0" w:header="0"/>
        </w:sectPr>
      </w:pPr>
    </w:p>
    <w:bookmarkStart w:id="113" w:name="page114"/>
    <w:bookmarkEnd w:id="113"/>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TOKYO-MITSUBISHI UFJ, LTD.</w:t>
      </w:r>
      <w:r>
        <w:rPr>
          <w:rFonts w:ascii="Arial" w:cs="Arial" w:eastAsia="Arial" w:hAnsi="Arial"/>
          <w:sz w:val="17"/>
          <w:szCs w:val="17"/>
          <w:color w:val="auto"/>
        </w:rPr>
        <w:t>, as a</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Victor Pierzchalski</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Victor Pierzchalski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Authorized Signatory</w:t>
      </w:r>
    </w:p>
    <w:p>
      <w:pPr>
        <w:spacing w:after="0" w:line="206"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Waste Management, Inc.</w:t>
      </w:r>
    </w:p>
    <w:p>
      <w:pPr>
        <w:jc w:val="center"/>
        <w:ind w:right="940"/>
        <w:spacing w:after="0"/>
        <w:rPr>
          <w:sz w:val="20"/>
          <w:szCs w:val="20"/>
          <w:color w:val="auto"/>
        </w:rPr>
      </w:pPr>
      <w:r>
        <w:rPr>
          <w:rFonts w:ascii="Arial" w:cs="Arial" w:eastAsia="Arial" w:hAnsi="Arial"/>
          <w:sz w:val="13"/>
          <w:szCs w:val="13"/>
          <w:color w:val="auto"/>
        </w:rPr>
        <w:t>Third Amended and Restated Credit Agreement</w:t>
      </w:r>
    </w:p>
    <w:p>
      <w:pPr>
        <w:jc w:val="center"/>
        <w:ind w:right="94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980"/>
          </w:cols>
          <w:pgMar w:left="1440" w:top="270" w:right="479" w:bottom="1440" w:gutter="0" w:footer="0" w:header="0"/>
        </w:sectPr>
      </w:pPr>
    </w:p>
    <w:bookmarkStart w:id="114" w:name="page115"/>
    <w:bookmarkEnd w:id="114"/>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r>
        <w:rPr>
          <w:rFonts w:ascii="Arial" w:cs="Arial" w:eastAsia="Arial" w:hAnsi="Arial"/>
          <w:sz w:val="17"/>
          <w:szCs w:val="17"/>
          <w:color w:val="auto"/>
        </w:rPr>
        <w:t>, as a Bank and an</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Issuing Bank</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L. Sawyer</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Senior Vice President</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4"/>
          <w:szCs w:val="14"/>
          <w:color w:val="auto"/>
        </w:rPr>
        <w:t>Waste Management, Inc.</w:t>
      </w:r>
    </w:p>
    <w:p>
      <w:pPr>
        <w:jc w:val="center"/>
        <w:ind w:right="1100"/>
        <w:spacing w:after="0"/>
        <w:rPr>
          <w:sz w:val="20"/>
          <w:szCs w:val="20"/>
          <w:color w:val="auto"/>
        </w:rPr>
      </w:pPr>
      <w:r>
        <w:rPr>
          <w:rFonts w:ascii="Arial" w:cs="Arial" w:eastAsia="Arial" w:hAnsi="Arial"/>
          <w:sz w:val="13"/>
          <w:szCs w:val="13"/>
          <w:color w:val="auto"/>
        </w:rPr>
        <w:t>Third Amended and Restated Credit Agreement</w:t>
      </w:r>
    </w:p>
    <w:p>
      <w:pPr>
        <w:jc w:val="center"/>
        <w:ind w:right="110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140"/>
          </w:cols>
          <w:pgMar w:left="1440" w:top="270" w:right="319" w:bottom="1440" w:gutter="0" w:footer="0" w:header="0"/>
        </w:sectPr>
      </w:pPr>
    </w:p>
    <w:bookmarkStart w:id="115" w:name="page116"/>
    <w:bookmarkEnd w:id="115"/>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w:t>
      </w:r>
      <w:r>
        <w:rPr>
          <w:rFonts w:ascii="Arial" w:cs="Arial" w:eastAsia="Arial" w:hAnsi="Arial"/>
          <w:sz w:val="17"/>
          <w:szCs w:val="17"/>
          <w:color w:val="auto"/>
        </w:rPr>
        <w:t>, as</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Bank and an Issuing Bank</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Nathan R. Rantala</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Nathan R. Rantala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Director</w:t>
      </w:r>
    </w:p>
    <w:p>
      <w:pPr>
        <w:spacing w:after="0" w:line="206"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Waste Management, Inc.</w:t>
      </w:r>
    </w:p>
    <w:p>
      <w:pPr>
        <w:jc w:val="center"/>
        <w:ind w:right="1080"/>
        <w:spacing w:after="0"/>
        <w:rPr>
          <w:sz w:val="20"/>
          <w:szCs w:val="20"/>
          <w:color w:val="auto"/>
        </w:rPr>
      </w:pPr>
      <w:r>
        <w:rPr>
          <w:rFonts w:ascii="Arial" w:cs="Arial" w:eastAsia="Arial" w:hAnsi="Arial"/>
          <w:sz w:val="13"/>
          <w:szCs w:val="13"/>
          <w:color w:val="auto"/>
        </w:rPr>
        <w:t>Third Amended and Restated Credit Agreement</w:t>
      </w:r>
    </w:p>
    <w:p>
      <w:pPr>
        <w:jc w:val="center"/>
        <w:ind w:right="108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120"/>
          </w:cols>
          <w:pgMar w:left="1440" w:top="270" w:right="339" w:bottom="1440" w:gutter="0" w:footer="0" w:header="0"/>
        </w:sectPr>
      </w:pPr>
    </w:p>
    <w:bookmarkStart w:id="116" w:name="page117"/>
    <w:bookmarkEnd w:id="116"/>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COMPASS BANK</w:t>
      </w:r>
      <w:r>
        <w:rPr>
          <w:rFonts w:ascii="Arial" w:cs="Arial" w:eastAsia="Arial" w:hAnsi="Arial"/>
          <w:sz w:val="16"/>
          <w:szCs w:val="16"/>
          <w:color w:val="auto"/>
        </w:rPr>
        <w:t>, as a Bank and an Issuing Bank</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Haddad</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Mark Haddad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Vice President</w:t>
      </w:r>
    </w:p>
    <w:p>
      <w:pPr>
        <w:spacing w:after="0" w:line="206"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Waste Management, Inc.</w:t>
      </w:r>
    </w:p>
    <w:p>
      <w:pPr>
        <w:jc w:val="center"/>
        <w:ind w:right="340"/>
        <w:spacing w:after="0"/>
        <w:rPr>
          <w:sz w:val="20"/>
          <w:szCs w:val="20"/>
          <w:color w:val="auto"/>
        </w:rPr>
      </w:pPr>
      <w:r>
        <w:rPr>
          <w:rFonts w:ascii="Arial" w:cs="Arial" w:eastAsia="Arial" w:hAnsi="Arial"/>
          <w:sz w:val="13"/>
          <w:szCs w:val="13"/>
          <w:color w:val="auto"/>
        </w:rPr>
        <w:t>Third Amended and Restated Credit Agreement</w:t>
      </w:r>
    </w:p>
    <w:p>
      <w:pPr>
        <w:jc w:val="center"/>
        <w:ind w:right="34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380"/>
          </w:cols>
          <w:pgMar w:left="1440" w:top="270" w:right="1079" w:bottom="1440" w:gutter="0" w:footer="0" w:header="0"/>
        </w:sectPr>
      </w:pPr>
    </w:p>
    <w:bookmarkStart w:id="117" w:name="page118"/>
    <w:bookmarkEnd w:id="117"/>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 CAYMAN ISLANDS BRANCH</w:t>
      </w:r>
      <w:r>
        <w:rPr>
          <w:rFonts w:ascii="Arial" w:cs="Arial" w:eastAsia="Arial" w:hAnsi="Arial"/>
          <w:sz w:val="17"/>
          <w:szCs w:val="17"/>
          <w:color w:val="auto"/>
        </w:rPr>
        <w:t>, as</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Bank</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Robert Hetu</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Hetu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Lingzl Huang</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Lingzl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Authorized Signatory</w:t>
      </w:r>
    </w:p>
    <w:p>
      <w:pPr>
        <w:spacing w:after="0" w:line="206"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Waste Management, Inc.</w:t>
      </w:r>
    </w:p>
    <w:p>
      <w:pPr>
        <w:jc w:val="center"/>
        <w:ind w:right="1080"/>
        <w:spacing w:after="0"/>
        <w:rPr>
          <w:sz w:val="20"/>
          <w:szCs w:val="20"/>
          <w:color w:val="auto"/>
        </w:rPr>
      </w:pPr>
      <w:r>
        <w:rPr>
          <w:rFonts w:ascii="Arial" w:cs="Arial" w:eastAsia="Arial" w:hAnsi="Arial"/>
          <w:sz w:val="13"/>
          <w:szCs w:val="13"/>
          <w:color w:val="auto"/>
        </w:rPr>
        <w:t>Third Amended and Restated Credit Agreement</w:t>
      </w:r>
    </w:p>
    <w:p>
      <w:pPr>
        <w:jc w:val="center"/>
        <w:ind w:right="108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120"/>
          </w:cols>
          <w:pgMar w:left="1440" w:top="270" w:right="339" w:bottom="1440" w:gutter="0" w:footer="0" w:header="0"/>
        </w:sectPr>
      </w:pPr>
    </w:p>
    <w:bookmarkStart w:id="118" w:name="page119"/>
    <w:bookmarkEnd w:id="118"/>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w:t>
      </w:r>
      <w:r>
        <w:rPr>
          <w:rFonts w:ascii="Arial" w:cs="Arial" w:eastAsia="Arial" w:hAnsi="Arial"/>
          <w:sz w:val="17"/>
          <w:szCs w:val="17"/>
          <w:color w:val="auto"/>
        </w:rPr>
        <w:t>, as a Bank</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Rebecca Kratz</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Authorized Signatory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Waste Management, Inc.</w:t>
      </w:r>
    </w:p>
    <w:p>
      <w:pPr>
        <w:jc w:val="center"/>
        <w:ind w:right="-19"/>
        <w:spacing w:after="0"/>
        <w:rPr>
          <w:sz w:val="20"/>
          <w:szCs w:val="20"/>
          <w:color w:val="auto"/>
        </w:rPr>
      </w:pPr>
      <w:r>
        <w:rPr>
          <w:rFonts w:ascii="Arial" w:cs="Arial" w:eastAsia="Arial" w:hAnsi="Arial"/>
          <w:sz w:val="13"/>
          <w:szCs w:val="13"/>
          <w:color w:val="auto"/>
        </w:rPr>
        <w:t>Third Amended and Restated Credit Agreement</w:t>
      </w:r>
    </w:p>
    <w:p>
      <w:pPr>
        <w:jc w:val="center"/>
        <w:ind w:right="-19"/>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020"/>
          </w:cols>
          <w:pgMar w:left="1440" w:top="270" w:right="1439" w:bottom="1440" w:gutter="0" w:footer="0" w:header="0"/>
        </w:sectPr>
      </w:pPr>
    </w:p>
    <w:bookmarkStart w:id="119" w:name="page120"/>
    <w:bookmarkEnd w:id="119"/>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PNC BANK, NATIONAL ASSOCIATION</w:t>
      </w:r>
      <w:r>
        <w:rPr>
          <w:rFonts w:ascii="Arial" w:cs="Arial" w:eastAsia="Arial" w:hAnsi="Arial"/>
          <w:sz w:val="17"/>
          <w:szCs w:val="17"/>
          <w:color w:val="auto"/>
        </w:rPr>
        <w:t>, as a Bank and</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Issuing Bank</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Phillip K. Liebscher</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Phillip K. Liebscher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Senior Vice President</w:t>
      </w:r>
    </w:p>
    <w:p>
      <w:pPr>
        <w:spacing w:after="0" w:line="206" w:lineRule="exact"/>
        <w:rPr>
          <w:sz w:val="20"/>
          <w:szCs w:val="20"/>
          <w:color w:val="auto"/>
        </w:rPr>
      </w:pPr>
    </w:p>
    <w:p>
      <w:pPr>
        <w:jc w:val="center"/>
        <w:ind w:right="980"/>
        <w:spacing w:after="0"/>
        <w:rPr>
          <w:sz w:val="20"/>
          <w:szCs w:val="20"/>
          <w:color w:val="auto"/>
        </w:rPr>
      </w:pPr>
      <w:r>
        <w:rPr>
          <w:rFonts w:ascii="Arial" w:cs="Arial" w:eastAsia="Arial" w:hAnsi="Arial"/>
          <w:sz w:val="14"/>
          <w:szCs w:val="14"/>
          <w:color w:val="auto"/>
        </w:rPr>
        <w:t>Waste Management, Inc.</w:t>
      </w:r>
    </w:p>
    <w:p>
      <w:pPr>
        <w:jc w:val="center"/>
        <w:ind w:right="980"/>
        <w:spacing w:after="0"/>
        <w:rPr>
          <w:sz w:val="20"/>
          <w:szCs w:val="20"/>
          <w:color w:val="auto"/>
        </w:rPr>
      </w:pPr>
      <w:r>
        <w:rPr>
          <w:rFonts w:ascii="Arial" w:cs="Arial" w:eastAsia="Arial" w:hAnsi="Arial"/>
          <w:sz w:val="13"/>
          <w:szCs w:val="13"/>
          <w:color w:val="auto"/>
        </w:rPr>
        <w:t>Third Amended and Restated Credit Agreement</w:t>
      </w:r>
    </w:p>
    <w:p>
      <w:pPr>
        <w:jc w:val="center"/>
        <w:ind w:right="98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020"/>
          </w:cols>
          <w:pgMar w:left="1440" w:top="270" w:right="439" w:bottom="1440" w:gutter="0" w:footer="0" w:header="0"/>
        </w:sectPr>
      </w:pPr>
    </w:p>
    <w:bookmarkStart w:id="120" w:name="page121"/>
    <w:bookmarkEnd w:id="120"/>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w:t>
      </w:r>
      <w:r>
        <w:rPr>
          <w:rFonts w:ascii="Arial" w:cs="Arial" w:eastAsia="Arial" w:hAnsi="Arial"/>
          <w:sz w:val="17"/>
          <w:szCs w:val="17"/>
          <w:color w:val="auto"/>
        </w:rPr>
        <w:t>, as a Bank</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Michelle C. Phillips</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Michelle C.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Execution Head &amp; Director</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Waste Management, Inc.</w:t>
      </w:r>
    </w:p>
    <w:p>
      <w:pPr>
        <w:jc w:val="center"/>
        <w:ind w:right="-20"/>
        <w:spacing w:after="0"/>
        <w:rPr>
          <w:sz w:val="20"/>
          <w:szCs w:val="20"/>
          <w:color w:val="auto"/>
        </w:rPr>
      </w:pPr>
      <w:r>
        <w:rPr>
          <w:rFonts w:ascii="Arial" w:cs="Arial" w:eastAsia="Arial" w:hAnsi="Arial"/>
          <w:sz w:val="13"/>
          <w:szCs w:val="13"/>
          <w:color w:val="auto"/>
        </w:rPr>
        <w:t>Third Amended and Restated Credit Agreement</w:t>
      </w:r>
    </w:p>
    <w:p>
      <w:pPr>
        <w:jc w:val="center"/>
        <w:ind w:right="-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019"/>
          </w:cols>
          <w:pgMar w:left="1440" w:top="270" w:right="1440" w:bottom="1440" w:gutter="0" w:footer="0" w:header="0"/>
        </w:sectPr>
      </w:pPr>
    </w:p>
    <w:bookmarkStart w:id="121" w:name="page122"/>
    <w:bookmarkEnd w:id="121"/>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r>
        <w:rPr>
          <w:rFonts w:ascii="Arial" w:cs="Arial" w:eastAsia="Arial" w:hAnsi="Arial"/>
          <w:sz w:val="17"/>
          <w:szCs w:val="17"/>
          <w:color w:val="auto"/>
        </w:rPr>
        <w:t>, as a Bank</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B. Wirl</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David B. Wirl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Managing Director</w:t>
      </w:r>
    </w:p>
    <w:p>
      <w:pPr>
        <w:spacing w:after="0" w:line="206"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Waste Management, Inc.</w:t>
      </w:r>
    </w:p>
    <w:p>
      <w:pPr>
        <w:jc w:val="center"/>
        <w:ind w:right="560"/>
        <w:spacing w:after="0"/>
        <w:rPr>
          <w:sz w:val="20"/>
          <w:szCs w:val="20"/>
          <w:color w:val="auto"/>
        </w:rPr>
      </w:pPr>
      <w:r>
        <w:rPr>
          <w:rFonts w:ascii="Arial" w:cs="Arial" w:eastAsia="Arial" w:hAnsi="Arial"/>
          <w:sz w:val="13"/>
          <w:szCs w:val="13"/>
          <w:color w:val="auto"/>
        </w:rPr>
        <w:t>Third Amended and Restated Credit Agreement</w:t>
      </w:r>
    </w:p>
    <w:p>
      <w:pPr>
        <w:jc w:val="center"/>
        <w:ind w:right="56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600"/>
          </w:cols>
          <w:pgMar w:left="1440" w:top="270" w:right="859" w:bottom="1440" w:gutter="0" w:footer="0" w:header="0"/>
        </w:sectPr>
      </w:pPr>
    </w:p>
    <w:bookmarkStart w:id="122" w:name="page123"/>
    <w:bookmarkEnd w:id="122"/>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COMERICA BANK</w:t>
      </w:r>
      <w:r>
        <w:rPr>
          <w:rFonts w:ascii="Arial" w:cs="Arial" w:eastAsia="Arial" w:hAnsi="Arial"/>
          <w:sz w:val="17"/>
          <w:szCs w:val="17"/>
          <w:color w:val="auto"/>
        </w:rPr>
        <w:t>, as a Bank</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L. J. Perenyi</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 J. Perenyi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tabs>
          <w:tab w:leader="none" w:pos="6280" w:val="left"/>
        </w:tabs>
        <w:rPr>
          <w:sz w:val="20"/>
          <w:szCs w:val="20"/>
          <w:color w:val="auto"/>
        </w:rPr>
      </w:pPr>
      <w:r>
        <w:rPr>
          <w:rFonts w:ascii="Arial" w:cs="Arial" w:eastAsia="Arial" w:hAnsi="Arial"/>
          <w:sz w:val="18"/>
          <w:szCs w:val="18"/>
          <w:color w:val="auto"/>
        </w:rPr>
        <w:t>Title:</w:t>
        <w:tab/>
        <w:t>Vice President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Waste Management, Inc.</w:t>
      </w:r>
    </w:p>
    <w:p>
      <w:pPr>
        <w:jc w:val="center"/>
        <w:ind w:right="-20"/>
        <w:spacing w:after="0"/>
        <w:rPr>
          <w:sz w:val="20"/>
          <w:szCs w:val="20"/>
          <w:color w:val="auto"/>
        </w:rPr>
      </w:pPr>
      <w:r>
        <w:rPr>
          <w:rFonts w:ascii="Arial" w:cs="Arial" w:eastAsia="Arial" w:hAnsi="Arial"/>
          <w:sz w:val="13"/>
          <w:szCs w:val="13"/>
          <w:color w:val="auto"/>
        </w:rPr>
        <w:t>Third Amended and Restated Credit Agreement</w:t>
      </w:r>
    </w:p>
    <w:p>
      <w:pPr>
        <w:jc w:val="center"/>
        <w:ind w:right="-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9019"/>
          </w:cols>
          <w:pgMar w:left="1440" w:top="270"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SYNDICATED LOAN REQUEST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July 10, 2015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Syndicated Loan Request under §2.6(a)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14605</wp:posOffset>
            </wp:positionV>
            <wp:extent cx="13036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Amount of this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Maximum Drawing Amount of outstanding Letters of Credit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340" w:type="dxa"/>
            <w:vAlign w:val="bottom"/>
            <w:gridSpan w:val="6"/>
            <w:shd w:val="clear" w:color="auto" w:fill="CCEEFF"/>
          </w:tcPr>
          <w:p>
            <w:pPr>
              <w:ind w:left="340"/>
              <w:spacing w:after="0" w:line="182" w:lineRule="exact"/>
              <w:rPr>
                <w:sz w:val="20"/>
                <w:szCs w:val="20"/>
                <w:color w:val="auto"/>
              </w:rPr>
            </w:pPr>
            <w:r>
              <w:rPr>
                <w:rFonts w:ascii="Arial" w:cs="Arial" w:eastAsia="Arial" w:hAnsi="Arial"/>
                <w:sz w:val="18"/>
                <w:szCs w:val="18"/>
                <w:color w:val="auto"/>
              </w:rPr>
              <w:t>Canadian Dollar component</w:t>
            </w:r>
          </w:p>
        </w:tc>
        <w:tc>
          <w:tcPr>
            <w:tcW w:w="2060" w:type="dxa"/>
            <w:vAlign w:val="bottom"/>
            <w:tcBorders>
              <w:top w:val="single" w:sz="8" w:color="auto"/>
            </w:tcBorders>
            <w:gridSpan w:val="8"/>
            <w:shd w:val="clear" w:color="auto" w:fill="CCEEFF"/>
          </w:tcPr>
          <w:p>
            <w:pPr>
              <w:spacing w:after="0" w:line="182" w:lineRule="exact"/>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7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tcBorders>
              <w:top w:val="single" w:sz="8" w:color="CCEEFF"/>
            </w:tcBorders>
            <w:gridSpan w:val="6"/>
          </w:tcPr>
          <w:p>
            <w:pPr>
              <w:ind w:left="340"/>
              <w:spacing w:after="0" w:line="176" w:lineRule="exact"/>
              <w:rPr>
                <w:sz w:val="20"/>
                <w:szCs w:val="20"/>
                <w:color w:val="auto"/>
              </w:rPr>
            </w:pPr>
            <w:r>
              <w:rPr>
                <w:rFonts w:ascii="Arial" w:cs="Arial" w:eastAsia="Arial" w:hAnsi="Arial"/>
                <w:sz w:val="18"/>
                <w:szCs w:val="18"/>
                <w:color w:val="auto"/>
              </w:rPr>
              <w:t>U.S. Dollar Equivalent of C$ component</w:t>
            </w:r>
          </w:p>
        </w:tc>
        <w:tc>
          <w:tcPr>
            <w:tcW w:w="2060" w:type="dxa"/>
            <w:vAlign w:val="bottom"/>
            <w:tcBorders>
              <w:top w:val="single" w:sz="8" w:color="CCEEFF"/>
            </w:tcBorders>
            <w:gridSpan w:val="8"/>
          </w:tcPr>
          <w:p>
            <w:pPr>
              <w:spacing w:after="0" w:line="176" w:lineRule="exact"/>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Total of all outstanding and requested Loans plus Maximum Drawing Amount of all outstanding Letters of Credit plus</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Amount of this Request (must not exceed Total Commitment)</w:t>
            </w:r>
          </w:p>
        </w:tc>
        <w:tc>
          <w:tcPr>
            <w:tcW w:w="1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360" w:type="dxa"/>
            <w:vAlign w:val="bottom"/>
            <w:gridSpan w:val="7"/>
          </w:tcPr>
          <w:p>
            <w:pPr>
              <w:spacing w:after="0"/>
              <w:rPr>
                <w:sz w:val="20"/>
                <w:szCs w:val="20"/>
                <w:color w:val="auto"/>
              </w:rPr>
            </w:pPr>
            <w:r>
              <w:rPr>
                <w:rFonts w:ascii="Arial" w:cs="Arial" w:eastAsia="Arial" w:hAnsi="Arial"/>
                <w:sz w:val="18"/>
                <w:szCs w:val="18"/>
                <w:color w:val="auto"/>
              </w:rPr>
              <w:t>Proposed Drawdown Date</w:t>
            </w: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Interest Rate Option (Base Rate or Eurodollar)</w:t>
            </w:r>
          </w:p>
        </w:tc>
        <w:tc>
          <w:tcPr>
            <w:tcW w:w="1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gridSpan w:val="7"/>
          </w:tcPr>
          <w:p>
            <w:pPr>
              <w:spacing w:after="0"/>
              <w:rPr>
                <w:sz w:val="20"/>
                <w:szCs w:val="20"/>
                <w:color w:val="auto"/>
              </w:rPr>
            </w:pPr>
            <w:r>
              <w:rPr>
                <w:rFonts w:ascii="Arial" w:cs="Arial" w:eastAsia="Arial" w:hAnsi="Arial"/>
                <w:sz w:val="18"/>
                <w:szCs w:val="18"/>
                <w:color w:val="auto"/>
              </w:rPr>
              <w:t>Interest Period (if Eurodollar)</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9360" w:type="dxa"/>
            <w:vAlign w:val="bottom"/>
            <w:gridSpan w:val="7"/>
          </w:tcPr>
          <w:p>
            <w:pPr>
              <w:spacing w:after="0"/>
              <w:rPr>
                <w:sz w:val="20"/>
                <w:szCs w:val="20"/>
                <w:color w:val="auto"/>
              </w:rPr>
            </w:pPr>
            <w:r>
              <w:rPr>
                <w:rFonts w:ascii="Arial" w:cs="Arial" w:eastAsia="Arial" w:hAnsi="Arial"/>
                <w:sz w:val="18"/>
                <w:szCs w:val="18"/>
                <w:color w:val="auto"/>
              </w:rPr>
              <w:t>Conversion under §2.7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Amount to be converted from Eurodollar to Base Rate:</w:t>
            </w:r>
          </w:p>
        </w:tc>
        <w:tc>
          <w:tcPr>
            <w:tcW w:w="1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7"/>
          </w:tcPr>
          <w:p>
            <w:pPr>
              <w:spacing w:after="0"/>
              <w:rPr>
                <w:sz w:val="20"/>
                <w:szCs w:val="20"/>
                <w:color w:val="auto"/>
              </w:rPr>
            </w:pPr>
            <w:r>
              <w:rPr>
                <w:rFonts w:ascii="Arial" w:cs="Arial" w:eastAsia="Arial" w:hAnsi="Arial"/>
                <w:sz w:val="18"/>
                <w:szCs w:val="18"/>
                <w:color w:val="auto"/>
              </w:rPr>
              <w:t>Amount to be converted from Base Rate to Eurodollar:</w:t>
            </w: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Amount to be maintained as Eurodollar Loan</w:t>
            </w:r>
          </w:p>
        </w:tc>
        <w:tc>
          <w:tcPr>
            <w:tcW w:w="1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7"/>
          </w:tcPr>
          <w:p>
            <w:pPr>
              <w:spacing w:after="0"/>
              <w:rPr>
                <w:sz w:val="20"/>
                <w:szCs w:val="20"/>
                <w:color w:val="auto"/>
              </w:rPr>
            </w:pPr>
            <w:r>
              <w:rPr>
                <w:rFonts w:ascii="Arial" w:cs="Arial" w:eastAsia="Arial" w:hAnsi="Arial"/>
                <w:sz w:val="18"/>
                <w:szCs w:val="18"/>
                <w:color w:val="auto"/>
              </w:rPr>
              <w:t>Conversion Date</w:t>
            </w: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Interest Period (if Eurodollar)</w:t>
            </w:r>
          </w:p>
        </w:tc>
        <w:tc>
          <w:tcPr>
            <w:tcW w:w="1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 certify that the above is true and correct, and that all of the conditions set forth in §11 of the Credit Agreement have been satisfied as of the date hereof.</w:t>
      </w:r>
    </w:p>
    <w:p>
      <w:pPr>
        <w:spacing w:after="0" w:line="3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22860</wp:posOffset>
            </wp:positionV>
            <wp:extent cx="25469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-121920</wp:posOffset>
            </wp:positionV>
            <wp:extent cx="25469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SWING LINE LOAN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July 10, 2015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Swing Line Loan Request under §2.11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14605</wp:posOffset>
            </wp:positionV>
            <wp:extent cx="13036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Amount of this requested Swing Line Loan (must not exceed the Swing Line Sublimit)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Maximum Drawing Amount of outstanding Letters of Credit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340" w:type="dxa"/>
            <w:vAlign w:val="bottom"/>
            <w:gridSpan w:val="5"/>
            <w:shd w:val="clear" w:color="auto" w:fill="CCEEFF"/>
          </w:tcPr>
          <w:p>
            <w:pPr>
              <w:ind w:left="340"/>
              <w:spacing w:after="0" w:line="182" w:lineRule="exact"/>
              <w:rPr>
                <w:sz w:val="20"/>
                <w:szCs w:val="20"/>
                <w:color w:val="auto"/>
              </w:rPr>
            </w:pPr>
            <w:r>
              <w:rPr>
                <w:rFonts w:ascii="Arial" w:cs="Arial" w:eastAsia="Arial" w:hAnsi="Arial"/>
                <w:sz w:val="18"/>
                <w:szCs w:val="18"/>
                <w:color w:val="auto"/>
              </w:rPr>
              <w:t>Canadian Dollar component</w:t>
            </w:r>
          </w:p>
        </w:tc>
        <w:tc>
          <w:tcPr>
            <w:tcW w:w="2060" w:type="dxa"/>
            <w:vAlign w:val="bottom"/>
            <w:tcBorders>
              <w:top w:val="single" w:sz="8" w:color="auto"/>
            </w:tcBorders>
            <w:gridSpan w:val="8"/>
            <w:shd w:val="clear" w:color="auto" w:fill="CCEEFF"/>
          </w:tcPr>
          <w:p>
            <w:pPr>
              <w:spacing w:after="0" w:line="182" w:lineRule="exact"/>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3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7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tcBorders>
              <w:top w:val="single" w:sz="8" w:color="CCEEFF"/>
            </w:tcBorders>
            <w:gridSpan w:val="5"/>
          </w:tcPr>
          <w:p>
            <w:pPr>
              <w:ind w:left="340"/>
              <w:spacing w:after="0" w:line="176" w:lineRule="exact"/>
              <w:rPr>
                <w:sz w:val="20"/>
                <w:szCs w:val="20"/>
                <w:color w:val="auto"/>
              </w:rPr>
            </w:pPr>
            <w:r>
              <w:rPr>
                <w:rFonts w:ascii="Arial" w:cs="Arial" w:eastAsia="Arial" w:hAnsi="Arial"/>
                <w:sz w:val="18"/>
                <w:szCs w:val="18"/>
                <w:color w:val="auto"/>
              </w:rPr>
              <w:t>U.S. Dollar Equivalent of C$ component</w:t>
            </w:r>
          </w:p>
        </w:tc>
        <w:tc>
          <w:tcPr>
            <w:tcW w:w="2060" w:type="dxa"/>
            <w:vAlign w:val="bottom"/>
            <w:tcBorders>
              <w:top w:val="single" w:sz="8" w:color="CCEEFF"/>
            </w:tcBorders>
            <w:gridSpan w:val="8"/>
          </w:tcPr>
          <w:p>
            <w:pPr>
              <w:spacing w:after="0" w:line="176" w:lineRule="exact"/>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w w:val="93"/>
              </w:rPr>
              <w:t>Total of all outstanding and requested Loans plus Maximum Drawing Amount of all outstanding Letters of Credit plus amount</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requested in this notice (must not exceed Total Commitment)</w:t>
            </w:r>
          </w:p>
        </w:tc>
        <w:tc>
          <w:tcPr>
            <w:tcW w:w="1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360" w:type="dxa"/>
            <w:vAlign w:val="bottom"/>
            <w:gridSpan w:val="6"/>
          </w:tcPr>
          <w:p>
            <w:pPr>
              <w:spacing w:after="0"/>
              <w:rPr>
                <w:sz w:val="20"/>
                <w:szCs w:val="20"/>
                <w:color w:val="auto"/>
              </w:rPr>
            </w:pPr>
            <w:r>
              <w:rPr>
                <w:rFonts w:ascii="Arial" w:cs="Arial" w:eastAsia="Arial" w:hAnsi="Arial"/>
                <w:sz w:val="18"/>
                <w:szCs w:val="18"/>
                <w:color w:val="auto"/>
              </w:rPr>
              <w:t>Proposed Drawdown Date</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 certify that the above is true and correct, and that all of the conditions set forth in §11 of the Credit Agreement have been satisfied as of the date hereof.</w:t>
      </w:r>
    </w:p>
    <w:p>
      <w:pPr>
        <w:spacing w:after="0" w:line="3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22860</wp:posOffset>
            </wp:positionV>
            <wp:extent cx="25469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-121920</wp:posOffset>
            </wp:positionV>
            <wp:extent cx="25469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LETTER OF CREDIT REQUEST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July 10, 2015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Request Under §3.1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Maximum Drawing Amount of Letters of Credit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14605</wp:posOffset>
            </wp:positionV>
            <wp:extent cx="131191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Amount of this Request from Letter of Credit Application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U.S. Dollars</w:t>
      </w:r>
    </w:p>
    <w:p>
      <w:pPr>
        <w:spacing w:after="0" w:line="36" w:lineRule="exact"/>
        <w:rPr>
          <w:sz w:val="20"/>
          <w:szCs w:val="20"/>
          <w:color w:val="auto"/>
        </w:rPr>
      </w:pPr>
    </w:p>
    <w:p>
      <w:pPr>
        <w:ind w:right="9580" w:firstLine="360"/>
        <w:spacing w:after="0" w:line="317" w:lineRule="auto"/>
        <w:rPr>
          <w:sz w:val="20"/>
          <w:szCs w:val="20"/>
          <w:color w:val="auto"/>
        </w:rPr>
      </w:pPr>
      <w:r>
        <w:rPr>
          <w:rFonts w:ascii="Arial" w:cs="Arial" w:eastAsia="Arial" w:hAnsi="Arial"/>
          <w:sz w:val="16"/>
          <w:szCs w:val="16"/>
          <w:color w:val="auto"/>
        </w:rPr>
        <w:t>— Canadian Dollars Loans Outstanding</w:t>
      </w:r>
    </w:p>
    <w:p>
      <w:pPr>
        <w:ind w:left="180" w:right="2760" w:hanging="180"/>
        <w:spacing w:after="0" w:line="277" w:lineRule="auto"/>
        <w:rPr>
          <w:sz w:val="20"/>
          <w:szCs w:val="20"/>
          <w:color w:val="auto"/>
        </w:rPr>
      </w:pPr>
      <w:r>
        <w:rPr>
          <w:rFonts w:ascii="Arial" w:cs="Arial" w:eastAsia="Arial" w:hAnsi="Arial"/>
          <w:sz w:val="18"/>
          <w:szCs w:val="18"/>
          <w:color w:val="auto"/>
        </w:rPr>
        <w:t xml:space="preserve">Maximum Drawing Amount of all outstanding and Requested Letters of Credit (must not exceed the Total Commitment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Total of all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7246620" cy="6089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608965"/>
                    </a:xfrm>
                    <a:prstGeom prst="rect">
                      <a:avLst/>
                    </a:prstGeom>
                    <a:noFill/>
                  </pic:spPr>
                </pic:pic>
              </a:graphicData>
            </a:graphic>
          </wp:anchor>
        </w:drawing>
      </w:r>
    </w:p>
    <w:p>
      <w:pPr>
        <w:spacing w:after="0" w:line="17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 certify that the above is true and correct, and that all of the conditions set forth in §11 of the Credit Agreement have been satisfied as of the date hereof.</w:t>
      </w:r>
    </w:p>
    <w:p>
      <w:pPr>
        <w:spacing w:after="0" w:line="3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22860</wp:posOffset>
            </wp:positionV>
            <wp:extent cx="25469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-121920</wp:posOffset>
            </wp:positionV>
            <wp:extent cx="25469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COMPLIANCE CERTIFICATE</w:t>
      </w:r>
    </w:p>
    <w:p>
      <w:pPr>
        <w:spacing w:after="0" w:line="22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Compliance Certificate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6680200</wp:posOffset>
            </wp:positionH>
            <wp:positionV relativeFrom="paragraph">
              <wp:posOffset>-10160</wp:posOffset>
            </wp:positionV>
            <wp:extent cx="571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 _______________, [Chief Financial Officer] [Chief Accounting Officer] [Corporate Treasurer] of </w:t>
      </w:r>
      <w:r>
        <w:rPr>
          <w:rFonts w:ascii="Arial" w:cs="Arial" w:eastAsia="Arial" w:hAnsi="Arial"/>
          <w:sz w:val="18"/>
          <w:szCs w:val="18"/>
          <w:b w:val="1"/>
          <w:bCs w:val="1"/>
          <w:color w:val="auto"/>
        </w:rPr>
        <w:t>WASTE MANAGEMENT, INC.</w:t>
      </w:r>
      <w:r>
        <w:rPr>
          <w:rFonts w:ascii="Arial" w:cs="Arial" w:eastAsia="Arial" w:hAnsi="Arial"/>
          <w:sz w:val="18"/>
          <w:szCs w:val="18"/>
          <w:color w:val="auto"/>
        </w:rPr>
        <w:t xml:space="preserve"> (the</w:t>
      </w:r>
    </w:p>
    <w:p>
      <w:pPr>
        <w:spacing w:after="0" w:line="27"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“Borrower”) certify that (i) no Default or Event of Default exists, (ii) the Borrower is in compliance with §§7, 8 and 9 of the Third Amended and Restated Revolving Credit Agreement dated as of July 10, 2015 (as amended, modified, supplemented, restated and in effect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and (iii) the calculation of the debt restrictions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the Credit Agreement 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is true, correct and complete [as of the end of the quarter ended ________]. Computations to evidence compliance with §9 of the Credit Agreement are detailed below. Capitalized terms used herein without definition shall have the meanings assigned to such terms in the Credit Agreement.</w:t>
      </w:r>
    </w:p>
    <w:p>
      <w:pPr>
        <w:spacing w:after="0" w:line="3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22860</wp:posOffset>
            </wp:positionV>
            <wp:extent cx="25469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-121920</wp:posOffset>
            </wp:positionV>
            <wp:extent cx="25469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gridSpan w:val="6"/>
          </w:tcPr>
          <w:p>
            <w:pPr>
              <w:spacing w:after="0"/>
              <w:rPr>
                <w:sz w:val="20"/>
                <w:szCs w:val="20"/>
                <w:color w:val="auto"/>
              </w:rPr>
            </w:pPr>
            <w:r>
              <w:rPr>
                <w:rFonts w:ascii="Arial" w:cs="Arial" w:eastAsia="Arial" w:hAnsi="Arial"/>
                <w:sz w:val="18"/>
                <w:szCs w:val="18"/>
                <w:b w:val="1"/>
                <w:bCs w:val="1"/>
                <w:color w:val="auto"/>
              </w:rPr>
              <w:t>§9.1  Interest Coverage Ratio</w:t>
            </w:r>
          </w:p>
        </w:tc>
        <w:tc>
          <w:tcPr>
            <w:tcW w:w="2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1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Consolidated Net Income (or Deficit)</w:t>
            </w:r>
          </w:p>
        </w:tc>
        <w:tc>
          <w:tcPr>
            <w:tcW w:w="2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tcBorders>
              <w:top w:val="single" w:sz="8" w:color="CCEEFF"/>
            </w:tcBorders>
            <w:gridSpan w:val="5"/>
          </w:tcPr>
          <w:p>
            <w:pPr>
              <w:ind w:left="340"/>
              <w:spacing w:after="0" w:line="176" w:lineRule="exact"/>
              <w:rPr>
                <w:sz w:val="20"/>
                <w:szCs w:val="20"/>
                <w:color w:val="auto"/>
              </w:rPr>
            </w:pPr>
            <w:r>
              <w:rPr>
                <w:rFonts w:ascii="Arial" w:cs="Arial" w:eastAsia="Arial" w:hAnsi="Arial"/>
                <w:sz w:val="18"/>
                <w:szCs w:val="18"/>
                <w:color w:val="auto"/>
              </w:rPr>
              <w:t>Plus (without duplication):</w:t>
            </w:r>
          </w:p>
        </w:tc>
        <w:tc>
          <w:tcPr>
            <w:tcW w:w="244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CCEEFF"/>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interest expense</w:t>
            </w:r>
          </w:p>
        </w:tc>
        <w:tc>
          <w:tcPr>
            <w:tcW w:w="2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6460" w:type="dxa"/>
            <w:vAlign w:val="bottom"/>
            <w:tcBorders>
              <w:top w:val="single" w:sz="8" w:color="CCEEFF"/>
            </w:tcBorders>
            <w:gridSpan w:val="3"/>
          </w:tcPr>
          <w:p>
            <w:pPr>
              <w:ind w:left="40"/>
              <w:spacing w:after="0" w:line="176" w:lineRule="exact"/>
              <w:rPr>
                <w:sz w:val="20"/>
                <w:szCs w:val="20"/>
                <w:color w:val="auto"/>
              </w:rPr>
            </w:pPr>
            <w:r>
              <w:rPr>
                <w:rFonts w:ascii="Arial" w:cs="Arial" w:eastAsia="Arial" w:hAnsi="Arial"/>
                <w:sz w:val="18"/>
                <w:szCs w:val="18"/>
                <w:color w:val="auto"/>
              </w:rPr>
              <w:t>equity in losses (earnings) of unconsolidated entities</w:t>
            </w:r>
          </w:p>
        </w:tc>
        <w:tc>
          <w:tcPr>
            <w:tcW w:w="24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auto"/>
            </w:tcBorders>
          </w:tcPr>
          <w:p>
            <w:pPr>
              <w:spacing w:after="0"/>
              <w:rPr>
                <w:sz w:val="15"/>
                <w:szCs w:val="15"/>
                <w:color w:val="auto"/>
              </w:rPr>
            </w:pPr>
          </w:p>
        </w:tc>
        <w:tc>
          <w:tcPr>
            <w:tcW w:w="5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CCEEFF"/>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income tax expense</w:t>
            </w:r>
          </w:p>
        </w:tc>
        <w:tc>
          <w:tcPr>
            <w:tcW w:w="2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6460" w:type="dxa"/>
            <w:vAlign w:val="bottom"/>
            <w:tcBorders>
              <w:top w:val="single" w:sz="8" w:color="CCEEFF"/>
            </w:tcBorders>
            <w:gridSpan w:val="3"/>
          </w:tcPr>
          <w:p>
            <w:pPr>
              <w:ind w:left="40"/>
              <w:spacing w:after="0" w:line="176" w:lineRule="exact"/>
              <w:rPr>
                <w:sz w:val="20"/>
                <w:szCs w:val="20"/>
                <w:color w:val="auto"/>
              </w:rPr>
            </w:pPr>
            <w:r>
              <w:rPr>
                <w:rFonts w:ascii="Arial" w:cs="Arial" w:eastAsia="Arial" w:hAnsi="Arial"/>
                <w:sz w:val="18"/>
                <w:szCs w:val="18"/>
                <w:color w:val="auto"/>
              </w:rPr>
              <w:t>non-cash writedowns or writeoffs of assets</w:t>
            </w:r>
          </w:p>
        </w:tc>
        <w:tc>
          <w:tcPr>
            <w:tcW w:w="24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auto"/>
            </w:tcBorders>
          </w:tcPr>
          <w:p>
            <w:pPr>
              <w:spacing w:after="0"/>
              <w:rPr>
                <w:sz w:val="15"/>
                <w:szCs w:val="15"/>
                <w:color w:val="auto"/>
              </w:rPr>
            </w:pPr>
          </w:p>
        </w:tc>
        <w:tc>
          <w:tcPr>
            <w:tcW w:w="5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CCEEFF"/>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losses attributable to the extinguishment of Indebtedness</w:t>
            </w:r>
          </w:p>
        </w:tc>
        <w:tc>
          <w:tcPr>
            <w:tcW w:w="2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tcBorders>
              <w:top w:val="single" w:sz="8" w:color="CCEEFF"/>
            </w:tcBorders>
            <w:gridSpan w:val="5"/>
          </w:tcPr>
          <w:p>
            <w:pPr>
              <w:ind w:left="340"/>
              <w:spacing w:after="0" w:line="176" w:lineRule="exact"/>
              <w:rPr>
                <w:sz w:val="20"/>
                <w:szCs w:val="20"/>
                <w:color w:val="auto"/>
              </w:rPr>
            </w:pPr>
            <w:r>
              <w:rPr>
                <w:rFonts w:ascii="Arial" w:cs="Arial" w:eastAsia="Arial" w:hAnsi="Arial"/>
                <w:sz w:val="18"/>
                <w:szCs w:val="18"/>
                <w:color w:val="auto"/>
              </w:rPr>
              <w:t>Minus non-cash extraordinary gains on the sale of assets</w:t>
            </w:r>
          </w:p>
        </w:tc>
        <w:tc>
          <w:tcPr>
            <w:tcW w:w="24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1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EBIT (sum of (i) through (vi) minus (vii))</w:t>
            </w:r>
          </w:p>
        </w:tc>
        <w:tc>
          <w:tcPr>
            <w:tcW w:w="2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color w:val="auto"/>
              </w:rPr>
              <w:t>Consolidated Net Income of Acquired Businesses</w:t>
            </w:r>
          </w:p>
        </w:tc>
        <w:tc>
          <w:tcPr>
            <w:tcW w:w="24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auto"/>
            </w:tcBorders>
          </w:tcPr>
          <w:p>
            <w:pPr>
              <w:spacing w:after="0"/>
              <w:rPr>
                <w:sz w:val="15"/>
                <w:szCs w:val="15"/>
                <w:color w:val="auto"/>
              </w:rPr>
            </w:pPr>
          </w:p>
        </w:tc>
        <w:tc>
          <w:tcPr>
            <w:tcW w:w="5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gridSpan w:val="5"/>
            <w:shd w:val="clear" w:color="auto" w:fill="CCEEFF"/>
          </w:tcPr>
          <w:p>
            <w:pPr>
              <w:ind w:left="340"/>
              <w:spacing w:after="0" w:line="176" w:lineRule="exact"/>
              <w:rPr>
                <w:sz w:val="20"/>
                <w:szCs w:val="20"/>
                <w:color w:val="auto"/>
              </w:rPr>
            </w:pPr>
            <w:r>
              <w:rPr>
                <w:rFonts w:ascii="Arial" w:cs="Arial" w:eastAsia="Arial" w:hAnsi="Arial"/>
                <w:sz w:val="18"/>
                <w:szCs w:val="18"/>
                <w:color w:val="auto"/>
              </w:rPr>
              <w:t>Plus (without duplication):</w:t>
            </w:r>
          </w:p>
        </w:tc>
        <w:tc>
          <w:tcPr>
            <w:tcW w:w="2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60" w:type="dxa"/>
            <w:vAlign w:val="bottom"/>
            <w:tcBorders>
              <w:top w:val="single" w:sz="8" w:color="CCEEFF"/>
            </w:tcBorders>
            <w:gridSpan w:val="3"/>
          </w:tcPr>
          <w:p>
            <w:pPr>
              <w:ind w:left="40"/>
              <w:spacing w:after="0" w:line="176" w:lineRule="exact"/>
              <w:rPr>
                <w:sz w:val="20"/>
                <w:szCs w:val="20"/>
                <w:color w:val="auto"/>
              </w:rPr>
            </w:pPr>
            <w:r>
              <w:rPr>
                <w:rFonts w:ascii="Arial" w:cs="Arial" w:eastAsia="Arial" w:hAnsi="Arial"/>
                <w:sz w:val="18"/>
                <w:szCs w:val="18"/>
                <w:color w:val="auto"/>
              </w:rPr>
              <w:t>interest expense</w:t>
            </w:r>
          </w:p>
        </w:tc>
        <w:tc>
          <w:tcPr>
            <w:tcW w:w="24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auto"/>
            </w:tcBorders>
          </w:tcPr>
          <w:p>
            <w:pPr>
              <w:spacing w:after="0"/>
              <w:rPr>
                <w:sz w:val="15"/>
                <w:szCs w:val="15"/>
                <w:color w:val="auto"/>
              </w:rPr>
            </w:pPr>
          </w:p>
        </w:tc>
        <w:tc>
          <w:tcPr>
            <w:tcW w:w="5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CCEEFF"/>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equity in losses (earnings) of unconsolidated entities</w:t>
            </w:r>
          </w:p>
        </w:tc>
        <w:tc>
          <w:tcPr>
            <w:tcW w:w="2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6460" w:type="dxa"/>
            <w:vAlign w:val="bottom"/>
            <w:tcBorders>
              <w:top w:val="single" w:sz="8" w:color="CCEEFF"/>
            </w:tcBorders>
            <w:gridSpan w:val="3"/>
          </w:tcPr>
          <w:p>
            <w:pPr>
              <w:ind w:left="40"/>
              <w:spacing w:after="0" w:line="176" w:lineRule="exact"/>
              <w:rPr>
                <w:sz w:val="20"/>
                <w:szCs w:val="20"/>
                <w:color w:val="auto"/>
              </w:rPr>
            </w:pPr>
            <w:r>
              <w:rPr>
                <w:rFonts w:ascii="Arial" w:cs="Arial" w:eastAsia="Arial" w:hAnsi="Arial"/>
                <w:sz w:val="18"/>
                <w:szCs w:val="18"/>
                <w:color w:val="auto"/>
              </w:rPr>
              <w:t>income tax expense</w:t>
            </w:r>
          </w:p>
        </w:tc>
        <w:tc>
          <w:tcPr>
            <w:tcW w:w="24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auto"/>
            </w:tcBorders>
          </w:tcPr>
          <w:p>
            <w:pPr>
              <w:spacing w:after="0"/>
              <w:rPr>
                <w:sz w:val="15"/>
                <w:szCs w:val="15"/>
                <w:color w:val="auto"/>
              </w:rPr>
            </w:pPr>
          </w:p>
        </w:tc>
        <w:tc>
          <w:tcPr>
            <w:tcW w:w="5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CCEEFF"/>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non-cash writedowns or write-offs of assets</w:t>
            </w:r>
          </w:p>
        </w:tc>
        <w:tc>
          <w:tcPr>
            <w:tcW w:w="2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6460" w:type="dxa"/>
            <w:vAlign w:val="bottom"/>
            <w:tcBorders>
              <w:top w:val="single" w:sz="8" w:color="CCEEFF"/>
            </w:tcBorders>
            <w:gridSpan w:val="3"/>
          </w:tcPr>
          <w:p>
            <w:pPr>
              <w:ind w:left="40"/>
              <w:spacing w:after="0" w:line="176" w:lineRule="exact"/>
              <w:rPr>
                <w:sz w:val="20"/>
                <w:szCs w:val="20"/>
                <w:color w:val="auto"/>
              </w:rPr>
            </w:pPr>
            <w:r>
              <w:rPr>
                <w:rFonts w:ascii="Arial" w:cs="Arial" w:eastAsia="Arial" w:hAnsi="Arial"/>
                <w:sz w:val="18"/>
                <w:szCs w:val="18"/>
                <w:color w:val="auto"/>
              </w:rPr>
              <w:t>losses attributable to the extinguishment of Indebtedness</w:t>
            </w:r>
          </w:p>
        </w:tc>
        <w:tc>
          <w:tcPr>
            <w:tcW w:w="24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auto"/>
            </w:tcBorders>
          </w:tcPr>
          <w:p>
            <w:pPr>
              <w:spacing w:after="0"/>
              <w:rPr>
                <w:sz w:val="15"/>
                <w:szCs w:val="15"/>
                <w:color w:val="auto"/>
              </w:rPr>
            </w:pPr>
          </w:p>
        </w:tc>
        <w:tc>
          <w:tcPr>
            <w:tcW w:w="5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7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Minus non-cash extraordinary gains on the sale of assets</w:t>
            </w:r>
          </w:p>
        </w:tc>
        <w:tc>
          <w:tcPr>
            <w:tcW w:w="2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20" w:type="dxa"/>
            <w:vAlign w:val="bottom"/>
            <w:gridSpan w:val="5"/>
          </w:tcPr>
          <w:p>
            <w:pPr>
              <w:spacing w:after="0" w:line="176" w:lineRule="exact"/>
              <w:rPr>
                <w:sz w:val="20"/>
                <w:szCs w:val="20"/>
                <w:color w:val="auto"/>
              </w:rPr>
            </w:pPr>
            <w:r>
              <w:rPr>
                <w:rFonts w:ascii="Arial" w:cs="Arial" w:eastAsia="Arial" w:hAnsi="Arial"/>
                <w:sz w:val="18"/>
                <w:szCs w:val="18"/>
                <w:color w:val="auto"/>
              </w:rPr>
              <w:t>EBIT of Acquired Businesses (sum of (i) through (vi) minus (vii))</w:t>
            </w:r>
          </w:p>
        </w:tc>
        <w:tc>
          <w:tcPr>
            <w:tcW w:w="2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7" w:name="page128"/>
    <w:bookmarkEnd w:id="1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Sum of (a) plus (b)</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60" w:type="dxa"/>
            <w:vAlign w:val="bottom"/>
            <w:gridSpan w:val="5"/>
          </w:tcPr>
          <w:p>
            <w:pPr>
              <w:spacing w:after="0" w:line="176" w:lineRule="exact"/>
              <w:rPr>
                <w:sz w:val="20"/>
                <w:szCs w:val="20"/>
                <w:color w:val="auto"/>
              </w:rPr>
            </w:pPr>
            <w:r>
              <w:rPr>
                <w:rFonts w:ascii="Arial" w:cs="Arial" w:eastAsia="Arial" w:hAnsi="Arial"/>
                <w:sz w:val="18"/>
                <w:szCs w:val="18"/>
                <w:color w:val="auto"/>
              </w:rPr>
              <w:t>Consolidated Total Interest Expense</w:t>
            </w:r>
          </w:p>
        </w:tc>
        <w:tc>
          <w:tcPr>
            <w:tcW w:w="540" w:type="dxa"/>
            <w:vAlign w:val="bottom"/>
            <w:gridSpan w:val="2"/>
          </w:tcPr>
          <w:p>
            <w:pPr>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Ratio of (c) to (d)</w:t>
            </w:r>
          </w:p>
        </w:tc>
        <w:tc>
          <w:tcPr>
            <w:tcW w:w="540" w:type="dxa"/>
            <w:vAlign w:val="bottom"/>
            <w:tcBorders>
              <w:bottom w:val="single" w:sz="8" w:color="auto"/>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Minimum ratio</w:t>
            </w:r>
          </w:p>
        </w:tc>
        <w:tc>
          <w:tcPr>
            <w:tcW w:w="1220" w:type="dxa"/>
            <w:vAlign w:val="bottom"/>
            <w:gridSpan w:val="4"/>
          </w:tcPr>
          <w:p>
            <w:pPr>
              <w:spacing w:after="0"/>
              <w:rPr>
                <w:sz w:val="20"/>
                <w:szCs w:val="20"/>
                <w:color w:val="auto"/>
              </w:rPr>
            </w:pPr>
            <w:r>
              <w:rPr>
                <w:rFonts w:ascii="Arial" w:cs="Arial" w:eastAsia="Arial" w:hAnsi="Arial"/>
                <w:sz w:val="18"/>
                <w:szCs w:val="18"/>
                <w:color w:val="auto"/>
              </w:rPr>
              <w:t>2.75 : 1.00</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9480" w:type="dxa"/>
            <w:vAlign w:val="bottom"/>
            <w:gridSpan w:val="6"/>
          </w:tcPr>
          <w:p>
            <w:pPr>
              <w:spacing w:after="0"/>
              <w:rPr>
                <w:sz w:val="20"/>
                <w:szCs w:val="20"/>
                <w:color w:val="auto"/>
              </w:rPr>
            </w:pPr>
            <w:r>
              <w:rPr>
                <w:rFonts w:ascii="Arial" w:cs="Arial" w:eastAsia="Arial" w:hAnsi="Arial"/>
                <w:sz w:val="18"/>
                <w:szCs w:val="18"/>
                <w:b w:val="1"/>
                <w:bCs w:val="1"/>
                <w:color w:val="auto"/>
              </w:rPr>
              <w:t>§9.2  Total Debt to EBITDA</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EBIT (from §9.1 item (c) above)</w:t>
            </w:r>
          </w:p>
        </w:tc>
        <w:tc>
          <w:tcPr>
            <w:tcW w:w="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6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color w:val="auto"/>
              </w:rPr>
              <w:t>Plus:</w:t>
            </w: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160" w:type="dxa"/>
            <w:vAlign w:val="bottom"/>
            <w:tcBorders>
              <w:bottom w:val="single" w:sz="8" w:color="CCEEFF"/>
            </w:tcBorders>
            <w:gridSpan w:val="4"/>
            <w:shd w:val="clear" w:color="auto" w:fill="CCEEFF"/>
          </w:tcPr>
          <w:p>
            <w:pPr>
              <w:ind w:left="400"/>
              <w:spacing w:after="0" w:line="176" w:lineRule="exact"/>
              <w:rPr>
                <w:sz w:val="20"/>
                <w:szCs w:val="20"/>
                <w:color w:val="auto"/>
              </w:rPr>
            </w:pPr>
            <w:r>
              <w:rPr>
                <w:rFonts w:ascii="Arial" w:cs="Arial" w:eastAsia="Arial" w:hAnsi="Arial"/>
                <w:sz w:val="18"/>
                <w:szCs w:val="18"/>
                <w:color w:val="auto"/>
              </w:rPr>
              <w:t>Depreciation expense</w:t>
            </w:r>
          </w:p>
        </w:tc>
        <w:tc>
          <w:tcPr>
            <w:tcW w:w="1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160" w:type="dxa"/>
            <w:vAlign w:val="bottom"/>
            <w:gridSpan w:val="4"/>
          </w:tcPr>
          <w:p>
            <w:pPr>
              <w:ind w:left="400"/>
              <w:spacing w:after="0" w:line="176" w:lineRule="exact"/>
              <w:rPr>
                <w:sz w:val="20"/>
                <w:szCs w:val="20"/>
                <w:color w:val="auto"/>
              </w:rPr>
            </w:pPr>
            <w:r>
              <w:rPr>
                <w:rFonts w:ascii="Arial" w:cs="Arial" w:eastAsia="Arial" w:hAnsi="Arial"/>
                <w:sz w:val="18"/>
                <w:szCs w:val="18"/>
                <w:color w:val="auto"/>
              </w:rPr>
              <w:t>Amortization expense</w:t>
            </w:r>
          </w:p>
        </w:tc>
        <w:tc>
          <w:tcPr>
            <w:tcW w:w="540" w:type="dxa"/>
            <w:vAlign w:val="bottom"/>
            <w:gridSpan w:val="2"/>
          </w:tcPr>
          <w:p>
            <w:pPr>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160" w:type="dxa"/>
            <w:vAlign w:val="bottom"/>
            <w:gridSpan w:val="4"/>
            <w:shd w:val="clear" w:color="auto" w:fill="CCEEFF"/>
          </w:tcPr>
          <w:p>
            <w:pPr>
              <w:ind w:left="400"/>
              <w:spacing w:after="0" w:line="176" w:lineRule="exact"/>
              <w:rPr>
                <w:sz w:val="20"/>
                <w:szCs w:val="20"/>
                <w:color w:val="auto"/>
              </w:rPr>
            </w:pPr>
            <w:r>
              <w:rPr>
                <w:rFonts w:ascii="Arial" w:cs="Arial" w:eastAsia="Arial" w:hAnsi="Arial"/>
                <w:sz w:val="18"/>
                <w:szCs w:val="18"/>
                <w:color w:val="auto"/>
              </w:rPr>
              <w:t>EBITDA (sum of (i) through (iii))</w:t>
            </w:r>
          </w:p>
        </w:tc>
        <w:tc>
          <w:tcPr>
            <w:tcW w:w="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rPr>
              <w:t>The sum of the following (calculated on a consolidated basis for the Borrower and its Subsidiaries):</w:t>
            </w: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160" w:type="dxa"/>
            <w:vAlign w:val="bottom"/>
            <w:tcBorders>
              <w:bottom w:val="single" w:sz="8" w:color="CCEEFF"/>
            </w:tcBorders>
            <w:gridSpan w:val="4"/>
            <w:shd w:val="clear" w:color="auto" w:fill="CCEEFF"/>
          </w:tcPr>
          <w:p>
            <w:pPr>
              <w:ind w:left="400"/>
              <w:spacing w:after="0" w:line="176" w:lineRule="exact"/>
              <w:rPr>
                <w:sz w:val="20"/>
                <w:szCs w:val="20"/>
                <w:color w:val="auto"/>
              </w:rPr>
            </w:pPr>
            <w:r>
              <w:rPr>
                <w:rFonts w:ascii="Arial" w:cs="Arial" w:eastAsia="Arial" w:hAnsi="Arial"/>
                <w:sz w:val="18"/>
                <w:szCs w:val="18"/>
                <w:color w:val="auto"/>
              </w:rPr>
              <w:t>Indebtedness for borrowed money</w:t>
            </w:r>
          </w:p>
        </w:tc>
        <w:tc>
          <w:tcPr>
            <w:tcW w:w="1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160" w:type="dxa"/>
            <w:vAlign w:val="bottom"/>
            <w:gridSpan w:val="4"/>
          </w:tcPr>
          <w:p>
            <w:pPr>
              <w:ind w:left="400"/>
              <w:spacing w:after="0" w:line="176" w:lineRule="exact"/>
              <w:rPr>
                <w:sz w:val="20"/>
                <w:szCs w:val="20"/>
                <w:color w:val="auto"/>
              </w:rPr>
            </w:pPr>
            <w:r>
              <w:rPr>
                <w:rFonts w:ascii="Arial" w:cs="Arial" w:eastAsia="Arial" w:hAnsi="Arial"/>
                <w:sz w:val="18"/>
                <w:szCs w:val="18"/>
                <w:color w:val="auto"/>
              </w:rPr>
              <w:t>Obligations for deferred purchase price of property or services (other than trade payables)</w:t>
            </w:r>
          </w:p>
        </w:tc>
        <w:tc>
          <w:tcPr>
            <w:tcW w:w="540" w:type="dxa"/>
            <w:vAlign w:val="bottom"/>
            <w:gridSpan w:val="2"/>
          </w:tcPr>
          <w:p>
            <w:pPr>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160" w:type="dxa"/>
            <w:vAlign w:val="bottom"/>
            <w:tcBorders>
              <w:bottom w:val="single" w:sz="8" w:color="CCEEFF"/>
            </w:tcBorders>
            <w:gridSpan w:val="4"/>
            <w:shd w:val="clear" w:color="auto" w:fill="CCEEFF"/>
          </w:tcPr>
          <w:p>
            <w:pPr>
              <w:ind w:left="400"/>
              <w:spacing w:after="0" w:line="176" w:lineRule="exact"/>
              <w:rPr>
                <w:sz w:val="20"/>
                <w:szCs w:val="20"/>
                <w:color w:val="auto"/>
              </w:rPr>
            </w:pPr>
            <w:r>
              <w:rPr>
                <w:rFonts w:ascii="Arial" w:cs="Arial" w:eastAsia="Arial" w:hAnsi="Arial"/>
                <w:sz w:val="18"/>
                <w:szCs w:val="18"/>
                <w:color w:val="auto"/>
              </w:rPr>
              <w:t>Obligations evidenced by debt instruments</w:t>
            </w:r>
          </w:p>
        </w:tc>
        <w:tc>
          <w:tcPr>
            <w:tcW w:w="1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160" w:type="dxa"/>
            <w:vAlign w:val="bottom"/>
            <w:gridSpan w:val="4"/>
          </w:tcPr>
          <w:p>
            <w:pPr>
              <w:ind w:left="400"/>
              <w:spacing w:after="0" w:line="176" w:lineRule="exact"/>
              <w:rPr>
                <w:sz w:val="20"/>
                <w:szCs w:val="20"/>
                <w:color w:val="auto"/>
              </w:rPr>
            </w:pPr>
            <w:r>
              <w:rPr>
                <w:rFonts w:ascii="Arial" w:cs="Arial" w:eastAsia="Arial" w:hAnsi="Arial"/>
                <w:sz w:val="18"/>
                <w:szCs w:val="18"/>
                <w:color w:val="auto"/>
              </w:rPr>
              <w:t>Obligations under conditional sales</w:t>
            </w:r>
          </w:p>
        </w:tc>
        <w:tc>
          <w:tcPr>
            <w:tcW w:w="540" w:type="dxa"/>
            <w:vAlign w:val="bottom"/>
            <w:gridSpan w:val="2"/>
          </w:tcPr>
          <w:p>
            <w:pPr>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160" w:type="dxa"/>
            <w:vAlign w:val="bottom"/>
            <w:gridSpan w:val="4"/>
            <w:shd w:val="clear" w:color="auto" w:fill="CCEEFF"/>
          </w:tcPr>
          <w:p>
            <w:pPr>
              <w:ind w:left="400"/>
              <w:spacing w:after="0" w:line="176" w:lineRule="exact"/>
              <w:rPr>
                <w:sz w:val="20"/>
                <w:szCs w:val="20"/>
                <w:color w:val="auto"/>
              </w:rPr>
            </w:pPr>
            <w:r>
              <w:rPr>
                <w:rFonts w:ascii="Arial" w:cs="Arial" w:eastAsia="Arial" w:hAnsi="Arial"/>
                <w:sz w:val="18"/>
                <w:szCs w:val="18"/>
                <w:color w:val="auto"/>
              </w:rPr>
              <w:t>Obligations, liabilities and indebtedness under Capitalized Leases</w:t>
            </w:r>
          </w:p>
        </w:tc>
        <w:tc>
          <w:tcPr>
            <w:tcW w:w="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(ix)</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9160" w:type="dxa"/>
            <w:vAlign w:val="bottom"/>
            <w:tcBorders>
              <w:top w:val="single" w:sz="8" w:color="CCEEFF"/>
            </w:tcBorders>
            <w:gridSpan w:val="4"/>
          </w:tcPr>
          <w:p>
            <w:pPr>
              <w:ind w:left="400"/>
              <w:spacing w:after="0" w:line="201" w:lineRule="exact"/>
              <w:rPr>
                <w:sz w:val="20"/>
                <w:szCs w:val="20"/>
                <w:color w:val="auto"/>
              </w:rPr>
            </w:pPr>
            <w:r>
              <w:rPr>
                <w:rFonts w:ascii="Arial" w:cs="Arial" w:eastAsia="Arial" w:hAnsi="Arial"/>
                <w:sz w:val="18"/>
                <w:szCs w:val="18"/>
                <w:color w:val="auto"/>
                <w:w w:val="92"/>
              </w:rPr>
              <w:t>Obligations, liabilities and indebtedness under bonding arrangements (to the extent that a surety has been called upon</w:t>
            </w:r>
          </w:p>
        </w:tc>
        <w:tc>
          <w:tcPr>
            <w:tcW w:w="1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60" w:type="dxa"/>
            <w:vAlign w:val="bottom"/>
            <w:gridSpan w:val="3"/>
          </w:tcPr>
          <w:p>
            <w:pPr>
              <w:ind w:left="80"/>
              <w:spacing w:after="0" w:line="190" w:lineRule="exact"/>
              <w:rPr>
                <w:sz w:val="20"/>
                <w:szCs w:val="20"/>
                <w:color w:val="auto"/>
              </w:rPr>
            </w:pPr>
            <w:r>
              <w:rPr>
                <w:rFonts w:ascii="Arial" w:cs="Arial" w:eastAsia="Arial" w:hAnsi="Arial"/>
                <w:sz w:val="18"/>
                <w:szCs w:val="18"/>
                <w:color w:val="auto"/>
              </w:rPr>
              <w:t>to make payment on a bond)</w:t>
            </w:r>
          </w:p>
        </w:tc>
        <w:tc>
          <w:tcPr>
            <w:tcW w:w="540" w:type="dxa"/>
            <w:vAlign w:val="bottom"/>
            <w:gridSpan w:val="2"/>
          </w:tcPr>
          <w:p>
            <w:pPr>
              <w:spacing w:after="0" w:line="19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160" w:type="dxa"/>
            <w:vAlign w:val="bottom"/>
            <w:tcBorders>
              <w:bottom w:val="single" w:sz="8" w:color="CCEEFF"/>
            </w:tcBorders>
            <w:gridSpan w:val="4"/>
            <w:shd w:val="clear" w:color="auto" w:fill="CCEEFF"/>
          </w:tcPr>
          <w:p>
            <w:pPr>
              <w:ind w:left="400"/>
              <w:spacing w:after="0" w:line="176" w:lineRule="exact"/>
              <w:rPr>
                <w:sz w:val="20"/>
                <w:szCs w:val="20"/>
                <w:color w:val="auto"/>
              </w:rPr>
            </w:pPr>
            <w:r>
              <w:rPr>
                <w:rFonts w:ascii="Arial" w:cs="Arial" w:eastAsia="Arial" w:hAnsi="Arial"/>
                <w:sz w:val="18"/>
                <w:szCs w:val="18"/>
                <w:color w:val="auto"/>
              </w:rPr>
              <w:t>Guaranties of the Indebtedness of others</w:t>
            </w:r>
          </w:p>
        </w:tc>
        <w:tc>
          <w:tcPr>
            <w:tcW w:w="1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(xi)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160" w:type="dxa"/>
            <w:vAlign w:val="bottom"/>
            <w:gridSpan w:val="4"/>
          </w:tcPr>
          <w:p>
            <w:pPr>
              <w:ind w:left="400"/>
              <w:spacing w:after="0" w:line="176" w:lineRule="exact"/>
              <w:rPr>
                <w:sz w:val="20"/>
                <w:szCs w:val="20"/>
                <w:color w:val="auto"/>
              </w:rPr>
            </w:pPr>
            <w:r>
              <w:rPr>
                <w:rFonts w:ascii="Arial" w:cs="Arial" w:eastAsia="Arial" w:hAnsi="Arial"/>
                <w:sz w:val="18"/>
                <w:szCs w:val="18"/>
                <w:color w:val="auto"/>
              </w:rPr>
              <w:t>Indebtedness secured by liens or encumbrances on property</w:t>
            </w:r>
          </w:p>
        </w:tc>
        <w:tc>
          <w:tcPr>
            <w:tcW w:w="540" w:type="dxa"/>
            <w:vAlign w:val="bottom"/>
            <w:gridSpan w:val="2"/>
          </w:tcPr>
          <w:p>
            <w:pPr>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auto"/>
              </w:rPr>
              <w:t>(xii)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160" w:type="dxa"/>
            <w:vAlign w:val="bottom"/>
            <w:tcBorders>
              <w:bottom w:val="single" w:sz="8" w:color="CCEEFF"/>
            </w:tcBorders>
            <w:gridSpan w:val="4"/>
            <w:shd w:val="clear" w:color="auto" w:fill="CCEEFF"/>
          </w:tcPr>
          <w:p>
            <w:pPr>
              <w:ind w:left="400"/>
              <w:spacing w:after="0" w:line="176" w:lineRule="exact"/>
              <w:rPr>
                <w:sz w:val="20"/>
                <w:szCs w:val="20"/>
                <w:color w:val="auto"/>
              </w:rPr>
            </w:pPr>
            <w:r>
              <w:rPr>
                <w:rFonts w:ascii="Arial" w:cs="Arial" w:eastAsia="Arial" w:hAnsi="Arial"/>
                <w:sz w:val="18"/>
                <w:szCs w:val="18"/>
                <w:color w:val="auto"/>
              </w:rPr>
              <w:t>Non-contingent reimbursement obligations with respect to letters of credit</w:t>
            </w:r>
          </w:p>
        </w:tc>
        <w:tc>
          <w:tcPr>
            <w:tcW w:w="1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(xiii)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60" w:type="dxa"/>
            <w:vAlign w:val="bottom"/>
            <w:gridSpan w:val="5"/>
          </w:tcPr>
          <w:p>
            <w:pPr>
              <w:spacing w:after="0" w:line="176" w:lineRule="exact"/>
              <w:rPr>
                <w:sz w:val="20"/>
                <w:szCs w:val="20"/>
                <w:color w:val="auto"/>
              </w:rPr>
            </w:pPr>
            <w:r>
              <w:rPr>
                <w:rFonts w:ascii="Arial" w:cs="Arial" w:eastAsia="Arial" w:hAnsi="Arial"/>
                <w:sz w:val="18"/>
                <w:szCs w:val="18"/>
                <w:color w:val="auto"/>
              </w:rPr>
              <w:t>Total Debt (sum of v through xiii)</w:t>
            </w:r>
          </w:p>
        </w:tc>
        <w:tc>
          <w:tcPr>
            <w:tcW w:w="540" w:type="dxa"/>
            <w:vAlign w:val="bottom"/>
            <w:gridSpan w:val="2"/>
          </w:tcPr>
          <w:p>
            <w:pPr>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auto"/>
              </w:rPr>
              <w:t>(xiv)</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Ratio of (xiv) to (iv)</w:t>
            </w:r>
          </w:p>
        </w:tc>
        <w:tc>
          <w:tcPr>
            <w:tcW w:w="540" w:type="dxa"/>
            <w:vAlign w:val="bottom"/>
            <w:tcBorders>
              <w:bottom w:val="single" w:sz="8" w:color="auto"/>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160" w:type="dxa"/>
            <w:vAlign w:val="bottom"/>
            <w:gridSpan w:val="4"/>
          </w:tcPr>
          <w:p>
            <w:pPr>
              <w:ind w:left="40"/>
              <w:spacing w:after="0"/>
              <w:rPr>
                <w:sz w:val="20"/>
                <w:szCs w:val="20"/>
                <w:color w:val="auto"/>
              </w:rPr>
            </w:pPr>
            <w:r>
              <w:rPr>
                <w:rFonts w:ascii="Arial" w:cs="Arial" w:eastAsia="Arial" w:hAnsi="Arial"/>
                <w:sz w:val="18"/>
                <w:szCs w:val="18"/>
                <w:color w:val="auto"/>
              </w:rPr>
              <w:t>Maximum permitted:</w:t>
            </w:r>
          </w:p>
        </w:tc>
        <w:tc>
          <w:tcPr>
            <w:tcW w:w="1220" w:type="dxa"/>
            <w:vAlign w:val="bottom"/>
            <w:gridSpan w:val="4"/>
          </w:tcPr>
          <w:p>
            <w:pPr>
              <w:spacing w:after="0"/>
              <w:rPr>
                <w:sz w:val="20"/>
                <w:szCs w:val="20"/>
                <w:color w:val="auto"/>
              </w:rPr>
            </w:pPr>
            <w:r>
              <w:rPr>
                <w:rFonts w:ascii="Arial" w:cs="Arial" w:eastAsia="Arial" w:hAnsi="Arial"/>
                <w:sz w:val="18"/>
                <w:szCs w:val="18"/>
                <w:color w:val="auto"/>
              </w:rPr>
              <w:t>3.50 : 1.00</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 be attached]</w:t>
      </w:r>
    </w:p>
    <w:p>
      <w:pPr>
        <w:sectPr>
          <w:pgSz w:w="11900" w:h="16838" w:orient="portrait"/>
          <w:cols w:equalWidth="0" w:num="1">
            <w:col w:w="9019"/>
          </w:cols>
          <w:pgMar w:left="1440" w:top="270"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ASSIGNMENT AND ASSUMPTION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This Assignment and Assumption (this “</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is dated as of the Effective Date set forth below and is entered into by and between the Assignor identified in item 1 below (the “</w:t>
      </w:r>
      <w:r>
        <w:rPr>
          <w:rFonts w:ascii="Arial" w:cs="Arial" w:eastAsia="Arial" w:hAnsi="Arial"/>
          <w:sz w:val="17"/>
          <w:szCs w:val="17"/>
          <w:u w:val="single" w:color="auto"/>
          <w:color w:val="auto"/>
        </w:rPr>
        <w:t>Assignor</w:t>
      </w:r>
      <w:r>
        <w:rPr>
          <w:rFonts w:ascii="Arial" w:cs="Arial" w:eastAsia="Arial" w:hAnsi="Arial"/>
          <w:sz w:val="17"/>
          <w:szCs w:val="17"/>
          <w:color w:val="auto"/>
        </w:rPr>
        <w:t>”) and the Assignee identified in item 2 below (the “</w:t>
      </w:r>
      <w:r>
        <w:rPr>
          <w:rFonts w:ascii="Arial" w:cs="Arial" w:eastAsia="Arial" w:hAnsi="Arial"/>
          <w:sz w:val="17"/>
          <w:szCs w:val="17"/>
          <w:u w:val="single" w:color="auto"/>
          <w:color w:val="auto"/>
        </w:rPr>
        <w:t>Assignee</w:t>
      </w:r>
      <w:r>
        <w:rPr>
          <w:rFonts w:ascii="Arial" w:cs="Arial" w:eastAsia="Arial" w:hAnsi="Arial"/>
          <w:sz w:val="17"/>
          <w:szCs w:val="17"/>
          <w:color w:val="auto"/>
        </w:rPr>
        <w:t>”). Capitalized terms used but not defined herein shall have the meanings given to them in the Credit Agreement identified below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Bank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the Letters of Credit and the Swing Line Loans included in such facilities) and (ii) to the extent permitted to be assigned under applicable law, all claims, suits, causes of action and any other right of the Assignor (in its capacity as a Bank)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 Assignor and, except as expressly provided in this Assignment and Assumption, without representation or warranty by the Assignor.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1540" w:type="dxa"/>
            <w:vAlign w:val="bottom"/>
            <w:gridSpan w:val="2"/>
          </w:tcPr>
          <w:p>
            <w:pPr>
              <w:spacing w:after="0"/>
              <w:rPr>
                <w:sz w:val="20"/>
                <w:szCs w:val="20"/>
                <w:color w:val="auto"/>
              </w:rPr>
            </w:pPr>
            <w:r>
              <w:rPr>
                <w:rFonts w:ascii="Arial" w:cs="Arial" w:eastAsia="Arial" w:hAnsi="Arial"/>
                <w:sz w:val="18"/>
                <w:szCs w:val="18"/>
                <w:color w:val="auto"/>
              </w:rPr>
              <w:t>Assignor:</w:t>
            </w:r>
          </w:p>
        </w:tc>
        <w:tc>
          <w:tcPr>
            <w:tcW w:w="3840" w:type="dxa"/>
            <w:vAlign w:val="bottom"/>
          </w:tcPr>
          <w:p>
            <w:pPr>
              <w:ind w:left="780"/>
              <w:spacing w:after="0"/>
              <w:rPr>
                <w:sz w:val="20"/>
                <w:szCs w:val="20"/>
                <w:color w:val="auto"/>
              </w:rPr>
            </w:pPr>
            <w:r>
              <w:rPr>
                <w:rFonts w:ascii="Arial" w:cs="Arial" w:eastAsia="Arial" w:hAnsi="Arial"/>
                <w:sz w:val="18"/>
                <w:szCs w:val="18"/>
                <w:color w:val="auto"/>
                <w:w w:val="89"/>
              </w:rPr>
              <w:t>__________________________________</w:t>
            </w:r>
          </w:p>
        </w:tc>
      </w:tr>
      <w:tr>
        <w:trPr>
          <w:trHeight w:val="20"/>
        </w:trPr>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20" w:type="dxa"/>
            <w:vAlign w:val="bottom"/>
            <w:tcBorders>
              <w:left w:val="single" w:sz="8" w:color="auto"/>
            </w:tcBorders>
            <w:gridSpan w:val="2"/>
          </w:tcPr>
          <w:p>
            <w:pPr>
              <w:spacing w:after="0" w:line="20" w:lineRule="exact"/>
              <w:rPr>
                <w:sz w:val="1"/>
                <w:szCs w:val="1"/>
                <w:color w:val="auto"/>
              </w:rPr>
            </w:pPr>
          </w:p>
        </w:tc>
      </w:tr>
      <w:tr>
        <w:trPr>
          <w:trHeight w:val="237"/>
        </w:trPr>
        <w:tc>
          <w:tcPr>
            <w:tcW w:w="5700" w:type="dxa"/>
            <w:vAlign w:val="bottom"/>
            <w:gridSpan w:val="4"/>
          </w:tcPr>
          <w:p>
            <w:pPr>
              <w:spacing w:after="0"/>
              <w:rPr>
                <w:sz w:val="20"/>
                <w:szCs w:val="20"/>
                <w:color w:val="auto"/>
              </w:rPr>
            </w:pPr>
            <w:r>
              <w:rPr>
                <w:rFonts w:ascii="Arial" w:cs="Arial" w:eastAsia="Arial" w:hAnsi="Arial"/>
                <w:sz w:val="18"/>
                <w:szCs w:val="18"/>
                <w:color w:val="auto"/>
              </w:rPr>
              <w:t>[Assignor [is][is not] a Defaulting Bank]</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1540" w:type="dxa"/>
            <w:vAlign w:val="bottom"/>
            <w:gridSpan w:val="2"/>
          </w:tcPr>
          <w:p>
            <w:pPr>
              <w:spacing w:after="0"/>
              <w:rPr>
                <w:sz w:val="20"/>
                <w:szCs w:val="20"/>
                <w:color w:val="auto"/>
              </w:rPr>
            </w:pPr>
            <w:r>
              <w:rPr>
                <w:rFonts w:ascii="Arial" w:cs="Arial" w:eastAsia="Arial" w:hAnsi="Arial"/>
                <w:sz w:val="18"/>
                <w:szCs w:val="18"/>
                <w:color w:val="auto"/>
              </w:rPr>
              <w:t>Assignee:</w:t>
            </w:r>
          </w:p>
        </w:tc>
        <w:tc>
          <w:tcPr>
            <w:tcW w:w="3840" w:type="dxa"/>
            <w:vAlign w:val="bottom"/>
          </w:tcPr>
          <w:p>
            <w:pPr>
              <w:ind w:left="780"/>
              <w:spacing w:after="0"/>
              <w:rPr>
                <w:sz w:val="20"/>
                <w:szCs w:val="20"/>
                <w:color w:val="auto"/>
              </w:rPr>
            </w:pPr>
            <w:r>
              <w:rPr>
                <w:rFonts w:ascii="Arial" w:cs="Arial" w:eastAsia="Arial" w:hAnsi="Arial"/>
                <w:sz w:val="18"/>
                <w:szCs w:val="18"/>
                <w:color w:val="auto"/>
                <w:w w:val="89"/>
              </w:rPr>
              <w:t>__________________________________</w:t>
            </w:r>
          </w:p>
        </w:tc>
      </w:tr>
      <w:tr>
        <w:trPr>
          <w:trHeight w:val="20"/>
        </w:trPr>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r>
      <w:tr>
        <w:trPr>
          <w:trHeight w:val="237"/>
        </w:trPr>
        <w:tc>
          <w:tcPr>
            <w:tcW w:w="5700" w:type="dxa"/>
            <w:vAlign w:val="bottom"/>
            <w:gridSpan w:val="4"/>
          </w:tcPr>
          <w:p>
            <w:pPr>
              <w:spacing w:after="0"/>
              <w:rPr>
                <w:sz w:val="20"/>
                <w:szCs w:val="20"/>
                <w:color w:val="auto"/>
              </w:rPr>
            </w:pPr>
            <w:r>
              <w:rPr>
                <w:rFonts w:ascii="Arial" w:cs="Arial" w:eastAsia="Arial" w:hAnsi="Arial"/>
                <w:sz w:val="18"/>
                <w:szCs w:val="18"/>
                <w:color w:val="auto"/>
              </w:rPr>
              <w:t>[indicate [Bank Affiliate][Approved Fund] of [</w:t>
            </w:r>
            <w:r>
              <w:rPr>
                <w:rFonts w:ascii="Arial" w:cs="Arial" w:eastAsia="Arial" w:hAnsi="Arial"/>
                <w:sz w:val="18"/>
                <w:szCs w:val="18"/>
                <w:i w:val="1"/>
                <w:iCs w:val="1"/>
                <w:color w:val="auto"/>
              </w:rPr>
              <w:t>identify Bank</w:t>
            </w:r>
            <w:r>
              <w:rPr>
                <w:rFonts w:ascii="Arial" w:cs="Arial" w:eastAsia="Arial" w:hAnsi="Arial"/>
                <w:sz w:val="18"/>
                <w:szCs w:val="18"/>
                <w:color w:val="auto"/>
              </w:rPr>
              <w:t>]]</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154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3840" w:type="dxa"/>
            <w:vAlign w:val="bottom"/>
          </w:tcPr>
          <w:p>
            <w:pPr>
              <w:ind w:left="780"/>
              <w:spacing w:after="0"/>
              <w:rPr>
                <w:sz w:val="20"/>
                <w:szCs w:val="20"/>
                <w:color w:val="auto"/>
              </w:rPr>
            </w:pPr>
            <w:r>
              <w:rPr>
                <w:rFonts w:ascii="Arial" w:cs="Arial" w:eastAsia="Arial" w:hAnsi="Arial"/>
                <w:sz w:val="18"/>
                <w:szCs w:val="18"/>
                <w:color w:val="auto"/>
              </w:rPr>
              <w:t>Waste Management, Inc.</w:t>
            </w:r>
          </w:p>
        </w:tc>
      </w:tr>
      <w:tr>
        <w:trPr>
          <w:trHeight w:val="20"/>
        </w:trPr>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Borders>
              <w:left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spacing w:after="0" w:line="229"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r>
        <w:rPr>
          <w:rFonts w:ascii="Arial" w:cs="Arial" w:eastAsia="Arial" w:hAnsi="Arial"/>
          <w:sz w:val="16"/>
          <w:szCs w:val="16"/>
          <w:color w:val="auto"/>
        </w:rPr>
        <w:t>Bank of America, N.A., as the administrative agent under the Credit Agreement</w:t>
      </w:r>
    </w:p>
    <w:p>
      <w:pPr>
        <w:spacing w:after="0" w:line="225" w:lineRule="exact"/>
        <w:rPr>
          <w:rFonts w:ascii="Arial" w:cs="Arial" w:eastAsia="Arial" w:hAnsi="Arial"/>
          <w:sz w:val="18"/>
          <w:szCs w:val="18"/>
          <w:color w:val="auto"/>
        </w:rPr>
      </w:pPr>
    </w:p>
    <w:p>
      <w:pPr>
        <w:ind w:left="2640" w:right="20" w:hanging="2632"/>
        <w:spacing w:after="0" w:line="264" w:lineRule="auto"/>
        <w:tabs>
          <w:tab w:leader="none" w:pos="32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:Third Amended and Restated Credit Agreement, dated as of July 10, 2015, among Waste Management, Inc., as Borrower, Waste Management Holdings, Inc., as Guarantor, the Banks from time to time party thereto, and Bank of America, N.A., as Administrative Agent, an Issuing Bank, and Swing Line Bank</w:t>
      </w:r>
    </w:p>
    <w:p>
      <w:pPr>
        <w:sectPr>
          <w:pgSz w:w="11900" w:h="16838" w:orient="portrait"/>
          <w:cols w:equalWidth="0" w:num="1">
            <w:col w:w="11420"/>
          </w:cols>
          <w:pgMar w:left="240" w:top="270" w:right="239" w:bottom="1440" w:gutter="0" w:footer="0" w:header="0"/>
        </w:sectPr>
      </w:pPr>
    </w:p>
    <w:bookmarkStart w:id="130" w:name="page131"/>
    <w:bookmarkEnd w:id="130"/>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Assigned Interest</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Aggregate Amount</w:t>
            </w: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Amount of</w:t>
            </w:r>
          </w:p>
        </w:tc>
        <w:tc>
          <w:tcPr>
            <w:tcW w:w="134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Percentage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9"/>
              </w:rPr>
              <w:t>Facility</w:t>
            </w:r>
          </w:p>
        </w:tc>
        <w:tc>
          <w:tcPr>
            <w:tcW w:w="170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9"/>
              </w:rPr>
              <w:t>Assigned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CUSIP</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Assignor</w:t>
            </w:r>
          </w:p>
        </w:tc>
        <w:tc>
          <w:tcPr>
            <w:tcW w:w="180" w:type="dxa"/>
            <w:vAlign w:val="bottom"/>
            <w:gridSpan w:val="2"/>
            <w:vMerge w:val="restart"/>
          </w:tcPr>
          <w:p>
            <w:pPr>
              <w:spacing w:after="0"/>
              <w:rPr>
                <w:sz w:val="12"/>
                <w:szCs w:val="12"/>
                <w:color w:val="auto"/>
              </w:rPr>
            </w:pPr>
          </w:p>
        </w:tc>
        <w:tc>
          <w:tcPr>
            <w:tcW w:w="14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Assignee</w:t>
            </w:r>
          </w:p>
        </w:tc>
        <w:tc>
          <w:tcPr>
            <w:tcW w:w="10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Commitment/</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Commitment/ Loans</w:t>
            </w:r>
          </w:p>
        </w:tc>
        <w:tc>
          <w:tcPr>
            <w:tcW w:w="13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6"/>
              </w:rPr>
              <w:t>Commitment/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4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w w:val="88"/>
              </w:rPr>
              <w:t>Assigned</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 for all Banks</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Assigned</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Loans</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8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0" w:type="dxa"/>
            <w:vAlign w:val="bottom"/>
          </w:tcPr>
          <w:p>
            <w:pPr>
              <w:jc w:val="right"/>
              <w:ind w:right="8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60" w:type="dxa"/>
            <w:vAlign w:val="bottom"/>
            <w:gridSpan w:val="5"/>
          </w:tcPr>
          <w:p>
            <w:pPr>
              <w:spacing w:after="0"/>
              <w:rPr>
                <w:sz w:val="20"/>
                <w:szCs w:val="20"/>
                <w:color w:val="auto"/>
              </w:rPr>
            </w:pPr>
            <w:r>
              <w:rPr>
                <w:rFonts w:ascii="Arial" w:cs="Arial" w:eastAsia="Arial" w:hAnsi="Arial"/>
                <w:sz w:val="18"/>
                <w:szCs w:val="18"/>
                <w:color w:val="auto"/>
              </w:rPr>
              <w:t>[7.  Trade Date:</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right"/>
              <w:ind w:right="908"/>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78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Arial" w:cs="Arial" w:eastAsia="Arial" w:hAnsi="Arial"/>
                <w:sz w:val="18"/>
                <w:szCs w:val="18"/>
                <w:color w:val="auto"/>
                <w:w w:val="97"/>
              </w:rPr>
              <w:t>Effective Date:</w:t>
            </w:r>
          </w:p>
        </w:tc>
        <w:tc>
          <w:tcPr>
            <w:tcW w:w="38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9380" w:type="dxa"/>
            <w:vAlign w:val="bottom"/>
            <w:gridSpan w:val="15"/>
          </w:tcPr>
          <w:p>
            <w:pPr>
              <w:spacing w:after="0"/>
              <w:rPr>
                <w:sz w:val="20"/>
                <w:szCs w:val="20"/>
                <w:color w:val="auto"/>
              </w:rPr>
            </w:pPr>
            <w:r>
              <w:rPr>
                <w:rFonts w:ascii="Arial" w:cs="Arial" w:eastAsia="Arial" w:hAnsi="Arial"/>
                <w:sz w:val="18"/>
                <w:szCs w:val="18"/>
                <w:color w:val="auto"/>
              </w:rPr>
              <w:t>, 20   [TO BE INSERTED BY ADMINISTRATIVE AGENT AND WHICH SHALL BE THE EFFECTIVE DATE OF</w:t>
            </w:r>
          </w:p>
        </w:tc>
        <w:tc>
          <w:tcPr>
            <w:tcW w:w="0" w:type="dxa"/>
            <w:vAlign w:val="bottom"/>
          </w:tcPr>
          <w:p>
            <w:pPr>
              <w:spacing w:after="0"/>
              <w:rPr>
                <w:sz w:val="1"/>
                <w:szCs w:val="1"/>
                <w:color w:val="auto"/>
              </w:rPr>
            </w:pPr>
          </w:p>
        </w:tc>
      </w:tr>
      <w:tr>
        <w:trPr>
          <w:trHeight w:val="20"/>
        </w:trPr>
        <w:tc>
          <w:tcPr>
            <w:tcW w:w="1180" w:type="dxa"/>
            <w:vAlign w:val="bottom"/>
            <w:tcBorders>
              <w:right w:val="single" w:sz="8" w:color="auto"/>
            </w:tcBorders>
            <w:gridSpan w:val="2"/>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gridSpan w:val="15"/>
          </w:tcPr>
          <w:p>
            <w:pPr>
              <w:spacing w:after="0"/>
              <w:rPr>
                <w:sz w:val="20"/>
                <w:szCs w:val="20"/>
                <w:color w:val="auto"/>
              </w:rPr>
            </w:pPr>
            <w:r>
              <w:rPr>
                <w:rFonts w:ascii="Arial" w:cs="Arial" w:eastAsia="Arial" w:hAnsi="Arial"/>
                <w:sz w:val="18"/>
                <w:szCs w:val="18"/>
                <w:color w:val="auto"/>
              </w:rPr>
              <w:t>RECORDATION OF TRANSFER IN THE REGISTER THEREFOR.]</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15"/>
          <w:szCs w:val="15"/>
          <w:color w:val="auto"/>
        </w:rPr>
        <w:t>2</w:t>
      </w:r>
      <w:r>
        <w:rPr>
          <w:rFonts w:ascii="Arial" w:cs="Arial" w:eastAsia="Arial" w:hAnsi="Arial"/>
          <w:sz w:val="18"/>
          <w:szCs w:val="18"/>
          <w:color w:val="auto"/>
        </w:rPr>
        <w:t xml:space="preserve"> Accepted: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93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7"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8"/>
          <w:szCs w:val="18"/>
          <w:color w:val="auto"/>
        </w:rPr>
        <w:t>To be completed if the Assignor and the Assignee intend that the minimum assignment amount is to be determined as of the Trade Date.</w:t>
      </w:r>
    </w:p>
    <w:p>
      <w:pPr>
        <w:spacing w:after="0" w:line="22"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8"/>
          <w:szCs w:val="18"/>
          <w:color w:val="auto"/>
        </w:rPr>
        <w:t>To be added only if the consent of the Administrative Agent is required by the terms of the Credit Agreement.</w:t>
      </w:r>
    </w:p>
    <w:p>
      <w:pPr>
        <w:spacing w:after="0" w:line="9" w:lineRule="exact"/>
        <w:rPr>
          <w:sz w:val="20"/>
          <w:szCs w:val="20"/>
          <w:color w:val="auto"/>
        </w:rPr>
      </w:pPr>
    </w:p>
    <w:p>
      <w:pPr>
        <w:ind w:left="460" w:right="540" w:hanging="452"/>
        <w:spacing w:after="0" w:line="262" w:lineRule="auto"/>
        <w:tabs>
          <w:tab w:leader="none" w:pos="460" w:val="left"/>
        </w:tabs>
        <w:numPr>
          <w:ilvl w:val="0"/>
          <w:numId w:val="86"/>
        </w:numPr>
        <w:rPr>
          <w:rFonts w:ascii="Arial" w:cs="Arial" w:eastAsia="Arial" w:hAnsi="Arial"/>
          <w:sz w:val="15"/>
          <w:szCs w:val="15"/>
          <w:color w:val="auto"/>
        </w:rPr>
      </w:pPr>
      <w:r>
        <w:rPr>
          <w:rFonts w:ascii="Arial" w:cs="Arial" w:eastAsia="Arial" w:hAnsi="Arial"/>
          <w:sz w:val="18"/>
          <w:szCs w:val="18"/>
          <w:color w:val="auto"/>
        </w:rPr>
        <w:t>To be added only if the consent of the Borrower and/or other parties (e.g. Swing Line Bank, Issuing Banks) is required by the terms of the Credit Agreement.</w:t>
      </w:r>
    </w:p>
    <w:p>
      <w:pPr>
        <w:sectPr>
          <w:pgSz w:w="11900" w:h="16838" w:orient="portrait"/>
          <w:cols w:equalWidth="0" w:num="1">
            <w:col w:w="11420"/>
          </w:cols>
          <w:pgMar w:left="240" w:top="27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 ASSIGNMENT AND ASSUMPTION</w:t>
      </w:r>
    </w:p>
    <w:p>
      <w:pPr>
        <w:spacing w:after="0" w:line="217" w:lineRule="exact"/>
        <w:rPr>
          <w:sz w:val="20"/>
          <w:szCs w:val="20"/>
          <w:color w:val="auto"/>
        </w:rPr>
      </w:pPr>
    </w:p>
    <w:p>
      <w:pPr>
        <w:jc w:val="center"/>
        <w:spacing w:after="0" w:line="259" w:lineRule="auto"/>
        <w:rPr>
          <w:sz w:val="20"/>
          <w:szCs w:val="20"/>
          <w:color w:val="auto"/>
        </w:rPr>
      </w:pPr>
      <w:r>
        <w:rPr>
          <w:rFonts w:ascii="Arial" w:cs="Arial" w:eastAsia="Arial" w:hAnsi="Arial"/>
          <w:sz w:val="14"/>
          <w:szCs w:val="14"/>
          <w:b w:val="1"/>
          <w:bCs w:val="1"/>
          <w:color w:val="auto"/>
        </w:rPr>
        <w:t>Third Amended and Restated Credit Agreement, dated as of July 10, 2015, among Waste Management, Inc., as Borrower, Waste Management Holdings, Inc., as Guarantor, the Banks from time to time party thereto, and Bank of America, N.A., as Administrative Agent, an Issuing Bank, and Swing Line Bank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11"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Arial" w:cs="Arial" w:eastAsia="Arial" w:hAnsi="Arial"/>
          <w:sz w:val="18"/>
          <w:szCs w:val="18"/>
          <w:b w:val="1"/>
          <w:bCs w:val="1"/>
          <w:color w:val="auto"/>
        </w:rPr>
        <w:t>not</w:t>
      </w:r>
      <w:r>
        <w:rPr>
          <w:rFonts w:ascii="Arial" w:cs="Arial" w:eastAsia="Arial" w:hAnsi="Arial"/>
          <w:sz w:val="18"/>
          <w:szCs w:val="18"/>
          <w:color w:val="auto"/>
        </w:rPr>
        <w:t>] a Defaulting Bank;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2"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Bank under the Credit Agreement, (ii) it meets all the requirements to be an assignee under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of the Credit Agreement), (iii) from and after the Effective Date, it shall be bound by the provisions of the Credit Agreement as a Bank thereunder and, to the extent of the Assigned Interest, shall have the obligations of a Bank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or any other Bank and based on such documents and information as it has deemed appropriate, made its own credit analysis and decision to enter into this Assignment and Assumption and to purchase the Assigned Interest, and (vii) if it is a Non-U.S. Bank, attached hereto is any documentation required to be delivered by it pursuant to the terms of the Credit Agreement, duly completed and executed by the Assignee; and</w:t>
      </w:r>
    </w:p>
    <w:p>
      <w:pPr>
        <w:spacing w:after="0" w:line="4" w:lineRule="exact"/>
        <w:rPr>
          <w:sz w:val="20"/>
          <w:szCs w:val="20"/>
          <w:color w:val="auto"/>
        </w:rPr>
      </w:pPr>
    </w:p>
    <w:p>
      <w:pPr>
        <w:jc w:val="both"/>
        <w:ind w:right="80" w:firstLine="8"/>
        <w:spacing w:after="0" w:line="254"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agrees that (i) it will, independently and without reliance upon the Administrative Agent, the Assignor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w:t>
      </w:r>
    </w:p>
    <w:p>
      <w:pPr>
        <w:sectPr>
          <w:pgSz w:w="11900" w:h="16838" w:orient="portrait"/>
          <w:cols w:equalWidth="0" w:num="1">
            <w:col w:w="11420"/>
          </w:cols>
          <w:pgMar w:left="240" w:top="274" w:right="239" w:bottom="1440" w:gutter="0" w:footer="0" w:header="0"/>
        </w:sectPr>
      </w:pPr>
    </w:p>
    <w:bookmarkStart w:id="132" w:name="page133"/>
    <w:bookmarkEnd w:id="132"/>
    <w:p>
      <w:pPr>
        <w:jc w:val="both"/>
        <w:ind w:left="-464" w:right="480" w:firstLine="464"/>
        <w:spacing w:after="0" w:line="264" w:lineRule="auto"/>
        <w:tabs>
          <w:tab w:leader="none" w:pos="17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ind w:left="-464" w:firstLine="464"/>
        <w:spacing w:after="0" w:line="257" w:lineRule="auto"/>
        <w:tabs>
          <w:tab w:leader="none" w:pos="17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876"/>
          </w:cols>
          <w:pgMar w:left="704" w:top="274" w:right="3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FORM OF ADMINISTRATIVE QUESTIONNAIRE</w:t>
      </w:r>
    </w:p>
    <w:p>
      <w:pPr>
        <w:spacing w:after="0" w:line="229"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10220"/>
          </w:cols>
          <w:pgMar w:left="1440" w:top="270"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6366510</wp:posOffset>
            </wp:positionH>
            <wp:positionV relativeFrom="page">
              <wp:posOffset>183515</wp:posOffset>
            </wp:positionV>
            <wp:extent cx="1037590" cy="3086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08610"/>
                    </a:xfrm>
                    <a:prstGeom prst="rect">
                      <a:avLst/>
                    </a:prstGeom>
                    <a:noFill/>
                  </pic:spPr>
                </pic:pic>
              </a:graphicData>
            </a:graphic>
          </wp:anchor>
        </w:drawing>
        <w:t>ADMINISTRATIVE DETAILS REPLY FORM – (US DOLLAR ONLY)</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1.</w:t>
            </w:r>
          </w:p>
        </w:tc>
        <w:tc>
          <w:tcPr>
            <w:tcW w:w="2100" w:type="dxa"/>
            <w:vAlign w:val="bottom"/>
          </w:tcPr>
          <w:p>
            <w:pPr>
              <w:ind w:left="160"/>
              <w:spacing w:after="0"/>
              <w:rPr>
                <w:sz w:val="20"/>
                <w:szCs w:val="20"/>
                <w:color w:val="auto"/>
              </w:rPr>
            </w:pPr>
            <w:r>
              <w:rPr>
                <w:rFonts w:ascii="Arial" w:cs="Arial" w:eastAsia="Arial" w:hAnsi="Arial"/>
                <w:sz w:val="18"/>
                <w:szCs w:val="18"/>
                <w:b w:val="1"/>
                <w:bCs w:val="1"/>
                <w:color w:val="auto"/>
                <w:w w:val="95"/>
              </w:rPr>
              <w:t>Borrower or Deal Name</w:t>
            </w:r>
          </w:p>
        </w:tc>
        <w:tc>
          <w:tcPr>
            <w:tcW w:w="320" w:type="dxa"/>
            <w:vAlign w:val="bottom"/>
          </w:tcPr>
          <w:p>
            <w:pPr>
              <w:spacing w:after="0"/>
              <w:rPr>
                <w:sz w:val="20"/>
                <w:szCs w:val="20"/>
                <w:color w:val="auto"/>
              </w:rPr>
            </w:pPr>
          </w:p>
        </w:tc>
        <w:tc>
          <w:tcPr>
            <w:tcW w:w="2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1"/>
              </w:rPr>
              <w:t>Waste Management, Inc.</w:t>
            </w:r>
          </w:p>
        </w:tc>
        <w:tc>
          <w:tcPr>
            <w:tcW w:w="6580" w:type="dxa"/>
            <w:vAlign w:val="bottom"/>
            <w:tcBorders>
              <w:bottom w:val="single" w:sz="8" w:color="auto"/>
            </w:tcBorders>
          </w:tcPr>
          <w:p>
            <w:pPr>
              <w:spacing w:after="0"/>
              <w:rPr>
                <w:sz w:val="20"/>
                <w:szCs w:val="20"/>
                <w:color w:val="auto"/>
              </w:rPr>
            </w:pPr>
          </w:p>
        </w:tc>
      </w:tr>
      <w:tr>
        <w:trPr>
          <w:trHeight w:val="223"/>
        </w:trPr>
        <w:tc>
          <w:tcPr>
            <w:tcW w:w="4840" w:type="dxa"/>
            <w:vAlign w:val="bottom"/>
            <w:gridSpan w:val="5"/>
          </w:tcPr>
          <w:p>
            <w:pPr>
              <w:spacing w:after="0"/>
              <w:rPr>
                <w:sz w:val="20"/>
                <w:szCs w:val="20"/>
                <w:color w:val="auto"/>
              </w:rPr>
            </w:pPr>
            <w:r>
              <w:rPr>
                <w:rFonts w:ascii="Arial" w:cs="Arial" w:eastAsia="Arial" w:hAnsi="Arial"/>
                <w:sz w:val="18"/>
                <w:szCs w:val="18"/>
                <w:color w:val="auto"/>
              </w:rPr>
              <w:t>E-mail this document with your commitment letter to:</w:t>
            </w:r>
          </w:p>
        </w:tc>
        <w:tc>
          <w:tcPr>
            <w:tcW w:w="6580" w:type="dxa"/>
            <w:vAlign w:val="bottom"/>
          </w:tcPr>
          <w:p>
            <w:pPr>
              <w:ind w:left="20"/>
              <w:spacing w:after="0"/>
              <w:rPr>
                <w:sz w:val="20"/>
                <w:szCs w:val="20"/>
                <w:color w:val="auto"/>
              </w:rPr>
            </w:pPr>
            <w:r>
              <w:rPr>
                <w:rFonts w:ascii="Arial" w:cs="Arial" w:eastAsia="Arial" w:hAnsi="Arial"/>
                <w:sz w:val="18"/>
                <w:szCs w:val="18"/>
                <w:color w:val="auto"/>
              </w:rPr>
              <w:t>Darleen R Parmelee</w:t>
            </w:r>
          </w:p>
        </w:tc>
      </w:tr>
      <w:tr>
        <w:trPr>
          <w:trHeight w:val="223"/>
        </w:trPr>
        <w:tc>
          <w:tcPr>
            <w:tcW w:w="2400" w:type="dxa"/>
            <w:vAlign w:val="bottom"/>
            <w:gridSpan w:val="2"/>
          </w:tcPr>
          <w:p>
            <w:pPr>
              <w:spacing w:after="0"/>
              <w:rPr>
                <w:sz w:val="20"/>
                <w:szCs w:val="20"/>
                <w:color w:val="auto"/>
              </w:rPr>
            </w:pPr>
            <w:r>
              <w:rPr>
                <w:rFonts w:ascii="Arial" w:cs="Arial" w:eastAsia="Arial" w:hAnsi="Arial"/>
                <w:sz w:val="18"/>
                <w:szCs w:val="18"/>
                <w:color w:val="auto"/>
              </w:rPr>
              <w:t>E-mail address of recipient:</w:t>
            </w:r>
          </w:p>
        </w:tc>
        <w:tc>
          <w:tcPr>
            <w:tcW w:w="22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7"/>
              </w:rPr>
              <w:t>darlee.r.parmelee@baml.com</w:t>
            </w:r>
          </w:p>
        </w:tc>
        <w:tc>
          <w:tcPr>
            <w:tcW w:w="160" w:type="dxa"/>
            <w:vAlign w:val="bottom"/>
            <w:tcBorders>
              <w:top w:val="single" w:sz="8" w:color="auto"/>
              <w:bottom w:val="single" w:sz="8" w:color="auto"/>
            </w:tcBorders>
          </w:tcPr>
          <w:p>
            <w:pPr>
              <w:spacing w:after="0"/>
              <w:rPr>
                <w:sz w:val="19"/>
                <w:szCs w:val="19"/>
                <w:color w:val="auto"/>
              </w:rPr>
            </w:pPr>
          </w:p>
        </w:tc>
        <w:tc>
          <w:tcPr>
            <w:tcW w:w="6580" w:type="dxa"/>
            <w:vAlign w:val="bottom"/>
            <w:tcBorders>
              <w:top w:val="single" w:sz="8" w:color="auto"/>
              <w:bottom w:val="single" w:sz="8" w:color="auto"/>
            </w:tcBorders>
          </w:tcPr>
          <w:p>
            <w:pPr>
              <w:spacing w:after="0"/>
              <w:rPr>
                <w:sz w:val="19"/>
                <w:szCs w:val="19"/>
                <w:color w:val="auto"/>
              </w:rPr>
            </w:pPr>
          </w:p>
        </w:tc>
      </w:tr>
      <w:tr>
        <w:trPr>
          <w:trHeight w:val="109"/>
        </w:trPr>
        <w:tc>
          <w:tcPr>
            <w:tcW w:w="30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580" w:type="dxa"/>
            <w:vAlign w:val="bottom"/>
            <w:tcBorders>
              <w:bottom w:val="single" w:sz="8" w:color="auto"/>
            </w:tcBorders>
          </w:tcPr>
          <w:p>
            <w:pPr>
              <w:spacing w:after="0"/>
              <w:rPr>
                <w:sz w:val="9"/>
                <w:szCs w:val="9"/>
                <w:color w:val="auto"/>
              </w:rPr>
            </w:pPr>
          </w:p>
        </w:tc>
      </w:tr>
    </w:tbl>
    <w:p>
      <w:pPr>
        <w:spacing w:after="0" w:line="103" w:lineRule="exact"/>
        <w:rPr>
          <w:sz w:val="20"/>
          <w:szCs w:val="20"/>
          <w:color w:val="auto"/>
        </w:rPr>
      </w:pPr>
    </w:p>
    <w:p>
      <w:pPr>
        <w:ind w:left="480" w:right="7180" w:hanging="472"/>
        <w:spacing w:after="0" w:line="276" w:lineRule="auto"/>
        <w:tabs>
          <w:tab w:leader="none" w:pos="187"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Legal Name of Lender of Record for Signature Page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Markit Entity Identifier (MEI) #</w:t>
      </w:r>
    </w:p>
    <w:p>
      <w:pPr>
        <w:spacing w:after="0" w:line="1"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Fund Manager Name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-285115</wp:posOffset>
            </wp:positionV>
            <wp:extent cx="40563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-130810</wp:posOffset>
            </wp:positionV>
            <wp:extent cx="19551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14605</wp:posOffset>
            </wp:positionV>
            <wp:extent cx="49999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Legal Address from Tax Document of Lender of Record:</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5715</wp:posOffset>
            </wp:positionV>
            <wp:extent cx="643191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City</w:t>
            </w:r>
          </w:p>
        </w:tc>
        <w:tc>
          <w:tcPr>
            <w:tcW w:w="340" w:type="dxa"/>
            <w:vAlign w:val="bottom"/>
            <w:tcBorders>
              <w:bottom w:val="single" w:sz="8" w:color="auto"/>
            </w:tcBorders>
            <w:gridSpan w:val="3"/>
          </w:tcPr>
          <w:p>
            <w:pPr>
              <w:spacing w:after="0"/>
              <w:rPr>
                <w:sz w:val="19"/>
                <w:szCs w:val="19"/>
                <w:color w:val="auto"/>
              </w:rPr>
            </w:pPr>
          </w:p>
        </w:tc>
        <w:tc>
          <w:tcPr>
            <w:tcW w:w="2220" w:type="dxa"/>
            <w:vAlign w:val="bottom"/>
            <w:tcBorders>
              <w:top w:val="single" w:sz="8" w:color="auto"/>
              <w:bottom w:val="single" w:sz="8" w:color="auto"/>
            </w:tcBorders>
            <w:gridSpan w:val="2"/>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88"/>
              </w:rPr>
              <w:t>State/Province</w:t>
            </w: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Country</w:t>
            </w:r>
          </w:p>
        </w:tc>
        <w:tc>
          <w:tcPr>
            <w:tcW w:w="5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r>
      <w:tr>
        <w:trPr>
          <w:trHeight w:val="284"/>
        </w:trPr>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296"/>
        </w:trPr>
        <w:tc>
          <w:tcPr>
            <w:tcW w:w="3520" w:type="dxa"/>
            <w:vAlign w:val="bottom"/>
            <w:gridSpan w:val="7"/>
          </w:tcPr>
          <w:p>
            <w:pPr>
              <w:ind w:left="20"/>
              <w:spacing w:after="0"/>
              <w:rPr>
                <w:sz w:val="20"/>
                <w:szCs w:val="20"/>
                <w:color w:val="auto"/>
              </w:rPr>
            </w:pPr>
            <w:r>
              <w:rPr>
                <w:rFonts w:ascii="Arial" w:cs="Arial" w:eastAsia="Arial" w:hAnsi="Arial"/>
                <w:sz w:val="18"/>
                <w:szCs w:val="18"/>
                <w:b w:val="1"/>
                <w:bCs w:val="1"/>
                <w:color w:val="auto"/>
              </w:rPr>
              <w:t>3. Domestic Funding Address: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7"/>
          </w:tcPr>
          <w:p>
            <w:pPr>
              <w:ind w:left="40"/>
              <w:spacing w:after="0"/>
              <w:rPr>
                <w:sz w:val="20"/>
                <w:szCs w:val="20"/>
                <w:color w:val="auto"/>
              </w:rPr>
            </w:pPr>
            <w:r>
              <w:rPr>
                <w:rFonts w:ascii="Arial" w:cs="Arial" w:eastAsia="Arial" w:hAnsi="Arial"/>
                <w:sz w:val="18"/>
                <w:szCs w:val="18"/>
                <w:b w:val="1"/>
                <w:bCs w:val="1"/>
                <w:color w:val="auto"/>
              </w:rPr>
              <w:t>4. Eurodollar Funding Address:</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3520" w:type="dxa"/>
            <w:vAlign w:val="bottom"/>
            <w:gridSpan w:val="7"/>
          </w:tcPr>
          <w:p>
            <w:pPr>
              <w:ind w:left="20"/>
              <w:spacing w:after="0"/>
              <w:rPr>
                <w:sz w:val="20"/>
                <w:szCs w:val="20"/>
                <w:color w:val="auto"/>
              </w:rPr>
            </w:pPr>
            <w:r>
              <w:rPr>
                <w:rFonts w:ascii="Arial" w:cs="Arial" w:eastAsia="Arial" w:hAnsi="Arial"/>
                <w:sz w:val="18"/>
                <w:szCs w:val="18"/>
                <w:color w:val="auto"/>
              </w:rPr>
              <w:t>Street Address</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7"/>
          </w:tcPr>
          <w:p>
            <w:pPr>
              <w:ind w:left="40"/>
              <w:spacing w:after="0"/>
              <w:rPr>
                <w:sz w:val="20"/>
                <w:szCs w:val="20"/>
                <w:color w:val="auto"/>
              </w:rPr>
            </w:pPr>
            <w:r>
              <w:rPr>
                <w:rFonts w:ascii="Arial" w:cs="Arial" w:eastAsia="Arial" w:hAnsi="Arial"/>
                <w:sz w:val="18"/>
                <w:szCs w:val="18"/>
                <w:color w:val="auto"/>
              </w:rPr>
              <w:t>Street Address</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280" w:type="dxa"/>
            <w:vAlign w:val="bottom"/>
            <w:gridSpan w:val="4"/>
          </w:tcPr>
          <w:p>
            <w:pPr>
              <w:ind w:left="20"/>
              <w:spacing w:after="0"/>
              <w:rPr>
                <w:sz w:val="20"/>
                <w:szCs w:val="20"/>
                <w:color w:val="auto"/>
              </w:rPr>
            </w:pPr>
            <w:r>
              <w:rPr>
                <w:rFonts w:ascii="Arial" w:cs="Arial" w:eastAsia="Arial" w:hAnsi="Arial"/>
                <w:sz w:val="18"/>
                <w:szCs w:val="18"/>
                <w:color w:val="auto"/>
                <w:w w:val="93"/>
              </w:rPr>
              <w:t>Suite/ Mail Code</w:t>
            </w:r>
          </w:p>
        </w:tc>
        <w:tc>
          <w:tcPr>
            <w:tcW w:w="220" w:type="dxa"/>
            <w:vAlign w:val="bottom"/>
            <w:tcBorders>
              <w:top w:val="single" w:sz="8" w:color="auto"/>
            </w:tcBorders>
            <w:gridSpan w:val="2"/>
          </w:tcPr>
          <w:p>
            <w:pPr>
              <w:spacing w:after="0"/>
              <w:rPr>
                <w:sz w:val="19"/>
                <w:szCs w:val="19"/>
                <w:color w:val="auto"/>
              </w:rPr>
            </w:pPr>
          </w:p>
        </w:tc>
        <w:tc>
          <w:tcPr>
            <w:tcW w:w="20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color w:val="auto"/>
                <w:w w:val="98"/>
              </w:rPr>
              <w:t>Suite/ Mail Code</w:t>
            </w: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2"/>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City</w:t>
            </w:r>
          </w:p>
        </w:tc>
        <w:tc>
          <w:tcPr>
            <w:tcW w:w="2020" w:type="dxa"/>
            <w:vAlign w:val="bottom"/>
          </w:tcPr>
          <w:p>
            <w:pPr>
              <w:spacing w:after="0"/>
              <w:rPr>
                <w:sz w:val="19"/>
                <w:szCs w:val="19"/>
                <w:color w:val="auto"/>
              </w:rPr>
            </w:pPr>
          </w:p>
        </w:tc>
        <w:tc>
          <w:tcPr>
            <w:tcW w:w="1960" w:type="dxa"/>
            <w:vAlign w:val="bottom"/>
            <w:gridSpan w:val="4"/>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56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144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1960" w:type="dxa"/>
            <w:vAlign w:val="bottom"/>
            <w:gridSpan w:val="3"/>
          </w:tcPr>
          <w:p>
            <w:pPr>
              <w:ind w:left="14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9"/>
                <w:szCs w:val="19"/>
                <w:color w:val="auto"/>
              </w:rPr>
            </w:pPr>
          </w:p>
        </w:tc>
      </w:tr>
      <w:tr>
        <w:trPr>
          <w:trHeight w:val="223"/>
        </w:trPr>
        <w:tc>
          <w:tcPr>
            <w:tcW w:w="420" w:type="dxa"/>
            <w:vAlign w:val="bottom"/>
          </w:tcPr>
          <w:p>
            <w:pPr>
              <w:ind w:left="20"/>
              <w:spacing w:after="0"/>
              <w:rPr>
                <w:sz w:val="20"/>
                <w:szCs w:val="20"/>
                <w:color w:val="auto"/>
              </w:rPr>
            </w:pPr>
            <w:r>
              <w:rPr>
                <w:rFonts w:ascii="Arial" w:cs="Arial" w:eastAsia="Arial" w:hAnsi="Arial"/>
                <w:sz w:val="18"/>
                <w:szCs w:val="18"/>
                <w:color w:val="auto"/>
                <w:w w:val="75"/>
              </w:rPr>
              <w:t>Postal</w:t>
            </w:r>
          </w:p>
        </w:tc>
        <w:tc>
          <w:tcPr>
            <w:tcW w:w="64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Code</w:t>
            </w:r>
          </w:p>
        </w:tc>
        <w:tc>
          <w:tcPr>
            <w:tcW w:w="2460" w:type="dxa"/>
            <w:vAlign w:val="bottom"/>
            <w:tcBorders>
              <w:top w:val="single" w:sz="8" w:color="auto"/>
              <w:bottom w:val="single" w:sz="8" w:color="auto"/>
            </w:tcBorders>
            <w:gridSpan w:val="4"/>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7"/>
                <w:szCs w:val="17"/>
                <w:color w:val="auto"/>
                <w:w w:val="73"/>
              </w:rPr>
              <w:t>Country</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w w:val="75"/>
              </w:rPr>
              <w:t>Postal</w:t>
            </w: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Code</w:t>
            </w:r>
          </w:p>
        </w:tc>
        <w:tc>
          <w:tcPr>
            <w:tcW w:w="1920" w:type="dxa"/>
            <w:vAlign w:val="bottom"/>
            <w:tcBorders>
              <w:top w:val="single" w:sz="8" w:color="auto"/>
              <w:bottom w:val="single" w:sz="8" w:color="auto"/>
            </w:tcBorders>
            <w:gridSpan w:val="4"/>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7"/>
                <w:szCs w:val="17"/>
                <w:color w:val="auto"/>
                <w:w w:val="73"/>
              </w:rPr>
              <w:t>Country</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Credit Contact Information:</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Syndicate level information (which may contain material non-public information about the Borrower and its related parties or their respective securities will be made available to the Credit Contact(s). The Credit Contacts identified must be able to receive such information in accordance with his/her institution’s compliance procedures and applicable laws, including Federal and State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Credit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First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5715</wp:posOffset>
            </wp:positionV>
            <wp:extent cx="57975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Middle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Suite/Mail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Office Telephone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Office Facsimile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Work 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IntraLinks/SyndTrak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-1905</wp:posOffset>
            </wp:positionV>
            <wp:extent cx="57975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Credit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First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5715</wp:posOffset>
            </wp:positionV>
            <wp:extent cx="57975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Middle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Suite/Mail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Office Telephone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Office Facsimile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974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5" w:lineRule="exact"/>
        <w:rPr>
          <w:sz w:val="20"/>
          <w:szCs w:val="20"/>
          <w:color w:val="auto"/>
        </w:rPr>
      </w:pPr>
    </w:p>
    <w:p>
      <w:pPr>
        <w:ind w:left="1160" w:hanging="306"/>
        <w:spacing w:after="0"/>
        <w:tabs>
          <w:tab w:leader="none" w:pos="116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REV April 2013</w:t>
      </w:r>
    </w:p>
    <w:p>
      <w:pPr>
        <w:sectPr>
          <w:pgSz w:w="11900" w:h="16838" w:orient="portrait"/>
          <w:cols w:equalWidth="0" w:num="1">
            <w:col w:w="11420"/>
          </w:cols>
          <w:pgMar w:left="240" w:top="540"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6366510</wp:posOffset>
            </wp:positionH>
            <wp:positionV relativeFrom="page">
              <wp:posOffset>183515</wp:posOffset>
            </wp:positionV>
            <wp:extent cx="1037590" cy="3086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08610"/>
                    </a:xfrm>
                    <a:prstGeom prst="rect">
                      <a:avLst/>
                    </a:prstGeom>
                    <a:noFill/>
                  </pic:spPr>
                </pic:pic>
              </a:graphicData>
            </a:graphic>
          </wp:anchor>
        </w:drawing>
        <w:t>ADMINISTRATIVE DETAILS REPLY FORM – (US DOLLAR ONLY)</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Work E-Mail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IntraLinks/SyndTrak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-130810</wp:posOffset>
            </wp:positionV>
            <wp:extent cx="587438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5715</wp:posOffset>
            </wp:positionV>
            <wp:extent cx="58743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Borders>
              <w:bottom w:val="single" w:sz="8" w:color="auto"/>
            </w:tcBorders>
            <w:gridSpan w:val="16"/>
          </w:tcPr>
          <w:p>
            <w:pPr>
              <w:spacing w:after="0"/>
              <w:rPr>
                <w:sz w:val="20"/>
                <w:szCs w:val="20"/>
                <w:color w:val="auto"/>
              </w:rPr>
            </w:pPr>
            <w:r>
              <w:rPr>
                <w:rFonts w:ascii="Arial" w:cs="Arial" w:eastAsia="Arial" w:hAnsi="Arial"/>
                <w:sz w:val="18"/>
                <w:szCs w:val="18"/>
                <w:b w:val="1"/>
                <w:bCs w:val="1"/>
                <w:color w:val="auto"/>
                <w:w w:val="92"/>
              </w:rPr>
              <w:t>Primary Operations Contact:</w:t>
            </w:r>
          </w:p>
        </w:tc>
        <w:tc>
          <w:tcPr>
            <w:tcW w:w="66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40" w:type="dxa"/>
            <w:vAlign w:val="bottom"/>
            <w:tcBorders>
              <w:bottom w:val="single" w:sz="8" w:color="auto"/>
            </w:tcBorders>
            <w:gridSpan w:val="23"/>
          </w:tcPr>
          <w:p>
            <w:pPr>
              <w:spacing w:after="0"/>
              <w:rPr>
                <w:sz w:val="20"/>
                <w:szCs w:val="20"/>
                <w:color w:val="auto"/>
              </w:rPr>
            </w:pPr>
            <w:r>
              <w:rPr>
                <w:rFonts w:ascii="Arial" w:cs="Arial" w:eastAsia="Arial" w:hAnsi="Arial"/>
                <w:sz w:val="18"/>
                <w:szCs w:val="18"/>
                <w:b w:val="1"/>
                <w:bCs w:val="1"/>
                <w:color w:val="auto"/>
                <w:w w:val="89"/>
              </w:rPr>
              <w:t>Secondary Operations Contact:</w:t>
            </w:r>
          </w:p>
        </w:tc>
        <w:tc>
          <w:tcPr>
            <w:tcW w:w="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8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7"/>
              </w:rPr>
              <w:t>First</w:t>
            </w:r>
          </w:p>
        </w:tc>
        <w:tc>
          <w:tcPr>
            <w:tcW w:w="1180" w:type="dxa"/>
            <w:vAlign w:val="bottom"/>
            <w:tcBorders>
              <w:bottom w:val="single" w:sz="8" w:color="auto"/>
            </w:tcBorders>
            <w:gridSpan w:val="8"/>
          </w:tcPr>
          <w:p>
            <w:pPr>
              <w:spacing w:after="0"/>
              <w:rPr>
                <w:sz w:val="17"/>
                <w:szCs w:val="17"/>
                <w:color w:val="auto"/>
              </w:rPr>
            </w:pPr>
          </w:p>
        </w:tc>
        <w:tc>
          <w:tcPr>
            <w:tcW w:w="300" w:type="dxa"/>
            <w:vAlign w:val="bottom"/>
          </w:tcPr>
          <w:p>
            <w:pPr>
              <w:ind w:left="40"/>
              <w:spacing w:after="0" w:line="196" w:lineRule="exact"/>
              <w:rPr>
                <w:sz w:val="20"/>
                <w:szCs w:val="20"/>
                <w:color w:val="auto"/>
              </w:rPr>
            </w:pPr>
            <w:r>
              <w:rPr>
                <w:rFonts w:ascii="Arial" w:cs="Arial" w:eastAsia="Arial" w:hAnsi="Arial"/>
                <w:sz w:val="18"/>
                <w:szCs w:val="18"/>
                <w:color w:val="auto"/>
              </w:rPr>
              <w:t>MI</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9"/>
              </w:rPr>
              <w:t>Last</w:t>
            </w:r>
          </w:p>
        </w:tc>
        <w:tc>
          <w:tcPr>
            <w:tcW w:w="540" w:type="dxa"/>
            <w:vAlign w:val="bottom"/>
            <w:tcBorders>
              <w:bottom w:val="single" w:sz="8" w:color="auto"/>
            </w:tcBorders>
            <w:gridSpan w:val="4"/>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7"/>
              </w:rPr>
              <w:t>First</w:t>
            </w:r>
          </w:p>
        </w:tc>
        <w:tc>
          <w:tcPr>
            <w:tcW w:w="960" w:type="dxa"/>
            <w:vAlign w:val="bottom"/>
            <w:tcBorders>
              <w:bottom w:val="single" w:sz="8" w:color="auto"/>
            </w:tcBorders>
            <w:gridSpan w:val="8"/>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MI</w:t>
            </w:r>
          </w:p>
        </w:tc>
        <w:tc>
          <w:tcPr>
            <w:tcW w:w="6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9"/>
              </w:rPr>
              <w:t>Last</w:t>
            </w:r>
          </w:p>
        </w:tc>
        <w:tc>
          <w:tcPr>
            <w:tcW w:w="120" w:type="dxa"/>
            <w:vAlign w:val="bottom"/>
            <w:tcBorders>
              <w:bottom w:val="single" w:sz="8" w:color="auto"/>
            </w:tcBorders>
            <w:gridSpan w:val="3"/>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gridSpan w:val="32"/>
          </w:tcPr>
          <w:p>
            <w:pPr>
              <w:spacing w:after="0"/>
              <w:rPr>
                <w:sz w:val="17"/>
                <w:szCs w:val="17"/>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gridSpan w:val="3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120" w:type="dxa"/>
            <w:vAlign w:val="bottom"/>
            <w:gridSpan w:val="7"/>
          </w:tcPr>
          <w:p>
            <w:pPr>
              <w:ind w:left="20"/>
              <w:spacing w:after="0" w:line="196" w:lineRule="exact"/>
              <w:rPr>
                <w:sz w:val="20"/>
                <w:szCs w:val="20"/>
                <w:color w:val="auto"/>
              </w:rPr>
            </w:pPr>
            <w:r>
              <w:rPr>
                <w:rFonts w:ascii="Arial" w:cs="Arial" w:eastAsia="Arial" w:hAnsi="Arial"/>
                <w:sz w:val="18"/>
                <w:szCs w:val="18"/>
                <w:color w:val="auto"/>
                <w:w w:val="90"/>
              </w:rPr>
              <w:t>Street Address</w:t>
            </w:r>
          </w:p>
        </w:tc>
        <w:tc>
          <w:tcPr>
            <w:tcW w:w="3060" w:type="dxa"/>
            <w:vAlign w:val="bottom"/>
            <w:tcBorders>
              <w:bottom w:val="single" w:sz="8" w:color="auto"/>
            </w:tcBorders>
            <w:gridSpan w:val="24"/>
          </w:tcPr>
          <w:p>
            <w:pPr>
              <w:spacing w:after="0"/>
              <w:rPr>
                <w:sz w:val="17"/>
                <w:szCs w:val="17"/>
                <w:color w:val="auto"/>
              </w:rPr>
            </w:pPr>
          </w:p>
        </w:tc>
        <w:tc>
          <w:tcPr>
            <w:tcW w:w="2760" w:type="dxa"/>
            <w:vAlign w:val="bottom"/>
            <w:gridSpan w:val="12"/>
          </w:tcPr>
          <w:p>
            <w:pPr>
              <w:spacing w:after="0"/>
              <w:rPr>
                <w:sz w:val="20"/>
                <w:szCs w:val="20"/>
                <w:color w:val="auto"/>
              </w:rPr>
            </w:pPr>
            <w:r>
              <w:rPr>
                <w:rFonts w:ascii="Arial" w:cs="Arial" w:eastAsia="Arial" w:hAnsi="Arial"/>
                <w:sz w:val="18"/>
                <w:szCs w:val="18"/>
                <w:color w:val="auto"/>
              </w:rPr>
              <w:t>Street Address</w:t>
            </w:r>
          </w:p>
        </w:tc>
        <w:tc>
          <w:tcPr>
            <w:tcW w:w="3060" w:type="dxa"/>
            <w:vAlign w:val="bottom"/>
            <w:tcBorders>
              <w:bottom w:val="single" w:sz="8" w:color="auto"/>
            </w:tcBorders>
            <w:gridSpan w:val="33"/>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280" w:type="dxa"/>
            <w:vAlign w:val="bottom"/>
            <w:gridSpan w:val="9"/>
          </w:tcPr>
          <w:p>
            <w:pPr>
              <w:ind w:left="20"/>
              <w:spacing w:after="0" w:line="196" w:lineRule="exact"/>
              <w:rPr>
                <w:sz w:val="20"/>
                <w:szCs w:val="20"/>
                <w:color w:val="auto"/>
              </w:rPr>
            </w:pPr>
            <w:r>
              <w:rPr>
                <w:rFonts w:ascii="Arial" w:cs="Arial" w:eastAsia="Arial" w:hAnsi="Arial"/>
                <w:sz w:val="18"/>
                <w:szCs w:val="18"/>
                <w:color w:val="auto"/>
                <w:w w:val="93"/>
              </w:rPr>
              <w:t>Suite/ Mail Code</w:t>
            </w:r>
          </w:p>
        </w:tc>
        <w:tc>
          <w:tcPr>
            <w:tcW w:w="2880" w:type="dxa"/>
            <w:vAlign w:val="bottom"/>
            <w:tcBorders>
              <w:bottom w:val="single" w:sz="8" w:color="auto"/>
            </w:tcBorders>
            <w:gridSpan w:val="21"/>
          </w:tcPr>
          <w:p>
            <w:pPr>
              <w:spacing w:after="0"/>
              <w:rPr>
                <w:sz w:val="17"/>
                <w:szCs w:val="17"/>
                <w:color w:val="auto"/>
              </w:rPr>
            </w:pPr>
          </w:p>
        </w:tc>
        <w:tc>
          <w:tcPr>
            <w:tcW w:w="2940" w:type="dxa"/>
            <w:vAlign w:val="bottom"/>
            <w:gridSpan w:val="15"/>
          </w:tcPr>
          <w:p>
            <w:pPr>
              <w:spacing w:after="0"/>
              <w:rPr>
                <w:sz w:val="20"/>
                <w:szCs w:val="20"/>
                <w:color w:val="auto"/>
              </w:rPr>
            </w:pPr>
            <w:r>
              <w:rPr>
                <w:rFonts w:ascii="Arial" w:cs="Arial" w:eastAsia="Arial" w:hAnsi="Arial"/>
                <w:sz w:val="18"/>
                <w:szCs w:val="18"/>
                <w:color w:val="auto"/>
              </w:rPr>
              <w:t>Suite/ Mail Code</w:t>
            </w:r>
          </w:p>
        </w:tc>
        <w:tc>
          <w:tcPr>
            <w:tcW w:w="2880" w:type="dxa"/>
            <w:vAlign w:val="bottom"/>
            <w:tcBorders>
              <w:bottom w:val="single" w:sz="8" w:color="auto"/>
            </w:tcBorders>
            <w:gridSpan w:val="30"/>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360" w:type="dxa"/>
            <w:vAlign w:val="bottom"/>
          </w:tcPr>
          <w:p>
            <w:pPr>
              <w:ind w:left="20"/>
              <w:spacing w:after="0" w:line="196" w:lineRule="exact"/>
              <w:rPr>
                <w:sz w:val="20"/>
                <w:szCs w:val="20"/>
                <w:color w:val="auto"/>
              </w:rPr>
            </w:pPr>
            <w:r>
              <w:rPr>
                <w:rFonts w:ascii="Arial" w:cs="Arial" w:eastAsia="Arial" w:hAnsi="Arial"/>
                <w:sz w:val="18"/>
                <w:szCs w:val="18"/>
                <w:color w:val="auto"/>
              </w:rPr>
              <w:t>City</w:t>
            </w:r>
          </w:p>
        </w:tc>
        <w:tc>
          <w:tcPr>
            <w:tcW w:w="1200" w:type="dxa"/>
            <w:vAlign w:val="bottom"/>
            <w:tcBorders>
              <w:bottom w:val="single" w:sz="8" w:color="auto"/>
            </w:tcBorders>
            <w:gridSpan w:val="9"/>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0"/>
              </w:rPr>
              <w:t>State</w:t>
            </w:r>
          </w:p>
        </w:tc>
        <w:tc>
          <w:tcPr>
            <w:tcW w:w="760" w:type="dxa"/>
            <w:vAlign w:val="bottom"/>
            <w:tcBorders>
              <w:bottom w:val="single" w:sz="8" w:color="auto"/>
            </w:tcBorders>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0" w:type="dxa"/>
            <w:vAlign w:val="bottom"/>
          </w:tcPr>
          <w:p>
            <w:pPr>
              <w:ind w:left="20"/>
              <w:spacing w:after="0" w:line="196" w:lineRule="exact"/>
              <w:rPr>
                <w:sz w:val="20"/>
                <w:szCs w:val="20"/>
                <w:color w:val="auto"/>
              </w:rPr>
            </w:pPr>
            <w:r>
              <w:rPr>
                <w:rFonts w:ascii="Arial" w:cs="Arial" w:eastAsia="Arial" w:hAnsi="Arial"/>
                <w:sz w:val="18"/>
                <w:szCs w:val="18"/>
                <w:color w:val="auto"/>
              </w:rPr>
              <w:t>City</w:t>
            </w:r>
          </w:p>
        </w:tc>
        <w:tc>
          <w:tcPr>
            <w:tcW w:w="980" w:type="dxa"/>
            <w:vAlign w:val="bottom"/>
            <w:tcBorders>
              <w:bottom w:val="single" w:sz="8" w:color="auto"/>
            </w:tcBorders>
            <w:gridSpan w:val="9"/>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0"/>
              </w:rPr>
              <w:t>State</w:t>
            </w:r>
          </w:p>
        </w:tc>
        <w:tc>
          <w:tcPr>
            <w:tcW w:w="740" w:type="dxa"/>
            <w:vAlign w:val="bottom"/>
            <w:tcBorders>
              <w:bottom w:val="single" w:sz="8" w:color="auto"/>
            </w:tcBorders>
            <w:gridSpan w:val="5"/>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gridSpan w:val="6"/>
          </w:tcPr>
          <w:p>
            <w:pPr>
              <w:ind w:left="20"/>
              <w:spacing w:after="0" w:line="196" w:lineRule="exact"/>
              <w:rPr>
                <w:sz w:val="20"/>
                <w:szCs w:val="20"/>
                <w:color w:val="auto"/>
              </w:rPr>
            </w:pPr>
            <w:r>
              <w:rPr>
                <w:rFonts w:ascii="Arial" w:cs="Arial" w:eastAsia="Arial" w:hAnsi="Arial"/>
                <w:sz w:val="18"/>
                <w:szCs w:val="18"/>
                <w:color w:val="auto"/>
                <w:w w:val="89"/>
              </w:rPr>
              <w:t>Postal Code</w:t>
            </w:r>
          </w:p>
        </w:tc>
        <w:tc>
          <w:tcPr>
            <w:tcW w:w="640" w:type="dxa"/>
            <w:vAlign w:val="bottom"/>
            <w:tcBorders>
              <w:bottom w:val="single" w:sz="8" w:color="auto"/>
            </w:tcBorders>
            <w:gridSpan w:val="4"/>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5"/>
          </w:tcPr>
          <w:p>
            <w:pPr>
              <w:jc w:val="center"/>
              <w:ind w:right="40"/>
              <w:spacing w:after="0" w:line="196" w:lineRule="exact"/>
              <w:rPr>
                <w:sz w:val="20"/>
                <w:szCs w:val="20"/>
                <w:color w:val="auto"/>
              </w:rPr>
            </w:pPr>
            <w:r>
              <w:rPr>
                <w:rFonts w:ascii="Arial" w:cs="Arial" w:eastAsia="Arial" w:hAnsi="Arial"/>
                <w:sz w:val="18"/>
                <w:szCs w:val="18"/>
                <w:color w:val="auto"/>
                <w:w w:val="95"/>
              </w:rPr>
              <w:t>Country</w:t>
            </w:r>
          </w:p>
        </w:tc>
        <w:tc>
          <w:tcPr>
            <w:tcW w:w="580" w:type="dxa"/>
            <w:vAlign w:val="bottom"/>
            <w:tcBorders>
              <w:bottom w:val="single" w:sz="8" w:color="auto"/>
            </w:tcBorders>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20" w:type="dxa"/>
            <w:vAlign w:val="bottom"/>
            <w:gridSpan w:val="6"/>
          </w:tcPr>
          <w:p>
            <w:pPr>
              <w:ind w:left="20"/>
              <w:spacing w:after="0" w:line="196" w:lineRule="exact"/>
              <w:rPr>
                <w:sz w:val="20"/>
                <w:szCs w:val="20"/>
                <w:color w:val="auto"/>
              </w:rPr>
            </w:pPr>
            <w:r>
              <w:rPr>
                <w:rFonts w:ascii="Arial" w:cs="Arial" w:eastAsia="Arial" w:hAnsi="Arial"/>
                <w:sz w:val="18"/>
                <w:szCs w:val="18"/>
                <w:color w:val="auto"/>
                <w:w w:val="89"/>
              </w:rPr>
              <w:t>Postal Code</w:t>
            </w:r>
          </w:p>
        </w:tc>
        <w:tc>
          <w:tcPr>
            <w:tcW w:w="420" w:type="dxa"/>
            <w:vAlign w:val="bottom"/>
            <w:tcBorders>
              <w:bottom w:val="single" w:sz="8" w:color="auto"/>
            </w:tcBorders>
            <w:gridSpan w:val="4"/>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5"/>
          </w:tcPr>
          <w:p>
            <w:pPr>
              <w:jc w:val="center"/>
              <w:ind w:right="40"/>
              <w:spacing w:after="0" w:line="196" w:lineRule="exact"/>
              <w:rPr>
                <w:sz w:val="20"/>
                <w:szCs w:val="20"/>
                <w:color w:val="auto"/>
              </w:rPr>
            </w:pPr>
            <w:r>
              <w:rPr>
                <w:rFonts w:ascii="Arial" w:cs="Arial" w:eastAsia="Arial" w:hAnsi="Arial"/>
                <w:sz w:val="18"/>
                <w:szCs w:val="18"/>
                <w:color w:val="auto"/>
                <w:w w:val="95"/>
              </w:rPr>
              <w:t>Country</w:t>
            </w:r>
          </w:p>
        </w:tc>
        <w:tc>
          <w:tcPr>
            <w:tcW w:w="540" w:type="dxa"/>
            <w:vAlign w:val="bottom"/>
            <w:tcBorders>
              <w:bottom w:val="single" w:sz="8" w:color="auto"/>
            </w:tcBorders>
            <w:gridSpan w:val="3"/>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00" w:type="dxa"/>
            <w:vAlign w:val="bottom"/>
            <w:gridSpan w:val="5"/>
          </w:tcPr>
          <w:p>
            <w:pPr>
              <w:ind w:left="20"/>
              <w:spacing w:after="0" w:line="196" w:lineRule="exact"/>
              <w:rPr>
                <w:sz w:val="20"/>
                <w:szCs w:val="20"/>
                <w:color w:val="auto"/>
              </w:rPr>
            </w:pPr>
            <w:r>
              <w:rPr>
                <w:rFonts w:ascii="Arial" w:cs="Arial" w:eastAsia="Arial" w:hAnsi="Arial"/>
                <w:sz w:val="18"/>
                <w:szCs w:val="18"/>
                <w:color w:val="auto"/>
                <w:w w:val="89"/>
              </w:rPr>
              <w:t>Telephone</w:t>
            </w:r>
          </w:p>
        </w:tc>
        <w:tc>
          <w:tcPr>
            <w:tcW w:w="760" w:type="dxa"/>
            <w:vAlign w:val="bottom"/>
            <w:tcBorders>
              <w:bottom w:val="single" w:sz="8" w:color="auto"/>
            </w:tcBorders>
            <w:gridSpan w:val="5"/>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gridSpan w:val="6"/>
          </w:tcPr>
          <w:p>
            <w:pPr>
              <w:ind w:left="40"/>
              <w:spacing w:after="0" w:line="196" w:lineRule="exact"/>
              <w:rPr>
                <w:sz w:val="20"/>
                <w:szCs w:val="20"/>
                <w:color w:val="auto"/>
              </w:rPr>
            </w:pPr>
            <w:r>
              <w:rPr>
                <w:rFonts w:ascii="Arial" w:cs="Arial" w:eastAsia="Arial" w:hAnsi="Arial"/>
                <w:sz w:val="18"/>
                <w:szCs w:val="18"/>
                <w:color w:val="auto"/>
                <w:w w:val="97"/>
              </w:rPr>
              <w:t>Facsimile</w:t>
            </w:r>
          </w:p>
        </w:tc>
        <w:tc>
          <w:tcPr>
            <w:tcW w:w="260" w:type="dxa"/>
            <w:vAlign w:val="bottom"/>
            <w:tcBorders>
              <w:bottom w:val="single" w:sz="8" w:color="auto"/>
            </w:tcBorders>
            <w:gridSpan w:val="3"/>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gridSpan w:val="5"/>
          </w:tcPr>
          <w:p>
            <w:pPr>
              <w:ind w:left="20"/>
              <w:spacing w:after="0" w:line="196" w:lineRule="exact"/>
              <w:rPr>
                <w:sz w:val="20"/>
                <w:szCs w:val="20"/>
                <w:color w:val="auto"/>
              </w:rPr>
            </w:pPr>
            <w:r>
              <w:rPr>
                <w:rFonts w:ascii="Arial" w:cs="Arial" w:eastAsia="Arial" w:hAnsi="Arial"/>
                <w:sz w:val="18"/>
                <w:szCs w:val="18"/>
                <w:color w:val="auto"/>
                <w:w w:val="89"/>
              </w:rPr>
              <w:t>Telephone</w:t>
            </w:r>
          </w:p>
        </w:tc>
        <w:tc>
          <w:tcPr>
            <w:tcW w:w="540" w:type="dxa"/>
            <w:vAlign w:val="bottom"/>
            <w:tcBorders>
              <w:bottom w:val="single" w:sz="8" w:color="auto"/>
            </w:tcBorders>
            <w:gridSpan w:val="5"/>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10"/>
          </w:tcPr>
          <w:p>
            <w:pPr>
              <w:jc w:val="center"/>
              <w:spacing w:after="0" w:line="196" w:lineRule="exact"/>
              <w:rPr>
                <w:sz w:val="20"/>
                <w:szCs w:val="20"/>
                <w:color w:val="auto"/>
              </w:rPr>
            </w:pPr>
            <w:r>
              <w:rPr>
                <w:rFonts w:ascii="Arial" w:cs="Arial" w:eastAsia="Arial" w:hAnsi="Arial"/>
                <w:sz w:val="18"/>
                <w:szCs w:val="18"/>
                <w:color w:val="auto"/>
                <w:w w:val="92"/>
              </w:rPr>
              <w:t>Facsimile</w:t>
            </w:r>
          </w:p>
        </w:tc>
        <w:tc>
          <w:tcPr>
            <w:tcW w:w="1440" w:type="dxa"/>
            <w:vAlign w:val="bottom"/>
            <w:tcBorders>
              <w:bottom w:val="single" w:sz="8" w:color="auto"/>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00" w:type="dxa"/>
            <w:vAlign w:val="bottom"/>
            <w:gridSpan w:val="8"/>
          </w:tcPr>
          <w:p>
            <w:pPr>
              <w:ind w:left="20"/>
              <w:spacing w:after="0" w:line="196" w:lineRule="exact"/>
              <w:rPr>
                <w:sz w:val="20"/>
                <w:szCs w:val="20"/>
                <w:color w:val="auto"/>
              </w:rPr>
            </w:pPr>
            <w:r>
              <w:rPr>
                <w:rFonts w:ascii="Arial" w:cs="Arial" w:eastAsia="Arial" w:hAnsi="Arial"/>
                <w:sz w:val="18"/>
                <w:szCs w:val="18"/>
                <w:color w:val="auto"/>
                <w:w w:val="95"/>
              </w:rPr>
              <w:t>E-Mail Address</w:t>
            </w:r>
          </w:p>
        </w:tc>
        <w:tc>
          <w:tcPr>
            <w:tcW w:w="2980" w:type="dxa"/>
            <w:vAlign w:val="bottom"/>
            <w:tcBorders>
              <w:bottom w:val="single" w:sz="8" w:color="auto"/>
            </w:tcBorders>
            <w:gridSpan w:val="23"/>
          </w:tcPr>
          <w:p>
            <w:pPr>
              <w:spacing w:after="0"/>
              <w:rPr>
                <w:sz w:val="17"/>
                <w:szCs w:val="17"/>
                <w:color w:val="auto"/>
              </w:rPr>
            </w:pPr>
          </w:p>
        </w:tc>
        <w:tc>
          <w:tcPr>
            <w:tcW w:w="2840" w:type="dxa"/>
            <w:vAlign w:val="bottom"/>
            <w:gridSpan w:val="13"/>
          </w:tcPr>
          <w:p>
            <w:pPr>
              <w:spacing w:after="0"/>
              <w:rPr>
                <w:sz w:val="20"/>
                <w:szCs w:val="20"/>
                <w:color w:val="auto"/>
              </w:rPr>
            </w:pPr>
            <w:r>
              <w:rPr>
                <w:rFonts w:ascii="Arial" w:cs="Arial" w:eastAsia="Arial" w:hAnsi="Arial"/>
                <w:sz w:val="18"/>
                <w:szCs w:val="18"/>
                <w:color w:val="auto"/>
              </w:rPr>
              <w:t>E-Mail Address</w:t>
            </w:r>
          </w:p>
        </w:tc>
        <w:tc>
          <w:tcPr>
            <w:tcW w:w="2920" w:type="dxa"/>
            <w:vAlign w:val="bottom"/>
            <w:tcBorders>
              <w:bottom w:val="single" w:sz="8" w:color="auto"/>
            </w:tcBorders>
            <w:gridSpan w:val="29"/>
          </w:tcPr>
          <w:p>
            <w:pPr>
              <w:spacing w:after="0"/>
              <w:rPr>
                <w:sz w:val="17"/>
                <w:szCs w:val="17"/>
                <w:color w:val="auto"/>
              </w:rPr>
            </w:pPr>
          </w:p>
        </w:tc>
        <w:tc>
          <w:tcPr>
            <w:tcW w:w="140" w:type="dxa"/>
            <w:vAlign w:val="bottom"/>
            <w:gridSpan w:val="7"/>
          </w:tcPr>
          <w:p>
            <w:pPr>
              <w:spacing w:after="0"/>
              <w:rPr>
                <w:sz w:val="17"/>
                <w:szCs w:val="17"/>
                <w:color w:val="auto"/>
              </w:rPr>
            </w:pPr>
          </w:p>
        </w:tc>
      </w:tr>
      <w:tr>
        <w:trPr>
          <w:trHeight w:val="222"/>
        </w:trPr>
        <w:tc>
          <w:tcPr>
            <w:tcW w:w="2940" w:type="dxa"/>
            <w:vAlign w:val="bottom"/>
            <w:gridSpan w:val="21"/>
          </w:tcPr>
          <w:p>
            <w:pPr>
              <w:ind w:left="20"/>
              <w:spacing w:after="0"/>
              <w:rPr>
                <w:sz w:val="20"/>
                <w:szCs w:val="20"/>
                <w:color w:val="auto"/>
              </w:rPr>
            </w:pPr>
            <w:r>
              <w:rPr>
                <w:rFonts w:ascii="Arial" w:cs="Arial" w:eastAsia="Arial" w:hAnsi="Arial"/>
                <w:sz w:val="18"/>
                <w:szCs w:val="18"/>
                <w:color w:val="auto"/>
              </w:rPr>
              <w:t>IntraLinks/SyndTrak E-Mail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520" w:type="dxa"/>
            <w:vAlign w:val="bottom"/>
            <w:gridSpan w:val="25"/>
          </w:tcPr>
          <w:p>
            <w:pPr>
              <w:ind w:left="20"/>
              <w:spacing w:after="0"/>
              <w:rPr>
                <w:sz w:val="20"/>
                <w:szCs w:val="20"/>
                <w:color w:val="auto"/>
              </w:rPr>
            </w:pPr>
            <w:r>
              <w:rPr>
                <w:rFonts w:ascii="Arial" w:cs="Arial" w:eastAsia="Arial" w:hAnsi="Arial"/>
                <w:sz w:val="18"/>
                <w:szCs w:val="18"/>
                <w:color w:val="auto"/>
              </w:rPr>
              <w:t>IntraLinks/SyndTrak E-Mail</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640" w:type="dxa"/>
            <w:vAlign w:val="bottom"/>
            <w:gridSpan w:val="4"/>
          </w:tcPr>
          <w:p>
            <w:pPr>
              <w:ind w:left="20"/>
              <w:spacing w:after="0" w:line="190" w:lineRule="exact"/>
              <w:rPr>
                <w:sz w:val="20"/>
                <w:szCs w:val="20"/>
                <w:color w:val="auto"/>
              </w:rPr>
            </w:pPr>
            <w:r>
              <w:rPr>
                <w:rFonts w:ascii="Arial" w:cs="Arial" w:eastAsia="Arial" w:hAnsi="Arial"/>
                <w:sz w:val="18"/>
                <w:szCs w:val="18"/>
                <w:color w:val="auto"/>
                <w:w w:val="90"/>
              </w:rPr>
              <w:t>Address</w:t>
            </w:r>
          </w:p>
        </w:tc>
        <w:tc>
          <w:tcPr>
            <w:tcW w:w="3560" w:type="dxa"/>
            <w:vAlign w:val="bottom"/>
            <w:tcBorders>
              <w:bottom w:val="single" w:sz="8" w:color="auto"/>
            </w:tcBorders>
            <w:gridSpan w:val="28"/>
          </w:tcPr>
          <w:p>
            <w:pPr>
              <w:spacing w:after="0"/>
              <w:rPr>
                <w:sz w:val="16"/>
                <w:szCs w:val="16"/>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rPr>
              <w:t>Address</w:t>
            </w:r>
          </w:p>
        </w:tc>
        <w:tc>
          <w:tcPr>
            <w:tcW w:w="3520" w:type="dxa"/>
            <w:vAlign w:val="bottom"/>
            <w:tcBorders>
              <w:bottom w:val="single" w:sz="8" w:color="auto"/>
            </w:tcBorders>
            <w:gridSpan w:val="35"/>
          </w:tcPr>
          <w:p>
            <w:pPr>
              <w:spacing w:after="0"/>
              <w:rPr>
                <w:sz w:val="16"/>
                <w:szCs w:val="16"/>
                <w:color w:val="auto"/>
              </w:rPr>
            </w:pPr>
          </w:p>
        </w:tc>
        <w:tc>
          <w:tcPr>
            <w:tcW w:w="100" w:type="dxa"/>
            <w:vAlign w:val="bottom"/>
            <w:gridSpan w:val="5"/>
          </w:tcPr>
          <w:p>
            <w:pPr>
              <w:spacing w:after="0"/>
              <w:rPr>
                <w:sz w:val="16"/>
                <w:szCs w:val="16"/>
                <w:color w:val="auto"/>
              </w:rPr>
            </w:pPr>
          </w:p>
        </w:tc>
      </w:tr>
      <w:tr>
        <w:trPr>
          <w:trHeight w:val="358"/>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gridSpan w:val="28"/>
          </w:tcPr>
          <w:p>
            <w:pPr>
              <w:ind w:left="120"/>
              <w:spacing w:after="0"/>
              <w:rPr>
                <w:sz w:val="20"/>
                <w:szCs w:val="20"/>
                <w:color w:val="auto"/>
              </w:rPr>
            </w:pPr>
            <w:r>
              <w:rPr>
                <w:rFonts w:ascii="Arial" w:cs="Arial" w:eastAsia="Arial" w:hAnsi="Arial"/>
                <w:sz w:val="18"/>
                <w:szCs w:val="18"/>
                <w:b w:val="1"/>
                <w:bCs w:val="1"/>
                <w:i w:val="1"/>
                <w:iCs w:val="1"/>
                <w:color w:val="auto"/>
                <w:w w:val="85"/>
              </w:rPr>
              <w:t>Does Secondary Operations Contact need copy of notices?</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gridSpan w:val="8"/>
          </w:tcPr>
          <w:p>
            <w:pPr>
              <w:spacing w:after="0"/>
              <w:rPr>
                <w:sz w:val="20"/>
                <w:szCs w:val="20"/>
                <w:color w:val="auto"/>
              </w:rPr>
            </w:pPr>
            <w:r>
              <w:rPr>
                <w:rFonts w:ascii="Arial" w:cs="Arial" w:eastAsia="Arial" w:hAnsi="Arial"/>
                <w:sz w:val="18"/>
                <w:szCs w:val="18"/>
                <w:color w:val="auto"/>
                <w:w w:val="99"/>
              </w:rPr>
              <w:t>YES</w:t>
            </w:r>
          </w:p>
        </w:tc>
        <w:tc>
          <w:tcPr>
            <w:tcW w:w="380" w:type="dxa"/>
            <w:vAlign w:val="bottom"/>
            <w:tcBorders>
              <w:bottom w:val="single" w:sz="8" w:color="auto"/>
            </w:tcBorders>
            <w:gridSpan w:val="4"/>
          </w:tcPr>
          <w:p>
            <w:pPr>
              <w:spacing w:after="0"/>
              <w:rPr>
                <w:sz w:val="24"/>
                <w:szCs w:val="24"/>
                <w:color w:val="auto"/>
              </w:rPr>
            </w:pPr>
          </w:p>
        </w:tc>
        <w:tc>
          <w:tcPr>
            <w:tcW w:w="1600" w:type="dxa"/>
            <w:vAlign w:val="bottom"/>
            <w:gridSpan w:val="12"/>
          </w:tcPr>
          <w:p>
            <w:pPr>
              <w:ind w:left="2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940" w:type="dxa"/>
            <w:vAlign w:val="bottom"/>
            <w:gridSpan w:val="21"/>
          </w:tcPr>
          <w:p>
            <w:pPr>
              <w:spacing w:after="0"/>
              <w:rPr>
                <w:sz w:val="20"/>
                <w:szCs w:val="20"/>
                <w:color w:val="auto"/>
              </w:rPr>
            </w:pPr>
            <w:r>
              <w:rPr>
                <w:rFonts w:ascii="Arial" w:cs="Arial" w:eastAsia="Arial" w:hAnsi="Arial"/>
                <w:sz w:val="18"/>
                <w:szCs w:val="18"/>
                <w:b w:val="1"/>
                <w:bCs w:val="1"/>
                <w:color w:val="auto"/>
              </w:rPr>
              <w:t>Letter of Credit Contact: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20" w:type="dxa"/>
            <w:vAlign w:val="bottom"/>
            <w:gridSpan w:val="37"/>
          </w:tcPr>
          <w:p>
            <w:pPr>
              <w:spacing w:after="0"/>
              <w:rPr>
                <w:sz w:val="20"/>
                <w:szCs w:val="20"/>
                <w:color w:val="auto"/>
              </w:rPr>
            </w:pPr>
            <w:r>
              <w:rPr>
                <w:rFonts w:ascii="Arial" w:cs="Arial" w:eastAsia="Arial" w:hAnsi="Arial"/>
                <w:sz w:val="18"/>
                <w:szCs w:val="18"/>
                <w:b w:val="1"/>
                <w:bCs w:val="1"/>
                <w:color w:val="auto"/>
              </w:rPr>
              <w:t>Draft Documentation Contact or Legal Counsel:</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8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7"/>
              </w:rPr>
              <w:t>First</w:t>
            </w:r>
          </w:p>
        </w:tc>
        <w:tc>
          <w:tcPr>
            <w:tcW w:w="1180" w:type="dxa"/>
            <w:vAlign w:val="bottom"/>
            <w:tcBorders>
              <w:top w:val="single" w:sz="8" w:color="auto"/>
              <w:bottom w:val="single" w:sz="8" w:color="auto"/>
            </w:tcBorders>
            <w:gridSpan w:val="8"/>
          </w:tcPr>
          <w:p>
            <w:pPr>
              <w:spacing w:after="0"/>
              <w:rPr>
                <w:sz w:val="17"/>
                <w:szCs w:val="17"/>
                <w:color w:val="auto"/>
              </w:rPr>
            </w:pPr>
          </w:p>
        </w:tc>
        <w:tc>
          <w:tcPr>
            <w:tcW w:w="300" w:type="dxa"/>
            <w:vAlign w:val="bottom"/>
            <w:tcBorders>
              <w:top w:val="single" w:sz="8" w:color="auto"/>
            </w:tcBorders>
          </w:tcPr>
          <w:p>
            <w:pPr>
              <w:ind w:left="40"/>
              <w:spacing w:after="0" w:line="196" w:lineRule="exact"/>
              <w:rPr>
                <w:sz w:val="20"/>
                <w:szCs w:val="20"/>
                <w:color w:val="auto"/>
              </w:rPr>
            </w:pPr>
            <w:r>
              <w:rPr>
                <w:rFonts w:ascii="Arial" w:cs="Arial" w:eastAsia="Arial" w:hAnsi="Arial"/>
                <w:sz w:val="18"/>
                <w:szCs w:val="18"/>
                <w:color w:val="auto"/>
              </w:rPr>
              <w:t>MI</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9"/>
              </w:rPr>
              <w:t>Last</w:t>
            </w:r>
          </w:p>
        </w:tc>
        <w:tc>
          <w:tcPr>
            <w:tcW w:w="540" w:type="dxa"/>
            <w:vAlign w:val="bottom"/>
            <w:tcBorders>
              <w:bottom w:val="single" w:sz="8" w:color="auto"/>
            </w:tcBorders>
            <w:gridSpan w:val="4"/>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7"/>
              </w:rPr>
              <w:t>First</w:t>
            </w:r>
          </w:p>
        </w:tc>
        <w:tc>
          <w:tcPr>
            <w:tcW w:w="960" w:type="dxa"/>
            <w:vAlign w:val="bottom"/>
            <w:tcBorders>
              <w:top w:val="single" w:sz="8" w:color="auto"/>
              <w:bottom w:val="single" w:sz="8" w:color="auto"/>
            </w:tcBorders>
            <w:gridSpan w:val="8"/>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gridSpan w:val="4"/>
          </w:tcPr>
          <w:p>
            <w:pPr>
              <w:ind w:left="60"/>
              <w:spacing w:after="0" w:line="196" w:lineRule="exact"/>
              <w:rPr>
                <w:sz w:val="20"/>
                <w:szCs w:val="20"/>
                <w:color w:val="auto"/>
              </w:rPr>
            </w:pPr>
            <w:r>
              <w:rPr>
                <w:rFonts w:ascii="Arial" w:cs="Arial" w:eastAsia="Arial" w:hAnsi="Arial"/>
                <w:sz w:val="18"/>
                <w:szCs w:val="18"/>
                <w:color w:val="auto"/>
                <w:w w:val="99"/>
              </w:rPr>
              <w:t>MI</w:t>
            </w: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3"/>
          </w:tcPr>
          <w:p>
            <w:pPr>
              <w:jc w:val="center"/>
              <w:ind w:right="60"/>
              <w:spacing w:after="0" w:line="196" w:lineRule="exact"/>
              <w:rPr>
                <w:sz w:val="20"/>
                <w:szCs w:val="20"/>
                <w:color w:val="auto"/>
              </w:rPr>
            </w:pPr>
            <w:r>
              <w:rPr>
                <w:rFonts w:ascii="Arial" w:cs="Arial" w:eastAsia="Arial" w:hAnsi="Arial"/>
                <w:sz w:val="18"/>
                <w:szCs w:val="18"/>
                <w:color w:val="auto"/>
                <w:w w:val="88"/>
              </w:rPr>
              <w:t>Last</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gridSpan w:val="30"/>
          </w:tcPr>
          <w:p>
            <w:pPr>
              <w:spacing w:after="0"/>
              <w:rPr>
                <w:sz w:val="17"/>
                <w:szCs w:val="17"/>
                <w:color w:val="auto"/>
              </w:rPr>
            </w:pPr>
          </w:p>
        </w:tc>
        <w:tc>
          <w:tcPr>
            <w:tcW w:w="2000" w:type="dxa"/>
            <w:vAlign w:val="bottom"/>
            <w:gridSpan w:val="6"/>
          </w:tcPr>
          <w:p>
            <w:pPr>
              <w:spacing w:after="0"/>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gridSpan w:val="41"/>
          </w:tcPr>
          <w:p>
            <w:pPr>
              <w:spacing w:after="0"/>
              <w:rPr>
                <w:sz w:val="17"/>
                <w:szCs w:val="17"/>
                <w:color w:val="auto"/>
              </w:rPr>
            </w:pPr>
          </w:p>
        </w:tc>
      </w:tr>
      <w:tr>
        <w:trPr>
          <w:trHeight w:val="196"/>
        </w:trPr>
        <w:tc>
          <w:tcPr>
            <w:tcW w:w="1120" w:type="dxa"/>
            <w:vAlign w:val="bottom"/>
            <w:gridSpan w:val="7"/>
          </w:tcPr>
          <w:p>
            <w:pPr>
              <w:ind w:left="20"/>
              <w:spacing w:after="0" w:line="196" w:lineRule="exact"/>
              <w:rPr>
                <w:sz w:val="20"/>
                <w:szCs w:val="20"/>
                <w:color w:val="auto"/>
              </w:rPr>
            </w:pPr>
            <w:r>
              <w:rPr>
                <w:rFonts w:ascii="Arial" w:cs="Arial" w:eastAsia="Arial" w:hAnsi="Arial"/>
                <w:sz w:val="18"/>
                <w:szCs w:val="18"/>
                <w:color w:val="auto"/>
                <w:w w:val="90"/>
              </w:rPr>
              <w:t>Street Address</w:t>
            </w:r>
          </w:p>
        </w:tc>
        <w:tc>
          <w:tcPr>
            <w:tcW w:w="3060" w:type="dxa"/>
            <w:vAlign w:val="bottom"/>
            <w:tcBorders>
              <w:bottom w:val="single" w:sz="8" w:color="auto"/>
            </w:tcBorders>
            <w:gridSpan w:val="24"/>
          </w:tcPr>
          <w:p>
            <w:pPr>
              <w:spacing w:after="0"/>
              <w:rPr>
                <w:sz w:val="17"/>
                <w:szCs w:val="17"/>
                <w:color w:val="auto"/>
              </w:rPr>
            </w:pPr>
          </w:p>
        </w:tc>
        <w:tc>
          <w:tcPr>
            <w:tcW w:w="2760" w:type="dxa"/>
            <w:vAlign w:val="bottom"/>
            <w:gridSpan w:val="12"/>
          </w:tcPr>
          <w:p>
            <w:pPr>
              <w:spacing w:after="0"/>
              <w:rPr>
                <w:sz w:val="20"/>
                <w:szCs w:val="20"/>
                <w:color w:val="auto"/>
              </w:rPr>
            </w:pPr>
            <w:r>
              <w:rPr>
                <w:rFonts w:ascii="Arial" w:cs="Arial" w:eastAsia="Arial" w:hAnsi="Arial"/>
                <w:sz w:val="18"/>
                <w:szCs w:val="18"/>
                <w:color w:val="auto"/>
              </w:rPr>
              <w:t>Street Address</w:t>
            </w:r>
          </w:p>
        </w:tc>
        <w:tc>
          <w:tcPr>
            <w:tcW w:w="3100" w:type="dxa"/>
            <w:vAlign w:val="bottom"/>
            <w:tcBorders>
              <w:bottom w:val="single" w:sz="8" w:color="auto"/>
            </w:tcBorders>
            <w:gridSpan w:val="3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280" w:type="dxa"/>
            <w:vAlign w:val="bottom"/>
            <w:gridSpan w:val="9"/>
          </w:tcPr>
          <w:p>
            <w:pPr>
              <w:ind w:left="20"/>
              <w:spacing w:after="0" w:line="196" w:lineRule="exact"/>
              <w:rPr>
                <w:sz w:val="20"/>
                <w:szCs w:val="20"/>
                <w:color w:val="auto"/>
              </w:rPr>
            </w:pPr>
            <w:r>
              <w:rPr>
                <w:rFonts w:ascii="Arial" w:cs="Arial" w:eastAsia="Arial" w:hAnsi="Arial"/>
                <w:sz w:val="18"/>
                <w:szCs w:val="18"/>
                <w:color w:val="auto"/>
                <w:w w:val="93"/>
              </w:rPr>
              <w:t>Suite/ Mail Code</w:t>
            </w:r>
          </w:p>
        </w:tc>
        <w:tc>
          <w:tcPr>
            <w:tcW w:w="2880" w:type="dxa"/>
            <w:vAlign w:val="bottom"/>
            <w:tcBorders>
              <w:bottom w:val="single" w:sz="8" w:color="auto"/>
            </w:tcBorders>
            <w:gridSpan w:val="21"/>
          </w:tcPr>
          <w:p>
            <w:pPr>
              <w:spacing w:after="0"/>
              <w:rPr>
                <w:sz w:val="17"/>
                <w:szCs w:val="17"/>
                <w:color w:val="auto"/>
              </w:rPr>
            </w:pPr>
          </w:p>
        </w:tc>
        <w:tc>
          <w:tcPr>
            <w:tcW w:w="2940" w:type="dxa"/>
            <w:vAlign w:val="bottom"/>
            <w:gridSpan w:val="15"/>
          </w:tcPr>
          <w:p>
            <w:pPr>
              <w:spacing w:after="0"/>
              <w:rPr>
                <w:sz w:val="20"/>
                <w:szCs w:val="20"/>
                <w:color w:val="auto"/>
              </w:rPr>
            </w:pPr>
            <w:r>
              <w:rPr>
                <w:rFonts w:ascii="Arial" w:cs="Arial" w:eastAsia="Arial" w:hAnsi="Arial"/>
                <w:sz w:val="18"/>
                <w:szCs w:val="18"/>
                <w:color w:val="auto"/>
              </w:rPr>
              <w:t>Suite/ Mail Code</w:t>
            </w:r>
          </w:p>
        </w:tc>
        <w:tc>
          <w:tcPr>
            <w:tcW w:w="2940" w:type="dxa"/>
            <w:vAlign w:val="bottom"/>
            <w:tcBorders>
              <w:bottom w:val="single" w:sz="8" w:color="auto"/>
            </w:tcBorders>
            <w:gridSpan w:val="3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360" w:type="dxa"/>
            <w:vAlign w:val="bottom"/>
          </w:tcPr>
          <w:p>
            <w:pPr>
              <w:ind w:left="20"/>
              <w:spacing w:after="0" w:line="196" w:lineRule="exact"/>
              <w:rPr>
                <w:sz w:val="20"/>
                <w:szCs w:val="20"/>
                <w:color w:val="auto"/>
              </w:rPr>
            </w:pPr>
            <w:r>
              <w:rPr>
                <w:rFonts w:ascii="Arial" w:cs="Arial" w:eastAsia="Arial" w:hAnsi="Arial"/>
                <w:sz w:val="18"/>
                <w:szCs w:val="18"/>
                <w:color w:val="auto"/>
              </w:rPr>
              <w:t>City</w:t>
            </w:r>
          </w:p>
        </w:tc>
        <w:tc>
          <w:tcPr>
            <w:tcW w:w="1200" w:type="dxa"/>
            <w:vAlign w:val="bottom"/>
            <w:tcBorders>
              <w:bottom w:val="single" w:sz="8" w:color="auto"/>
            </w:tcBorders>
            <w:gridSpan w:val="9"/>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85"/>
              </w:rPr>
              <w:t>State</w:t>
            </w:r>
          </w:p>
        </w:tc>
        <w:tc>
          <w:tcPr>
            <w:tcW w:w="680" w:type="dxa"/>
            <w:vAlign w:val="bottom"/>
            <w:tcBorders>
              <w:bottom w:val="single" w:sz="8" w:color="auto"/>
            </w:tcBorders>
            <w:gridSpan w:val="5"/>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0" w:type="dxa"/>
            <w:vAlign w:val="bottom"/>
          </w:tcPr>
          <w:p>
            <w:pPr>
              <w:ind w:left="20"/>
              <w:spacing w:after="0" w:line="196" w:lineRule="exact"/>
              <w:rPr>
                <w:sz w:val="20"/>
                <w:szCs w:val="20"/>
                <w:color w:val="auto"/>
              </w:rPr>
            </w:pPr>
            <w:r>
              <w:rPr>
                <w:rFonts w:ascii="Arial" w:cs="Arial" w:eastAsia="Arial" w:hAnsi="Arial"/>
                <w:sz w:val="18"/>
                <w:szCs w:val="18"/>
                <w:color w:val="auto"/>
              </w:rPr>
              <w:t>City</w:t>
            </w:r>
          </w:p>
        </w:tc>
        <w:tc>
          <w:tcPr>
            <w:tcW w:w="980" w:type="dxa"/>
            <w:vAlign w:val="bottom"/>
            <w:tcBorders>
              <w:bottom w:val="single" w:sz="8" w:color="auto"/>
            </w:tcBorders>
            <w:gridSpan w:val="9"/>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85"/>
              </w:rPr>
              <w:t>State</w:t>
            </w:r>
          </w:p>
        </w:tc>
        <w:tc>
          <w:tcPr>
            <w:tcW w:w="640" w:type="dxa"/>
            <w:vAlign w:val="bottom"/>
            <w:tcBorders>
              <w:bottom w:val="single" w:sz="8" w:color="auto"/>
            </w:tcBorders>
            <w:gridSpan w:val="4"/>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gridSpan w:val="6"/>
          </w:tcPr>
          <w:p>
            <w:pPr>
              <w:ind w:left="20"/>
              <w:spacing w:after="0" w:line="196" w:lineRule="exact"/>
              <w:rPr>
                <w:sz w:val="20"/>
                <w:szCs w:val="20"/>
                <w:color w:val="auto"/>
              </w:rPr>
            </w:pPr>
            <w:r>
              <w:rPr>
                <w:rFonts w:ascii="Arial" w:cs="Arial" w:eastAsia="Arial" w:hAnsi="Arial"/>
                <w:sz w:val="18"/>
                <w:szCs w:val="18"/>
                <w:color w:val="auto"/>
                <w:w w:val="89"/>
              </w:rPr>
              <w:t>Postal Code</w:t>
            </w:r>
          </w:p>
        </w:tc>
        <w:tc>
          <w:tcPr>
            <w:tcW w:w="640" w:type="dxa"/>
            <w:vAlign w:val="bottom"/>
            <w:tcBorders>
              <w:bottom w:val="single" w:sz="8" w:color="auto"/>
            </w:tcBorders>
            <w:gridSpan w:val="4"/>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4"/>
          </w:tcPr>
          <w:p>
            <w:pPr>
              <w:ind w:left="20"/>
              <w:spacing w:after="0" w:line="196" w:lineRule="exact"/>
              <w:rPr>
                <w:sz w:val="20"/>
                <w:szCs w:val="20"/>
                <w:color w:val="auto"/>
              </w:rPr>
            </w:pPr>
            <w:r>
              <w:rPr>
                <w:rFonts w:ascii="Arial" w:cs="Arial" w:eastAsia="Arial" w:hAnsi="Arial"/>
                <w:sz w:val="18"/>
                <w:szCs w:val="18"/>
                <w:color w:val="auto"/>
                <w:w w:val="98"/>
              </w:rPr>
              <w:t>Country</w:t>
            </w:r>
          </w:p>
        </w:tc>
        <w:tc>
          <w:tcPr>
            <w:tcW w:w="480" w:type="dxa"/>
            <w:vAlign w:val="bottom"/>
            <w:tcBorders>
              <w:bottom w:val="single" w:sz="8" w:color="auto"/>
            </w:tcBorders>
            <w:gridSpan w:val="3"/>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920" w:type="dxa"/>
            <w:vAlign w:val="bottom"/>
            <w:gridSpan w:val="6"/>
          </w:tcPr>
          <w:p>
            <w:pPr>
              <w:ind w:left="20"/>
              <w:spacing w:after="0" w:line="196" w:lineRule="exact"/>
              <w:rPr>
                <w:sz w:val="20"/>
                <w:szCs w:val="20"/>
                <w:color w:val="auto"/>
              </w:rPr>
            </w:pPr>
            <w:r>
              <w:rPr>
                <w:rFonts w:ascii="Arial" w:cs="Arial" w:eastAsia="Arial" w:hAnsi="Arial"/>
                <w:sz w:val="18"/>
                <w:szCs w:val="18"/>
                <w:color w:val="auto"/>
                <w:w w:val="89"/>
              </w:rPr>
              <w:t>Postal Code</w:t>
            </w:r>
          </w:p>
        </w:tc>
        <w:tc>
          <w:tcPr>
            <w:tcW w:w="420" w:type="dxa"/>
            <w:vAlign w:val="bottom"/>
            <w:tcBorders>
              <w:bottom w:val="single" w:sz="8" w:color="auto"/>
            </w:tcBorders>
            <w:gridSpan w:val="4"/>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4"/>
          </w:tcPr>
          <w:p>
            <w:pPr>
              <w:ind w:left="20"/>
              <w:spacing w:after="0" w:line="196" w:lineRule="exact"/>
              <w:rPr>
                <w:sz w:val="20"/>
                <w:szCs w:val="20"/>
                <w:color w:val="auto"/>
              </w:rPr>
            </w:pPr>
            <w:r>
              <w:rPr>
                <w:rFonts w:ascii="Arial" w:cs="Arial" w:eastAsia="Arial" w:hAnsi="Arial"/>
                <w:sz w:val="18"/>
                <w:szCs w:val="18"/>
                <w:color w:val="auto"/>
                <w:w w:val="98"/>
              </w:rPr>
              <w:t>Country</w:t>
            </w:r>
          </w:p>
        </w:tc>
        <w:tc>
          <w:tcPr>
            <w:tcW w:w="44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800" w:type="dxa"/>
            <w:vAlign w:val="bottom"/>
            <w:gridSpan w:val="5"/>
          </w:tcPr>
          <w:p>
            <w:pPr>
              <w:ind w:left="20"/>
              <w:spacing w:after="0" w:line="196" w:lineRule="exact"/>
              <w:rPr>
                <w:sz w:val="20"/>
                <w:szCs w:val="20"/>
                <w:color w:val="auto"/>
              </w:rPr>
            </w:pPr>
            <w:r>
              <w:rPr>
                <w:rFonts w:ascii="Arial" w:cs="Arial" w:eastAsia="Arial" w:hAnsi="Arial"/>
                <w:sz w:val="18"/>
                <w:szCs w:val="18"/>
                <w:color w:val="auto"/>
                <w:w w:val="89"/>
              </w:rPr>
              <w:t>Telephone</w:t>
            </w:r>
          </w:p>
        </w:tc>
        <w:tc>
          <w:tcPr>
            <w:tcW w:w="760" w:type="dxa"/>
            <w:vAlign w:val="bottom"/>
            <w:tcBorders>
              <w:bottom w:val="single" w:sz="8" w:color="auto"/>
            </w:tcBorders>
            <w:gridSpan w:val="5"/>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97"/>
              </w:rPr>
              <w:t>Facsimile</w:t>
            </w:r>
          </w:p>
        </w:tc>
        <w:tc>
          <w:tcPr>
            <w:tcW w:w="80" w:type="dxa"/>
            <w:vAlign w:val="bottom"/>
            <w:tcBorders>
              <w:bottom w:val="single" w:sz="8" w:color="auto"/>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gridSpan w:val="5"/>
          </w:tcPr>
          <w:p>
            <w:pPr>
              <w:ind w:left="20"/>
              <w:spacing w:after="0" w:line="196" w:lineRule="exact"/>
              <w:rPr>
                <w:sz w:val="20"/>
                <w:szCs w:val="20"/>
                <w:color w:val="auto"/>
              </w:rPr>
            </w:pPr>
            <w:r>
              <w:rPr>
                <w:rFonts w:ascii="Arial" w:cs="Arial" w:eastAsia="Arial" w:hAnsi="Arial"/>
                <w:sz w:val="18"/>
                <w:szCs w:val="18"/>
                <w:color w:val="auto"/>
                <w:w w:val="89"/>
              </w:rPr>
              <w:t>Telephone</w:t>
            </w:r>
          </w:p>
        </w:tc>
        <w:tc>
          <w:tcPr>
            <w:tcW w:w="540" w:type="dxa"/>
            <w:vAlign w:val="bottom"/>
            <w:tcBorders>
              <w:bottom w:val="single" w:sz="8" w:color="auto"/>
            </w:tcBorders>
            <w:gridSpan w:val="5"/>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8"/>
          </w:tcPr>
          <w:p>
            <w:pPr>
              <w:ind w:left="20"/>
              <w:spacing w:after="0" w:line="196" w:lineRule="exact"/>
              <w:rPr>
                <w:sz w:val="20"/>
                <w:szCs w:val="20"/>
                <w:color w:val="auto"/>
              </w:rPr>
            </w:pPr>
            <w:r>
              <w:rPr>
                <w:rFonts w:ascii="Arial" w:cs="Arial" w:eastAsia="Arial" w:hAnsi="Arial"/>
                <w:sz w:val="18"/>
                <w:szCs w:val="18"/>
                <w:color w:val="auto"/>
                <w:w w:val="94"/>
              </w:rPr>
              <w:t>Facsimile</w:t>
            </w:r>
          </w:p>
        </w:tc>
        <w:tc>
          <w:tcPr>
            <w:tcW w:w="1360" w:type="dxa"/>
            <w:vAlign w:val="bottom"/>
            <w:tcBorders>
              <w:bottom w:val="single" w:sz="8" w:color="auto"/>
            </w:tcBorders>
            <w:gridSpan w:val="10"/>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00" w:type="dxa"/>
            <w:vAlign w:val="bottom"/>
            <w:gridSpan w:val="8"/>
          </w:tcPr>
          <w:p>
            <w:pPr>
              <w:ind w:left="20"/>
              <w:spacing w:after="0" w:line="196" w:lineRule="exact"/>
              <w:rPr>
                <w:sz w:val="20"/>
                <w:szCs w:val="20"/>
                <w:color w:val="auto"/>
              </w:rPr>
            </w:pPr>
            <w:r>
              <w:rPr>
                <w:rFonts w:ascii="Arial" w:cs="Arial" w:eastAsia="Arial" w:hAnsi="Arial"/>
                <w:sz w:val="18"/>
                <w:szCs w:val="18"/>
                <w:color w:val="auto"/>
                <w:w w:val="95"/>
              </w:rPr>
              <w:t>E-Mail Address</w:t>
            </w:r>
          </w:p>
        </w:tc>
        <w:tc>
          <w:tcPr>
            <w:tcW w:w="3020" w:type="dxa"/>
            <w:vAlign w:val="bottom"/>
            <w:tcBorders>
              <w:bottom w:val="single" w:sz="8" w:color="auto"/>
            </w:tcBorders>
            <w:gridSpan w:val="25"/>
          </w:tcPr>
          <w:p>
            <w:pPr>
              <w:spacing w:after="0"/>
              <w:rPr>
                <w:sz w:val="17"/>
                <w:szCs w:val="17"/>
                <w:color w:val="auto"/>
              </w:rPr>
            </w:pPr>
          </w:p>
        </w:tc>
        <w:tc>
          <w:tcPr>
            <w:tcW w:w="2800" w:type="dxa"/>
            <w:vAlign w:val="bottom"/>
            <w:gridSpan w:val="11"/>
          </w:tcPr>
          <w:p>
            <w:pPr>
              <w:spacing w:after="0"/>
              <w:rPr>
                <w:sz w:val="20"/>
                <w:szCs w:val="20"/>
                <w:color w:val="auto"/>
              </w:rPr>
            </w:pPr>
            <w:r>
              <w:rPr>
                <w:rFonts w:ascii="Arial" w:cs="Arial" w:eastAsia="Arial" w:hAnsi="Arial"/>
                <w:sz w:val="18"/>
                <w:szCs w:val="18"/>
                <w:color w:val="auto"/>
              </w:rPr>
              <w:t>E-Mail Address</w:t>
            </w:r>
          </w:p>
        </w:tc>
        <w:tc>
          <w:tcPr>
            <w:tcW w:w="2980" w:type="dxa"/>
            <w:vAlign w:val="bottom"/>
            <w:tcBorders>
              <w:bottom w:val="single" w:sz="8" w:color="auto"/>
            </w:tcBorders>
            <w:gridSpan w:val="32"/>
          </w:tcPr>
          <w:p>
            <w:pPr>
              <w:spacing w:after="0"/>
              <w:rPr>
                <w:sz w:val="17"/>
                <w:szCs w:val="17"/>
                <w:color w:val="auto"/>
              </w:rPr>
            </w:pPr>
          </w:p>
        </w:tc>
        <w:tc>
          <w:tcPr>
            <w:tcW w:w="80" w:type="dxa"/>
            <w:vAlign w:val="bottom"/>
            <w:gridSpan w:val="4"/>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Lender’s Fed Wire Payment Instructions: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Pay 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-1905</wp:posOffset>
            </wp:positionV>
            <wp:extent cx="574611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5715</wp:posOffset>
            </wp:positionV>
            <wp:extent cx="596011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2" w:lineRule="exact"/>
        <w:rPr>
          <w:sz w:val="20"/>
          <w:szCs w:val="20"/>
          <w:color w:val="auto"/>
        </w:rPr>
      </w:pPr>
    </w:p>
    <w:p>
      <w:pPr>
        <w:ind w:left="940"/>
        <w:spacing w:after="0"/>
        <w:tabs>
          <w:tab w:leader="none" w:pos="612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14605</wp:posOffset>
            </wp:positionV>
            <wp:extent cx="60718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5715</wp:posOffset>
            </wp:positionV>
            <wp:extent cx="58146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55314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14605</wp:posOffset>
            </wp:positionV>
            <wp:extent cx="58146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Lender’s Standby Letter of Credit, Commercial Letter of Credit, and Bankers’ Acceptance Fed Wire Payment Instructions (if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Pay to:</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-1905</wp:posOffset>
            </wp:positionV>
            <wp:extent cx="57461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660" w:type="dxa"/>
            <w:vAlign w:val="bottom"/>
            <w:gridSpan w:val="2"/>
          </w:tcPr>
          <w:p>
            <w:pPr>
              <w:ind w:left="20"/>
              <w:spacing w:after="0"/>
              <w:rPr>
                <w:sz w:val="20"/>
                <w:szCs w:val="20"/>
                <w:color w:val="auto"/>
              </w:rPr>
            </w:pPr>
            <w:r>
              <w:rPr>
                <w:rFonts w:ascii="Arial" w:cs="Arial" w:eastAsia="Arial" w:hAnsi="Arial"/>
                <w:sz w:val="18"/>
                <w:szCs w:val="18"/>
                <w:color w:val="auto"/>
              </w:rPr>
              <w:t>City</w:t>
            </w:r>
          </w:p>
        </w:tc>
        <w:tc>
          <w:tcPr>
            <w:tcW w:w="680" w:type="dxa"/>
            <w:vAlign w:val="bottom"/>
            <w:tcBorders>
              <w:top w:val="single" w:sz="8" w:color="auto"/>
            </w:tcBorders>
            <w:gridSpan w:val="2"/>
          </w:tcPr>
          <w:p>
            <w:pPr>
              <w:spacing w:after="0"/>
              <w:rPr>
                <w:sz w:val="19"/>
                <w:szCs w:val="19"/>
                <w:color w:val="auto"/>
              </w:rPr>
            </w:pPr>
          </w:p>
        </w:tc>
        <w:tc>
          <w:tcPr>
            <w:tcW w:w="36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r>
      <w:tr>
        <w:trPr>
          <w:trHeight w:val="223"/>
        </w:trPr>
        <w:tc>
          <w:tcPr>
            <w:tcW w:w="500" w:type="dxa"/>
            <w:vAlign w:val="bottom"/>
          </w:tcPr>
          <w:p>
            <w:pPr>
              <w:spacing w:after="0"/>
              <w:rPr>
                <w:sz w:val="20"/>
                <w:szCs w:val="20"/>
                <w:color w:val="auto"/>
              </w:rPr>
            </w:pPr>
            <w:r>
              <w:rPr>
                <w:rFonts w:ascii="Arial" w:cs="Arial" w:eastAsia="Arial" w:hAnsi="Arial"/>
                <w:sz w:val="18"/>
                <w:szCs w:val="18"/>
                <w:color w:val="auto"/>
                <w:w w:val="73"/>
              </w:rPr>
              <w:t>Account</w:t>
            </w:r>
          </w:p>
        </w:tc>
        <w:tc>
          <w:tcPr>
            <w:tcW w:w="4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spacing w:after="0"/>
              <w:rPr>
                <w:sz w:val="19"/>
                <w:szCs w:val="19"/>
                <w:color w:val="auto"/>
              </w:rPr>
            </w:pPr>
          </w:p>
        </w:tc>
        <w:tc>
          <w:tcPr>
            <w:tcW w:w="3600" w:type="dxa"/>
            <w:vAlign w:val="bottom"/>
            <w:tcBorders>
              <w:top w:val="single" w:sz="8" w:color="auto"/>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spacing w:after="0"/>
              <w:rPr>
                <w:sz w:val="19"/>
                <w:szCs w:val="19"/>
                <w:color w:val="auto"/>
              </w:rPr>
            </w:pPr>
          </w:p>
        </w:tc>
      </w:tr>
      <w:tr>
        <w:trPr>
          <w:trHeight w:val="223"/>
        </w:trPr>
        <w:tc>
          <w:tcPr>
            <w:tcW w:w="1340" w:type="dxa"/>
            <w:vAlign w:val="bottom"/>
            <w:gridSpan w:val="4"/>
          </w:tcPr>
          <w:p>
            <w:pPr>
              <w:spacing w:after="0"/>
              <w:rPr>
                <w:sz w:val="20"/>
                <w:szCs w:val="20"/>
                <w:color w:val="auto"/>
              </w:rPr>
            </w:pPr>
            <w:r>
              <w:rPr>
                <w:rFonts w:ascii="Arial" w:cs="Arial" w:eastAsia="Arial" w:hAnsi="Arial"/>
                <w:sz w:val="18"/>
                <w:szCs w:val="18"/>
                <w:color w:val="auto"/>
              </w:rPr>
              <w:t>Account Name</w:t>
            </w:r>
          </w:p>
        </w:tc>
        <w:tc>
          <w:tcPr>
            <w:tcW w:w="3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r>
      <w:tr>
        <w:trPr>
          <w:trHeight w:val="223"/>
        </w:trPr>
        <w:tc>
          <w:tcPr>
            <w:tcW w:w="1340" w:type="dxa"/>
            <w:vAlign w:val="bottom"/>
            <w:gridSpan w:val="4"/>
          </w:tcPr>
          <w:p>
            <w:pPr>
              <w:spacing w:after="0"/>
              <w:rPr>
                <w:sz w:val="20"/>
                <w:szCs w:val="20"/>
                <w:color w:val="auto"/>
              </w:rPr>
            </w:pPr>
            <w:r>
              <w:rPr>
                <w:rFonts w:ascii="Arial" w:cs="Arial" w:eastAsia="Arial" w:hAnsi="Arial"/>
                <w:sz w:val="18"/>
                <w:szCs w:val="18"/>
                <w:color w:val="auto"/>
              </w:rPr>
              <w:t>Attention</w:t>
            </w:r>
          </w:p>
        </w:tc>
        <w:tc>
          <w:tcPr>
            <w:tcW w:w="3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183"/>
        </w:trPr>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300" w:type="dxa"/>
            <w:vAlign w:val="bottom"/>
            <w:tcBorders>
              <w:top w:val="single" w:sz="8" w:color="auto"/>
            </w:tcBorders>
            <w:gridSpan w:val="3"/>
          </w:tcPr>
          <w:p>
            <w:pPr>
              <w:ind w:left="160"/>
              <w:spacing w:after="0" w:line="182" w:lineRule="exact"/>
              <w:rPr>
                <w:sz w:val="20"/>
                <w:szCs w:val="20"/>
                <w:color w:val="auto"/>
              </w:rPr>
            </w:pPr>
            <w:r>
              <w:rPr>
                <w:rFonts w:ascii="Arial" w:cs="Arial" w:eastAsia="Arial" w:hAnsi="Arial"/>
                <w:sz w:val="18"/>
                <w:szCs w:val="18"/>
                <w:color w:val="auto"/>
                <w:w w:val="90"/>
              </w:rPr>
              <w:t>Can the Lender’s Fed Wire Payment Instructions in Section 6 be used?</w:t>
            </w:r>
          </w:p>
        </w:tc>
        <w:tc>
          <w:tcPr>
            <w:tcW w:w="3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tcBorders>
          </w:tcPr>
          <w:p>
            <w:pPr>
              <w:ind w:left="40"/>
              <w:spacing w:after="0" w:line="182" w:lineRule="exact"/>
              <w:rPr>
                <w:sz w:val="20"/>
                <w:szCs w:val="20"/>
                <w:color w:val="auto"/>
              </w:rPr>
            </w:pPr>
            <w:r>
              <w:rPr>
                <w:rFonts w:ascii="Arial" w:cs="Arial" w:eastAsia="Arial" w:hAnsi="Arial"/>
                <w:sz w:val="18"/>
                <w:szCs w:val="18"/>
                <w:color w:val="auto"/>
                <w:w w:val="99"/>
              </w:rPr>
              <w:t>YES</w:t>
            </w:r>
          </w:p>
        </w:tc>
        <w:tc>
          <w:tcPr>
            <w:tcW w:w="360" w:type="dxa"/>
            <w:vAlign w:val="bottom"/>
            <w:tcBorders>
              <w:top w:val="single" w:sz="8" w:color="auto"/>
              <w:bottom w:val="single" w:sz="8" w:color="auto"/>
            </w:tcBorders>
          </w:tcPr>
          <w:p>
            <w:pPr>
              <w:spacing w:after="0"/>
              <w:rPr>
                <w:sz w:val="15"/>
                <w:szCs w:val="15"/>
                <w:color w:val="auto"/>
              </w:rPr>
            </w:pPr>
          </w:p>
        </w:tc>
        <w:tc>
          <w:tcPr>
            <w:tcW w:w="228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974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82" w:lineRule="exact"/>
        <w:rPr>
          <w:sz w:val="20"/>
          <w:szCs w:val="20"/>
          <w:color w:val="auto"/>
        </w:rPr>
      </w:pPr>
    </w:p>
    <w:p>
      <w:pPr>
        <w:ind w:left="1160" w:hanging="306"/>
        <w:spacing w:after="0"/>
        <w:tabs>
          <w:tab w:leader="none" w:pos="116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REV April 2013</w:t>
      </w:r>
    </w:p>
    <w:p>
      <w:pPr>
        <w:sectPr>
          <w:pgSz w:w="11900" w:h="16838" w:orient="portrait"/>
          <w:cols w:equalWidth="0" w:num="1">
            <w:col w:w="10980"/>
          </w:cols>
          <w:pgMar w:left="240" w:top="540" w:right="6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6366510</wp:posOffset>
            </wp:positionH>
            <wp:positionV relativeFrom="page">
              <wp:posOffset>183515</wp:posOffset>
            </wp:positionV>
            <wp:extent cx="1037590" cy="3086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08610"/>
                    </a:xfrm>
                    <a:prstGeom prst="rect">
                      <a:avLst/>
                    </a:prstGeom>
                    <a:noFill/>
                  </pic:spPr>
                </pic:pic>
              </a:graphicData>
            </a:graphic>
          </wp:anchor>
        </w:drawing>
        <w:t>ADMINISTRATIVE DETAILS REPLY FORM – (US DOLLAR ONLY)</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Lender’s Organizational Structure and Tax Status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refer to the enclosed withholding tax instructions below and then complete this section accordingly:</w:t>
      </w:r>
    </w:p>
    <w:p>
      <w:pPr>
        <w:spacing w:after="0" w:line="229"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Lender Taxpayer Identification Number (TIN):</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2183765</wp:posOffset>
            </wp:positionH>
            <wp:positionV relativeFrom="paragraph">
              <wp:posOffset>-10160</wp:posOffset>
            </wp:positionV>
            <wp:extent cx="17233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233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Tax Withholding Form Delivered to Bank of America (check applicable one):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Borders>
              <w:bottom w:val="single" w:sz="8" w:color="auto"/>
            </w:tcBorders>
          </w:tcPr>
          <w:p>
            <w:pPr>
              <w:spacing w:after="0"/>
              <w:rPr>
                <w:sz w:val="17"/>
                <w:szCs w:val="17"/>
                <w:color w:val="auto"/>
              </w:rPr>
            </w:pPr>
          </w:p>
        </w:tc>
        <w:tc>
          <w:tcPr>
            <w:tcW w:w="960" w:type="dxa"/>
            <w:vAlign w:val="bottom"/>
            <w:gridSpan w:val="8"/>
          </w:tcPr>
          <w:p>
            <w:pPr>
              <w:ind w:left="40"/>
              <w:spacing w:after="0"/>
              <w:rPr>
                <w:sz w:val="20"/>
                <w:szCs w:val="20"/>
                <w:color w:val="auto"/>
              </w:rPr>
            </w:pPr>
            <w:r>
              <w:rPr>
                <w:rFonts w:ascii="Arial" w:cs="Arial" w:eastAsia="Arial" w:hAnsi="Arial"/>
                <w:sz w:val="18"/>
                <w:szCs w:val="18"/>
                <w:b w:val="1"/>
                <w:bCs w:val="1"/>
                <w:color w:val="auto"/>
              </w:rPr>
              <w:t>W-9</w:t>
            </w:r>
          </w:p>
        </w:tc>
        <w:tc>
          <w:tcPr>
            <w:tcW w:w="260" w:type="dxa"/>
            <w:vAlign w:val="bottom"/>
            <w:tcBorders>
              <w:bottom w:val="single" w:sz="8" w:color="auto"/>
            </w:tcBorders>
            <w:gridSpan w:val="3"/>
          </w:tcPr>
          <w:p>
            <w:pPr>
              <w:spacing w:after="0"/>
              <w:rPr>
                <w:sz w:val="17"/>
                <w:szCs w:val="17"/>
                <w:color w:val="auto"/>
              </w:rPr>
            </w:pPr>
          </w:p>
        </w:tc>
        <w:tc>
          <w:tcPr>
            <w:tcW w:w="1320" w:type="dxa"/>
            <w:vAlign w:val="bottom"/>
            <w:gridSpan w:val="9"/>
          </w:tcPr>
          <w:p>
            <w:pPr>
              <w:ind w:left="40"/>
              <w:spacing w:after="0"/>
              <w:rPr>
                <w:sz w:val="20"/>
                <w:szCs w:val="20"/>
                <w:color w:val="auto"/>
              </w:rPr>
            </w:pPr>
            <w:r>
              <w:rPr>
                <w:rFonts w:ascii="Arial" w:cs="Arial" w:eastAsia="Arial" w:hAnsi="Arial"/>
                <w:sz w:val="18"/>
                <w:szCs w:val="18"/>
                <w:b w:val="1"/>
                <w:bCs w:val="1"/>
                <w:color w:val="auto"/>
              </w:rPr>
              <w:t>W-8BEN</w:t>
            </w:r>
          </w:p>
        </w:tc>
        <w:tc>
          <w:tcPr>
            <w:tcW w:w="2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6"/>
          </w:tcPr>
          <w:p>
            <w:pPr>
              <w:spacing w:after="0"/>
              <w:rPr>
                <w:sz w:val="20"/>
                <w:szCs w:val="20"/>
                <w:color w:val="auto"/>
              </w:rPr>
            </w:pPr>
            <w:r>
              <w:rPr>
                <w:rFonts w:ascii="Arial" w:cs="Arial" w:eastAsia="Arial" w:hAnsi="Arial"/>
                <w:sz w:val="18"/>
                <w:szCs w:val="18"/>
                <w:b w:val="1"/>
                <w:bCs w:val="1"/>
                <w:color w:val="auto"/>
              </w:rPr>
              <w:t>W-8ECI</w:t>
            </w:r>
          </w:p>
        </w:tc>
        <w:tc>
          <w:tcPr>
            <w:tcW w:w="280" w:type="dxa"/>
            <w:vAlign w:val="bottom"/>
            <w:tcBorders>
              <w:bottom w:val="single" w:sz="8" w:color="auto"/>
            </w:tcBorders>
          </w:tcPr>
          <w:p>
            <w:pPr>
              <w:spacing w:after="0"/>
              <w:rPr>
                <w:sz w:val="17"/>
                <w:szCs w:val="17"/>
                <w:color w:val="auto"/>
              </w:rPr>
            </w:pPr>
          </w:p>
        </w:tc>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W-8EXP</w:t>
            </w:r>
          </w:p>
        </w:tc>
        <w:tc>
          <w:tcPr>
            <w:tcW w:w="280" w:type="dxa"/>
            <w:vAlign w:val="bottom"/>
            <w:tcBorders>
              <w:bottom w:val="single" w:sz="8" w:color="auto"/>
            </w:tcBorders>
          </w:tcPr>
          <w:p>
            <w:pPr>
              <w:spacing w:after="0"/>
              <w:rPr>
                <w:sz w:val="17"/>
                <w:szCs w:val="17"/>
                <w:color w:val="auto"/>
              </w:rPr>
            </w:pP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W-8IMY</w:t>
            </w:r>
          </w:p>
        </w:tc>
      </w:tr>
      <w:tr>
        <w:trPr>
          <w:trHeight w:val="412"/>
        </w:trPr>
        <w:tc>
          <w:tcPr>
            <w:tcW w:w="1500" w:type="dxa"/>
            <w:vAlign w:val="bottom"/>
            <w:gridSpan w:val="12"/>
          </w:tcPr>
          <w:p>
            <w:pPr>
              <w:spacing w:after="0"/>
              <w:rPr>
                <w:sz w:val="20"/>
                <w:szCs w:val="20"/>
                <w:color w:val="auto"/>
              </w:rPr>
            </w:pPr>
            <w:r>
              <w:rPr>
                <w:rFonts w:ascii="Arial" w:cs="Arial" w:eastAsia="Arial" w:hAnsi="Arial"/>
                <w:sz w:val="18"/>
                <w:szCs w:val="18"/>
                <w:b w:val="1"/>
                <w:bCs w:val="1"/>
                <w:color w:val="auto"/>
              </w:rPr>
              <w:t>Tax Contact: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04"/>
        </w:trPr>
        <w:tc>
          <w:tcPr>
            <w:tcW w:w="3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First</w:t>
            </w:r>
          </w:p>
        </w:tc>
        <w:tc>
          <w:tcPr>
            <w:tcW w:w="620" w:type="dxa"/>
            <w:vAlign w:val="bottom"/>
            <w:tcBorders>
              <w:top w:val="single" w:sz="8" w:color="auto"/>
            </w:tcBorders>
            <w:gridSpan w:val="3"/>
          </w:tcPr>
          <w:p>
            <w:pPr>
              <w:spacing w:after="0"/>
              <w:rPr>
                <w:sz w:val="24"/>
                <w:szCs w:val="24"/>
                <w:color w:val="auto"/>
              </w:rPr>
            </w:pPr>
          </w:p>
        </w:tc>
        <w:tc>
          <w:tcPr>
            <w:tcW w:w="46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9"/>
          </w:tcPr>
          <w:p>
            <w:pPr>
              <w:spacing w:after="0"/>
              <w:rPr>
                <w:sz w:val="20"/>
                <w:szCs w:val="20"/>
                <w:color w:val="auto"/>
              </w:rPr>
            </w:pPr>
            <w:r>
              <w:rPr>
                <w:rFonts w:ascii="Arial" w:cs="Arial" w:eastAsia="Arial" w:hAnsi="Arial"/>
                <w:sz w:val="18"/>
                <w:szCs w:val="18"/>
                <w:color w:val="auto"/>
              </w:rPr>
              <w:t>MI    Last</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380" w:type="dxa"/>
            <w:vAlign w:val="bottom"/>
            <w:gridSpan w:val="3"/>
          </w:tcPr>
          <w:p>
            <w:pPr>
              <w:spacing w:after="0" w:line="196" w:lineRule="exact"/>
              <w:rPr>
                <w:sz w:val="20"/>
                <w:szCs w:val="20"/>
                <w:color w:val="auto"/>
              </w:rPr>
            </w:pPr>
            <w:r>
              <w:rPr>
                <w:rFonts w:ascii="Arial" w:cs="Arial" w:eastAsia="Arial" w:hAnsi="Arial"/>
                <w:sz w:val="18"/>
                <w:szCs w:val="18"/>
                <w:color w:val="auto"/>
              </w:rPr>
              <w:t>Title</w:t>
            </w:r>
          </w:p>
        </w:tc>
        <w:tc>
          <w:tcPr>
            <w:tcW w:w="1080" w:type="dxa"/>
            <w:vAlign w:val="bottom"/>
            <w:tcBorders>
              <w:top w:val="single" w:sz="8" w:color="auto"/>
              <w:bottom w:val="single" w:sz="8" w:color="auto"/>
            </w:tcBorders>
            <w:gridSpan w:val="8"/>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1100" w:type="dxa"/>
            <w:vAlign w:val="bottom"/>
            <w:gridSpan w:val="7"/>
          </w:tcPr>
          <w:p>
            <w:pPr>
              <w:spacing w:after="0" w:line="196" w:lineRule="exact"/>
              <w:rPr>
                <w:sz w:val="20"/>
                <w:szCs w:val="20"/>
                <w:color w:val="auto"/>
              </w:rPr>
            </w:pPr>
            <w:r>
              <w:rPr>
                <w:rFonts w:ascii="Arial" w:cs="Arial" w:eastAsia="Arial" w:hAnsi="Arial"/>
                <w:sz w:val="18"/>
                <w:szCs w:val="18"/>
                <w:color w:val="auto"/>
                <w:w w:val="90"/>
              </w:rPr>
              <w:t>Street Address</w:t>
            </w:r>
          </w:p>
        </w:tc>
        <w:tc>
          <w:tcPr>
            <w:tcW w:w="400" w:type="dxa"/>
            <w:vAlign w:val="bottom"/>
            <w:tcBorders>
              <w:bottom w:val="single" w:sz="8" w:color="auto"/>
            </w:tcBorders>
            <w:gridSpan w:val="5"/>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1280" w:type="dxa"/>
            <w:vAlign w:val="bottom"/>
            <w:gridSpan w:val="10"/>
          </w:tcPr>
          <w:p>
            <w:pPr>
              <w:spacing w:after="0" w:line="196" w:lineRule="exact"/>
              <w:rPr>
                <w:sz w:val="20"/>
                <w:szCs w:val="20"/>
                <w:color w:val="auto"/>
              </w:rPr>
            </w:pPr>
            <w:r>
              <w:rPr>
                <w:rFonts w:ascii="Arial" w:cs="Arial" w:eastAsia="Arial" w:hAnsi="Arial"/>
                <w:sz w:val="18"/>
                <w:szCs w:val="18"/>
                <w:color w:val="auto"/>
                <w:w w:val="95"/>
              </w:rPr>
              <w:t>Suite/ Mail Code</w:t>
            </w:r>
          </w:p>
        </w:tc>
        <w:tc>
          <w:tcPr>
            <w:tcW w:w="220" w:type="dxa"/>
            <w:vAlign w:val="bottom"/>
            <w:tcBorders>
              <w:bottom w:val="single" w:sz="8" w:color="auto"/>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360" w:type="dxa"/>
            <w:vAlign w:val="bottom"/>
            <w:gridSpan w:val="2"/>
          </w:tcPr>
          <w:p>
            <w:pPr>
              <w:spacing w:after="0" w:line="196" w:lineRule="exact"/>
              <w:rPr>
                <w:sz w:val="20"/>
                <w:szCs w:val="20"/>
                <w:color w:val="auto"/>
              </w:rPr>
            </w:pPr>
            <w:r>
              <w:rPr>
                <w:rFonts w:ascii="Arial" w:cs="Arial" w:eastAsia="Arial" w:hAnsi="Arial"/>
                <w:sz w:val="18"/>
                <w:szCs w:val="18"/>
                <w:color w:val="auto"/>
              </w:rPr>
              <w:t>City</w:t>
            </w:r>
          </w:p>
        </w:tc>
        <w:tc>
          <w:tcPr>
            <w:tcW w:w="1140" w:type="dxa"/>
            <w:vAlign w:val="bottom"/>
            <w:tcBorders>
              <w:bottom w:val="single" w:sz="8" w:color="auto"/>
            </w:tcBorders>
            <w:gridSpan w:val="10"/>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5"/>
              </w:rPr>
              <w:t>State</w:t>
            </w:r>
          </w:p>
        </w:tc>
        <w:tc>
          <w:tcPr>
            <w:tcW w:w="200" w:type="dxa"/>
            <w:vAlign w:val="bottom"/>
            <w:tcBorders>
              <w:bottom w:val="single" w:sz="8" w:color="auto"/>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w w:val="91"/>
              </w:rPr>
              <w:t>Postal Code</w:t>
            </w:r>
          </w:p>
        </w:tc>
        <w:tc>
          <w:tcPr>
            <w:tcW w:w="580" w:type="dxa"/>
            <w:vAlign w:val="bottom"/>
            <w:tcBorders>
              <w:bottom w:val="single" w:sz="8" w:color="auto"/>
            </w:tcBorders>
            <w:gridSpan w:val="7"/>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4"/>
          </w:tcPr>
          <w:p>
            <w:pPr>
              <w:ind w:left="20"/>
              <w:spacing w:after="0" w:line="196" w:lineRule="exact"/>
              <w:rPr>
                <w:sz w:val="20"/>
                <w:szCs w:val="20"/>
                <w:color w:val="auto"/>
              </w:rPr>
            </w:pPr>
            <w:r>
              <w:rPr>
                <w:rFonts w:ascii="Arial" w:cs="Arial" w:eastAsia="Arial" w:hAnsi="Arial"/>
                <w:sz w:val="18"/>
                <w:szCs w:val="18"/>
                <w:color w:val="auto"/>
                <w:w w:val="98"/>
              </w:rPr>
              <w:t>Country</w:t>
            </w: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800" w:type="dxa"/>
            <w:vAlign w:val="bottom"/>
            <w:gridSpan w:val="4"/>
          </w:tcPr>
          <w:p>
            <w:pPr>
              <w:spacing w:after="0" w:line="196" w:lineRule="exact"/>
              <w:rPr>
                <w:sz w:val="20"/>
                <w:szCs w:val="20"/>
                <w:color w:val="auto"/>
              </w:rPr>
            </w:pPr>
            <w:r>
              <w:rPr>
                <w:rFonts w:ascii="Arial" w:cs="Arial" w:eastAsia="Arial" w:hAnsi="Arial"/>
                <w:sz w:val="18"/>
                <w:szCs w:val="18"/>
                <w:color w:val="auto"/>
                <w:w w:val="91"/>
              </w:rPr>
              <w:t>Telephone</w:t>
            </w:r>
          </w:p>
        </w:tc>
        <w:tc>
          <w:tcPr>
            <w:tcW w:w="700" w:type="dxa"/>
            <w:vAlign w:val="bottom"/>
            <w:tcBorders>
              <w:bottom w:val="single" w:sz="8" w:color="auto"/>
            </w:tcBorders>
            <w:gridSpan w:val="8"/>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5"/>
          </w:tcPr>
          <w:p>
            <w:pPr>
              <w:ind w:left="20"/>
              <w:spacing w:after="0" w:line="196" w:lineRule="exact"/>
              <w:rPr>
                <w:sz w:val="20"/>
                <w:szCs w:val="20"/>
                <w:color w:val="auto"/>
              </w:rPr>
            </w:pPr>
            <w:r>
              <w:rPr>
                <w:rFonts w:ascii="Arial" w:cs="Arial" w:eastAsia="Arial" w:hAnsi="Arial"/>
                <w:sz w:val="18"/>
                <w:szCs w:val="18"/>
                <w:color w:val="auto"/>
                <w:w w:val="94"/>
              </w:rPr>
              <w:t>Facsimile</w:t>
            </w: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1200" w:type="dxa"/>
            <w:vAlign w:val="bottom"/>
            <w:gridSpan w:val="8"/>
          </w:tcPr>
          <w:p>
            <w:pPr>
              <w:spacing w:after="0" w:line="196" w:lineRule="exact"/>
              <w:rPr>
                <w:sz w:val="20"/>
                <w:szCs w:val="20"/>
                <w:color w:val="auto"/>
              </w:rPr>
            </w:pPr>
            <w:r>
              <w:rPr>
                <w:rFonts w:ascii="Arial" w:cs="Arial" w:eastAsia="Arial" w:hAnsi="Arial"/>
                <w:sz w:val="18"/>
                <w:szCs w:val="18"/>
                <w:color w:val="auto"/>
                <w:w w:val="96"/>
              </w:rPr>
              <w:t>E-Mail Address</w:t>
            </w:r>
          </w:p>
        </w:tc>
        <w:tc>
          <w:tcPr>
            <w:tcW w:w="300" w:type="dxa"/>
            <w:vAlign w:val="bottom"/>
            <w:tcBorders>
              <w:bottom w:val="single" w:sz="8" w:color="auto"/>
            </w:tcBorders>
            <w:gridSpan w:val="4"/>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LENDER INSTITUTIONS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Corporations: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your institution is incorporated outside of the United States for U.S. federal income tax purposes, and is the beneficial owner of the interest and other income it receives, you must complete one of the following three tax forms, as applicable to your institution: a.) Form W-8BEN (Certificate of Foreign Status of Beneficial Owner), b.) Form W-8ECI (Income Effectively Connected to a U.S. Trade or Business), or c.) Form W-8EXP (Certificate of Foreign Government or Governmental Agency).</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A U.S. taxpayer identification number is required for any institution submitting a Form W-8 ECI. It is also required on Form W-8BEN for certain institutions claiming the benefits of a tax treaty with the U.S. Please refer to the instructions when completing the form applicable to your institution. In addition, please be advised that U.S. tax regulations do not permit the acceptance of faxed forms. </w:t>
      </w:r>
      <w:r>
        <w:rPr>
          <w:rFonts w:ascii="Arial" w:cs="Arial" w:eastAsia="Arial" w:hAnsi="Arial"/>
          <w:sz w:val="17"/>
          <w:szCs w:val="17"/>
          <w:b w:val="1"/>
          <w:bCs w:val="1"/>
          <w:color w:val="auto"/>
        </w:rPr>
        <w:t>An original tax form must be submitted.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2. Flow-Through Entities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must be completed by the intermediary together with a withholding statement. Flow-through entities other than Qualified Intermediaries are required to include tax forms for each of the underlying beneficial owners.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Please refer to the instructions when completing this form. In addition, please be advised that U.S. tax regulations do not permit the acceptance of faxed forms. </w:t>
      </w:r>
      <w:r>
        <w:rPr>
          <w:rFonts w:ascii="Arial" w:cs="Arial" w:eastAsia="Arial" w:hAnsi="Arial"/>
          <w:sz w:val="18"/>
          <w:szCs w:val="18"/>
          <w:b w:val="1"/>
          <w:bCs w:val="1"/>
          <w:color w:val="auto"/>
        </w:rPr>
        <w:t>Original tax form(s) must be submitted</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LENDER INSTITUTIONS: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If your institution is incorporated or organized within the United States, you must complete and return Form W-9 (Request for Taxpayer Identification Number and Certification). </w:t>
      </w:r>
      <w:r>
        <w:rPr>
          <w:rFonts w:ascii="Arial" w:cs="Arial" w:eastAsia="Arial" w:hAnsi="Arial"/>
          <w:sz w:val="18"/>
          <w:szCs w:val="18"/>
          <w:b w:val="1"/>
          <w:bCs w:val="1"/>
          <w:color w:val="auto"/>
        </w:rPr>
        <w:t>Please be advised that we require an original form W-9</w:t>
      </w:r>
      <w:r>
        <w:rPr>
          <w:rFonts w:ascii="Arial" w:cs="Arial" w:eastAsia="Arial" w:hAnsi="Arial"/>
          <w:sz w:val="18"/>
          <w:szCs w:val="18"/>
          <w:color w:val="auto"/>
        </w:rPr>
        <w:t>.</w:t>
      </w:r>
    </w:p>
    <w:p>
      <w:pPr>
        <w:sectPr>
          <w:pgSz w:w="11900" w:h="16838" w:orient="portrait"/>
          <w:cols w:equalWidth="0" w:num="1">
            <w:col w:w="11360"/>
          </w:cols>
          <w:pgMar w:left="240" w:top="540" w:right="299" w:bottom="1440" w:gutter="0" w:footer="0" w:header="0"/>
        </w:sectPr>
      </w:pPr>
    </w:p>
    <w:bookmarkStart w:id="137" w:name="page138"/>
    <w:bookmarkEnd w:id="137"/>
    <w:p>
      <w:pPr>
        <w:spacing w:after="0" w:line="264" w:lineRule="auto"/>
        <w:rPr>
          <w:sz w:val="20"/>
          <w:szCs w:val="20"/>
          <w:color w:val="auto"/>
        </w:rPr>
      </w:pPr>
      <w:r>
        <w:rPr>
          <w:rFonts w:ascii="Arial" w:cs="Arial" w:eastAsia="Arial" w:hAnsi="Arial"/>
          <w:sz w:val="18"/>
          <w:szCs w:val="18"/>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1974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34" w:lineRule="exact"/>
        <w:rPr>
          <w:sz w:val="20"/>
          <w:szCs w:val="20"/>
          <w:color w:val="auto"/>
        </w:rPr>
      </w:pPr>
    </w:p>
    <w:p>
      <w:pPr>
        <w:ind w:left="1160" w:hanging="306"/>
        <w:spacing w:after="0"/>
        <w:tabs>
          <w:tab w:leader="none" w:pos="116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REV April 2013</w:t>
      </w:r>
    </w:p>
    <w:p>
      <w:pPr>
        <w:sectPr>
          <w:pgSz w:w="11900" w:h="16838" w:orient="portrait"/>
          <w:cols w:equalWidth="0" w:num="1">
            <w:col w:w="11080"/>
          </w:cols>
          <w:pgMar w:left="240" w:top="125" w:right="5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6366510</wp:posOffset>
            </wp:positionH>
            <wp:positionV relativeFrom="page">
              <wp:posOffset>182880</wp:posOffset>
            </wp:positionV>
            <wp:extent cx="1037590" cy="3086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08610"/>
                    </a:xfrm>
                    <a:prstGeom prst="rect">
                      <a:avLst/>
                    </a:prstGeom>
                    <a:noFill/>
                  </pic:spPr>
                </pic:pic>
              </a:graphicData>
            </a:graphic>
          </wp:anchor>
        </w:drawing>
        <w:t>ADMINISTRATIVE DETAILS REPLY FORM – (US DOLLAR ONLY)</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Additional guidance and instructions as to where to submit this documentation can be found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863600</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37235" cy="523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723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Bank of America’s Payment Instructions: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gridSpan w:val="2"/>
          </w:tcPr>
          <w:p>
            <w:pPr>
              <w:jc w:val="right"/>
              <w:ind w:right="450"/>
              <w:spacing w:after="0"/>
              <w:rPr>
                <w:sz w:val="20"/>
                <w:szCs w:val="20"/>
                <w:color w:val="auto"/>
              </w:rPr>
            </w:pPr>
            <w:r>
              <w:rPr>
                <w:rFonts w:ascii="Arial" w:cs="Arial" w:eastAsia="Arial" w:hAnsi="Arial"/>
                <w:sz w:val="18"/>
                <w:szCs w:val="18"/>
                <w:color w:val="auto"/>
                <w:w w:val="89"/>
              </w:rPr>
              <w:t>Pay to:</w:t>
            </w:r>
          </w:p>
        </w:tc>
        <w:tc>
          <w:tcPr>
            <w:tcW w:w="10360" w:type="dxa"/>
            <w:vAlign w:val="bottom"/>
          </w:tcPr>
          <w:p>
            <w:pPr>
              <w:ind w:left="100"/>
              <w:spacing w:after="0"/>
              <w:rPr>
                <w:sz w:val="20"/>
                <w:szCs w:val="20"/>
                <w:color w:val="auto"/>
              </w:rPr>
            </w:pPr>
            <w:r>
              <w:rPr>
                <w:rFonts w:ascii="Arial" w:cs="Arial" w:eastAsia="Arial" w:hAnsi="Arial"/>
                <w:sz w:val="18"/>
                <w:szCs w:val="18"/>
                <w:color w:val="auto"/>
              </w:rPr>
              <w:t>Bank of America, N.A.</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ABA # 026009593</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New York, NY</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Account # 1292000883</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Attn: Corporate Credit Services</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Ref: Waste Management, Inc.</w:t>
            </w:r>
          </w:p>
        </w:tc>
      </w:tr>
      <w:tr>
        <w:trPr>
          <w:trHeight w:val="156"/>
        </w:trPr>
        <w:tc>
          <w:tcPr>
            <w:tcW w:w="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360" w:type="dxa"/>
            <w:vAlign w:val="bottom"/>
            <w:tcBorders>
              <w:bottom w:val="single" w:sz="8" w:color="auto"/>
            </w:tcBorders>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c>
          <w:tcPr>
            <w:tcW w:w="10360" w:type="dxa"/>
            <w:vAlign w:val="bottom"/>
          </w:tcPr>
          <w:p>
            <w:pPr>
              <w:ind w:left="100"/>
              <w:spacing w:after="0"/>
              <w:rPr>
                <w:sz w:val="20"/>
                <w:szCs w:val="20"/>
                <w:color w:val="auto"/>
              </w:rPr>
            </w:pPr>
            <w:r>
              <w:rPr>
                <w:rFonts w:ascii="Arial" w:cs="Arial" w:eastAsia="Arial" w:hAnsi="Arial"/>
                <w:sz w:val="18"/>
                <w:szCs w:val="18"/>
                <w:color w:val="auto"/>
              </w:rPr>
              <w:t>REV April 2013</w:t>
            </w:r>
          </w:p>
        </w:tc>
      </w:tr>
      <w:tr>
        <w:trPr>
          <w:trHeight w:val="49"/>
        </w:trPr>
        <w:tc>
          <w:tcPr>
            <w:tcW w:w="20" w:type="dxa"/>
            <w:vAlign w:val="bottom"/>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0360" w:type="dxa"/>
            <w:vAlign w:val="bottom"/>
          </w:tcPr>
          <w:p>
            <w:pPr>
              <w:spacing w:after="0"/>
              <w:rPr>
                <w:sz w:val="4"/>
                <w:szCs w:val="4"/>
                <w:color w:val="auto"/>
              </w:rPr>
            </w:pPr>
          </w:p>
        </w:tc>
      </w:tr>
    </w:tbl>
    <w:p>
      <w:pPr>
        <w:sectPr>
          <w:pgSz w:w="11900" w:h="16838" w:orient="portrait"/>
          <w:cols w:equalWidth="0" w:num="1">
            <w:col w:w="11420"/>
          </w:cols>
          <w:pgMar w:left="240" w:top="54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20" w:type="dxa"/>
            <w:vAlign w:val="bottom"/>
            <w:gridSpan w:val="3"/>
          </w:tcPr>
          <w:p>
            <w:pPr>
              <w:ind w:left="2480"/>
              <w:spacing w:after="0"/>
              <w:rPr>
                <w:sz w:val="20"/>
                <w:szCs w:val="20"/>
                <w:color w:val="auto"/>
              </w:rPr>
            </w:pPr>
            <w:r>
              <w:rPr>
                <w:rFonts w:ascii="Arial" w:cs="Arial" w:eastAsia="Arial" w:hAnsi="Arial"/>
                <w:sz w:val="18"/>
                <w:szCs w:val="18"/>
                <w:b w:val="1"/>
                <w:bCs w:val="1"/>
                <w:color w:val="auto"/>
              </w:rPr>
              <w:t>BANKS; COMMITMENTS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Bank</w:t>
            </w:r>
          </w:p>
        </w:tc>
        <w:tc>
          <w:tcPr>
            <w:tcW w:w="21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Commitment</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JPMorgan Chase Bank, N.A.</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195,000,000</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Bank of America, N.A.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195,000,000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BNP Paribas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142,500,000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Citibank, N.A.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Deutsche Bank AG New York Branch</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142,500,000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Mizuho Bank Ltd.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Sumitomo Mitsui Banking Corporation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142,500,000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Bank of Tokyo-Mitsubishi UFJ, Ltd.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U.S. Bank National Association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142,500,000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Compass Bank</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Credit Suisse AG, Cayman Islands Branch</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Goldman Sachs Bank USA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The Bank of Nova Scotia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Comerica Bank</w:t>
            </w:r>
          </w:p>
        </w:tc>
        <w:tc>
          <w:tcPr>
            <w:tcW w:w="7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2,250,000,000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220"/>
          </w:cols>
          <w:pgMar w:left="1440" w:top="27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LIENS</w:t>
      </w:r>
    </w:p>
    <w:p>
      <w:pPr>
        <w:spacing w:after="0" w:line="256"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Various capital leases entered into by Subsidiaries in the ordinary course of business for operating equipment and facilities.</w:t>
      </w:r>
    </w:p>
    <w:p>
      <w:pPr>
        <w:spacing w:after="0" w:line="130"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note payable associated with the investment in federal low-income housing tax credits as described in Note 9, Income Taxes, and Note 20, Variable Interest Entities, in the Annual Report on Form 10-K for the year ended December 31, 2014.</w:t>
      </w:r>
    </w:p>
    <w:p>
      <w:pPr>
        <w:sectPr>
          <w:pgSz w:w="11900" w:h="16838" w:orient="portrait"/>
          <w:cols w:equalWidth="0" w:num="1">
            <w:col w:w="11420"/>
          </w:cols>
          <w:pgMar w:left="240" w:top="27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w:t>
      </w: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ISSUING BANKS AND ISSUING BANK LIMITS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1920" w:type="dxa"/>
            <w:vAlign w:val="bottom"/>
          </w:tcPr>
          <w:p>
            <w:pPr>
              <w:spacing w:after="0"/>
              <w:rPr>
                <w:sz w:val="22"/>
                <w:szCs w:val="22"/>
                <w:color w:val="auto"/>
              </w:rPr>
            </w:pPr>
          </w:p>
        </w:tc>
        <w:tc>
          <w:tcPr>
            <w:tcW w:w="388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325,000,000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JPMorgan Chase Bank, N.A.</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87"/>
              </w:rPr>
              <w:t>325,000,000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Wells Fargo Bank, National Association</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87"/>
              </w:rPr>
              <w:t>200,000,000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U.S. Bank, National Association</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87"/>
              </w:rPr>
              <w:t>100,000,000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BNP Paribas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Compass Bank</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50,000,000</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7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INCREASE/DECREASE LETTER</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-10160</wp:posOffset>
            </wp:positionV>
            <wp:extent cx="571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Reference is made to the THIRD AMENDED AND RESTATED REVOLVING CREDIT AGREEMENT dated as of July 10, 2015 (as amended and in effect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used and not otherwise defined herein shall have the meanings assigned thereto in the Credit Agreement), by and among WASTE MANAGEMENT,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wholly-owned Subsidiary of the Borrower (the “</w:t>
      </w:r>
      <w:r>
        <w:rPr>
          <w:rFonts w:ascii="Arial" w:cs="Arial" w:eastAsia="Arial" w:hAnsi="Arial"/>
          <w:sz w:val="17"/>
          <w:szCs w:val="17"/>
          <w:u w:val="single" w:color="auto"/>
          <w:color w:val="auto"/>
        </w:rPr>
        <w:t>Guarantor</w:t>
      </w:r>
      <w:r>
        <w:rPr>
          <w:rFonts w:ascii="Arial" w:cs="Arial" w:eastAsia="Arial" w:hAnsi="Arial"/>
          <w:sz w:val="17"/>
          <w:szCs w:val="17"/>
          <w:color w:val="auto"/>
        </w:rPr>
        <w:t>”), certain Banks from time to time party thereto and BANK OF AMERICA,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xml:space="preserve">”), and specifically to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attached thereto.</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The undersigned, being an Issuing Bank, hereby agrees pursuant to </w:t>
      </w:r>
      <w:r>
        <w:rPr>
          <w:rFonts w:ascii="Arial" w:cs="Arial" w:eastAsia="Arial" w:hAnsi="Arial"/>
          <w:sz w:val="17"/>
          <w:szCs w:val="17"/>
          <w:u w:val="single" w:color="auto"/>
          <w:color w:val="auto"/>
        </w:rPr>
        <w:t>§3.1</w:t>
      </w:r>
      <w:r>
        <w:rPr>
          <w:rFonts w:ascii="Arial" w:cs="Arial" w:eastAsia="Arial" w:hAnsi="Arial"/>
          <w:sz w:val="17"/>
          <w:szCs w:val="17"/>
          <w:color w:val="auto"/>
        </w:rPr>
        <w:t xml:space="preserve"> of the Credit Agreement that the limit set forth in said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with</w:t>
      </w:r>
    </w:p>
    <w:p>
      <w:pPr>
        <w:spacing w:after="0" w:line="35" w:lineRule="exact"/>
        <w:rPr>
          <w:sz w:val="20"/>
          <w:szCs w:val="20"/>
          <w:color w:val="auto"/>
        </w:rPr>
      </w:pPr>
    </w:p>
    <w:p>
      <w:pPr>
        <w:spacing w:after="0"/>
        <w:tabs>
          <w:tab w:leader="none" w:pos="6080" w:val="left"/>
        </w:tabs>
        <w:rPr>
          <w:sz w:val="20"/>
          <w:szCs w:val="20"/>
          <w:color w:val="auto"/>
        </w:rPr>
      </w:pPr>
      <w:r>
        <w:rPr>
          <w:rFonts w:ascii="Arial" w:cs="Arial" w:eastAsia="Arial" w:hAnsi="Arial"/>
          <w:sz w:val="17"/>
          <w:szCs w:val="17"/>
          <w:color w:val="auto"/>
        </w:rPr>
        <w:t>respect to the undersigned shall, effective on the date hereof, be changed to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-12065</wp:posOffset>
            </wp:positionV>
            <wp:extent cx="3429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the Guarantor and the Administrative Agent acknowledge the foregoing.</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This letter agreement may be executed in any number of counterparts, and shall be governed by and construed in accordance with the law of the State of New York.</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Issuing Bank]</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22860</wp:posOffset>
            </wp:positionV>
            <wp:extent cx="25469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-121920</wp:posOffset>
            </wp:positionV>
            <wp:extent cx="254698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22860</wp:posOffset>
            </wp:positionV>
            <wp:extent cx="25469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-121920</wp:posOffset>
            </wp:positionV>
            <wp:extent cx="25469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3" w:name="page144"/>
    <w:bookmarkEnd w:id="14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HOLDINGS,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-130810</wp:posOffset>
            </wp:positionV>
            <wp:extent cx="254698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22860</wp:posOffset>
            </wp:positionV>
            <wp:extent cx="25469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-121920</wp:posOffset>
            </wp:positionV>
            <wp:extent cx="25469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4"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BANK OF AMERICA, N.A., as Administrative Agent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-130810</wp:posOffset>
            </wp:positionV>
            <wp:extent cx="254698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22860</wp:posOffset>
            </wp:positionV>
            <wp:extent cx="254698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-121920</wp:posOffset>
            </wp:positionV>
            <wp:extent cx="254698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9800"/>
          </w:cols>
          <w:pgMar w:left="1440" w:top="270" w:right="6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LETTERS OF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Issuing Bank</w:t>
            </w:r>
          </w:p>
        </w:tc>
        <w:tc>
          <w:tcPr>
            <w:tcW w:w="800" w:type="dxa"/>
            <w:vAlign w:val="bottom"/>
            <w:vMerge w:val="restart"/>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Letter of Credit No.</w:t>
            </w:r>
          </w:p>
        </w:tc>
        <w:tc>
          <w:tcPr>
            <w:tcW w:w="3640" w:type="dxa"/>
            <w:vAlign w:val="bottom"/>
            <w:gridSpan w:val="3"/>
            <w:vMerge w:val="restart"/>
          </w:tcPr>
          <w:p>
            <w:pPr>
              <w:ind w:left="1680"/>
              <w:spacing w:after="0"/>
              <w:rPr>
                <w:sz w:val="20"/>
                <w:szCs w:val="20"/>
                <w:color w:val="auto"/>
              </w:rPr>
            </w:pPr>
            <w:r>
              <w:rPr>
                <w:rFonts w:ascii="Arial" w:cs="Arial" w:eastAsia="Arial" w:hAnsi="Arial"/>
                <w:sz w:val="14"/>
                <w:szCs w:val="14"/>
                <w:b w:val="1"/>
                <w:bCs w:val="1"/>
                <w:color w:val="auto"/>
              </w:rPr>
              <w:t>Beneficiary Name</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Issuance</w:t>
            </w:r>
          </w:p>
        </w:tc>
        <w:tc>
          <w:tcPr>
            <w:tcW w:w="10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Expiry Date</w:t>
            </w: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64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Date</w:t>
            </w: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T00000000213002</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NATIONAL UNION FIRE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9,467,000.00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w w:val="93"/>
              </w:rPr>
              <w:t>T00000001232800</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THE BANK OF NEW YORK</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27,757,743.00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4/5/2016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T00000001247976</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THE BANK OF NEW YORK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7,356,311.00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w w:val="93"/>
              </w:rPr>
              <w:t>T00000001251000</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THE BANK OF NEW YORK</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15,236,713.00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1/31/2016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T00000001257761</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THE BANK OF NEW YORK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22,368,877.00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7/31/2016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w w:val="93"/>
              </w:rPr>
              <w:t>T00000001282117</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CALIFORNIA INTEGRATE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200,000.00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8/1/2015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T00000001302974</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PENNSYLVANIA DEPT OF</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18,284,965.00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4/20/2012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12/12/2015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w w:val="93"/>
              </w:rPr>
              <w:t>T00000001323375</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RELIANCE INSURANCE C</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1,940,808.00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4/16/2013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4/15/2016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T00000001324248</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WELLS FARGO BANK, 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2,576,464.64</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4/30/2016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w w:val="93"/>
              </w:rPr>
              <w:t>T00000001335064</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CITY OF CHICAGO, COM</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250,000.00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5/17/2013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5/16/2016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T00000001409712</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THE BANK OF NEW YORK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15,140,035.00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0" w:type="dxa"/>
            <w:vAlign w:val="bottom"/>
            <w:gridSpan w:val="6"/>
          </w:tcPr>
          <w:p>
            <w:pPr>
              <w:ind w:left="720"/>
              <w:spacing w:after="0"/>
              <w:rPr>
                <w:sz w:val="20"/>
                <w:szCs w:val="20"/>
                <w:color w:val="auto"/>
              </w:rPr>
            </w:pPr>
            <w:r>
              <w:rPr>
                <w:rFonts w:ascii="Arial" w:cs="Arial" w:eastAsia="Arial" w:hAnsi="Arial"/>
                <w:sz w:val="18"/>
                <w:szCs w:val="18"/>
                <w:color w:val="auto"/>
              </w:rPr>
              <w:t>T00000001411998  THE BANK OF NEW YORK</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10,157,809.00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7/18/2016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T00000007269871</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INSURANCE COMPANY OF</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582,000.00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12/31/2015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w w:val="93"/>
              </w:rPr>
              <w:t>T00000007270224</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COMMONWEALTH OF PENN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225,326.00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4/20/2012</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8/31/2015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T00000007270536</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JEFFERSON COUNTY BOA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2,702,500.00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4/20/2012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8/31/2015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w w:val="93"/>
              </w:rPr>
              <w:t>T00000007310687</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WEST VIRGINIA DEPART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32,000.00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1/1/2013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12/31/2015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T00000007319982</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MUNISING LANDFILL AU</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313,237.00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12/31/2015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w w:val="93"/>
              </w:rPr>
              <w:t>T00000007400118</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LUMBERMENS MUTUAL CA</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20,000.00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10/1/2012</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9/30/2015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T00000007400153</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CHIEF ACCOUNTANT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510,000.00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10/1/2012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9/30/2015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w w:val="93"/>
              </w:rPr>
              <w:t>T00000007400154</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LUMBERMEN’S UNDERWRI</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350,000.00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6/30/2010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9/30/2015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T00000007402063</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CAPE MAY COUNTY MUNI</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4/20/2012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w w:val="93"/>
              </w:rPr>
              <w:t>T00000007403099</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STATE OF NEVADA</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70,000.00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1/1/2013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12/31/2015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ind w:left="720"/>
              <w:spacing w:after="0"/>
              <w:rPr>
                <w:sz w:val="20"/>
                <w:szCs w:val="20"/>
                <w:color w:val="auto"/>
              </w:rPr>
            </w:pPr>
            <w:r>
              <w:rPr>
                <w:rFonts w:ascii="Arial" w:cs="Arial" w:eastAsia="Arial" w:hAnsi="Arial"/>
                <w:sz w:val="18"/>
                <w:szCs w:val="18"/>
                <w:color w:val="auto"/>
              </w:rPr>
              <w:t>T00000007404115  CITY OF DIAMOND BAR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6/30/2010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8/31/2015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w w:val="93"/>
              </w:rPr>
              <w:t>T00000007404298</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CHARTER TOWNSHIP OF</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100,000.00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10/31/2015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T00000007404522</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CITY OF CHICAGO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w w:val="93"/>
              </w:rPr>
              <w:t>T00000007404577</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CITY OF CHICAGO</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5,000.00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1/1/2013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12/31/2015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T00000007405890</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NATIONAL UNION FIRE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244,145.00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10/3/2012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10/3/2015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5" w:name="page146"/>
    <w:bookmarkEnd w:id="1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Issuing Bank</w:t>
            </w:r>
          </w:p>
        </w:tc>
        <w:tc>
          <w:tcPr>
            <w:tcW w:w="800" w:type="dxa"/>
            <w:vAlign w:val="bottom"/>
            <w:vMerge w:val="restart"/>
          </w:tcPr>
          <w:p>
            <w:pPr>
              <w:spacing w:after="0"/>
              <w:rPr>
                <w:sz w:val="14"/>
                <w:szCs w:val="14"/>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Letter of Credit No.</w:t>
            </w:r>
          </w:p>
        </w:tc>
        <w:tc>
          <w:tcPr>
            <w:tcW w:w="3640" w:type="dxa"/>
            <w:vAlign w:val="bottom"/>
            <w:gridSpan w:val="3"/>
            <w:vMerge w:val="restart"/>
          </w:tcPr>
          <w:p>
            <w:pPr>
              <w:ind w:left="1680"/>
              <w:spacing w:after="0"/>
              <w:rPr>
                <w:sz w:val="20"/>
                <w:szCs w:val="20"/>
                <w:color w:val="auto"/>
              </w:rPr>
            </w:pPr>
            <w:r>
              <w:rPr>
                <w:rFonts w:ascii="Arial" w:cs="Arial" w:eastAsia="Arial" w:hAnsi="Arial"/>
                <w:sz w:val="14"/>
                <w:szCs w:val="14"/>
                <w:b w:val="1"/>
                <w:bCs w:val="1"/>
                <w:color w:val="auto"/>
              </w:rPr>
              <w:t>Beneficiary Name</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Issuance</w:t>
            </w:r>
          </w:p>
        </w:tc>
        <w:tc>
          <w:tcPr>
            <w:tcW w:w="10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Expiry Date</w:t>
            </w: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64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Date</w:t>
            </w: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T00000007410766</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VILLAGE OF WESTMONT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700,000.00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4/23/2013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5/31/2016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T00000007412800</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DEUTSCHE BANK TRUST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10,118,357.00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11/20/2015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T00000007414621</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STEADFAST INSURANCE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416,695.00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4/20/2012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T00000050060807</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RELIANCE INSURANCE C</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1,373,000.00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1/4/2013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T00000050061032</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PENNSYLVANIA MANUFAC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800,000.00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6/30/2010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7/21/2015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T00000050061263</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STATE OF FLORIDA, DE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100,000.00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7/16/2015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T00000050061572</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SHADE TOWNSHIP</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1,748,866.00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T00000050061643</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NATIONAL UNION FIRE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581,250.00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5/17/2013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5/16/2016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T00000050061680</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WEST VIRGINIA DIVISI</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T00000050061694</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VILLAGE OF HAWTHORN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50,000.00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11/30/2015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T00000050061801</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NATIONAL UNION FIRE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10,863,137.00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T00000050061858</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ARROWOOD INDEMNITY C</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12,000.00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5/17/2013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5/16/2016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T00000050061869</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VILLAGE OF HOLIDAY H</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T00000050061886</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PENNSYLVANIA DEPARTM</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14,384,305.00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9/30/2015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T00000050061897</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COUNTY ADMINISTRATOR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9/30/2015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T00000050061910</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CONSUMERS POWER COMP</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248,491.00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5/5/2013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5/4/2016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T00000050061917</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AMERICAN HOME ASSURA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345,000.00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3/31/2013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3/30/2016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T00000050061925</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ANTRIM TOWNSHIP</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1,200,000.00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6/14/2013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6/16/2016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T00000050061975</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COMMISSIONER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10,831,400.00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T00000050061985</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AMERICAN INTERNATION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260,000.00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4/1/2013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3/31/2016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T00000050061986</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AMERICAN INTERNATION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T00000050062000</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VILLAGE OF THIRD LAK</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75,000.00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11/30/2015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T00000050062044</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CONTINENTAL CASUALTY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5,099,000.00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T00000050062050</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RAYFORD HUDSON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480,000.00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5/2/2013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5/1/2016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T00000050062053</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CITY OF CHICAGO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12/31/2015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T00000050062099</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COMMISSIONER, NEW JE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239,610.00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12/8/2012</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12/8/2015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T00000050062119</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ACE AMERICAN INSURAN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1,740,679.00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12/1/2012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T00000050062137</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ACE-INA OVERSEAS INS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740,799.00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7/30/2015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T00000050062140</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NATIONAL UNION FIRE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T00000050062141</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NATIONAL UNION FIRE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3,085,000.00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7/1/2013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T00000064016609</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DEPARTMENT OF ENVIRO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5/24/2013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5/25/2016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T00000064016613</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COUNTY COMMISSIONERS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300,000.00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6/5/2013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T00000064016617</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TOWN OF LANTANA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7/31/2013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T00000064016621</w:t>
            </w:r>
          </w:p>
        </w:tc>
        <w:tc>
          <w:tcPr>
            <w:tcW w:w="3640" w:type="dxa"/>
            <w:vAlign w:val="bottom"/>
            <w:gridSpan w:val="3"/>
          </w:tcPr>
          <w:p>
            <w:pPr>
              <w:ind w:left="60"/>
              <w:spacing w:after="0"/>
              <w:rPr>
                <w:sz w:val="20"/>
                <w:szCs w:val="20"/>
                <w:color w:val="auto"/>
              </w:rPr>
            </w:pPr>
            <w:r>
              <w:rPr>
                <w:rFonts w:ascii="Arial" w:cs="Arial" w:eastAsia="Arial" w:hAnsi="Arial"/>
                <w:sz w:val="18"/>
                <w:szCs w:val="18"/>
                <w:color w:val="auto"/>
              </w:rPr>
              <w:t>NEW ENGLAND POWER CO</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340,788.00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9/6/2015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1"/>
              </w:rPr>
              <w:t>T00000064016624</w:t>
            </w:r>
          </w:p>
        </w:tc>
        <w:tc>
          <w:tcPr>
            <w:tcW w:w="3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ACE AMERICAN INSURAN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7,350,000.00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6/22/2010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12/15/2015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3" w:right="239" w:bottom="1440" w:gutter="0" w:footer="0" w:header="0"/>
        </w:sectPr>
      </w:pPr>
    </w:p>
    <w:bookmarkStart w:id="146" w:name="page147"/>
    <w:bookmarkEnd w:id="1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Issuing Bank</w:t>
            </w:r>
          </w:p>
        </w:tc>
        <w:tc>
          <w:tcPr>
            <w:tcW w:w="48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Letter of Credit No.</w:t>
            </w:r>
          </w:p>
        </w:tc>
        <w:tc>
          <w:tcPr>
            <w:tcW w:w="120" w:type="dxa"/>
            <w:vAlign w:val="bottom"/>
            <w:vMerge w:val="restart"/>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Beneficiary Name</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gridSpan w:val="2"/>
            <w:vMerge w:val="restart"/>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Issuance</w:t>
            </w: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Expiry Date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4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T00000064016632</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COUNTY COMMISSIONERS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3/5/2014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w w:val="93"/>
              </w:rPr>
              <w:t>T00000064016633</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CITY OF SANTA CLARIT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20,000.00</w:t>
            </w:r>
          </w:p>
        </w:tc>
        <w:tc>
          <w:tcPr>
            <w:tcW w:w="14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7/22/2014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12/31/2015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T00000064016634</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NEW JERSEY DEPARTMEN</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961,576.00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9/25/2014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w w:val="93"/>
              </w:rPr>
              <w:t>T00000064016635</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CITY OF WINTERS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14,000.00</w:t>
            </w:r>
          </w:p>
        </w:tc>
        <w:tc>
          <w:tcPr>
            <w:tcW w:w="14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12/11/2015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T00000064016641</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NEW JERSEY DEPARTMEN</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900,000.00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10/28/2014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w w:val="93"/>
              </w:rPr>
              <w:t>T00000064016668</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CITY OF SANTA CLARIT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250,000.00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12/23/2013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T00000064016680</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CITY OF PRIOR LAKE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3/20/2013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w w:val="93"/>
              </w:rPr>
              <w:t>T00000064016683</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DUKE ENERGY CAROLINA</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150,000.00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6/23/2013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6/22/2016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T00000064016688</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WAYNE COUNTY AIRPORT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10/26/2010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10/22/2015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w w:val="93"/>
              </w:rPr>
              <w:t>T00000064016690</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TENNESSEE VALLEY AUT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480,000.00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11/22/2010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11/16/2015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T00000064551002</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COUNTY ADMINISTRATOR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22,024.00</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12/15/2010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w w:val="93"/>
              </w:rPr>
              <w:t>T00000064551004</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TENNESSEE VALLEY AUT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200,000.00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1/14/2011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1/13/2016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T00000064551020</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PENNSYLVANIA DEPARTM</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11/18/2011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11/18/2015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w w:val="93"/>
              </w:rPr>
              <w:t>T00000064551023</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CITY OF TACOMA</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100,000.00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12/6/2012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12/31/2015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T00000064551026</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LAKE COUNTY STORMWAT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169,838.00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4/13/2012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w w:val="93"/>
              </w:rPr>
              <w:t>T00000064551034</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PENNSYLVANIA DEPARTM</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12/19/2013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12/31/2016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T00000068012181</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CITY OF SANTA CLARIT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250,000.00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4/14/2013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w w:val="93"/>
              </w:rPr>
              <w:t>T00000068031686</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THE BANK OF NEW YORK</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6,657,879.00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8/10/2016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T00000068031687</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THE BANK OF NEW YORK</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8,519,656.00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w w:val="93"/>
              </w:rPr>
              <w:t>T00000068052569</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TENNESSEE VALLEY AUT</w:t>
            </w:r>
          </w:p>
        </w:tc>
        <w:tc>
          <w:tcPr>
            <w:tcW w:w="1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500,000.00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4/20/2012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8/20/2015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of America Total</w:t>
            </w: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(82 LCs)</w:t>
            </w:r>
          </w:p>
        </w:tc>
        <w:tc>
          <w:tcPr>
            <w:tcW w:w="1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9"/>
              </w:rPr>
              <w:t>229,927,283.64</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gridSpan w:val="4"/>
            <w:vMerge w:val="restart"/>
          </w:tcPr>
          <w:p>
            <w:pPr>
              <w:spacing w:after="0"/>
              <w:rPr>
                <w:sz w:val="20"/>
                <w:szCs w:val="20"/>
                <w:color w:val="auto"/>
              </w:rPr>
            </w:pPr>
            <w:r>
              <w:rPr>
                <w:rFonts w:ascii="Arial" w:cs="Arial" w:eastAsia="Arial" w:hAnsi="Arial"/>
                <w:sz w:val="18"/>
                <w:szCs w:val="18"/>
                <w:color w:val="auto"/>
              </w:rPr>
              <w:t>BNP</w:t>
            </w:r>
          </w:p>
        </w:tc>
        <w:tc>
          <w:tcPr>
            <w:tcW w:w="1680" w:type="dxa"/>
            <w:vAlign w:val="bottom"/>
            <w:gridSpan w:val="3"/>
            <w:vMerge w:val="restart"/>
          </w:tcPr>
          <w:p>
            <w:pPr>
              <w:ind w:left="240"/>
              <w:spacing w:after="0"/>
              <w:rPr>
                <w:sz w:val="20"/>
                <w:szCs w:val="20"/>
                <w:color w:val="auto"/>
              </w:rPr>
            </w:pPr>
            <w:r>
              <w:rPr>
                <w:rFonts w:ascii="Arial" w:cs="Arial" w:eastAsia="Arial" w:hAnsi="Arial"/>
                <w:sz w:val="18"/>
                <w:szCs w:val="18"/>
                <w:color w:val="auto"/>
              </w:rPr>
              <w:t>BNP S401645</w:t>
            </w:r>
          </w:p>
        </w:tc>
        <w:tc>
          <w:tcPr>
            <w:tcW w:w="2680" w:type="dxa"/>
            <w:vAlign w:val="bottom"/>
            <w:gridSpan w:val="2"/>
            <w:vMerge w:val="restart"/>
          </w:tcPr>
          <w:p>
            <w:pPr>
              <w:ind w:left="60"/>
              <w:spacing w:after="0"/>
              <w:rPr>
                <w:sz w:val="20"/>
                <w:szCs w:val="20"/>
                <w:color w:val="auto"/>
              </w:rPr>
            </w:pPr>
            <w:r>
              <w:rPr>
                <w:rFonts w:ascii="Arial" w:cs="Arial" w:eastAsia="Arial" w:hAnsi="Arial"/>
                <w:sz w:val="18"/>
                <w:szCs w:val="18"/>
                <w:color w:val="auto"/>
              </w:rPr>
              <w:t>CITY OF DEL MAR</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6/30/2015</w:t>
            </w:r>
          </w:p>
        </w:tc>
        <w:tc>
          <w:tcPr>
            <w:tcW w:w="0" w:type="dxa"/>
            <w:vAlign w:val="bottom"/>
          </w:tcPr>
          <w:p>
            <w:pPr>
              <w:spacing w:after="0" w:line="20" w:lineRule="exact"/>
              <w:rPr>
                <w:sz w:val="1"/>
                <w:szCs w:val="1"/>
                <w:color w:val="auto"/>
              </w:rPr>
            </w:pPr>
          </w:p>
        </w:tc>
      </w:tr>
      <w:tr>
        <w:trPr>
          <w:trHeight w:val="217"/>
        </w:trPr>
        <w:tc>
          <w:tcPr>
            <w:tcW w:w="1920" w:type="dxa"/>
            <w:vAlign w:val="bottom"/>
            <w:gridSpan w:val="4"/>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268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100,000.00</w:t>
            </w:r>
          </w:p>
        </w:tc>
        <w:tc>
          <w:tcPr>
            <w:tcW w:w="14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BNP Total</w:t>
            </w: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 LC)</w:t>
            </w:r>
          </w:p>
        </w:tc>
        <w:tc>
          <w:tcPr>
            <w:tcW w:w="1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100,000.00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gridSpan w:val="4"/>
            <w:vMerge w:val="restart"/>
          </w:tcPr>
          <w:p>
            <w:pPr>
              <w:spacing w:after="0"/>
              <w:rPr>
                <w:sz w:val="20"/>
                <w:szCs w:val="20"/>
                <w:color w:val="auto"/>
              </w:rPr>
            </w:pPr>
            <w:r>
              <w:rPr>
                <w:rFonts w:ascii="Arial" w:cs="Arial" w:eastAsia="Arial" w:hAnsi="Arial"/>
                <w:sz w:val="18"/>
                <w:szCs w:val="18"/>
                <w:color w:val="auto"/>
              </w:rPr>
              <w:t>JPMorgan</w:t>
            </w:r>
          </w:p>
        </w:tc>
        <w:tc>
          <w:tcPr>
            <w:tcW w:w="1680" w:type="dxa"/>
            <w:vAlign w:val="bottom"/>
            <w:gridSpan w:val="3"/>
            <w:vMerge w:val="restart"/>
          </w:tcPr>
          <w:p>
            <w:pPr>
              <w:ind w:left="240"/>
              <w:spacing w:after="0"/>
              <w:rPr>
                <w:sz w:val="20"/>
                <w:szCs w:val="20"/>
                <w:color w:val="auto"/>
              </w:rPr>
            </w:pPr>
            <w:r>
              <w:rPr>
                <w:rFonts w:ascii="Arial" w:cs="Arial" w:eastAsia="Arial" w:hAnsi="Arial"/>
                <w:sz w:val="18"/>
                <w:szCs w:val="18"/>
                <w:color w:val="auto"/>
              </w:rPr>
              <w:t>JPM P010300</w:t>
            </w:r>
          </w:p>
        </w:tc>
        <w:tc>
          <w:tcPr>
            <w:tcW w:w="2680" w:type="dxa"/>
            <w:vAlign w:val="bottom"/>
            <w:gridSpan w:val="2"/>
            <w:vMerge w:val="restart"/>
          </w:tcPr>
          <w:p>
            <w:pPr>
              <w:ind w:left="60"/>
              <w:spacing w:after="0"/>
              <w:rPr>
                <w:sz w:val="20"/>
                <w:szCs w:val="20"/>
                <w:color w:val="auto"/>
              </w:rPr>
            </w:pPr>
            <w:r>
              <w:rPr>
                <w:rFonts w:ascii="Arial" w:cs="Arial" w:eastAsia="Arial" w:hAnsi="Arial"/>
                <w:sz w:val="18"/>
                <w:szCs w:val="18"/>
                <w:color w:val="auto"/>
              </w:rPr>
              <w:t>THE BANK OF NEW YORK</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line="20" w:lineRule="exact"/>
              <w:rPr>
                <w:sz w:val="1"/>
                <w:szCs w:val="1"/>
                <w:color w:val="auto"/>
              </w:rPr>
            </w:pPr>
          </w:p>
        </w:tc>
      </w:tr>
      <w:tr>
        <w:trPr>
          <w:trHeight w:val="210"/>
        </w:trPr>
        <w:tc>
          <w:tcPr>
            <w:tcW w:w="1920" w:type="dxa"/>
            <w:vAlign w:val="bottom"/>
            <w:gridSpan w:val="4"/>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268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5,793,498.00</w:t>
            </w:r>
          </w:p>
        </w:tc>
        <w:tc>
          <w:tcPr>
            <w:tcW w:w="14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JPM P010301</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THE BANK OF NEW YORK</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4,414,094.00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12/31/2015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rPr>
              <w:t>JPM P010302</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THE BANK OF NEW YORK</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w w:val="97"/>
              </w:rPr>
              <w:t>20,323,221.00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12/31/2015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JPM P224678</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NATIONAL UNION FIRE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99,400.00</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rPr>
              <w:t>JPM P224680</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NATIONAL UNION FIRE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900,000.00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JPM P224681</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NATIONAL UNION FIRE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1,911,666.00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rPr>
              <w:t>JPM P224694</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CALIFORNIA REGIONAL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207,671.40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10/30/2015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JPM P225252</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BANK OF NEW YORK</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7"/>
              </w:rPr>
              <w:t>20,279,452.06</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rPr>
              <w:t>JPM P227887</w:t>
            </w: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BANK OF NEW YORK</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w w:val="97"/>
              </w:rPr>
              <w:t>20,236,713.00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7/24/2015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JPM P228576</w:t>
            </w: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BANK OF NEW YORK</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7"/>
              </w:rPr>
              <w:t>14,327,593.00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8/9/2015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3" w:right="239" w:bottom="1440" w:gutter="0" w:footer="0" w:header="0"/>
        </w:sectPr>
      </w:pPr>
    </w:p>
    <w:bookmarkStart w:id="147" w:name="page148"/>
    <w:bookmarkEnd w:id="1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Issuing Bank</w:t>
            </w:r>
          </w:p>
        </w:tc>
        <w:tc>
          <w:tcPr>
            <w:tcW w:w="84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Letter of Credit No.</w:t>
            </w:r>
          </w:p>
        </w:tc>
        <w:tc>
          <w:tcPr>
            <w:tcW w:w="3440" w:type="dxa"/>
            <w:vAlign w:val="bottom"/>
            <w:gridSpan w:val="3"/>
            <w:vMerge w:val="restart"/>
          </w:tcPr>
          <w:p>
            <w:pPr>
              <w:ind w:left="1520"/>
              <w:spacing w:after="0"/>
              <w:rPr>
                <w:sz w:val="20"/>
                <w:szCs w:val="20"/>
                <w:color w:val="auto"/>
              </w:rPr>
            </w:pPr>
            <w:r>
              <w:rPr>
                <w:rFonts w:ascii="Arial" w:cs="Arial" w:eastAsia="Arial" w:hAnsi="Arial"/>
                <w:sz w:val="14"/>
                <w:szCs w:val="14"/>
                <w:b w:val="1"/>
                <w:bCs w:val="1"/>
                <w:color w:val="auto"/>
              </w:rPr>
              <w:t>Beneficiary Name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90"/>
              </w:rPr>
              <w:t>Amount</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Issuance</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Expiry Date</w:t>
            </w: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44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Date</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JPM P230274</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BANK OF NEW YORK</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10,118,357.00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JPM P230584</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BANK OF NEW YORK</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20,236,713.00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JPM P231095</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DEUTSCHE BANK TRUST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14,165,699.00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10/23/2015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JPM P231096</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DEUTSCHE BANK TRUST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25,295,891.00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10/23/2015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JPM P231097</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DEUTSCHE BANK TRUST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4,755,628.00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10/23/2015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JPM P231098</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DEUTSCHE BANK TRUST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20,236,713.00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10/23/2015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JPM P232178</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BANK OF NEW YORK</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25,295,891.00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11/26/2015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JPM P247295</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DEUTSCHE BANK TRUST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35,414,247.00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4/14/2016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JPM S-259035</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PJM INTERCONNECTION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367,000.00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6/28/2012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JPM S-275879</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ISO NEW ENGLAND INC</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215,000.00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7/17/2012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7/18/2016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JPM S317905</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MIDWEST INDEPENDENT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67,177.00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12/16/2011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12/15/2015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JPM S747619</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CITY OF ANN ARBOR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250,000.00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JPM S761990</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SUTTON BROOK DISPOSA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3,360,104.00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JPM S-881373</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PA DEPT OF ENVIRONME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21,000.00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9/30/2010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9/30/2015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JPM S-907859</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COUNTY OF VENTURA PU</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1,000,000.00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2/2/2011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JPM S-917985</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COUNTY OF SANTA BARB</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1,032,000.00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3/21/2011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3/21/2016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6"/>
              </w:rPr>
              <w:t>JPM TFTS 867061</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EXXON MOBIL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3,400,000.00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8/23/2010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w w:val="99"/>
              </w:rPr>
              <w:t>JPM TFTS821440</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NEVADA POWER COMPANY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491,000.00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9"/>
              </w:rPr>
              <w:t>JPM TFTS841563</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CITY OF LA HABRA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w w:val="95"/>
              </w:rPr>
              <w:t>JPM TFTS-921354</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COUNTY OF SANTA BARBARA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1,206,000.00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5/12/2011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5"/>
              </w:rPr>
              <w:t>JPM TFTS-940609</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VILLAGE OF NORTH AURORA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500,000.00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5/25/2011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5/31/2016</w:t>
            </w:r>
          </w:p>
        </w:tc>
        <w:tc>
          <w:tcPr>
            <w:tcW w:w="0" w:type="dxa"/>
            <w:vAlign w:val="bottom"/>
          </w:tcPr>
          <w:p>
            <w:pPr>
              <w:spacing w:after="0"/>
              <w:rPr>
                <w:sz w:val="1"/>
                <w:szCs w:val="1"/>
                <w:color w:val="auto"/>
              </w:rPr>
            </w:pPr>
          </w:p>
        </w:tc>
      </w:tr>
      <w:tr>
        <w:trPr>
          <w:trHeight w:val="223"/>
        </w:trPr>
        <w:tc>
          <w:tcPr>
            <w:tcW w:w="1440" w:type="dxa"/>
            <w:vAlign w:val="bottom"/>
            <w:gridSpan w:val="2"/>
          </w:tcPr>
          <w:p>
            <w:pPr>
              <w:spacing w:after="0"/>
              <w:rPr>
                <w:sz w:val="20"/>
                <w:szCs w:val="20"/>
                <w:color w:val="auto"/>
              </w:rPr>
            </w:pPr>
            <w:r>
              <w:rPr>
                <w:rFonts w:ascii="Arial" w:cs="Arial" w:eastAsia="Arial" w:hAnsi="Arial"/>
                <w:sz w:val="18"/>
                <w:szCs w:val="18"/>
                <w:color w:val="auto"/>
              </w:rPr>
              <w:t>JPMorgan Total</w:t>
            </w: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(31 LCs)</w:t>
            </w:r>
          </w:p>
        </w:tc>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256,021,728.46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w:t>
            </w: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PNC 18102759</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ACE INSURANCE COMPANY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39,600,000.00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12/31/2015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PNC 18102837</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CUMBERLAND IMPROVEMENT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400,000.00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2/15/2016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PNC 18103294</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LIBERTY MUTUAL INSURANCE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110,676.00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PNC 18110471</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DEUTSCHE BANK TRUST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11,130,192.00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9/25/2015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PNC 18110472</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THE BANK OF NEW YORK</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25,295,891.00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PNC 18110584</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DEUTSCHE BANK TRUST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7,538,176.00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10/16/2015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PNC 18111692</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CITY OF SIMI VALLEY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gridSpan w:val="3"/>
          </w:tcPr>
          <w:p>
            <w:pPr>
              <w:ind w:left="720"/>
              <w:spacing w:after="0"/>
              <w:rPr>
                <w:sz w:val="20"/>
                <w:szCs w:val="20"/>
                <w:color w:val="auto"/>
              </w:rPr>
            </w:pPr>
            <w:r>
              <w:rPr>
                <w:rFonts w:ascii="Arial" w:cs="Arial" w:eastAsia="Arial" w:hAnsi="Arial"/>
                <w:sz w:val="18"/>
                <w:szCs w:val="18"/>
                <w:color w:val="auto"/>
              </w:rPr>
              <w:t>PNC 18111906</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CITY OF MORPARK</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20,000.00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PNC 18114752</w:t>
            </w:r>
          </w:p>
        </w:tc>
        <w:tc>
          <w:tcPr>
            <w:tcW w:w="3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CITY OF NEW YORK</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34,250,000.00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3/25/2011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3" w:right="239" w:bottom="1440" w:gutter="0" w:footer="0" w:header="0"/>
        </w:sectPr>
      </w:pPr>
    </w:p>
    <w:bookmarkStart w:id="148" w:name="page149"/>
    <w:bookmarkEnd w:id="1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Issuing Bank</w:t>
            </w:r>
          </w:p>
        </w:tc>
        <w:tc>
          <w:tcPr>
            <w:tcW w:w="222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Letter of Credit No.</w:t>
            </w:r>
          </w:p>
        </w:tc>
        <w:tc>
          <w:tcPr>
            <w:tcW w:w="4160" w:type="dxa"/>
            <w:vAlign w:val="bottom"/>
            <w:gridSpan w:val="3"/>
            <w:vMerge w:val="restart"/>
          </w:tcPr>
          <w:p>
            <w:pPr>
              <w:ind w:left="1520"/>
              <w:spacing w:after="0"/>
              <w:rPr>
                <w:sz w:val="20"/>
                <w:szCs w:val="20"/>
                <w:color w:val="auto"/>
              </w:rPr>
            </w:pPr>
            <w:r>
              <w:rPr>
                <w:rFonts w:ascii="Arial" w:cs="Arial" w:eastAsia="Arial" w:hAnsi="Arial"/>
                <w:sz w:val="14"/>
                <w:szCs w:val="14"/>
                <w:b w:val="1"/>
                <w:bCs w:val="1"/>
                <w:color w:val="auto"/>
              </w:rPr>
              <w:t>Beneficiary Name</w:t>
            </w:r>
          </w:p>
        </w:tc>
        <w:tc>
          <w:tcPr>
            <w:tcW w:w="120" w:type="dxa"/>
            <w:vAlign w:val="bottom"/>
          </w:tcPr>
          <w:p>
            <w:pPr>
              <w:spacing w:after="0"/>
              <w:rPr>
                <w:sz w:val="14"/>
                <w:szCs w:val="14"/>
                <w:color w:val="auto"/>
              </w:rPr>
            </w:pPr>
          </w:p>
        </w:tc>
        <w:tc>
          <w:tcPr>
            <w:tcW w:w="13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Issuance</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Expiry Date</w:t>
            </w: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20" w:type="dxa"/>
            <w:vAlign w:val="bottom"/>
            <w:gridSpan w:val="3"/>
            <w:vMerge w:val="continue"/>
          </w:tcPr>
          <w:p>
            <w:pPr>
              <w:spacing w:after="0"/>
              <w:rPr>
                <w:sz w:val="14"/>
                <w:szCs w:val="14"/>
                <w:color w:val="auto"/>
              </w:rPr>
            </w:pPr>
          </w:p>
        </w:tc>
        <w:tc>
          <w:tcPr>
            <w:tcW w:w="4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Date</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PNC 18114753</w:t>
            </w:r>
          </w:p>
        </w:tc>
        <w:tc>
          <w:tcPr>
            <w:tcW w:w="4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CITY OF NEW YORK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22,715,135.00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3/25/2011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3"/>
          </w:tcPr>
          <w:p>
            <w:pPr>
              <w:ind w:left="720"/>
              <w:spacing w:after="0"/>
              <w:rPr>
                <w:sz w:val="20"/>
                <w:szCs w:val="20"/>
                <w:color w:val="auto"/>
              </w:rPr>
            </w:pPr>
            <w:r>
              <w:rPr>
                <w:rFonts w:ascii="Arial" w:cs="Arial" w:eastAsia="Arial" w:hAnsi="Arial"/>
                <w:sz w:val="18"/>
                <w:szCs w:val="18"/>
                <w:color w:val="auto"/>
              </w:rPr>
              <w:t>PNC 18115486</w:t>
            </w: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SOUTHERN CALIFORNIA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15,000.00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8/8/2011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PNC 18115509</w:t>
            </w:r>
          </w:p>
        </w:tc>
        <w:tc>
          <w:tcPr>
            <w:tcW w:w="4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CITY OF BURBANK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3,500,000.00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8/8/2011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3"/>
          </w:tcPr>
          <w:p>
            <w:pPr>
              <w:ind w:left="720"/>
              <w:spacing w:after="0"/>
              <w:rPr>
                <w:sz w:val="20"/>
                <w:szCs w:val="20"/>
                <w:color w:val="auto"/>
              </w:rPr>
            </w:pPr>
            <w:r>
              <w:rPr>
                <w:rFonts w:ascii="Arial" w:cs="Arial" w:eastAsia="Arial" w:hAnsi="Arial"/>
                <w:sz w:val="18"/>
                <w:szCs w:val="18"/>
                <w:color w:val="auto"/>
              </w:rPr>
              <w:t>PNC 18117826</w:t>
            </w: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ARIZONA PUBLIC SERVICE CO</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2,159,429.00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8/8/2012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8/31/2016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PNC 18120263</w:t>
            </w:r>
          </w:p>
        </w:tc>
        <w:tc>
          <w:tcPr>
            <w:tcW w:w="4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CITY OF NEW YORK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270,000.00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11/27/2013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11/27/2015</w:t>
            </w:r>
          </w:p>
        </w:tc>
        <w:tc>
          <w:tcPr>
            <w:tcW w:w="0" w:type="dxa"/>
            <w:vAlign w:val="bottom"/>
          </w:tcPr>
          <w:p>
            <w:pPr>
              <w:spacing w:after="0"/>
              <w:rPr>
                <w:sz w:val="1"/>
                <w:szCs w:val="1"/>
                <w:color w:val="auto"/>
              </w:rPr>
            </w:pPr>
          </w:p>
        </w:tc>
      </w:tr>
      <w:tr>
        <w:trPr>
          <w:trHeight w:val="223"/>
        </w:trPr>
        <w:tc>
          <w:tcPr>
            <w:tcW w:w="1440" w:type="dxa"/>
            <w:vAlign w:val="bottom"/>
            <w:gridSpan w:val="2"/>
          </w:tcPr>
          <w:p>
            <w:pPr>
              <w:spacing w:after="0"/>
              <w:rPr>
                <w:sz w:val="20"/>
                <w:szCs w:val="20"/>
                <w:color w:val="auto"/>
              </w:rPr>
            </w:pPr>
            <w:r>
              <w:rPr>
                <w:rFonts w:ascii="Arial" w:cs="Arial" w:eastAsia="Arial" w:hAnsi="Arial"/>
                <w:sz w:val="18"/>
                <w:szCs w:val="18"/>
                <w:color w:val="auto"/>
              </w:rPr>
              <w:t>PNC Total</w:t>
            </w:r>
          </w:p>
        </w:tc>
        <w:tc>
          <w:tcPr>
            <w:tcW w:w="2220" w:type="dxa"/>
            <w:vAlign w:val="bottom"/>
            <w:gridSpan w:val="3"/>
          </w:tcPr>
          <w:p>
            <w:pPr>
              <w:ind w:left="720"/>
              <w:spacing w:after="0"/>
              <w:rPr>
                <w:sz w:val="20"/>
                <w:szCs w:val="20"/>
                <w:color w:val="auto"/>
              </w:rPr>
            </w:pPr>
            <w:r>
              <w:rPr>
                <w:rFonts w:ascii="Arial" w:cs="Arial" w:eastAsia="Arial" w:hAnsi="Arial"/>
                <w:sz w:val="18"/>
                <w:szCs w:val="18"/>
                <w:color w:val="auto"/>
              </w:rPr>
              <w:t>(14 LCs)</w:t>
            </w:r>
          </w:p>
        </w:tc>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147,009,499.00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w:t>
            </w:r>
          </w:p>
        </w:tc>
        <w:tc>
          <w:tcPr>
            <w:tcW w:w="22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WL IS0019225U</w:t>
            </w:r>
          </w:p>
        </w:tc>
        <w:tc>
          <w:tcPr>
            <w:tcW w:w="4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DEPARTMENT OF PUBLIC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10,000,000.00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1/4/2013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1/4/2016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3"/>
          </w:tcPr>
          <w:p>
            <w:pPr>
              <w:ind w:left="720"/>
              <w:spacing w:after="0"/>
              <w:rPr>
                <w:sz w:val="20"/>
                <w:szCs w:val="20"/>
                <w:color w:val="auto"/>
              </w:rPr>
            </w:pPr>
            <w:r>
              <w:rPr>
                <w:rFonts w:ascii="Arial" w:cs="Arial" w:eastAsia="Arial" w:hAnsi="Arial"/>
                <w:sz w:val="18"/>
                <w:szCs w:val="18"/>
                <w:color w:val="auto"/>
              </w:rPr>
              <w:t>WL IS0283857U</w:t>
            </w: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ACE INSURANCE CO</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w w:val="89"/>
              </w:rPr>
              <w:t>100,000,000.00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5/21/2015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6/1/2016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7"/>
              </w:rPr>
              <w:t>WL LC870-112455</w:t>
            </w:r>
          </w:p>
        </w:tc>
        <w:tc>
          <w:tcPr>
            <w:tcW w:w="4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BANK OF NEW YORK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15,260,000.00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3"/>
          </w:tcPr>
          <w:p>
            <w:pPr>
              <w:ind w:left="720"/>
              <w:spacing w:after="0"/>
              <w:rPr>
                <w:sz w:val="20"/>
                <w:szCs w:val="20"/>
                <w:color w:val="auto"/>
              </w:rPr>
            </w:pPr>
            <w:r>
              <w:rPr>
                <w:rFonts w:ascii="Arial" w:cs="Arial" w:eastAsia="Arial" w:hAnsi="Arial"/>
                <w:sz w:val="18"/>
                <w:szCs w:val="18"/>
                <w:color w:val="auto"/>
              </w:rPr>
              <w:t>WL LC870123639</w:t>
            </w: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BANK OF NEW YORK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10,173,334.00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10/1/2010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WL SM204054W</w:t>
            </w:r>
          </w:p>
        </w:tc>
        <w:tc>
          <w:tcPr>
            <w:tcW w:w="4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BANK OF NEW YORK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15,177,534.25</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3"/>
          </w:tcPr>
          <w:p>
            <w:pPr>
              <w:ind w:left="720"/>
              <w:spacing w:after="0"/>
              <w:rPr>
                <w:sz w:val="20"/>
                <w:szCs w:val="20"/>
                <w:color w:val="auto"/>
              </w:rPr>
            </w:pPr>
            <w:r>
              <w:rPr>
                <w:rFonts w:ascii="Arial" w:cs="Arial" w:eastAsia="Arial" w:hAnsi="Arial"/>
                <w:sz w:val="18"/>
                <w:szCs w:val="18"/>
                <w:color w:val="auto"/>
              </w:rPr>
              <w:t>WL SM204597W</w:t>
            </w: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DEUTSCHE BANK TRUST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10,121,643.84</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8/25/2015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WL SM204784W</w:t>
            </w:r>
          </w:p>
        </w:tc>
        <w:tc>
          <w:tcPr>
            <w:tcW w:w="4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DEUTSCHE BANK TRUST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30,355,068.49</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9/9/2015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3"/>
          </w:tcPr>
          <w:p>
            <w:pPr>
              <w:ind w:left="720"/>
              <w:spacing w:after="0"/>
              <w:rPr>
                <w:sz w:val="20"/>
                <w:szCs w:val="20"/>
                <w:color w:val="auto"/>
              </w:rPr>
            </w:pPr>
            <w:r>
              <w:rPr>
                <w:rFonts w:ascii="Arial" w:cs="Arial" w:eastAsia="Arial" w:hAnsi="Arial"/>
                <w:sz w:val="18"/>
                <w:szCs w:val="18"/>
                <w:color w:val="auto"/>
              </w:rPr>
              <w:t>WL SM205509W</w:t>
            </w: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DEUTSCHE BANK TRUST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4,224,414.00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10/31/2015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WL SM205510W</w:t>
            </w:r>
          </w:p>
        </w:tc>
        <w:tc>
          <w:tcPr>
            <w:tcW w:w="4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DEUTSCHE BANK TRUST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4,401,485.00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10/31/2015</w:t>
            </w:r>
          </w:p>
        </w:tc>
        <w:tc>
          <w:tcPr>
            <w:tcW w:w="0" w:type="dxa"/>
            <w:vAlign w:val="bottom"/>
          </w:tcPr>
          <w:p>
            <w:pPr>
              <w:spacing w:after="0"/>
              <w:rPr>
                <w:sz w:val="1"/>
                <w:szCs w:val="1"/>
                <w:color w:val="auto"/>
              </w:rPr>
            </w:pPr>
          </w:p>
        </w:tc>
      </w:tr>
      <w:tr>
        <w:trPr>
          <w:trHeight w:val="223"/>
        </w:trPr>
        <w:tc>
          <w:tcPr>
            <w:tcW w:w="1440" w:type="dxa"/>
            <w:vAlign w:val="bottom"/>
            <w:gridSpan w:val="2"/>
          </w:tcPr>
          <w:p>
            <w:pPr>
              <w:spacing w:after="0"/>
              <w:rPr>
                <w:sz w:val="20"/>
                <w:szCs w:val="20"/>
                <w:color w:val="auto"/>
              </w:rPr>
            </w:pPr>
            <w:r>
              <w:rPr>
                <w:rFonts w:ascii="Arial" w:cs="Arial" w:eastAsia="Arial" w:hAnsi="Arial"/>
                <w:sz w:val="18"/>
                <w:szCs w:val="18"/>
                <w:color w:val="auto"/>
              </w:rPr>
              <w:t>Wells Fargo Total</w:t>
            </w:r>
          </w:p>
        </w:tc>
        <w:tc>
          <w:tcPr>
            <w:tcW w:w="2220" w:type="dxa"/>
            <w:vAlign w:val="bottom"/>
            <w:gridSpan w:val="3"/>
          </w:tcPr>
          <w:p>
            <w:pPr>
              <w:ind w:left="720"/>
              <w:spacing w:after="0"/>
              <w:rPr>
                <w:sz w:val="20"/>
                <w:szCs w:val="20"/>
                <w:color w:val="auto"/>
              </w:rPr>
            </w:pPr>
            <w:r>
              <w:rPr>
                <w:rFonts w:ascii="Arial" w:cs="Arial" w:eastAsia="Arial" w:hAnsi="Arial"/>
                <w:sz w:val="18"/>
                <w:szCs w:val="18"/>
                <w:color w:val="auto"/>
              </w:rPr>
              <w:t>(9 LCs)</w:t>
            </w:r>
          </w:p>
        </w:tc>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199,713,479.58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Grand Total</w:t>
            </w:r>
          </w:p>
        </w:tc>
        <w:tc>
          <w:tcPr>
            <w:tcW w:w="22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(137 LCs)</w:t>
            </w: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9"/>
              </w:rPr>
              <w:t>832,771,992.10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53"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LITIGATION</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See the disclosure provided in (1) the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sections of Note 7, Commitments and Contingencies, to Borrower’s condensed consolidated financial statements included within its Quarterly Report on Form 10-Q for the fiscal quarter ended March 31, 2014 and (2) the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and “</w:t>
      </w:r>
      <w:r>
        <w:rPr>
          <w:rFonts w:ascii="Arial" w:cs="Arial" w:eastAsia="Arial" w:hAnsi="Arial"/>
          <w:sz w:val="18"/>
          <w:szCs w:val="18"/>
          <w:i w:val="1"/>
          <w:iCs w:val="1"/>
          <w:color w:val="auto"/>
        </w:rPr>
        <w:t>Environmental Matters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of Note 11, Commitments and Contingencies, to Borrower’s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within its Annual Report on Form 10-K for the fiscal year ended December 31, 2014.</w:t>
      </w:r>
    </w:p>
    <w:p>
      <w:pPr>
        <w:sectPr>
          <w:pgSz w:w="11900" w:h="16838" w:orient="portrait"/>
          <w:cols w:equalWidth="0" w:num="1">
            <w:col w:w="11420"/>
          </w:cols>
          <w:pgMar w:left="240" w:top="27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ENVIRONMENTAL COMPLIANCE</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See the disclosure provided in (1) Note 2, Landfill and Environmental Remediation Liabilities and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7, Commitments and Contingencies, to Borrower’s condensed consolidated financial statements included within its Quarterly Report on Form 10-Q for the fiscal quarter ended March 31, 2015 and (2) Note 4, Landfill and Environmental Remediation Liabilities, and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sections of Note 11, Commitments and Contingencies, to Borrower’s consolidated financial statements included within its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fiscal year ended December 31, 2014.</w:t>
      </w:r>
    </w:p>
    <w:p>
      <w:pPr>
        <w:sectPr>
          <w:pgSz w:w="11900" w:h="16838" w:orient="portrait"/>
          <w:cols w:equalWidth="0" w:num="1">
            <w:col w:w="11420"/>
          </w:cols>
          <w:pgMar w:left="240" w:top="27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8.1(a)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INDEBTEDNESS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6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0"/>
        </w:trPr>
        <w:tc>
          <w:tcPr>
            <w:tcW w:w="6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Waste Management Holdings Senior Notes:</w:t>
            </w:r>
          </w:p>
        </w:tc>
        <w:tc>
          <w:tcPr>
            <w:tcW w:w="25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$450,000,000 due 8/01/26</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304,378,000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8/1/2026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WM Holdings Senior Notes</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304,378,000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Tax Exempt Revenue Bonds:</w:t>
            </w:r>
          </w:p>
        </w:tc>
        <w:tc>
          <w:tcPr>
            <w:tcW w:w="2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Amelia, Virginia due 4/1/27</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26,800,000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4/1/2027</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Arkansas due 6/01/28</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15,000,000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6/1/2028</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Brazoria County</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5/1/2028</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Bucks County due 12/01/22</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25,000,000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12/1/2022</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CPCFA</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35,700,000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11/1/2038</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California CPCFA 2005A</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50,000,000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4/1/2025</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CPCFA 2005B</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4/1/2025</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California CPCFA 2005C</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75,000,000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11/1/2023</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CPCFA due 1/1/22</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48,500,000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1/1/2022</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California CPCFA due 12/01/27</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15,000,000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12/1/2027</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CPCFA due 7/01/31</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7/1/2031</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California CPCFA due 7/1/27</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38,435,000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7/1/2027</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Municipal Finance Authority - 2008 Issuance</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33,900,000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2/1/2019</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California Municipal Finance Authority - 2009A</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30,000,000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2/1/2039</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City (Virginia due 2/1/29)</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2/1/2029</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Charles City (Virginia)</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10,000,000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8/1/2027</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City (Virginia) due 4/1/27</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4/1/2027</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City of Granite City Illinois due 5/1/27</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30,320,000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5/1/2027</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of Minor Lane Heights due 3/1/21</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3/1/2021</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City of Mobile</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4,175,000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10/1/2038</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Cobb County Series 2004A</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4/1/2033</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Cobb County Series 2004B</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10,000,000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4/1/2033</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 due 7/1/27</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14,160,000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7/1/2027</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Colorado due 8/1/38</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10,000,000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8/1/2038</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 Series 2004</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10,840,000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7/1/2018</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Countryside (Lake County) due 4/1/21</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5,670,000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4/1/2021</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Countryside (Lake County) due 9/1/21</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4,320,000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9/1/2021</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County of Logan due 3/1/21</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7,450,000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3/1/2021</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Denton County (TX 2003B)</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5/1/2028</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Gilliam County</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15,000,000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7/1/2038</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Gilliam County (2007)</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10/1/2018</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Gilliam County due 07/01/29</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25,000,000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7/1/2029</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Gilliam County due 08/01/25</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15,900,000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8/1/2025</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Gloucester (VA 2003A)</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10,000,000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9/1/2038</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Gulf Coast Series 2004A</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4/1/2019</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Hampton due 9/1/28</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10,000,000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9/1/2028</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Harrison County (West Virginia due 4/1/24)</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8,420,000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4/1/2024</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Illinois due 10/1/2023</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20,000,000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10/1/2023</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 due 8/1/2029</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8/1/2029</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Illinois due 9/1/27</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30,000,000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9/1/2027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2" w:name="page153"/>
    <w:bookmarkEnd w:id="1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98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Maturity</w:t>
            </w:r>
          </w:p>
        </w:tc>
      </w:tr>
      <w:tr>
        <w:trPr>
          <w:trHeight w:val="203"/>
        </w:trPr>
        <w:tc>
          <w:tcPr>
            <w:tcW w:w="9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Indiana due 10/01/25</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14,000,000</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10/1/2025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Indiana due 10/01/25</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10/1/2025</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 due 10/01/31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10/1/2031</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King George due 6/1/23</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6/1/2023</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King George due 9/1/21 (Garnet)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19,890,000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9/1/2021</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Maine</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13,500,000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11/1/2015</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Maine</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2/1/2016</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Maricopa (Arizona) due 12/01/31</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15,580,000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12/1/2031</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 due 4/1/16</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4/1/2016</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Massachusetts due 5/1/27</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5/1/2027</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Miami Dade County Series 2004A</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12/1/2018</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Miami Dade County Series 2004B</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11,500,000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12/1/2018</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Miami Dade County Series 2006</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10/1/2018</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Miami Dade County Series 2007</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9/1/2027</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Miami Dade County Series 2008</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8/1/2023</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Miami Dade County Series 2011</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11/1/2041</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 due 8/1/2027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8/1/2027</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Mission, TX Series 2006</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41,750,000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12/1/2018</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 due 3/1/27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3/1/2027</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Mississippi due 3/1/29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3/1/2029</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 due 7/1/2017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7/1/2017</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Mississippi due 7/1/28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7/1/2028</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Nashville (Tennessee) due 8/01/31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8/1/2031</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Nebraska</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11/1/2033</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City due 12/1/17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12/1/2017</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New York City due 5/1/19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5/1/2019</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Series 2004A</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7/1/2017</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New York Series 2012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5/1/2030</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Sumter, 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10/1/2038</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Ohio WDA due 11/1/22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45,865,000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11/1/2022</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 WDA due 7/1/21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7/1/2021</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Okeechobee due 8/1/24</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8/1/2024</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Okeechobee Series 2004A</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15,970,000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7/1/2039</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Oklahoma</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12/1/2021</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11/1/2021</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11/1/2021</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11/1/2021</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10/1/2027</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7/1/2041</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Pennsylvania Series 2009</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100,000,000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12/1/2033</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 Series 2013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8/1/2045</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Rhode Island Series 2004A</w:t>
            </w:r>
          </w:p>
        </w:tc>
        <w:tc>
          <w:tcPr>
            <w:tcW w:w="960" w:type="dxa"/>
            <w:vAlign w:val="bottom"/>
          </w:tcPr>
          <w:p>
            <w:pPr>
              <w:jc w:val="right"/>
              <w:spacing w:after="0"/>
              <w:rPr>
                <w:sz w:val="20"/>
                <w:szCs w:val="20"/>
                <w:color w:val="auto"/>
              </w:rPr>
            </w:pPr>
            <w:r>
              <w:rPr>
                <w:rFonts w:ascii="Arial" w:cs="Arial" w:eastAsia="Arial" w:hAnsi="Arial"/>
                <w:sz w:val="18"/>
                <w:szCs w:val="18"/>
                <w:color w:val="auto"/>
              </w:rPr>
              <w:t>8,000,000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4/1/2016</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Savannah Series 2004A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7/1/2016</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Schuylkill/Pine Grove due 10/1/19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11,700,000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10/1/2019</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11/1/2016</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South Carolina Series 2003A</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7/1/2024</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of New Hampshire</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8/1/2024</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State of New Hampshire due 5/1/27</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5/1/2027</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Sussex Co. Virginia</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9/1/2027</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Sussex County</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6/1/2028</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 Illinois due 10/1/2027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10/1/2027</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Tennessee - 2003</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7/1/2033</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 - 2012</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7/2/2035</w:t>
            </w:r>
          </w:p>
        </w:tc>
      </w:tr>
    </w:tbl>
    <w:p>
      <w:pPr>
        <w:sectPr>
          <w:pgSz w:w="11900" w:h="16838" w:orient="portrait"/>
          <w:cols w:equalWidth="0" w:num="1">
            <w:col w:w="11420"/>
          </w:cols>
          <w:pgMar w:left="240" w:top="265" w:right="239" w:bottom="1440" w:gutter="0" w:footer="0" w:header="0"/>
        </w:sectPr>
      </w:pPr>
    </w:p>
    <w:bookmarkStart w:id="153" w:name="page154"/>
    <w:bookmarkEnd w:id="1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7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03"/>
        </w:trPr>
        <w:tc>
          <w:tcPr>
            <w:tcW w:w="90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Texas due 8/1/20 (Mission EDC)</w:t>
            </w: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67,000,000</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8/1/2020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Travis County (Texas 2003C)</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12,000,000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5/1/2028</w:t>
            </w:r>
          </w:p>
        </w:tc>
        <w:tc>
          <w:tcPr>
            <w:tcW w:w="0" w:type="dxa"/>
            <w:vAlign w:val="bottom"/>
          </w:tcPr>
          <w:p>
            <w:pPr>
              <w:spacing w:after="0"/>
              <w:rPr>
                <w:sz w:val="1"/>
                <w:szCs w:val="1"/>
                <w:color w:val="auto"/>
              </w:rPr>
            </w:pPr>
          </w:p>
        </w:tc>
      </w:tr>
      <w:tr>
        <w:trPr>
          <w:trHeight w:val="216"/>
        </w:trPr>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Washington due 10/1/25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13,650,000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10/1/2025</w:t>
            </w:r>
          </w:p>
        </w:tc>
        <w:tc>
          <w:tcPr>
            <w:tcW w:w="0" w:type="dxa"/>
            <w:vAlign w:val="bottom"/>
          </w:tcPr>
          <w:p>
            <w:pPr>
              <w:spacing w:after="0"/>
              <w:rPr>
                <w:sz w:val="1"/>
                <w:szCs w:val="1"/>
                <w:color w:val="auto"/>
              </w:rPr>
            </w:pP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Washington due 10/1/25</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13,650,000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10/1/2025</w:t>
            </w:r>
          </w:p>
        </w:tc>
        <w:tc>
          <w:tcPr>
            <w:tcW w:w="0" w:type="dxa"/>
            <w:vAlign w:val="bottom"/>
          </w:tcPr>
          <w:p>
            <w:pPr>
              <w:spacing w:after="0"/>
              <w:rPr>
                <w:sz w:val="1"/>
                <w:szCs w:val="1"/>
                <w:color w:val="auto"/>
              </w:rPr>
            </w:pPr>
          </w:p>
        </w:tc>
      </w:tr>
      <w:tr>
        <w:trPr>
          <w:trHeight w:val="216"/>
        </w:trPr>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Washington due 10/1/27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10/1/2027</w:t>
            </w:r>
          </w:p>
        </w:tc>
        <w:tc>
          <w:tcPr>
            <w:tcW w:w="0" w:type="dxa"/>
            <w:vAlign w:val="bottom"/>
          </w:tcPr>
          <w:p>
            <w:pPr>
              <w:spacing w:after="0"/>
              <w:rPr>
                <w:sz w:val="1"/>
                <w:szCs w:val="1"/>
                <w:color w:val="auto"/>
              </w:rPr>
            </w:pP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Washington due 11/1/2017</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27,000,000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11/1/2017</w:t>
            </w:r>
          </w:p>
        </w:tc>
        <w:tc>
          <w:tcPr>
            <w:tcW w:w="0" w:type="dxa"/>
            <w:vAlign w:val="bottom"/>
          </w:tcPr>
          <w:p>
            <w:pPr>
              <w:spacing w:after="0"/>
              <w:rPr>
                <w:sz w:val="1"/>
                <w:szCs w:val="1"/>
                <w:color w:val="auto"/>
              </w:rPr>
            </w:pPr>
          </w:p>
        </w:tc>
      </w:tr>
      <w:tr>
        <w:trPr>
          <w:trHeight w:val="216"/>
        </w:trPr>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Washington due 12/1/25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7,235,000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12/1/2025</w:t>
            </w:r>
          </w:p>
        </w:tc>
        <w:tc>
          <w:tcPr>
            <w:tcW w:w="0" w:type="dxa"/>
            <w:vAlign w:val="bottom"/>
          </w:tcPr>
          <w:p>
            <w:pPr>
              <w:spacing w:after="0"/>
              <w:rPr>
                <w:sz w:val="1"/>
                <w:szCs w:val="1"/>
                <w:color w:val="auto"/>
              </w:rPr>
            </w:pP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Washington due 2/1/26</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22,000,000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2/1/2026</w:t>
            </w:r>
          </w:p>
        </w:tc>
        <w:tc>
          <w:tcPr>
            <w:tcW w:w="0" w:type="dxa"/>
            <w:vAlign w:val="bottom"/>
          </w:tcPr>
          <w:p>
            <w:pPr>
              <w:spacing w:after="0"/>
              <w:rPr>
                <w:sz w:val="1"/>
                <w:szCs w:val="1"/>
                <w:color w:val="auto"/>
              </w:rPr>
            </w:pPr>
          </w:p>
        </w:tc>
      </w:tr>
      <w:tr>
        <w:trPr>
          <w:trHeight w:val="216"/>
        </w:trPr>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Washington due 6/1/20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6/1/2020</w:t>
            </w:r>
          </w:p>
        </w:tc>
        <w:tc>
          <w:tcPr>
            <w:tcW w:w="0" w:type="dxa"/>
            <w:vAlign w:val="bottom"/>
          </w:tcPr>
          <w:p>
            <w:pPr>
              <w:spacing w:after="0"/>
              <w:rPr>
                <w:sz w:val="1"/>
                <w:szCs w:val="1"/>
                <w:color w:val="auto"/>
              </w:rPr>
            </w:pP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Washington due 7/1/30</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20,000,000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7/1/2030</w:t>
            </w:r>
          </w:p>
        </w:tc>
        <w:tc>
          <w:tcPr>
            <w:tcW w:w="0" w:type="dxa"/>
            <w:vAlign w:val="bottom"/>
          </w:tcPr>
          <w:p>
            <w:pPr>
              <w:spacing w:after="0"/>
              <w:rPr>
                <w:sz w:val="1"/>
                <w:szCs w:val="1"/>
                <w:color w:val="auto"/>
              </w:rPr>
            </w:pPr>
          </w:p>
        </w:tc>
      </w:tr>
      <w:tr>
        <w:trPr>
          <w:trHeight w:val="216"/>
        </w:trPr>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Wisconsin Series 2003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4/1/2016</w:t>
            </w:r>
          </w:p>
        </w:tc>
        <w:tc>
          <w:tcPr>
            <w:tcW w:w="0" w:type="dxa"/>
            <w:vAlign w:val="bottom"/>
          </w:tcPr>
          <w:p>
            <w:pPr>
              <w:spacing w:after="0"/>
              <w:rPr>
                <w:sz w:val="1"/>
                <w:szCs w:val="1"/>
                <w:color w:val="auto"/>
              </w:rPr>
            </w:pP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Wisconsin Series 2006A</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30,000,000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11/1/2016</w:t>
            </w:r>
          </w:p>
        </w:tc>
        <w:tc>
          <w:tcPr>
            <w:tcW w:w="0" w:type="dxa"/>
            <w:vAlign w:val="bottom"/>
          </w:tcPr>
          <w:p>
            <w:pPr>
              <w:spacing w:after="0"/>
              <w:rPr>
                <w:sz w:val="1"/>
                <w:szCs w:val="1"/>
                <w:color w:val="auto"/>
              </w:rPr>
            </w:pPr>
          </w:p>
        </w:tc>
      </w:tr>
      <w:tr>
        <w:trPr>
          <w:trHeight w:val="216"/>
        </w:trPr>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Wood County due 4/1/24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6,580,000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4/1/2024</w:t>
            </w:r>
          </w:p>
        </w:tc>
        <w:tc>
          <w:tcPr>
            <w:tcW w:w="0" w:type="dxa"/>
            <w:vAlign w:val="bottom"/>
          </w:tcPr>
          <w:p>
            <w:pPr>
              <w:spacing w:after="0"/>
              <w:rPr>
                <w:sz w:val="1"/>
                <w:szCs w:val="1"/>
                <w:color w:val="auto"/>
              </w:rPr>
            </w:pP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Yavapai (Arizona) due 3/1/28</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17,420,000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3/1/2028</w:t>
            </w:r>
          </w:p>
        </w:tc>
        <w:tc>
          <w:tcPr>
            <w:tcW w:w="0" w:type="dxa"/>
            <w:vAlign w:val="bottom"/>
          </w:tcPr>
          <w:p>
            <w:pPr>
              <w:spacing w:after="0"/>
              <w:rPr>
                <w:sz w:val="1"/>
                <w:szCs w:val="1"/>
                <w:color w:val="auto"/>
              </w:rPr>
            </w:pPr>
          </w:p>
        </w:tc>
      </w:tr>
      <w:tr>
        <w:trPr>
          <w:trHeight w:val="216"/>
        </w:trPr>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Yavapai (Arizona) due 3/1/28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3/1/2028</w:t>
            </w:r>
          </w:p>
        </w:tc>
        <w:tc>
          <w:tcPr>
            <w:tcW w:w="0" w:type="dxa"/>
            <w:vAlign w:val="bottom"/>
          </w:tcPr>
          <w:p>
            <w:pPr>
              <w:spacing w:after="0"/>
              <w:rPr>
                <w:sz w:val="1"/>
                <w:szCs w:val="1"/>
                <w:color w:val="auto"/>
              </w:rPr>
            </w:pPr>
          </w:p>
        </w:tc>
      </w:tr>
      <w:tr>
        <w:trPr>
          <w:trHeight w:val="223"/>
        </w:trPr>
        <w:tc>
          <w:tcPr>
            <w:tcW w:w="9080" w:type="dxa"/>
            <w:vAlign w:val="bottom"/>
            <w:gridSpan w:val="3"/>
          </w:tcPr>
          <w:p>
            <w:pPr>
              <w:spacing w:after="0"/>
              <w:rPr>
                <w:sz w:val="20"/>
                <w:szCs w:val="20"/>
                <w:color w:val="auto"/>
              </w:rPr>
            </w:pPr>
            <w:r>
              <w:rPr>
                <w:rFonts w:ascii="Arial" w:cs="Arial" w:eastAsia="Arial" w:hAnsi="Arial"/>
                <w:sz w:val="18"/>
                <w:szCs w:val="18"/>
                <w:color w:val="auto"/>
              </w:rPr>
              <w:t>Yavapai (Arizona) due 6/1/27</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30,000,000</w:t>
            </w:r>
          </w:p>
        </w:tc>
        <w:tc>
          <w:tcPr>
            <w:tcW w:w="2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6/1/2027</w:t>
            </w:r>
          </w:p>
        </w:tc>
        <w:tc>
          <w:tcPr>
            <w:tcW w:w="0" w:type="dxa"/>
            <w:vAlign w:val="bottom"/>
          </w:tcPr>
          <w:p>
            <w:pPr>
              <w:spacing w:after="0"/>
              <w:rPr>
                <w:sz w:val="1"/>
                <w:szCs w:val="1"/>
                <w:color w:val="auto"/>
              </w:rPr>
            </w:pPr>
          </w:p>
        </w:tc>
      </w:tr>
      <w:tr>
        <w:trPr>
          <w:trHeight w:val="216"/>
        </w:trPr>
        <w:tc>
          <w:tcPr>
            <w:tcW w:w="908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Tax Exempt Revenue Bonds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2,400,130,000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Canada credit facility and term loan: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11/7/2017</w:t>
            </w:r>
          </w:p>
        </w:tc>
        <w:tc>
          <w:tcPr>
            <w:tcW w:w="0" w:type="dxa"/>
            <w:vAlign w:val="bottom"/>
          </w:tcPr>
          <w:p>
            <w:pPr>
              <w:spacing w:after="0"/>
              <w:rPr>
                <w:sz w:val="1"/>
                <w:szCs w:val="1"/>
                <w:color w:val="auto"/>
              </w:rPr>
            </w:pPr>
          </w:p>
        </w:tc>
      </w:tr>
      <w:tr>
        <w:trPr>
          <w:trHeight w:val="223"/>
        </w:trPr>
        <w:tc>
          <w:tcPr>
            <w:tcW w:w="9080" w:type="dxa"/>
            <w:vAlign w:val="bottom"/>
            <w:gridSpan w:val="3"/>
          </w:tcPr>
          <w:p>
            <w:pPr>
              <w:spacing w:after="0"/>
              <w:rPr>
                <w:sz w:val="20"/>
                <w:szCs w:val="20"/>
                <w:color w:val="auto"/>
              </w:rPr>
            </w:pPr>
            <w:r>
              <w:rPr>
                <w:rFonts w:ascii="Arial" w:cs="Arial" w:eastAsia="Arial" w:hAnsi="Arial"/>
                <w:sz w:val="18"/>
                <w:szCs w:val="18"/>
                <w:color w:val="auto"/>
              </w:rPr>
              <w:t>Canada term loan (a)</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162,206,000</w:t>
            </w:r>
          </w:p>
        </w:tc>
        <w:tc>
          <w:tcPr>
            <w:tcW w:w="2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11/7/2017</w:t>
            </w:r>
          </w:p>
        </w:tc>
        <w:tc>
          <w:tcPr>
            <w:tcW w:w="0" w:type="dxa"/>
            <w:vAlign w:val="bottom"/>
          </w:tcPr>
          <w:p>
            <w:pPr>
              <w:spacing w:after="0"/>
              <w:rPr>
                <w:sz w:val="1"/>
                <w:szCs w:val="1"/>
                <w:color w:val="auto"/>
              </w:rPr>
            </w:pPr>
          </w:p>
        </w:tc>
      </w:tr>
      <w:tr>
        <w:trPr>
          <w:trHeight w:val="216"/>
        </w:trPr>
        <w:tc>
          <w:tcPr>
            <w:tcW w:w="908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Canada Credit Facility and Term Loan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162,206,000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Low Income Housing Tax Credit Investment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92,007,085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80" w:type="dxa"/>
            <w:vAlign w:val="bottom"/>
            <w:gridSpan w:val="3"/>
          </w:tcPr>
          <w:p>
            <w:pPr>
              <w:spacing w:after="0"/>
              <w:rPr>
                <w:sz w:val="20"/>
                <w:szCs w:val="20"/>
                <w:color w:val="auto"/>
              </w:rPr>
            </w:pPr>
            <w:r>
              <w:rPr>
                <w:rFonts w:ascii="Arial" w:cs="Arial" w:eastAsia="Arial" w:hAnsi="Arial"/>
                <w:sz w:val="18"/>
                <w:szCs w:val="18"/>
                <w:color w:val="auto"/>
              </w:rPr>
              <w:t>King George Landfill Royalty Agreement</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48,354,450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140,361,535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80" w:type="dxa"/>
            <w:vAlign w:val="bottom"/>
            <w:gridSpan w:val="3"/>
          </w:tcPr>
          <w:p>
            <w:pPr>
              <w:spacing w:after="0"/>
              <w:rPr>
                <w:sz w:val="20"/>
                <w:szCs w:val="20"/>
                <w:color w:val="auto"/>
              </w:rPr>
            </w:pPr>
            <w:r>
              <w:rPr>
                <w:rFonts w:ascii="Arial" w:cs="Arial" w:eastAsia="Arial" w:hAnsi="Arial"/>
                <w:sz w:val="18"/>
                <w:szCs w:val="18"/>
                <w:b w:val="1"/>
                <w:bCs w:val="1"/>
                <w:color w:val="auto"/>
              </w:rPr>
              <w:t>Total Existing Indebtedness (b)</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3,007,075,535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Canadian dollar principal amount of $202,000,000 using conversion rate of 0.8030 at June 30, 2015.</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Excludes indebtedness incurred and scheduled payments made subsequent to June 30, 2015.</w:t>
      </w:r>
    </w:p>
    <w:p>
      <w:pPr>
        <w:sectPr>
          <w:pgSz w:w="11900" w:h="16838" w:orient="portrait"/>
          <w:cols w:equalWidth="0" w:num="1">
            <w:col w:w="11420"/>
          </w:cols>
          <w:pgMar w:left="240" w:top="26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22</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ADMINISTRATIVE AGENT’S OFFICE;</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u w:val="single" w:color="auto"/>
          <w:color w:val="auto"/>
        </w:rPr>
        <w:t>CERTAIN ADDRESSES FOR NOTICES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 (for payments and Requests for Credit Extensions):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TX1-492-14-05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75202-3714</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Nora Taylor</w:t>
      </w:r>
    </w:p>
    <w:p>
      <w:pPr>
        <w:spacing w:after="0" w:line="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972-338-3778</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214-290-9673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nora.j.taylor@baml.com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Wiring Instructions:</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Account No.:</w:t>
      </w:r>
      <w:r>
        <w:rPr>
          <w:sz w:val="20"/>
          <w:szCs w:val="20"/>
          <w:color w:val="auto"/>
        </w:rPr>
        <w:tab/>
      </w:r>
      <w:r>
        <w:rPr>
          <w:rFonts w:ascii="Arial" w:cs="Arial" w:eastAsia="Arial" w:hAnsi="Arial"/>
          <w:sz w:val="16"/>
          <w:szCs w:val="16"/>
          <w:color w:val="auto"/>
        </w:rPr>
        <w:t>04535-883980</w:t>
      </w:r>
    </w:p>
    <w:p>
      <w:pPr>
        <w:spacing w:after="0" w:line="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Reference:</w:t>
      </w:r>
      <w:r>
        <w:rPr>
          <w:sz w:val="20"/>
          <w:szCs w:val="20"/>
          <w:color w:val="auto"/>
        </w:rPr>
        <w:tab/>
      </w:r>
      <w:r>
        <w:rPr>
          <w:rFonts w:ascii="Arial" w:cs="Arial" w:eastAsia="Arial" w:hAnsi="Arial"/>
          <w:sz w:val="16"/>
          <w:szCs w:val="16"/>
          <w:color w:val="auto"/>
        </w:rPr>
        <w:t>Waste Management Inc.</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ABA No.:</w:t>
      </w:r>
      <w:r>
        <w:rPr>
          <w:sz w:val="20"/>
          <w:szCs w:val="20"/>
          <w:color w:val="auto"/>
        </w:rPr>
        <w:tab/>
      </w:r>
      <w:r>
        <w:rPr>
          <w:rFonts w:ascii="Arial" w:cs="Arial" w:eastAsia="Arial" w:hAnsi="Arial"/>
          <w:sz w:val="16"/>
          <w:szCs w:val="16"/>
          <w:color w:val="auto"/>
        </w:rPr>
        <w:t>026-009-593</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 (Other Notices as Administrative Agent):</w:t>
      </w:r>
    </w:p>
    <w:p>
      <w:pPr>
        <w:spacing w:after="0" w:line="23" w:lineRule="exact"/>
        <w:rPr>
          <w:sz w:val="20"/>
          <w:szCs w:val="20"/>
          <w:color w:val="auto"/>
        </w:rPr>
      </w:pPr>
    </w:p>
    <w:p>
      <w:pPr>
        <w:ind w:left="460" w:right="9280" w:hanging="452"/>
        <w:spacing w:after="0" w:line="265" w:lineRule="auto"/>
        <w:tabs>
          <w:tab w:leader="none" w:pos="449"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Bank of America, N.A. Agency Management 900 W. Trade Street</w:t>
      </w:r>
    </w:p>
    <w:p>
      <w:pPr>
        <w:ind w:left="460" w:right="8500"/>
        <w:spacing w:after="0" w:line="250" w:lineRule="auto"/>
        <w:rPr>
          <w:rFonts w:ascii="Arial" w:cs="Arial" w:eastAsia="Arial" w:hAnsi="Arial"/>
          <w:sz w:val="17"/>
          <w:szCs w:val="17"/>
          <w:color w:val="auto"/>
        </w:rPr>
      </w:pPr>
      <w:r>
        <w:rPr>
          <w:rFonts w:ascii="Arial" w:cs="Arial" w:eastAsia="Arial" w:hAnsi="Arial"/>
          <w:sz w:val="18"/>
          <w:szCs w:val="18"/>
          <w:color w:val="auto"/>
        </w:rPr>
        <w:t>Mail Code: NC1-026-06-03 Charlotte, NC 28255 Attention: Darleen R. Parmelee Telephone: 980-388-5001 Telecopier: 704-409-0645</w:t>
      </w:r>
    </w:p>
    <w:p>
      <w:pPr>
        <w:spacing w:after="0" w:line="2"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Electronic Mail: darleen.r.parmelee@baml.com</w:t>
      </w:r>
    </w:p>
    <w:p>
      <w:pPr>
        <w:spacing w:after="0" w:line="237" w:lineRule="exact"/>
        <w:rPr>
          <w:rFonts w:ascii="Arial" w:cs="Arial" w:eastAsia="Arial" w:hAnsi="Arial"/>
          <w:sz w:val="17"/>
          <w:szCs w:val="17"/>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 copy to:</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Bank of America, N.A.</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100 Federal Street</w:t>
      </w:r>
    </w:p>
    <w:p>
      <w:pPr>
        <w:spacing w:after="0" w:line="9" w:lineRule="exact"/>
        <w:rPr>
          <w:rFonts w:ascii="Arial" w:cs="Arial" w:eastAsia="Arial" w:hAnsi="Arial"/>
          <w:sz w:val="18"/>
          <w:szCs w:val="18"/>
          <w:color w:val="auto"/>
        </w:rPr>
      </w:pPr>
    </w:p>
    <w:p>
      <w:pPr>
        <w:ind w:left="460" w:right="8900"/>
        <w:spacing w:after="0" w:line="250" w:lineRule="auto"/>
        <w:rPr>
          <w:rFonts w:ascii="Arial" w:cs="Arial" w:eastAsia="Arial" w:hAnsi="Arial"/>
          <w:sz w:val="18"/>
          <w:szCs w:val="18"/>
          <w:color w:val="auto"/>
        </w:rPr>
      </w:pPr>
      <w:r>
        <w:rPr>
          <w:rFonts w:ascii="Arial" w:cs="Arial" w:eastAsia="Arial" w:hAnsi="Arial"/>
          <w:sz w:val="18"/>
          <w:szCs w:val="18"/>
          <w:color w:val="auto"/>
        </w:rPr>
        <w:t>Mail Code: MA5-100-09-07 Boston, MA 02110</w:t>
      </w:r>
    </w:p>
    <w:p>
      <w:pPr>
        <w:ind w:left="460"/>
        <w:spacing w:after="0"/>
        <w:rPr>
          <w:rFonts w:ascii="Arial" w:cs="Arial" w:eastAsia="Arial" w:hAnsi="Arial"/>
          <w:sz w:val="18"/>
          <w:szCs w:val="18"/>
          <w:color w:val="auto"/>
        </w:rPr>
      </w:pPr>
      <w:r>
        <w:rPr>
          <w:rFonts w:ascii="Arial" w:cs="Arial" w:eastAsia="Arial" w:hAnsi="Arial"/>
          <w:sz w:val="18"/>
          <w:szCs w:val="18"/>
          <w:color w:val="auto"/>
        </w:rPr>
        <w:t>Attention:   Timothy M. Laurion</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Telephone:  617-434-9689</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Telecopier:  617-434-2160</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Electronic Mail: timothy.laurion@baml.com</w:t>
      </w:r>
    </w:p>
    <w:p>
      <w:pPr>
        <w:sectPr>
          <w:pgSz w:w="11900" w:h="16838" w:orient="portrait"/>
          <w:cols w:equalWidth="0" w:num="1">
            <w:col w:w="11420"/>
          </w:cols>
          <w:pgMar w:left="240" w:top="270"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L/C ISSUER</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PA6-580-02-30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Scranton, PA 18507</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800-755-8743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Electronic Mail: scranton_standby_LC@bankofamerica.com</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Wiring Instructions:</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Account No.:</w:t>
      </w:r>
      <w:r>
        <w:rPr>
          <w:sz w:val="20"/>
          <w:szCs w:val="20"/>
          <w:color w:val="auto"/>
        </w:rPr>
        <w:tab/>
      </w:r>
      <w:r>
        <w:rPr>
          <w:rFonts w:ascii="Arial" w:cs="Arial" w:eastAsia="Arial" w:hAnsi="Arial"/>
          <w:sz w:val="16"/>
          <w:szCs w:val="16"/>
          <w:color w:val="auto"/>
        </w:rPr>
        <w:t>04535-883980</w:t>
      </w:r>
    </w:p>
    <w:p>
      <w:pPr>
        <w:spacing w:after="0" w:line="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Reference:</w:t>
      </w:r>
      <w:r>
        <w:rPr>
          <w:sz w:val="20"/>
          <w:szCs w:val="20"/>
          <w:color w:val="auto"/>
        </w:rPr>
        <w:tab/>
      </w:r>
      <w:r>
        <w:rPr>
          <w:rFonts w:ascii="Arial" w:cs="Arial" w:eastAsia="Arial" w:hAnsi="Arial"/>
          <w:sz w:val="16"/>
          <w:szCs w:val="16"/>
          <w:color w:val="auto"/>
        </w:rPr>
        <w:t>Waste Management Inc. &amp; LC#</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ABA No.:</w:t>
      </w:r>
      <w:r>
        <w:rPr>
          <w:sz w:val="20"/>
          <w:szCs w:val="20"/>
          <w:color w:val="auto"/>
        </w:rPr>
        <w:tab/>
      </w:r>
      <w:r>
        <w:rPr>
          <w:rFonts w:ascii="Arial" w:cs="Arial" w:eastAsia="Arial" w:hAnsi="Arial"/>
          <w:sz w:val="16"/>
          <w:szCs w:val="16"/>
          <w:color w:val="auto"/>
        </w:rPr>
        <w:t>026-009-593</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1)"/>
      <w:numFmt w:val="lowerRoman"/>
      <w:start w:val="1"/>
    </w:lvl>
    <w:lvl w:ilvl="1">
      <w:lvlJc w:val="left"/>
      <w:lvlText w:val="-"/>
      <w:numFmt w:val="bullet"/>
      <w:start w:val="1"/>
    </w:lvl>
  </w:abstractNum>
  <w:abstractNum w:abstractNumId="2">
    <w:nsid w:val="579478FE"/>
    <w:multiLevelType w:val="hybridMultilevel"/>
    <w:lvl w:ilvl="0">
      <w:lvlJc w:val="left"/>
      <w:lvlText w:val="(%1)"/>
      <w:numFmt w:val="lowerRoman"/>
      <w:start w:val="2"/>
    </w:lvl>
    <w:lvl w:ilvl="1">
      <w:lvlJc w:val="left"/>
      <w:lvlText w:val="-"/>
      <w:numFmt w:val="bullet"/>
      <w:start w:val="1"/>
    </w:lvl>
  </w:abstractNum>
  <w:abstractNum w:abstractNumId="3">
    <w:nsid w:val="749ABB43"/>
    <w:multiLevelType w:val="hybridMultilevel"/>
    <w:lvl w:ilvl="0">
      <w:lvlJc w:val="left"/>
      <w:lvlText w:val="(%1)"/>
      <w:numFmt w:val="lowerLetter"/>
      <w:start w:val="3"/>
    </w:lvl>
  </w:abstractNum>
  <w:abstractNum w:abstractNumId="4">
    <w:nsid w:val="3DC240FB"/>
    <w:multiLevelType w:val="hybridMultilevel"/>
    <w:lvl w:ilvl="0">
      <w:lvlJc w:val="left"/>
      <w:lvlText w:val="(%1)"/>
      <w:numFmt w:val="lowerLetter"/>
      <w:start w:val="2"/>
    </w:lvl>
  </w:abstractNum>
  <w:abstractNum w:abstractNumId="5">
    <w:nsid w:val="1BA026FA"/>
    <w:multiLevelType w:val="hybridMultilevel"/>
    <w:lvl w:ilvl="0">
      <w:lvlJc w:val="left"/>
      <w:lvlText w:val="(%1)"/>
      <w:numFmt w:val="lowerLetter"/>
      <w:start w:val="1"/>
    </w:lvl>
  </w:abstractNum>
  <w:abstractNum w:abstractNumId="6">
    <w:nsid w:val="79A1DEAA"/>
    <w:multiLevelType w:val="hybridMultilevel"/>
    <w:lvl w:ilvl="0">
      <w:lvlJc w:val="left"/>
      <w:lvlText w:val="(%1)"/>
      <w:numFmt w:val="lowerLetter"/>
      <w:start w:val="2"/>
    </w:lvl>
    <w:lvl w:ilvl="1">
      <w:lvlJc w:val="left"/>
      <w:lvlText w:val="-"/>
      <w:numFmt w:val="bullet"/>
      <w:start w:val="1"/>
    </w:lvl>
  </w:abstractNum>
  <w:abstractNum w:abstractNumId="7">
    <w:nsid w:val="75C6C33A"/>
    <w:multiLevelType w:val="hybridMultilevel"/>
    <w:lvl w:ilvl="0">
      <w:lvlJc w:val="left"/>
      <w:lvlText w:val="(%1)"/>
      <w:numFmt w:val="lowerLetter"/>
      <w:start w:val="2"/>
    </w:lvl>
  </w:abstractNum>
  <w:abstractNum w:abstractNumId="8">
    <w:nsid w:val="12E685FB"/>
    <w:multiLevelType w:val="hybridMultilevel"/>
    <w:lvl w:ilvl="0">
      <w:lvlJc w:val="left"/>
      <w:lvlText w:val="(%1)"/>
      <w:numFmt w:val="lowerRoman"/>
      <w:start w:val="2"/>
    </w:lvl>
    <w:lvl w:ilvl="1">
      <w:lvlJc w:val="left"/>
      <w:lvlText w:val="-"/>
      <w:numFmt w:val="bullet"/>
      <w:start w:val="1"/>
    </w:lvl>
  </w:abstractNum>
  <w:abstractNum w:abstractNumId="9">
    <w:nsid w:val="70C6A529"/>
    <w:multiLevelType w:val="hybridMultilevel"/>
    <w:lvl w:ilvl="0">
      <w:lvlJc w:val="left"/>
      <w:lvlText w:val="(%1)"/>
      <w:numFmt w:val="lowerRoman"/>
      <w:start w:val="2"/>
    </w:lvl>
  </w:abstractNum>
  <w:abstractNum w:abstractNumId="10">
    <w:nsid w:val="520EEDD1"/>
    <w:multiLevelType w:val="hybridMultilevel"/>
    <w:lvl w:ilvl="0">
      <w:lvlJc w:val="left"/>
      <w:lvlText w:val="(%1)"/>
      <w:numFmt w:val="lowerLetter"/>
      <w:start w:val="1"/>
    </w:lvl>
    <w:lvl w:ilvl="1">
      <w:lvlJc w:val="left"/>
      <w:lvlText w:val="-"/>
      <w:numFmt w:val="bullet"/>
      <w:start w:val="1"/>
    </w:lvl>
  </w:abstractNum>
  <w:abstractNum w:abstractNumId="11">
    <w:nsid w:val="374A3FE6"/>
    <w:multiLevelType w:val="hybridMultilevel"/>
    <w:lvl w:ilvl="0">
      <w:lvlJc w:val="left"/>
      <w:lvlText w:val="(%1)"/>
      <w:numFmt w:val="lowerLetter"/>
      <w:start w:val="10"/>
    </w:lvl>
  </w:abstractNum>
  <w:abstractNum w:abstractNumId="12">
    <w:nsid w:val="4F4EF005"/>
    <w:multiLevelType w:val="hybridMultilevel"/>
    <w:lvl w:ilvl="0">
      <w:lvlJc w:val="left"/>
      <w:lvlText w:val="(%1)"/>
      <w:numFmt w:val="lowerRoman"/>
      <w:start w:val="2"/>
    </w:lvl>
  </w:abstractNum>
  <w:abstractNum w:abstractNumId="13">
    <w:nsid w:val="23F9C13C"/>
    <w:multiLevelType w:val="hybridMultilevel"/>
    <w:lvl w:ilvl="0">
      <w:lvlJc w:val="left"/>
      <w:lvlText w:val="(%1)"/>
      <w:numFmt w:val="lowerLetter"/>
      <w:start w:val="1"/>
    </w:lvl>
    <w:lvl w:ilvl="1">
      <w:lvlJc w:val="left"/>
      <w:lvlText w:val="-"/>
      <w:numFmt w:val="bullet"/>
      <w:start w:val="1"/>
    </w:lvl>
  </w:abstractNum>
  <w:abstractNum w:abstractNumId="14">
    <w:nsid w:val="649BB77C"/>
    <w:multiLevelType w:val="hybridMultilevel"/>
    <w:lvl w:ilvl="0">
      <w:lvlJc w:val="left"/>
      <w:lvlText w:val="(%1)"/>
      <w:numFmt w:val="lowerLetter"/>
      <w:start w:val="6"/>
    </w:lvl>
  </w:abstractNum>
  <w:abstractNum w:abstractNumId="15">
    <w:nsid w:val="275AC794"/>
    <w:multiLevelType w:val="hybridMultilevel"/>
    <w:lvl w:ilvl="0">
      <w:lvlJc w:val="left"/>
      <w:lvlText w:val="(%1)"/>
      <w:numFmt w:val="lowerLetter"/>
      <w:start w:val="1"/>
    </w:lvl>
  </w:abstractNum>
  <w:abstractNum w:abstractNumId="16">
    <w:nsid w:val="39386575"/>
    <w:multiLevelType w:val="hybridMultilevel"/>
    <w:lvl w:ilvl="0">
      <w:lvlJc w:val="left"/>
      <w:lvlText w:val="(%1)"/>
      <w:numFmt w:val="lowerLetter"/>
      <w:start w:val="1"/>
    </w:lvl>
  </w:abstractNum>
  <w:abstractNum w:abstractNumId="17">
    <w:nsid w:val="1CF10FD8"/>
    <w:multiLevelType w:val="hybridMultilevel"/>
    <w:lvl w:ilvl="0">
      <w:lvlJc w:val="left"/>
      <w:lvlText w:val="(%1)"/>
      <w:numFmt w:val="lowerLetter"/>
      <w:start w:val="1"/>
    </w:lvl>
    <w:lvl w:ilvl="1">
      <w:lvlJc w:val="left"/>
      <w:lvlText w:val="-"/>
      <w:numFmt w:val="bullet"/>
      <w:start w:val="1"/>
    </w:lvl>
  </w:abstractNum>
  <w:abstractNum w:abstractNumId="18">
    <w:nsid w:val="180115BE"/>
    <w:multiLevelType w:val="hybridMultilevel"/>
    <w:lvl w:ilvl="0">
      <w:lvlJc w:val="left"/>
      <w:lvlText w:val="(%1)"/>
      <w:numFmt w:val="lowerLetter"/>
      <w:start w:val="5"/>
    </w:lvl>
  </w:abstractNum>
  <w:abstractNum w:abstractNumId="19">
    <w:nsid w:val="235BA861"/>
    <w:multiLevelType w:val="hybridMultilevel"/>
    <w:lvl w:ilvl="0">
      <w:lvlJc w:val="left"/>
      <w:lvlText w:val="(%1)"/>
      <w:numFmt w:val="lowerLetter"/>
      <w:start w:val="1"/>
    </w:lvl>
  </w:abstractNum>
  <w:abstractNum w:abstractNumId="20">
    <w:nsid w:val="47398C89"/>
    <w:multiLevelType w:val="hybridMultilevel"/>
    <w:lvl w:ilvl="0">
      <w:lvlJc w:val="left"/>
      <w:lvlText w:val="(%1)"/>
      <w:numFmt w:val="lowerLetter"/>
      <w:start w:val="1"/>
    </w:lvl>
    <w:lvl w:ilvl="1">
      <w:lvlJc w:val="left"/>
      <w:lvlText w:val="-"/>
      <w:numFmt w:val="bullet"/>
      <w:start w:val="1"/>
    </w:lvl>
  </w:abstractNum>
  <w:abstractNum w:abstractNumId="21">
    <w:nsid w:val="354FE9F9"/>
    <w:multiLevelType w:val="hybridMultilevel"/>
    <w:lvl w:ilvl="0">
      <w:lvlJc w:val="left"/>
      <w:lvlText w:val="(%1)"/>
      <w:numFmt w:val="lowerLetter"/>
      <w:start w:val="2"/>
    </w:lvl>
  </w:abstractNum>
  <w:abstractNum w:abstractNumId="22">
    <w:nsid w:val="15B5AF5C"/>
    <w:multiLevelType w:val="hybridMultilevel"/>
    <w:lvl w:ilvl="0">
      <w:lvlJc w:val="left"/>
      <w:lvlText w:val="(%1)"/>
      <w:numFmt w:val="lowerLetter"/>
      <w:start w:val="1"/>
    </w:lvl>
    <w:lvl w:ilvl="1">
      <w:lvlJc w:val="left"/>
      <w:lvlText w:val="-"/>
      <w:numFmt w:val="bullet"/>
      <w:start w:val="1"/>
    </w:lvl>
  </w:abstractNum>
  <w:abstractNum w:abstractNumId="23">
    <w:nsid w:val="741226BB"/>
    <w:multiLevelType w:val="hybridMultilevel"/>
    <w:lvl w:ilvl="0">
      <w:lvlJc w:val="left"/>
      <w:lvlText w:val="(%1)"/>
      <w:numFmt w:val="lowerLetter"/>
      <w:start w:val="2"/>
    </w:lvl>
  </w:abstractNum>
  <w:abstractNum w:abstractNumId="24">
    <w:nsid w:val="D34B6A8"/>
    <w:multiLevelType w:val="hybridMultilevel"/>
    <w:lvl w:ilvl="0">
      <w:lvlJc w:val="left"/>
      <w:lvlText w:val="(%1)"/>
      <w:numFmt w:val="decimal"/>
      <w:start w:val="3"/>
    </w:lvl>
  </w:abstractNum>
  <w:abstractNum w:abstractNumId="25">
    <w:nsid w:val="10233C99"/>
    <w:multiLevelType w:val="hybridMultilevel"/>
    <w:lvl w:ilvl="0">
      <w:lvlJc w:val="left"/>
      <w:lvlText w:val="(%1)"/>
      <w:numFmt w:val="lowerLetter"/>
      <w:start w:val="1"/>
    </w:lvl>
    <w:lvl w:ilvl="1">
      <w:lvlJc w:val="left"/>
      <w:lvlText w:val="-"/>
      <w:numFmt w:val="bullet"/>
      <w:start w:val="1"/>
    </w:lvl>
  </w:abstractNum>
  <w:abstractNum w:abstractNumId="26">
    <w:nsid w:val="3F6AB60F"/>
    <w:multiLevelType w:val="hybridMultilevel"/>
    <w:lvl w:ilvl="0">
      <w:lvlJc w:val="left"/>
      <w:lvlText w:val="(%1)"/>
      <w:numFmt w:val="lowerLetter"/>
      <w:start w:val="2"/>
    </w:lvl>
    <w:lvl w:ilvl="1">
      <w:lvlJc w:val="left"/>
      <w:lvlText w:val="-"/>
      <w:numFmt w:val="bullet"/>
      <w:start w:val="1"/>
    </w:lvl>
  </w:abstractNum>
  <w:abstractNum w:abstractNumId="27">
    <w:nsid w:val="61574095"/>
    <w:multiLevelType w:val="hybridMultilevel"/>
    <w:lvl w:ilvl="0">
      <w:lvlJc w:val="left"/>
      <w:lvlText w:val="(%1)"/>
      <w:numFmt w:val="lowerLetter"/>
      <w:start w:val="4"/>
    </w:lvl>
    <w:lvl w:ilvl="1">
      <w:lvlJc w:val="left"/>
      <w:lvlText w:val="-"/>
      <w:numFmt w:val="bullet"/>
      <w:start w:val="1"/>
    </w:lvl>
  </w:abstractNum>
  <w:abstractNum w:abstractNumId="28">
    <w:nsid w:val="7E0C57B1"/>
    <w:multiLevelType w:val="hybridMultilevel"/>
    <w:lvl w:ilvl="0">
      <w:lvlJc w:val="left"/>
      <w:lvlText w:val="(%1)"/>
      <w:numFmt w:val="lowerLetter"/>
      <w:start w:val="7"/>
    </w:lvl>
  </w:abstractNum>
  <w:abstractNum w:abstractNumId="29">
    <w:nsid w:val="77AE35EB"/>
    <w:multiLevelType w:val="hybridMultilevel"/>
    <w:lvl w:ilvl="0">
      <w:lvlJc w:val="left"/>
      <w:lvlText w:val="(%1)"/>
      <w:numFmt w:val="lowerLetter"/>
      <w:start w:val="1"/>
    </w:lvl>
    <w:lvl w:ilvl="1">
      <w:lvlJc w:val="left"/>
      <w:lvlText w:val="-"/>
      <w:numFmt w:val="bullet"/>
      <w:start w:val="1"/>
    </w:lvl>
  </w:abstractNum>
  <w:abstractNum w:abstractNumId="30">
    <w:nsid w:val="579BE4F1"/>
    <w:multiLevelType w:val="hybridMultilevel"/>
    <w:lvl w:ilvl="0">
      <w:lvlJc w:val="left"/>
      <w:lvlText w:val="(%1)"/>
      <w:numFmt w:val="lowerLetter"/>
      <w:start w:val="2"/>
    </w:lvl>
    <w:lvl w:ilvl="1">
      <w:lvlJc w:val="left"/>
      <w:lvlText w:val="-"/>
      <w:numFmt w:val="bullet"/>
      <w:start w:val="1"/>
    </w:lvl>
  </w:abstractNum>
  <w:abstractNum w:abstractNumId="31">
    <w:nsid w:val="310C50B3"/>
    <w:multiLevelType w:val="hybridMultilevel"/>
    <w:lvl w:ilvl="0">
      <w:lvlJc w:val="left"/>
      <w:lvlText w:val="(%1)"/>
      <w:numFmt w:val="lowerLetter"/>
      <w:start w:val="4"/>
    </w:lvl>
    <w:lvl w:ilvl="1">
      <w:lvlJc w:val="left"/>
      <w:lvlText w:val="(%2)"/>
      <w:numFmt w:val="lowerRoman"/>
      <w:start w:val="2"/>
    </w:lvl>
    <w:lvl w:ilvl="2">
      <w:lvlJc w:val="left"/>
      <w:lvlText w:val="-"/>
      <w:numFmt w:val="bullet"/>
      <w:start w:val="1"/>
    </w:lvl>
  </w:abstractNum>
  <w:abstractNum w:abstractNumId="32">
    <w:nsid w:val="5FF87E05"/>
    <w:multiLevelType w:val="hybridMultilevel"/>
    <w:lvl w:ilvl="0">
      <w:lvlJc w:val="left"/>
      <w:lvlText w:val="(%1)"/>
      <w:numFmt w:val="lowerLetter"/>
      <w:start w:val="8"/>
    </w:lvl>
  </w:abstractNum>
  <w:abstractNum w:abstractNumId="33">
    <w:nsid w:val="2F305DEF"/>
    <w:multiLevelType w:val="hybridMultilevel"/>
    <w:lvl w:ilvl="0">
      <w:lvlJc w:val="left"/>
      <w:lvlText w:val="(%1)"/>
      <w:numFmt w:val="lowerLetter"/>
      <w:start w:val="1"/>
    </w:lvl>
    <w:lvl w:ilvl="1">
      <w:lvlJc w:val="left"/>
      <w:lvlText w:val="-"/>
      <w:numFmt w:val="bullet"/>
      <w:start w:val="1"/>
    </w:lvl>
  </w:abstractNum>
  <w:abstractNum w:abstractNumId="34">
    <w:nsid w:val="25A70BF7"/>
    <w:multiLevelType w:val="hybridMultilevel"/>
    <w:lvl w:ilvl="0">
      <w:lvlJc w:val="left"/>
      <w:lvlText w:val="(%1)"/>
      <w:numFmt w:val="lowerLetter"/>
      <w:start w:val="1"/>
    </w:lvl>
    <w:lvl w:ilvl="1">
      <w:lvlJc w:val="left"/>
      <w:lvlText w:val="-"/>
      <w:numFmt w:val="bullet"/>
      <w:start w:val="1"/>
    </w:lvl>
  </w:abstractNum>
  <w:abstractNum w:abstractNumId="35">
    <w:nsid w:val="1DBABF00"/>
    <w:multiLevelType w:val="hybridMultilevel"/>
    <w:lvl w:ilvl="0">
      <w:lvlJc w:val="left"/>
      <w:lvlText w:val="(%1)"/>
      <w:numFmt w:val="lowerLetter"/>
      <w:start w:val="2"/>
    </w:lvl>
    <w:lvl w:ilvl="1">
      <w:lvlJc w:val="left"/>
      <w:lvlText w:val="-"/>
      <w:numFmt w:val="bullet"/>
      <w:start w:val="1"/>
    </w:lvl>
  </w:abstractNum>
  <w:abstractNum w:abstractNumId="36">
    <w:nsid w:val="4AD084E9"/>
    <w:multiLevelType w:val="hybridMultilevel"/>
    <w:lvl w:ilvl="0">
      <w:lvlJc w:val="left"/>
      <w:lvlText w:val="(%1)"/>
      <w:numFmt w:val="lowerLetter"/>
      <w:start w:val="4"/>
    </w:lvl>
    <w:lvl w:ilvl="1">
      <w:lvlJc w:val="left"/>
      <w:lvlText w:val="-"/>
      <w:numFmt w:val="bullet"/>
      <w:start w:val="1"/>
    </w:lvl>
  </w:abstractNum>
  <w:abstractNum w:abstractNumId="37">
    <w:nsid w:val="1F48EAA1"/>
    <w:multiLevelType w:val="hybridMultilevel"/>
    <w:lvl w:ilvl="0">
      <w:lvlJc w:val="left"/>
      <w:lvlText w:val="(%1)"/>
      <w:numFmt w:val="lowerLetter"/>
      <w:start w:val="5"/>
    </w:lvl>
  </w:abstractNum>
  <w:abstractNum w:abstractNumId="38">
    <w:nsid w:val="1381823A"/>
    <w:multiLevelType w:val="hybridMultilevel"/>
    <w:lvl w:ilvl="0">
      <w:lvlJc w:val="left"/>
      <w:lvlText w:val="(%1)"/>
      <w:numFmt w:val="lowerLetter"/>
      <w:start w:val="1"/>
    </w:lvl>
    <w:lvl w:ilvl="1">
      <w:lvlJc w:val="left"/>
      <w:lvlText w:val="(%2)"/>
      <w:numFmt w:val="lowerRoman"/>
      <w:start w:val="1"/>
    </w:lvl>
  </w:abstractNum>
  <w:abstractNum w:abstractNumId="39">
    <w:nsid w:val="5DB70AE5"/>
    <w:multiLevelType w:val="hybridMultilevel"/>
    <w:lvl w:ilvl="0">
      <w:lvlJc w:val="left"/>
      <w:lvlText w:val="(%1)"/>
      <w:numFmt w:val="lowerLetter"/>
      <w:start w:val="2"/>
    </w:lvl>
    <w:lvl w:ilvl="1">
      <w:lvlJc w:val="left"/>
      <w:lvlText w:val="-"/>
      <w:numFmt w:val="bullet"/>
      <w:start w:val="1"/>
    </w:lvl>
  </w:abstractNum>
  <w:abstractNum w:abstractNumId="40">
    <w:nsid w:val="100F8FCA"/>
    <w:multiLevelType w:val="hybridMultilevel"/>
    <w:lvl w:ilvl="0">
      <w:lvlJc w:val="left"/>
      <w:lvlText w:val="(%1)"/>
      <w:numFmt w:val="lowerRoman"/>
      <w:start w:val="1"/>
    </w:lvl>
  </w:abstractNum>
  <w:abstractNum w:abstractNumId="41">
    <w:nsid w:val="6590700B"/>
    <w:multiLevelType w:val="hybridMultilevel"/>
    <w:lvl w:ilvl="0">
      <w:lvlJc w:val="left"/>
      <w:lvlText w:val="(%1)"/>
      <w:numFmt w:val="lowerRoman"/>
      <w:start w:val="1"/>
    </w:lvl>
    <w:lvl w:ilvl="1">
      <w:lvlJc w:val="left"/>
      <w:lvlText w:val="-"/>
      <w:numFmt w:val="bullet"/>
      <w:start w:val="1"/>
    </w:lvl>
  </w:abstractNum>
  <w:abstractNum w:abstractNumId="42">
    <w:nsid w:val="15014ACB"/>
    <w:multiLevelType w:val="hybridMultilevel"/>
    <w:lvl w:ilvl="0">
      <w:lvlJc w:val="left"/>
      <w:lvlText w:val="%1"/>
      <w:numFmt w:val="upperLetter"/>
      <w:start w:val="1"/>
    </w:lvl>
    <w:lvl w:ilvl="1">
      <w:lvlJc w:val="left"/>
      <w:lvlText w:val="(%2)"/>
      <w:numFmt w:val="lowerRoman"/>
      <w:start w:val="4"/>
    </w:lvl>
  </w:abstractNum>
  <w:abstractNum w:abstractNumId="43">
    <w:nsid w:val="5F5E7FD0"/>
    <w:multiLevelType w:val="hybridMultilevel"/>
    <w:lvl w:ilvl="0">
      <w:lvlJc w:val="left"/>
      <w:lvlText w:val="(%1)"/>
      <w:numFmt w:val="upperLetter"/>
      <w:start w:val="1"/>
    </w:lvl>
    <w:lvl w:ilvl="1">
      <w:lvlJc w:val="left"/>
      <w:lvlText w:val="%2"/>
      <w:numFmt w:val="lowerRoman"/>
      <w:start w:val="1"/>
    </w:lvl>
  </w:abstractNum>
  <w:abstractNum w:abstractNumId="44">
    <w:nsid w:val="98A3148"/>
    <w:multiLevelType w:val="hybridMultilevel"/>
    <w:lvl w:ilvl="0">
      <w:lvlJc w:val="left"/>
      <w:lvlText w:val="(%1)"/>
      <w:numFmt w:val="lowerLetter"/>
      <w:start w:val="1"/>
    </w:lvl>
    <w:lvl w:ilvl="1">
      <w:lvlJc w:val="left"/>
      <w:lvlText w:val="-"/>
      <w:numFmt w:val="bullet"/>
      <w:start w:val="1"/>
    </w:lvl>
  </w:abstractNum>
  <w:abstractNum w:abstractNumId="45">
    <w:nsid w:val="799D0247"/>
    <w:multiLevelType w:val="hybridMultilevel"/>
    <w:lvl w:ilvl="0">
      <w:lvlJc w:val="left"/>
      <w:lvlText w:val="(%1)"/>
      <w:numFmt w:val="lowerLetter"/>
      <w:start w:val="1"/>
    </w:lvl>
    <w:lvl w:ilvl="1">
      <w:lvlJc w:val="left"/>
      <w:lvlText w:val="-"/>
      <w:numFmt w:val="bullet"/>
      <w:start w:val="1"/>
    </w:lvl>
  </w:abstractNum>
  <w:abstractNum w:abstractNumId="46">
    <w:nsid w:val="6B94764"/>
    <w:multiLevelType w:val="hybridMultilevel"/>
    <w:lvl w:ilvl="0">
      <w:lvlJc w:val="left"/>
      <w:lvlText w:val="(%1)"/>
      <w:numFmt w:val="lowerLetter"/>
      <w:start w:val="1"/>
    </w:lvl>
    <w:lvl w:ilvl="1">
      <w:lvlJc w:val="left"/>
      <w:lvlText w:val="-"/>
      <w:numFmt w:val="bullet"/>
      <w:start w:val="1"/>
    </w:lvl>
  </w:abstractNum>
  <w:abstractNum w:abstractNumId="47">
    <w:nsid w:val="42C296BD"/>
    <w:multiLevelType w:val="hybridMultilevel"/>
    <w:lvl w:ilvl="0">
      <w:lvlJc w:val="left"/>
      <w:lvlText w:val="(%1)"/>
      <w:numFmt w:val="lowerLetter"/>
      <w:start w:val="3"/>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lowerLetter"/>
      <w:start w:val="1"/>
    </w:lvl>
    <w:lvl w:ilvl="1">
      <w:lvlJc w:val="left"/>
      <w:lvlText w:val="-"/>
      <w:numFmt w:val="bullet"/>
      <w:start w:val="1"/>
    </w:lvl>
  </w:abstractNum>
  <w:abstractNum w:abstractNumId="50">
    <w:nsid w:val="661E3F1E"/>
    <w:multiLevelType w:val="hybridMultilevel"/>
    <w:lvl w:ilvl="0">
      <w:lvlJc w:val="left"/>
      <w:lvlText w:val="(%1)"/>
      <w:numFmt w:val="lowerLetter"/>
      <w:start w:val="4"/>
    </w:lvl>
  </w:abstractNum>
  <w:abstractNum w:abstractNumId="51">
    <w:nsid w:val="5DC79EA8"/>
    <w:multiLevelType w:val="hybridMultilevel"/>
    <w:lvl w:ilvl="0">
      <w:lvlJc w:val="left"/>
      <w:lvlText w:val="(%1)"/>
      <w:numFmt w:val="lowerRoman"/>
      <w:start w:val="1"/>
    </w:lvl>
    <w:lvl w:ilvl="1">
      <w:lvlJc w:val="left"/>
      <w:lvlText w:val="-"/>
      <w:numFmt w:val="bullet"/>
      <w:start w:val="1"/>
    </w:lvl>
  </w:abstractNum>
  <w:abstractNum w:abstractNumId="52">
    <w:nsid w:val="540A471C"/>
    <w:multiLevelType w:val="hybridMultilevel"/>
    <w:lvl w:ilvl="0">
      <w:lvlJc w:val="left"/>
      <w:lvlText w:val="(%1)"/>
      <w:numFmt w:val="lowerRoman"/>
      <w:start w:val="3"/>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1"/>
    </w:lvl>
    <w:lvl w:ilvl="1">
      <w:lvlJc w:val="left"/>
      <w:lvlText w:val="-"/>
      <w:numFmt w:val="bullet"/>
      <w:start w:val="1"/>
    </w:lvl>
  </w:abstractNum>
  <w:abstractNum w:abstractNumId="55">
    <w:nsid w:val="613EFDC5"/>
    <w:multiLevelType w:val="hybridMultilevel"/>
    <w:lvl w:ilvl="0">
      <w:lvlJc w:val="left"/>
      <w:lvlText w:val="(%1)"/>
      <w:numFmt w:val="lowerLetter"/>
      <w:start w:val="2"/>
    </w:lvl>
  </w:abstractNum>
  <w:abstractNum w:abstractNumId="56">
    <w:nsid w:val="BF72B14"/>
    <w:multiLevelType w:val="hybridMultilevel"/>
    <w:lvl w:ilvl="0">
      <w:lvlJc w:val="left"/>
      <w:lvlText w:val="(%1)"/>
      <w:numFmt w:val="lowerLetter"/>
      <w:start w:val="2"/>
    </w:lvl>
  </w:abstractNum>
  <w:abstractNum w:abstractNumId="57">
    <w:nsid w:val="11447B73"/>
    <w:multiLevelType w:val="hybridMultilevel"/>
    <w:lvl w:ilvl="0">
      <w:lvlJc w:val="left"/>
      <w:lvlText w:val="(%1)"/>
      <w:numFmt w:val="lowerLetter"/>
      <w:start w:val="1"/>
    </w:lvl>
    <w:lvl w:ilvl="1">
      <w:lvlJc w:val="left"/>
      <w:lvlText w:val="-"/>
      <w:numFmt w:val="bullet"/>
      <w:start w:val="1"/>
    </w:lvl>
  </w:abstractNum>
  <w:abstractNum w:abstractNumId="58">
    <w:nsid w:val="42963E5A"/>
    <w:multiLevelType w:val="hybridMultilevel"/>
    <w:lvl w:ilvl="0">
      <w:lvlJc w:val="left"/>
      <w:lvlText w:val="(%1)"/>
      <w:numFmt w:val="lowerLetter"/>
      <w:start w:val="2"/>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lowerLetter"/>
      <w:start w:val="1"/>
    </w:lvl>
    <w:lvl w:ilvl="1">
      <w:lvlJc w:val="left"/>
      <w:lvlText w:val="-"/>
      <w:numFmt w:val="bullet"/>
      <w:start w:val="1"/>
    </w:lvl>
  </w:abstractNum>
  <w:abstractNum w:abstractNumId="61">
    <w:nsid w:val="1A32234B"/>
    <w:multiLevelType w:val="hybridMultilevel"/>
    <w:lvl w:ilvl="0">
      <w:lvlJc w:val="left"/>
      <w:lvlText w:val="(%1)"/>
      <w:numFmt w:val="lowerLetter"/>
      <w:start w:val="7"/>
    </w:lvl>
    <w:lvl w:ilvl="1">
      <w:lvlJc w:val="left"/>
      <w:lvlText w:val="-"/>
      <w:numFmt w:val="bullet"/>
      <w:start w:val="1"/>
    </w:lvl>
  </w:abstractNum>
  <w:abstractNum w:abstractNumId="62">
    <w:nsid w:val="3B0FD379"/>
    <w:multiLevelType w:val="hybridMultilevel"/>
    <w:lvl w:ilvl="0">
      <w:lvlJc w:val="left"/>
      <w:lvlText w:val="(%1)"/>
      <w:numFmt w:val="lowerLetter"/>
      <w:start w:val="12"/>
    </w:lvl>
  </w:abstractNum>
  <w:abstractNum w:abstractNumId="63">
    <w:nsid w:val="68EB2F63"/>
    <w:multiLevelType w:val="hybridMultilevel"/>
    <w:lvl w:ilvl="0">
      <w:lvlJc w:val="left"/>
      <w:lvlText w:val="%1"/>
      <w:numFmt w:val="lowerRoman"/>
      <w:start w:val="1"/>
    </w:lvl>
    <w:lvl w:ilvl="1">
      <w:lvlJc w:val="left"/>
      <w:lvlText w:val="(%2)"/>
      <w:numFmt w:val="lowerLetter"/>
      <w:start w:val="2"/>
    </w:lvl>
  </w:abstractNum>
  <w:abstractNum w:abstractNumId="64">
    <w:nsid w:val="4962813B"/>
    <w:multiLevelType w:val="hybridMultilevel"/>
    <w:lvl w:ilvl="0">
      <w:lvlJc w:val="left"/>
      <w:lvlText w:val="(%1)"/>
      <w:numFmt w:val="lowerRoman"/>
      <w:start w:val="7"/>
    </w:lvl>
    <w:lvl w:ilvl="1">
      <w:lvlJc w:val="left"/>
      <w:lvlText w:val="%2"/>
      <w:numFmt w:val="lowerLetter"/>
      <w:start w:val="1"/>
    </w:lvl>
  </w:abstractNum>
  <w:abstractNum w:abstractNumId="65">
    <w:nsid w:val="60B6DF70"/>
    <w:multiLevelType w:val="hybridMultilevel"/>
    <w:lvl w:ilvl="0">
      <w:lvlJc w:val="left"/>
      <w:lvlText w:val="(%1)"/>
      <w:numFmt w:val="lowerLetter"/>
      <w:start w:val="1"/>
    </w:lvl>
    <w:lvl w:ilvl="1">
      <w:lvlJc w:val="left"/>
      <w:lvlText w:val="-"/>
      <w:numFmt w:val="bullet"/>
      <w:start w:val="1"/>
    </w:lvl>
  </w:abstractNum>
  <w:abstractNum w:abstractNumId="66">
    <w:nsid w:val="6A5EE64"/>
    <w:multiLevelType w:val="hybridMultilevel"/>
    <w:lvl w:ilvl="0">
      <w:lvlJc w:val="left"/>
      <w:lvlText w:val="(%1)"/>
      <w:numFmt w:val="lowerLetter"/>
      <w:start w:val="2"/>
    </w:lvl>
    <w:lvl w:ilvl="1">
      <w:lvlJc w:val="left"/>
      <w:lvlText w:val="-"/>
      <w:numFmt w:val="bullet"/>
      <w:start w:val="1"/>
    </w:lvl>
  </w:abstractNum>
  <w:abstractNum w:abstractNumId="67">
    <w:nsid w:val="14330624"/>
    <w:multiLevelType w:val="hybridMultilevel"/>
    <w:lvl w:ilvl="0">
      <w:lvlJc w:val="left"/>
      <w:lvlText w:val="(%1)"/>
      <w:numFmt w:val="lowerLetter"/>
      <w:start w:val="5"/>
    </w:lvl>
  </w:abstractNum>
  <w:abstractNum w:abstractNumId="68">
    <w:nsid w:val="7FFFCA11"/>
    <w:multiLevelType w:val="hybridMultilevel"/>
    <w:lvl w:ilvl="0">
      <w:lvlJc w:val="left"/>
      <w:lvlText w:val="(%1)"/>
      <w:numFmt w:val="upperLetter"/>
      <w:start w:val="2"/>
    </w:lvl>
    <w:lvl w:ilvl="1">
      <w:lvlJc w:val="left"/>
      <w:lvlText w:val="-"/>
      <w:numFmt w:val="bullet"/>
      <w:start w:val="1"/>
    </w:lvl>
  </w:abstractNum>
  <w:abstractNum w:abstractNumId="69">
    <w:nsid w:val="1A27709E"/>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0">
    <w:nsid w:val="71EA1109"/>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71">
    <w:nsid w:val="100F59DC"/>
    <w:multiLevelType w:val="hybridMultilevel"/>
    <w:lvl w:ilvl="0">
      <w:lvlJc w:val="left"/>
      <w:lvlText w:val="(%1)"/>
      <w:numFmt w:val="lowerRoman"/>
      <w:start w:val="1"/>
    </w:lvl>
  </w:abstractNum>
  <w:abstractNum w:abstractNumId="72">
    <w:nsid w:val="7FB7E0AA"/>
    <w:multiLevelType w:val="hybridMultilevel"/>
    <w:lvl w:ilvl="0">
      <w:lvlJc w:val="left"/>
      <w:lvlText w:val="(%1)"/>
      <w:numFmt w:val="lowerLetter"/>
      <w:start w:val="2"/>
    </w:lvl>
    <w:lvl w:ilvl="1">
      <w:lvlJc w:val="left"/>
      <w:lvlText w:val="-"/>
      <w:numFmt w:val="bullet"/>
      <w:start w:val="1"/>
    </w:lvl>
  </w:abstractNum>
  <w:abstractNum w:abstractNumId="73">
    <w:nsid w:val="6EB5BD4"/>
    <w:multiLevelType w:val="hybridMultilevel"/>
    <w:lvl w:ilvl="0">
      <w:lvlJc w:val="left"/>
      <w:lvlText w:val="(%1)"/>
      <w:numFmt w:val="lowerLetter"/>
      <w:start w:val="4"/>
    </w:lvl>
    <w:lvl w:ilvl="1">
      <w:lvlJc w:val="left"/>
      <w:lvlText w:val="-"/>
      <w:numFmt w:val="bullet"/>
      <w:start w:val="1"/>
    </w:lvl>
  </w:abstractNum>
  <w:abstractNum w:abstractNumId="74">
    <w:nsid w:val="6F6DD9AC"/>
    <w:multiLevelType w:val="hybridMultilevel"/>
    <w:lvl w:ilvl="0">
      <w:lvlJc w:val="left"/>
      <w:lvlText w:val="(%1)"/>
      <w:numFmt w:val="lowerLetter"/>
      <w:start w:val="5"/>
    </w:lvl>
  </w:abstractNum>
  <w:abstractNum w:abstractNumId="75">
    <w:nsid w:val="94211F2"/>
    <w:multiLevelType w:val="hybridMultilevel"/>
    <w:lvl w:ilvl="0">
      <w:lvlJc w:val="left"/>
      <w:lvlText w:val="(%1)"/>
      <w:numFmt w:val="lowerLetter"/>
      <w:start w:val="1"/>
    </w:lvl>
  </w:abstractNum>
  <w:abstractNum w:abstractNumId="76">
    <w:nsid w:val="885E1B"/>
    <w:multiLevelType w:val="hybridMultilevel"/>
    <w:lvl w:ilvl="0">
      <w:lvlJc w:val="left"/>
      <w:lvlText w:val="(%1)"/>
      <w:numFmt w:val="lowerLetter"/>
      <w:start w:val="1"/>
    </w:lvl>
    <w:lvl w:ilvl="1">
      <w:lvlJc w:val="left"/>
      <w:lvlText w:val="-"/>
      <w:numFmt w:val="bullet"/>
      <w:start w:val="1"/>
    </w:lvl>
  </w:abstractNum>
  <w:abstractNum w:abstractNumId="77">
    <w:nsid w:val="76272110"/>
    <w:multiLevelType w:val="hybridMultilevel"/>
    <w:lvl w:ilvl="0">
      <w:lvlJc w:val="left"/>
      <w:lvlText w:val="(%1)"/>
      <w:numFmt w:val="lowerLetter"/>
      <w:start w:val="5"/>
    </w:lvl>
    <w:lvl w:ilvl="1">
      <w:lvlJc w:val="left"/>
      <w:lvlText w:val="-"/>
      <w:numFmt w:val="bullet"/>
      <w:start w:val="1"/>
    </w:lvl>
  </w:abstractNum>
  <w:abstractNum w:abstractNumId="78">
    <w:nsid w:val="4C04A8AF"/>
    <w:multiLevelType w:val="hybridMultilevel"/>
    <w:lvl w:ilvl="0">
      <w:lvlJc w:val="left"/>
      <w:lvlText w:val="%1"/>
      <w:numFmt w:val="lowerLetter"/>
      <w:start w:val="1"/>
    </w:lvl>
    <w:lvl w:ilvl="1">
      <w:lvlJc w:val="left"/>
      <w:lvlText w:val="(%2)"/>
      <w:numFmt w:val="lowerLetter"/>
      <w:start w:val="1"/>
    </w:lvl>
  </w:abstractNum>
  <w:abstractNum w:abstractNumId="79">
    <w:nsid w:val="1716703B"/>
    <w:multiLevelType w:val="hybridMultilevel"/>
    <w:lvl w:ilvl="0">
      <w:lvlJc w:val="left"/>
      <w:lvlText w:val="(%1)"/>
      <w:numFmt w:val="lowerLetter"/>
      <w:start w:val="9"/>
    </w:lvl>
    <w:lvl w:ilvl="1">
      <w:lvlJc w:val="left"/>
      <w:lvlText w:val="%2"/>
      <w:numFmt w:val="lowerLetter"/>
      <w:start w:val="1"/>
    </w:lvl>
  </w:abstractNum>
  <w:abstractNum w:abstractNumId="80">
    <w:nsid w:val="14E17E33"/>
    <w:multiLevelType w:val="hybridMultilevel"/>
    <w:lvl w:ilvl="0">
      <w:lvlJc w:val="left"/>
      <w:lvlText w:val="\emdash "/>
      <w:numFmt w:val="bullet"/>
      <w:start w:val="1"/>
    </w:lvl>
  </w:abstractNum>
  <w:abstractNum w:abstractNumId="81">
    <w:nsid w:val="3222E7CD"/>
    <w:multiLevelType w:val="hybridMultilevel"/>
    <w:lvl w:ilvl="0">
      <w:lvlJc w:val="left"/>
      <w:lvlText w:val="%1."/>
      <w:numFmt w:val="decimal"/>
      <w:start w:val="4"/>
    </w:lvl>
  </w:abstractNum>
  <w:abstractNum w:abstractNumId="82">
    <w:nsid w:val="74DE0EE3"/>
    <w:multiLevelType w:val="hybridMultilevel"/>
    <w:lvl w:ilvl="0">
      <w:lvlJc w:val="left"/>
      <w:lvlText w:val="%1."/>
      <w:numFmt w:val="decimal"/>
      <w:start w:val="6"/>
    </w:lvl>
  </w:abstractNum>
  <w:abstractNum w:abstractNumId="83">
    <w:nsid w:val="68EBC550"/>
    <w:multiLevelType w:val="hybridMultilevel"/>
    <w:lvl w:ilvl="0">
      <w:lvlJc w:val="left"/>
      <w:lvlText w:val="1"/>
      <w:numFmt w:val="bullet"/>
      <w:start w:val="1"/>
    </w:lvl>
  </w:abstractNum>
  <w:abstractNum w:abstractNumId="84">
    <w:nsid w:val="2DF6D648"/>
    <w:multiLevelType w:val="hybridMultilevel"/>
    <w:lvl w:ilvl="0">
      <w:lvlJc w:val="left"/>
      <w:lvlText w:val="2"/>
      <w:numFmt w:val="bullet"/>
      <w:start w:val="1"/>
    </w:lvl>
  </w:abstractNum>
  <w:abstractNum w:abstractNumId="85">
    <w:nsid w:val="46B7D447"/>
    <w:multiLevelType w:val="hybridMultilevel"/>
    <w:lvl w:ilvl="0">
      <w:lvlJc w:val="left"/>
      <w:lvlText w:val="3"/>
      <w:numFmt w:val="bullet"/>
      <w:start w:val="1"/>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lowerLetter"/>
      <w:start w:val="2"/>
    </w:lvl>
  </w:abstractNum>
  <w:abstractNum w:abstractNumId="88">
    <w:nsid w:val="57FC4FBB"/>
    <w:multiLevelType w:val="hybridMultilevel"/>
    <w:lvl w:ilvl="0">
      <w:lvlJc w:val="left"/>
      <w:lvlText w:val="%1."/>
      <w:numFmt w:val="decimal"/>
      <w:start w:val="2"/>
    </w:lvl>
  </w:abstractNum>
  <w:abstractNum w:abstractNumId="89">
    <w:nsid w:val="CC1016F"/>
    <w:multiLevelType w:val="hybridMultilevel"/>
    <w:lvl w:ilvl="0">
      <w:lvlJc w:val="left"/>
      <w:lvlText w:val="%1."/>
      <w:numFmt w:val="decimal"/>
      <w:start w:val="2"/>
    </w:lvl>
  </w:abstractNum>
  <w:abstractNum w:abstractNumId="90">
    <w:nsid w:val="43F18422"/>
    <w:multiLevelType w:val="hybridMultilevel"/>
    <w:lvl w:ilvl="0">
      <w:lvlJc w:val="left"/>
      <w:lvlText w:val="1"/>
      <w:numFmt w:val="bullet"/>
      <w:start w:val="1"/>
    </w:lvl>
  </w:abstractNum>
  <w:abstractNum w:abstractNumId="91">
    <w:nsid w:val="60EF0119"/>
    <w:multiLevelType w:val="hybridMultilevel"/>
    <w:lvl w:ilvl="0">
      <w:lvlJc w:val="left"/>
      <w:lvlText w:val="2"/>
      <w:numFmt w:val="bullet"/>
      <w:start w:val="1"/>
    </w:lvl>
  </w:abstractNum>
  <w:abstractNum w:abstractNumId="92">
    <w:nsid w:val="26F324BA"/>
    <w:multiLevelType w:val="hybridMultilevel"/>
    <w:lvl w:ilvl="0">
      <w:lvlJc w:val="left"/>
      <w:lvlText w:val="3"/>
      <w:numFmt w:val="bullet"/>
      <w:start w:val="1"/>
    </w:lvl>
  </w:abstractNum>
  <w:abstractNum w:abstractNumId="93">
    <w:nsid w:val="7F01579B"/>
    <w:multiLevelType w:val="hybridMultilevel"/>
    <w:lvl w:ilvl="0">
      <w:lvlJc w:val="left"/>
      <w:lvlText w:val="%1."/>
      <w:numFmt w:val="decimal"/>
      <w:start w:val="1"/>
    </w:lvl>
  </w:abstractNum>
  <w:abstractNum w:abstractNumId="94">
    <w:nsid w:val="49DA307D"/>
    <w:multiLevelType w:val="hybridMultilevel"/>
    <w:lvl w:ilvl="0">
      <w:lvlJc w:val="left"/>
      <w:lvlText w:val="(%1)"/>
      <w:numFmt w:val="lowerLetter"/>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2019-12-06T02:40:22Z</dcterms:created>
  <dcterms:modified xsi:type="dcterms:W3CDTF">2019-12-06T02:40:22Z</dcterms:modified>
</cp:coreProperties>
</file>