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4, 2023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504"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440" w:space="720"/>
            <w:col w:w="2460"/>
          </w:cols>
          <w:pgMar w:left="320" w:top="504" w:right="339" w:bottom="1440" w:gutter="0" w:footer="0" w:header="0"/>
          <w:type w:val="continuous"/>
        </w:sectPr>
      </w:pPr>
    </w:p>
    <w:p>
      <w:pPr>
        <w:spacing w:after="0" w:line="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504"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Name of each exchange on which registered</w:t>
            </w:r>
          </w:p>
        </w:tc>
      </w:tr>
      <w:tr>
        <w:trPr>
          <w:trHeight w:val="237"/>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 Stock Exchange</w:t>
            </w:r>
          </w:p>
        </w:tc>
      </w:tr>
      <w:tr>
        <w:trPr>
          <w:trHeight w:val="135"/>
        </w:trPr>
        <w:tc>
          <w:tcPr>
            <w:tcW w:w="3960" w:type="dxa"/>
            <w:vAlign w:val="bottom"/>
            <w:tcBorders>
              <w:left w:val="single" w:sz="8" w:color="auto"/>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August 4, 2023, Waste Management, Inc. (the “Company”) prepaid in full all borrowings and accrued interest pursuant to its $1.0 billion, two-year U.S. term loan credit agreement dated May 27, 2022, with the lenders party thereto and Bank of America, N.A., as administrative agent (the “Term Loan Agreement”). Such amounts were paid using proceeds from the Company’s issuance and sale of senior notes that closed on August 3, 2023.</w:t>
      </w:r>
    </w:p>
    <w:p>
      <w:pPr>
        <w:spacing w:after="0" w:line="149" w:lineRule="exact"/>
        <w:rPr>
          <w:sz w:val="20"/>
          <w:szCs w:val="20"/>
          <w:color w:val="auto"/>
        </w:rPr>
      </w:pPr>
    </w:p>
    <w:p>
      <w:pPr>
        <w:jc w:val="both"/>
        <w:ind w:firstLine="648"/>
        <w:spacing w:after="0" w:line="277" w:lineRule="auto"/>
        <w:rPr>
          <w:rFonts w:ascii="Arial" w:cs="Arial" w:eastAsia="Arial" w:hAnsi="Arial"/>
          <w:sz w:val="18"/>
          <w:szCs w:val="18"/>
          <w:color w:val="0000EE"/>
        </w:rPr>
      </w:pPr>
      <w:hyperlink r:id="rId14">
        <w:r>
          <w:rPr>
            <w:rFonts w:ascii="Arial" w:cs="Arial" w:eastAsia="Arial" w:hAnsi="Arial"/>
            <w:sz w:val="18"/>
            <w:szCs w:val="18"/>
            <w:color w:val="auto"/>
          </w:rPr>
          <w:t xml:space="preserve">A summary of the material terms of the Term Loan Agreement are set forth in Item 1.01 of the Company’s </w:t>
        </w:r>
        <w:r>
          <w:rPr>
            <w:rFonts w:ascii="Arial" w:cs="Arial" w:eastAsia="Arial" w:hAnsi="Arial"/>
            <w:sz w:val="18"/>
            <w:szCs w:val="18"/>
            <w:u w:val="single" w:color="auto"/>
            <w:color w:val="0000EE"/>
          </w:rPr>
          <w:t>Current Report on Form 8-K filed</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EE"/>
          </w:rPr>
          <w:t>June 2, 2022</w:t>
        </w:r>
        <w:r>
          <w:rPr>
            <w:rFonts w:ascii="Arial" w:cs="Arial" w:eastAsia="Arial" w:hAnsi="Arial"/>
            <w:sz w:val="18"/>
            <w:szCs w:val="18"/>
            <w:color w:val="0000EE"/>
          </w:rPr>
          <w:t xml:space="preserve"> </w:t>
        </w:r>
        <w:r>
          <w:rPr>
            <w:rFonts w:ascii="Arial" w:cs="Arial" w:eastAsia="Arial" w:hAnsi="Arial"/>
            <w:sz w:val="18"/>
            <w:szCs w:val="18"/>
            <w:color w:val="000000"/>
          </w:rPr>
          <w:t>and are incorporated herein by reference.</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WASTE MANAGEMENT,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9, 2023</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9"/>
              </w:rPr>
              <w:t>Executive Vice President, Corporate Development and Chief Legal</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4" Type="http://schemas.openxmlformats.org/officeDocument/2006/relationships/hyperlink" Target="https://www.sec.gov/ix?doc=/Archives/edgar/data/823768/000110465922067600/tm2217217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2023-08-09T07:43:20Z</dcterms:created>
  <dcterms:modified xsi:type="dcterms:W3CDTF">2023-08-09T07:43:20Z</dcterms:modified>
</cp:coreProperties>
</file>