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September 15, 1998</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220"/>
              <w:spacing w:after="0"/>
              <w:rPr>
                <w:sz w:val="20"/>
                <w:szCs w:val="20"/>
                <w:color w:val="auto"/>
              </w:rPr>
            </w:pPr>
            <w:r>
              <w:rPr>
                <w:rFonts w:ascii="Courier New" w:cs="Courier New" w:eastAsia="Courier New" w:hAnsi="Courier New"/>
                <w:sz w:val="18"/>
                <w:szCs w:val="18"/>
                <w:color w:val="auto"/>
              </w:rPr>
              <w:t>Delaware</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1-12154</w:t>
            </w:r>
          </w:p>
        </w:tc>
        <w:tc>
          <w:tcPr>
            <w:tcW w:w="2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73-1309529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(Commission</w:t>
            </w:r>
          </w:p>
        </w:tc>
        <w:tc>
          <w:tcPr>
            <w:tcW w:w="296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 Number)</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22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w w:val="98"/>
              </w:rPr>
              <w:t>1001 Fannin Street, Suite 4000</w:t>
            </w:r>
          </w:p>
        </w:tc>
        <w:tc>
          <w:tcPr>
            <w:tcW w:w="22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Texas</w:t>
            </w:r>
          </w:p>
        </w:tc>
        <w:tc>
          <w:tcPr>
            <w:tcW w:w="2260" w:type="dxa"/>
            <w:vAlign w:val="bottom"/>
          </w:tcPr>
          <w:p>
            <w:pPr>
              <w:spacing w:after="0"/>
              <w:rPr>
                <w:sz w:val="17"/>
                <w:szCs w:val="17"/>
                <w:color w:val="auto"/>
              </w:rPr>
            </w:pPr>
          </w:p>
        </w:tc>
        <w:tc>
          <w:tcPr>
            <w:tcW w:w="2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77002</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w w:val="98"/>
              </w:rPr>
              <w:t>Registrant's telephone number,</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including area code:</w:t>
            </w:r>
          </w:p>
        </w:tc>
        <w:tc>
          <w:tcPr>
            <w:tcW w:w="29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(713) 512-6200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 in Registrant's Certifying Accountant.</w:t>
      </w:r>
    </w:p>
    <w:p>
      <w:pPr>
        <w:spacing w:after="0" w:line="201" w:lineRule="exact"/>
        <w:rPr>
          <w:sz w:val="24"/>
          <w:szCs w:val="24"/>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 independent accountants</w:t>
      </w:r>
    </w:p>
    <w:p>
      <w:pPr>
        <w:spacing w:after="0" w:line="207" w:lineRule="exact"/>
        <w:rPr>
          <w:sz w:val="24"/>
          <w:szCs w:val="24"/>
          <w:color w:val="auto"/>
        </w:rPr>
      </w:pPr>
    </w:p>
    <w:p>
      <w:pPr>
        <w:ind w:right="2099" w:firstLine="2002"/>
        <w:spacing w:after="0" w:line="237" w:lineRule="auto"/>
        <w:rPr>
          <w:sz w:val="20"/>
          <w:szCs w:val="20"/>
          <w:color w:val="auto"/>
        </w:rPr>
      </w:pPr>
      <w:r>
        <w:rPr>
          <w:rFonts w:ascii="Courier New" w:cs="Courier New" w:eastAsia="Courier New" w:hAnsi="Courier New"/>
          <w:sz w:val="18"/>
          <w:szCs w:val="18"/>
          <w:color w:val="auto"/>
        </w:rPr>
        <w:t>On Tuesday, September 15, 1998, upon the recommendation of the Registrant's Audit Committee, the Board of Directors of the Registrant resolved that the Registrant would retain Arthur Andersen LLP as the Registrant's independent accountants.</w:t>
      </w:r>
    </w:p>
    <w:p>
      <w:pPr>
        <w:spacing w:after="0" w:line="207" w:lineRule="exact"/>
        <w:rPr>
          <w:sz w:val="24"/>
          <w:szCs w:val="24"/>
          <w:color w:val="auto"/>
        </w:rPr>
      </w:pPr>
    </w:p>
    <w:p>
      <w:pPr>
        <w:ind w:right="1879" w:firstLine="2002"/>
        <w:spacing w:after="0" w:line="237" w:lineRule="auto"/>
        <w:rPr>
          <w:sz w:val="20"/>
          <w:szCs w:val="20"/>
          <w:color w:val="auto"/>
        </w:rPr>
      </w:pPr>
      <w:r>
        <w:rPr>
          <w:rFonts w:ascii="Courier New" w:cs="Courier New" w:eastAsia="Courier New" w:hAnsi="Courier New"/>
          <w:sz w:val="18"/>
          <w:szCs w:val="18"/>
          <w:color w:val="auto"/>
        </w:rPr>
        <w:t>The reports of PricewaterhouseCoopers LLP ("PwC") on the consolidated financial statements of the Registrant as of December 31, 1997 and 1996 and for the three years in the period ended December 31, 1997, included in the Registrant's annual report on Form 10-K contained no adverse opinion or disclaimer of opinion and were not qualified as to uncertainty, audit scope or accounting principles.</w:t>
      </w:r>
    </w:p>
    <w:p>
      <w:pPr>
        <w:spacing w:after="0" w:line="210" w:lineRule="exact"/>
        <w:rPr>
          <w:sz w:val="24"/>
          <w:szCs w:val="24"/>
          <w:color w:val="auto"/>
        </w:rPr>
      </w:pPr>
    </w:p>
    <w:p>
      <w:pPr>
        <w:ind w:right="1779" w:firstLine="2002"/>
        <w:spacing w:after="0" w:line="237" w:lineRule="auto"/>
        <w:rPr>
          <w:sz w:val="20"/>
          <w:szCs w:val="20"/>
          <w:color w:val="auto"/>
        </w:rPr>
      </w:pPr>
      <w:r>
        <w:rPr>
          <w:rFonts w:ascii="Courier New" w:cs="Courier New" w:eastAsia="Courier New" w:hAnsi="Courier New"/>
          <w:sz w:val="18"/>
          <w:szCs w:val="18"/>
          <w:color w:val="auto"/>
        </w:rPr>
        <w:t>The decision to change independent accountants was made by the Registrant's Audit Committee and approved by its Board of Directors. Arthur Andersen LLP was previously the independent accountants of Waste Management Holdings, Inc. (formerly known as Waste Management, Inc.). In July 1998, a subsidiary of the Registrant was merged with and into Waste Management Holdings, Inc.</w:t>
      </w:r>
    </w:p>
    <w:p>
      <w:pPr>
        <w:spacing w:after="0" w:line="210" w:lineRule="exact"/>
        <w:rPr>
          <w:sz w:val="24"/>
          <w:szCs w:val="24"/>
          <w:color w:val="auto"/>
        </w:rPr>
      </w:pPr>
    </w:p>
    <w:p>
      <w:pPr>
        <w:ind w:right="1879" w:firstLine="2002"/>
        <w:spacing w:after="0" w:line="275" w:lineRule="auto"/>
        <w:rPr>
          <w:sz w:val="20"/>
          <w:szCs w:val="20"/>
          <w:color w:val="auto"/>
        </w:rPr>
      </w:pPr>
      <w:r>
        <w:rPr>
          <w:rFonts w:ascii="Courier New" w:cs="Courier New" w:eastAsia="Courier New" w:hAnsi="Courier New"/>
          <w:sz w:val="16"/>
          <w:szCs w:val="16"/>
          <w:color w:val="auto"/>
        </w:rPr>
        <w:t>During the fiscal years ended December 31, 1997 and December 31, 1996 and the six-month period ending June 30, 1998, there have been no disagreements with PwC on any matter of accounting principles or practices, financial statement disclosure, or auditing scope or procedure, which</w:t>
      </w:r>
    </w:p>
    <w:p>
      <w:pPr>
        <w:sectPr>
          <w:pgSz w:w="11900" w:h="16853" w:orient="portrait"/>
          <w:cols w:equalWidth="0" w:num="1">
            <w:col w:w="10219"/>
          </w:cols>
          <w:pgMar w:left="240" w:top="1257" w:right="1440" w:bottom="0" w:gutter="0" w:footer="0" w:header="0"/>
        </w:sectPr>
      </w:pPr>
    </w:p>
    <w:bookmarkStart w:id="1" w:name="page2"/>
    <w:bookmarkEnd w:id="1"/>
    <w:p>
      <w:pPr>
        <w:ind w:right="1879"/>
        <w:spacing w:after="0" w:line="236" w:lineRule="auto"/>
        <w:rPr>
          <w:sz w:val="20"/>
          <w:szCs w:val="20"/>
          <w:color w:val="auto"/>
        </w:rPr>
      </w:pPr>
      <w:r>
        <w:rPr>
          <w:rFonts w:ascii="Courier New" w:cs="Courier New" w:eastAsia="Courier New" w:hAnsi="Courier New"/>
          <w:sz w:val="18"/>
          <w:szCs w:val="18"/>
          <w:color w:val="auto"/>
        </w:rPr>
        <w:t>disagreements if not resolved to the satisfaction of PwC would have caused them to make reference thereto in their report on the consolidated financial statements for such periods.</w:t>
      </w:r>
    </w:p>
    <w:p>
      <w:pPr>
        <w:spacing w:after="0" w:line="209" w:lineRule="exact"/>
        <w:rPr>
          <w:sz w:val="20"/>
          <w:szCs w:val="20"/>
          <w:color w:val="auto"/>
        </w:rPr>
      </w:pPr>
    </w:p>
    <w:p>
      <w:pPr>
        <w:ind w:right="1779" w:firstLine="2002"/>
        <w:spacing w:after="0" w:line="236" w:lineRule="auto"/>
        <w:rPr>
          <w:sz w:val="20"/>
          <w:szCs w:val="20"/>
          <w:color w:val="auto"/>
        </w:rPr>
      </w:pPr>
      <w:r>
        <w:rPr>
          <w:rFonts w:ascii="Courier New" w:cs="Courier New" w:eastAsia="Courier New" w:hAnsi="Courier New"/>
          <w:sz w:val="18"/>
          <w:szCs w:val="18"/>
          <w:color w:val="auto"/>
        </w:rPr>
        <w:t>During the periods described in the preceding sentence, there have been no reportable events (as defined in Regulation S-K, Item 304(a)(1)(v)).</w:t>
      </w:r>
    </w:p>
    <w:p>
      <w:pPr>
        <w:spacing w:after="0" w:line="209" w:lineRule="exact"/>
        <w:rPr>
          <w:sz w:val="20"/>
          <w:szCs w:val="20"/>
          <w:color w:val="auto"/>
        </w:rPr>
      </w:pPr>
    </w:p>
    <w:p>
      <w:pPr>
        <w:ind w:right="1879" w:firstLine="2002"/>
        <w:spacing w:after="0" w:line="237" w:lineRule="auto"/>
        <w:rPr>
          <w:sz w:val="20"/>
          <w:szCs w:val="20"/>
          <w:color w:val="auto"/>
        </w:rPr>
      </w:pPr>
      <w:r>
        <w:rPr>
          <w:rFonts w:ascii="Courier New" w:cs="Courier New" w:eastAsia="Courier New" w:hAnsi="Courier New"/>
          <w:sz w:val="18"/>
          <w:szCs w:val="18"/>
          <w:color w:val="auto"/>
        </w:rPr>
        <w:t>The Registrant has requested that PwC furnish it with a letter addressed to the Securities and Exchange Commission stating whether or not it agrees with the above statements. A copy of such letter, dated September 16, 1998, is filed as Exhibit 16.1 to this Form 8-K.</w:t>
      </w:r>
    </w:p>
    <w:p>
      <w:pPr>
        <w:spacing w:after="0" w:line="202"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independent accountants</w:t>
      </w:r>
    </w:p>
    <w:p>
      <w:pPr>
        <w:spacing w:after="0" w:line="207" w:lineRule="exact"/>
        <w:rPr>
          <w:sz w:val="20"/>
          <w:szCs w:val="20"/>
          <w:color w:val="auto"/>
        </w:rPr>
      </w:pPr>
    </w:p>
    <w:p>
      <w:pPr>
        <w:ind w:right="1879" w:firstLine="2002"/>
        <w:spacing w:after="0" w:line="237" w:lineRule="auto"/>
        <w:rPr>
          <w:sz w:val="20"/>
          <w:szCs w:val="20"/>
          <w:color w:val="auto"/>
        </w:rPr>
      </w:pPr>
      <w:r>
        <w:rPr>
          <w:rFonts w:ascii="Courier New" w:cs="Courier New" w:eastAsia="Courier New" w:hAnsi="Courier New"/>
          <w:sz w:val="18"/>
          <w:szCs w:val="18"/>
          <w:color w:val="auto"/>
        </w:rPr>
        <w:t>On September 15, 1998, upon the recommendation of the Registrant's Audit Committee, the Board of Directors of the Registrant resolved to engage Arthur Andersen LLP as its new independent accountants to audit the Registrant's financial statements. On August 10, 1998, the Registrant engaged Arthur Andersen LLP as independent accountants in</w:t>
      </w:r>
    </w:p>
    <w:p>
      <w:pPr>
        <w:sectPr>
          <w:pgSz w:w="11900" w:h="16838" w:orient="portrait"/>
          <w:cols w:equalWidth="0" w:num="1">
            <w:col w:w="10219"/>
          </w:cols>
          <w:pgMar w:left="240" w:top="142" w:right="1440" w:bottom="1440" w:gutter="0" w:footer="0" w:header="0"/>
        </w:sectPr>
      </w:pPr>
    </w:p>
    <w:bookmarkStart w:id="2" w:name="page3"/>
    <w:bookmarkEnd w:id="2"/>
    <w:p>
      <w:pPr>
        <w:ind w:left="42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connection with the preparation of supplemental financial statements as of December 31, 1997 and 1996 and for the three years in the period ended December 31, 1997, which present the consummation of the merger of a wholly owned subsidiary of the Registrant with and into Waste Management Holdings, Inc. (formerly known as Waste Management, Inc.) and the delivery of a letter in connection with the proposed merger of a wholly owned subsidiary of Registrant with and into Eastern Environmental Services, Inc. as to whether such merger will qualify for "pooling of interests" accounting treatment.</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left="1900" w:right="3679" w:hanging="944"/>
        <w:spacing w:after="0" w:line="470"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 Not applicable.</w:t>
      </w:r>
    </w:p>
    <w:p>
      <w:pPr>
        <w:spacing w:after="0" w:line="11" w:lineRule="exact"/>
        <w:rPr>
          <w:rFonts w:ascii="Courier New" w:cs="Courier New" w:eastAsia="Courier New" w:hAnsi="Courier New"/>
          <w:sz w:val="18"/>
          <w:szCs w:val="18"/>
          <w:color w:val="auto"/>
        </w:rPr>
      </w:pPr>
    </w:p>
    <w:p>
      <w:pPr>
        <w:ind w:left="1900" w:right="4939" w:hanging="944"/>
        <w:spacing w:after="0" w:line="470"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Not applicable.</w:t>
      </w:r>
    </w:p>
    <w:p>
      <w:pPr>
        <w:spacing w:after="0" w:line="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860" w:right="3039" w:hanging="94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16.1Letter from PricewaterhouseCoopers LLP to the Securities and Exchange Commission regarding the change in the Registrant's certifying accountant.</w:t>
      </w:r>
    </w:p>
    <w:p>
      <w:pPr>
        <w:sectPr>
          <w:pgSz w:w="11900" w:h="16838" w:orient="portrait"/>
          <w:cols w:equalWidth="0" w:num="1">
            <w:col w:w="10219"/>
          </w:cols>
          <w:pgMar w:left="240" w:top="919" w:right="1440" w:bottom="1440" w:gutter="0" w:footer="0" w:header="0"/>
        </w:sectPr>
      </w:pPr>
    </w:p>
    <w:bookmarkStart w:id="3" w:name="page4"/>
    <w:bookmarkEnd w:id="3"/>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tabs>
          <w:tab w:leader="none" w:pos="104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060" w:right="3999" w:hanging="1052"/>
        <w:spacing w:after="0" w:line="279" w:lineRule="auto"/>
        <w:tabs>
          <w:tab w:leader="none" w:pos="104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6"/>
          <w:szCs w:val="16"/>
          <w:color w:val="auto"/>
        </w:rPr>
        <w:t>Letter from PricewaterhouseCoopers LLP to the Securities and Exchange Commission regarding the change in the Registrant's certifying accountant.</w:t>
      </w:r>
    </w:p>
    <w:p>
      <w:pPr>
        <w:sectPr>
          <w:pgSz w:w="11900" w:h="16838" w:orient="portrait"/>
          <w:cols w:equalWidth="0" w:num="1">
            <w:col w:w="10219"/>
          </w:cols>
          <w:pgMar w:left="240" w:top="919"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September 22, 1998</w:t>
      </w:r>
    </w:p>
    <w:tbl>
      <w:tblPr>
        <w:tblLayout w:type="fixed"/>
        <w:tblInd w:w="3480" w:type="dxa"/>
        <w:tblCellMar>
          <w:top w:w="0" w:type="dxa"/>
          <w:left w:w="0" w:type="dxa"/>
          <w:bottom w:w="0" w:type="dxa"/>
          <w:right w:w="0" w:type="dxa"/>
        </w:tblCellMar>
      </w:tblPr>
      <w:tr>
        <w:trPr>
          <w:trHeight w:val="203"/>
        </w:trPr>
        <w:tc>
          <w:tcPr>
            <w:tcW w:w="1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WASTE MANAGEMENT,</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810"/>
        </w:trPr>
        <w:tc>
          <w:tcPr>
            <w:tcW w:w="900" w:type="dxa"/>
            <w:vAlign w:val="bottom"/>
          </w:tcPr>
          <w:p>
            <w:pPr>
              <w:ind w:left="320"/>
              <w:spacing w:after="0"/>
              <w:rPr>
                <w:sz w:val="20"/>
                <w:szCs w:val="20"/>
                <w:color w:val="auto"/>
              </w:rPr>
            </w:pPr>
            <w:r>
              <w:rPr>
                <w:rFonts w:ascii="Courier New" w:cs="Courier New" w:eastAsia="Courier New" w:hAnsi="Courier New"/>
                <w:sz w:val="18"/>
                <w:szCs w:val="18"/>
                <w:color w:val="auto"/>
              </w:rPr>
              <w:t>/s/</w:t>
            </w:r>
          </w:p>
        </w:tc>
        <w:tc>
          <w:tcPr>
            <w:tcW w:w="3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Gregory T. Sangalis</w:t>
            </w: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3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Gregory T. Sangalis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Senior</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Vice President and Secretary</w:t>
            </w:r>
          </w:p>
        </w:tc>
      </w:tr>
    </w:tbl>
    <w:p>
      <w:pPr>
        <w:sectPr>
          <w:pgSz w:w="11900" w:h="16838" w:orient="portrait"/>
          <w:cols w:equalWidth="0" w:num="1">
            <w:col w:w="10219"/>
          </w:cols>
          <w:pgMar w:left="240" w:top="1122"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8"/>
          <w:szCs w:val="18"/>
          <w:color w:val="auto"/>
        </w:rPr>
        <w:t>Exhibit 16.1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w:t>
      </w:r>
    </w:p>
    <w:p>
      <w:pPr>
        <w:spacing w:after="0" w:line="201"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PricewaterhouseCoopers</w:t>
      </w:r>
    </w:p>
    <w:p>
      <w:pPr>
        <w:jc w:val="right"/>
        <w:ind w:right="2519"/>
        <w:spacing w:after="0" w:line="238" w:lineRule="auto"/>
        <w:rPr>
          <w:sz w:val="20"/>
          <w:szCs w:val="20"/>
          <w:color w:val="auto"/>
        </w:rPr>
      </w:pPr>
      <w:r>
        <w:rPr>
          <w:rFonts w:ascii="Courier New" w:cs="Courier New" w:eastAsia="Courier New" w:hAnsi="Courier New"/>
          <w:sz w:val="18"/>
          <w:szCs w:val="18"/>
          <w:color w:val="auto"/>
        </w:rPr>
        <w:t>1100 Louisiana Street</w:t>
      </w:r>
    </w:p>
    <w:p>
      <w:pPr>
        <w:jc w:val="right"/>
        <w:ind w:right="2519"/>
        <w:spacing w:after="0"/>
        <w:rPr>
          <w:sz w:val="20"/>
          <w:szCs w:val="20"/>
          <w:color w:val="auto"/>
        </w:rPr>
      </w:pPr>
      <w:r>
        <w:rPr>
          <w:rFonts w:ascii="Courier New" w:cs="Courier New" w:eastAsia="Courier New" w:hAnsi="Courier New"/>
          <w:sz w:val="18"/>
          <w:szCs w:val="18"/>
          <w:color w:val="auto"/>
        </w:rPr>
        <w:t>Suite 4100</w:t>
      </w:r>
    </w:p>
    <w:p>
      <w:pPr>
        <w:jc w:val="right"/>
        <w:ind w:right="2519"/>
        <w:spacing w:after="0" w:line="237" w:lineRule="auto"/>
        <w:rPr>
          <w:sz w:val="20"/>
          <w:szCs w:val="20"/>
          <w:color w:val="auto"/>
        </w:rPr>
      </w:pPr>
      <w:r>
        <w:rPr>
          <w:rFonts w:ascii="Courier New" w:cs="Courier New" w:eastAsia="Courier New" w:hAnsi="Courier New"/>
          <w:sz w:val="18"/>
          <w:szCs w:val="18"/>
          <w:color w:val="auto"/>
        </w:rPr>
        <w:t>Houston TX 77002</w:t>
      </w:r>
    </w:p>
    <w:p>
      <w:pPr>
        <w:jc w:val="right"/>
        <w:ind w:right="2519"/>
        <w:spacing w:after="0" w:line="238" w:lineRule="auto"/>
        <w:rPr>
          <w:sz w:val="20"/>
          <w:szCs w:val="20"/>
          <w:color w:val="auto"/>
        </w:rPr>
      </w:pPr>
      <w:r>
        <w:rPr>
          <w:rFonts w:ascii="Courier New" w:cs="Courier New" w:eastAsia="Courier New" w:hAnsi="Courier New"/>
          <w:sz w:val="18"/>
          <w:szCs w:val="18"/>
          <w:color w:val="auto"/>
        </w:rPr>
        <w:t>Telephone (713) 757 5200</w:t>
      </w:r>
    </w:p>
    <w:p>
      <w:pPr>
        <w:jc w:val="right"/>
        <w:ind w:right="2519"/>
        <w:spacing w:after="0"/>
        <w:rPr>
          <w:sz w:val="20"/>
          <w:szCs w:val="20"/>
          <w:color w:val="auto"/>
        </w:rPr>
      </w:pPr>
      <w:r>
        <w:rPr>
          <w:rFonts w:ascii="Courier New" w:cs="Courier New" w:eastAsia="Courier New" w:hAnsi="Courier New"/>
          <w:sz w:val="18"/>
          <w:szCs w:val="18"/>
          <w:color w:val="auto"/>
        </w:rPr>
        <w:t>Facsimile (713) 757 5249</w:t>
      </w:r>
    </w:p>
    <w:p>
      <w:pPr>
        <w:spacing w:after="0" w:line="237" w:lineRule="auto"/>
        <w:rPr>
          <w:sz w:val="20"/>
          <w:szCs w:val="20"/>
          <w:color w:val="auto"/>
        </w:rPr>
      </w:pPr>
      <w:r>
        <w:rPr>
          <w:rFonts w:ascii="Courier New" w:cs="Courier New" w:eastAsia="Courier New" w:hAnsi="Courier New"/>
          <w:sz w:val="18"/>
          <w:szCs w:val="18"/>
          <w:color w:val="auto"/>
        </w:rPr>
        <w:t>September 16,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read the statements made by Waste Management, Inc. (copy attached), which we understand will be filed with the Commission, pursuant to Item 4 of Form 8-K, as part of the Company's Form 8-K report dated September 15, 1998. We agree with the statements concerning our Firm in such Form 8-K.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2019-12-20T01:32:44Z</dcterms:created>
  <dcterms:modified xsi:type="dcterms:W3CDTF">2019-12-20T01:32:44Z</dcterms:modified>
</cp:coreProperties>
</file>