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27,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540385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October 27, 2005, Waste Management, Inc. (the “Company”) issued a press release announcing its earnings for the fiscal quarter ended September 30, 2005. On the same date, the Company held a conference call, which was open to the public, to discuss these results. A copy of the press release is attached hereto as exhibit 99.1. A replay of the conference call is available beginning at approximately 11:00 a.m. central time on October 28</w:t>
      </w:r>
      <w:r>
        <w:rPr>
          <w:rFonts w:ascii="Arial" w:cs="Arial" w:eastAsia="Arial" w:hAnsi="Arial"/>
          <w:sz w:val="15"/>
          <w:szCs w:val="15"/>
          <w:color w:val="auto"/>
        </w:rPr>
        <w:t>th</w:t>
      </w:r>
      <w:r>
        <w:rPr>
          <w:rFonts w:ascii="Arial" w:cs="Arial" w:eastAsia="Arial" w:hAnsi="Arial"/>
          <w:sz w:val="18"/>
          <w:szCs w:val="18"/>
          <w:color w:val="auto"/>
        </w:rPr>
        <w:t xml:space="preserve"> through 5:00 p.m. central time on November 10</w:t>
      </w:r>
      <w:r>
        <w:rPr>
          <w:rFonts w:ascii="Arial" w:cs="Arial" w:eastAsia="Arial" w:hAnsi="Arial"/>
          <w:sz w:val="15"/>
          <w:szCs w:val="15"/>
          <w:color w:val="auto"/>
        </w:rPr>
        <w:t>th</w:t>
      </w:r>
      <w:r>
        <w:rPr>
          <w:rFonts w:ascii="Arial" w:cs="Arial" w:eastAsia="Arial" w:hAnsi="Arial"/>
          <w:sz w:val="18"/>
          <w:szCs w:val="18"/>
          <w:color w:val="auto"/>
        </w:rPr>
        <w:t>. The replay of the call may be heard over the Internet, by accessing the Company’s website at www.wm.com, or by telephone by dialing 800-642-1687 and entering conference code 9843424.</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disclosing on its earnings conference call for the third quarter of 2005 the following non-GAAP financial measures: (i) free cash flow;</w:t>
      </w:r>
    </w:p>
    <w:p>
      <w:pPr>
        <w:spacing w:after="0" w:line="35" w:lineRule="exact"/>
        <w:rPr>
          <w:sz w:val="20"/>
          <w:szCs w:val="20"/>
          <w:color w:val="auto"/>
        </w:rPr>
      </w:pPr>
    </w:p>
    <w:p>
      <w:pPr>
        <w:ind w:right="80" w:firstLine="8"/>
        <w:spacing w:after="0" w:line="252"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earnings per share growth, (iii) adjusted income from operations as a percentage of revenue (or adjusted EBIT margins), and (iv) adjusted EBITDA margins. The Company’s calculation of EBIT, or earnings before interest and tax, is the same measure as income from operations as presented on the Company’s income statement. EBIT margin represents total operating income as a percentage of revenue. The Company believes that providing investors with these non-GAAP financial measures gives investors additional information to enable them to assess, in the way management assesses, the Company’s current and continuing operations. Investors are urged to take into account GAAP measures as well as non-GAAP measures in evaluating the Company. Whenever the Company uses a non-GAAP financial measure, it provides a reconciliation of such measure to what it believes to be the most closely comparable GAAP financial measure.</w:t>
      </w:r>
    </w:p>
    <w:p>
      <w:pPr>
        <w:spacing w:after="0" w:line="85"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 reconciliation of (x) free cash flow to the Company’s GAAP reported cash flows from operating activities, which is the most comparable GAAP financial measure, (y) adjusted earnings per share to the Company’s GAAP reported earnings per share, and (z) adjusted income from operations to the Company’s GAAP reported income from operations, and corresponding income from operations as a percentage of revenue (or EBIT margin) calculations are included in the schedules to the press release that is attached to this Form 8-K as Exhibit 99.1. The Company’s reconciliation of the non-GAAP measure of adjusted EBITDA margins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 defines EBITDA as earnings before interest, tax, depreciation and amortization and calculates that measure by adding depreciation and amortization charges back to income from operations. EBITDA margin represents EBITDA, as defined, as a percentage of operating revenues. On the earnings call, the Company will disclose that its EBITDA margin increased by nearly 100 basis points to 25.6 percent in the third quarter of 2005 from the prior year quarter, after adjusting to exclude the impact of restructuring charges and assets impairment and unusual items. The following table reconciles these non-GAAP financial measures to their comparable GAAP financial measures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 back Depreciation and Amortization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EBITDA: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impairments and unusual items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864</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3,274</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Adjusted EBITDA Margin</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On October 27, 2005, the Company issued a press release (the “Increased Dividend Release”) announcing that the Company’s Board of Directors had approved a 10% increase in its quarterly dividend, raising the amount to $0.22 per share compared to the $0.20 per share paid in 2005. Beginning in the first quarter of 2006, the Company expects to increase its quarterly dividends to a total of $0.88 per share per year, which would be an increase of $0.08 per share per year compared to the dividends declared in 2005. A copy of the Increased Dividend Release is attached hereto as Exhibit 99.2.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Earnings Release dated October 27,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99.2 Increased Dividend Release dated October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27, 2005</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956"/>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40" w:type="dxa"/>
            <w:vAlign w:val="bottom"/>
          </w:tcPr>
          <w:p>
            <w:pPr>
              <w:spacing w:after="0"/>
              <w:rPr>
                <w:sz w:val="24"/>
                <w:szCs w:val="2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195"/>
        </w:trPr>
        <w:tc>
          <w:tcPr>
            <w:tcW w:w="1200" w:type="dxa"/>
            <w:vAlign w:val="bottom"/>
          </w:tcPr>
          <w:p>
            <w:pPr>
              <w:jc w:val="center"/>
              <w:spacing w:after="0" w:line="195" w:lineRule="exact"/>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16"/>
                <w:szCs w:val="16"/>
                <w:color w:val="auto"/>
              </w:rPr>
            </w:pPr>
          </w:p>
        </w:tc>
        <w:tc>
          <w:tcPr>
            <w:tcW w:w="9680" w:type="dxa"/>
            <w:vAlign w:val="bottom"/>
            <w:gridSpan w:val="3"/>
          </w:tcPr>
          <w:p>
            <w:pPr>
              <w:spacing w:after="0" w:line="195" w:lineRule="exact"/>
              <w:rPr>
                <w:sz w:val="20"/>
                <w:szCs w:val="20"/>
                <w:color w:val="auto"/>
              </w:rPr>
            </w:pPr>
            <w:r>
              <w:rPr>
                <w:rFonts w:ascii="Arial" w:cs="Arial" w:eastAsia="Arial" w:hAnsi="Arial"/>
                <w:sz w:val="18"/>
                <w:szCs w:val="18"/>
                <w:color w:val="auto"/>
              </w:rPr>
              <w:t>Earnings Release dated October 27, 2005</w:t>
            </w: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54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Increased Dividend Release dated October 27, 2005</w:t>
            </w:r>
          </w:p>
        </w:tc>
      </w:tr>
    </w:tbl>
    <w:p>
      <w:pPr>
        <w:sectPr>
          <w:pgSz w:w="11900" w:h="16838" w:orient="portrait"/>
          <w:cols w:equalWidth="0" w:num="1">
            <w:col w:w="11420"/>
          </w:cols>
          <w:pgMar w:left="240" w:top="1243"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220980</wp:posOffset>
            </wp:positionV>
            <wp:extent cx="164655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For Further Information:</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Waste Management,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Analysts: Greg Nikkel — 713.265.1358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Media: Lynn Brown — 713.394.5093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Web site: http://www.WM.com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#05-20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Third Quarter 2005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Revenue Growth on Base Business From Yield Reaches Five-Year High of 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and Selling, General and Administrative Expenses Decline as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Percent of Revenue</w:t>
      </w:r>
    </w:p>
    <w:p>
      <w:pPr>
        <w:spacing w:after="0" w:line="20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HOUSTON — October 27, 2005 — </w:t>
      </w:r>
      <w:r>
        <w:rPr>
          <w:rFonts w:ascii="Arial" w:cs="Arial" w:eastAsia="Arial" w:hAnsi="Arial"/>
          <w:sz w:val="17"/>
          <w:szCs w:val="17"/>
          <w:color w:val="auto"/>
        </w:rPr>
        <w:t>Waste Management, Inc. (NYSE: WMI) today announced financial results for its third quarter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2005. Revenues for the quarter were $3.38 billion as compared with $3.27 billion in the year ago period, an increase of 3.1%. Net income for the quarter was $215 million, or $0.38 per diluted share, compared with $302 million, or $0.52 per diluted share, in the prior year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several items that impacted the results for the current quarter:</w:t>
      </w:r>
    </w:p>
    <w:p>
      <w:pPr>
        <w:spacing w:after="0" w:line="117" w:lineRule="exact"/>
        <w:rPr>
          <w:sz w:val="20"/>
          <w:szCs w:val="20"/>
          <w:color w:val="auto"/>
        </w:rPr>
      </w:pPr>
    </w:p>
    <w:p>
      <w:pPr>
        <w:ind w:left="660" w:right="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After-tax asset impairments and unusual items of $61 million due primarily to the impairment of revenue management software applications that had previously been under development and the settlement of legacy litigation relating to former officers. These two items were previously disclosed in separate Company current report filings on Form 8-K.</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After-tax restructuring charges of $19 million due to the workforce reduction announced in late July.</w:t>
      </w:r>
    </w:p>
    <w:p>
      <w:pPr>
        <w:spacing w:after="0" w:line="130" w:lineRule="exact"/>
        <w:rPr>
          <w:rFonts w:ascii="Arial" w:cs="Arial" w:eastAsia="Arial" w:hAnsi="Arial"/>
          <w:sz w:val="18"/>
          <w:szCs w:val="18"/>
          <w:b w:val="1"/>
          <w:bCs w:val="1"/>
          <w:color w:val="auto"/>
        </w:rPr>
      </w:pPr>
    </w:p>
    <w:p>
      <w:pPr>
        <w:ind w:left="660" w:right="120" w:hanging="436"/>
        <w:spacing w:after="0" w:line="28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An after-tax non-cash expense of $16 million in additional amortization cost. Similar to many other publicly traded companies, Waste Management made an accounting adjustment to reflect the length of the lease or operating contract at five landfills. These adjustments were cumulative corrections that increased expenses in the current quarter. The amounts were not material for any prior periods.</w:t>
      </w:r>
    </w:p>
    <w:p>
      <w:pPr>
        <w:spacing w:after="0" w:line="70"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$43 million reduction in income tax expense primarily resulting from favorable tax audit settlements.</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$13 million benefit from reducing the estimated effective tax rate for 2005 from 29.5% to 27.75%. The revision to the effective tax rate results from the impact of lower book income resulting from the third quarter charges listed above.</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Combined, these items decreased third quarter 2005 after-tax earnings by $40 million, or $0.07 per diluted share. Without the impact of these items, net income for the quarter would have been $255 million, or $0.45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both"/>
        <w:ind w:right="360"/>
        <w:spacing w:after="0" w:line="312" w:lineRule="auto"/>
        <w:rPr>
          <w:sz w:val="20"/>
          <w:szCs w:val="20"/>
          <w:color w:val="auto"/>
        </w:rPr>
      </w:pPr>
      <w:r>
        <w:rPr>
          <w:rFonts w:ascii="Arial" w:cs="Arial" w:eastAsia="Arial" w:hAnsi="Arial"/>
          <w:sz w:val="16"/>
          <w:szCs w:val="16"/>
          <w:color w:val="auto"/>
        </w:rPr>
        <w:t>The prior year’s third quarter earnings included an after-tax benefit of $71 million, or $0.12 per diluted share, from favorable tax audit settlements and an after-tax benefit of $1 million from restructuring and asset impairments and unusual items. Without the favorable impact of the tax audit settlements and restructuring and asset impairments and unusual items, net income in last year’s quarter would have been $230 million, or $0.40 per diluted share.</w:t>
      </w:r>
    </w:p>
    <w:p>
      <w:pPr>
        <w:spacing w:after="0" w:line="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Excluding the impact of these items in the current and prior year quarters, earnings per share grew 12.5% and income from operations as a percent of revenue grew by approximately 120 basis points </w:t>
      </w:r>
      <w:r>
        <w:rPr>
          <w:rFonts w:ascii="Arial" w:cs="Arial" w:eastAsia="Arial" w:hAnsi="Arial"/>
          <w:sz w:val="15"/>
          <w:szCs w:val="15"/>
          <w:color w:val="auto"/>
        </w:rPr>
        <w:t>(a)</w:t>
      </w:r>
      <w:r>
        <w:rPr>
          <w:rFonts w:ascii="Arial" w:cs="Arial" w:eastAsia="Arial" w:hAnsi="Arial"/>
          <w:sz w:val="18"/>
          <w:szCs w:val="18"/>
          <w:color w:val="auto"/>
        </w:rPr>
        <w:t>.</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goals at Waste Management are solid earnings growth, margin expansion and increased free cash flow that we can return to shareholders. In the third quarter we delivered on all of those goals, due to strong pricing and operational savings,” said David P. Steiner, Chief Executive Officer of Waste Management.</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internal revenue growth from yield on base business increased 2.7% in the third quarter compared with the prior year quarter as we continued to produce strong results from our pricing excellence initiatives. This is the highest level we have achieved in years and it marks the third consecutive quarter in which internal revenue growth from yield has exceeded 2%. If we include the $50 million we obtained through our redesigned fuel surcharge program, internal revenue growth from yield was 4.3%. Internal revenue growth from volumes fell 1.6% in our base business due primarily to the absence of significant hurricane related clean-up volumes which existed in the third quarter of 2004. Our pricing excellence programs have also contributed to lower collection volumes, but the 2.7% in revenue growth from yield more than offsets this decline.</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improved our cost results as a percent of revenue, which is particularly gratifying given the sharp increase we have seen in diesel fuel prices. Operating expenses as a percent of revenue improved by 50 basis points as compared with the prior year quarter. Selling, general and administrative expenses as a percent of revenue also improved by 50 basis points versus last year’s quarter.</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produced free cash flow</w:t>
      </w:r>
      <w:r>
        <w:rPr>
          <w:rFonts w:ascii="Arial" w:cs="Arial" w:eastAsia="Arial" w:hAnsi="Arial"/>
          <w:sz w:val="15"/>
          <w:szCs w:val="15"/>
          <w:color w:val="auto"/>
        </w:rPr>
        <w:t>(a)</w:t>
      </w:r>
      <w:r>
        <w:rPr>
          <w:rFonts w:ascii="Arial" w:cs="Arial" w:eastAsia="Arial" w:hAnsi="Arial"/>
          <w:sz w:val="18"/>
          <w:szCs w:val="18"/>
          <w:color w:val="auto"/>
        </w:rPr>
        <w:t xml:space="preserve"> of $385 million in the quarter, bringing us to $1.12 billion through the first nine months of the year. We continued our commitment to return cash to our shareholders by purchasing $295 million of shares in the quarter and paying $111 million in cash dividends. In addition, we have announced a 10% increase to our quarterly dividend program for 2006.</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“Moreover, we were able to settle our ongoing defense cost obligations to certain former officers of the old Waste Management in connection with their settlement of legacy litigation brought against them by the Securities and Exchange Commission. Our portion of the total settlement fund was $26.8 million and we worked to obtain a court order that $27.5 million of the settlement fund would be distributed to our shareholders. That distribution will be made to our shareholders of record as of August 25, 2005. This settlement is good for our shareholders and good for our company going forward.”</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also noted that the impact of hurricanes Katrina and Rita reduced earnings per diluted share by approximately $0.01 in the third quarter of 2005 due to lost revenue and increased operating expenses. During the third quarter of 2004, the Company attributed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million of revenues and $5 million in before tax earnings to the clean-up efforts resulting from the 4 hurricanes that struck Florida during that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12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Operating expenses were 65.2% of revenue, down from 65.7% of revenue in the same period in 2004.</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declined $7 million to $309 million. These costs stood at 9.2% of revenue, down from 9.7% of revenue in the same period in 2004.</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of $623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Free cash flow </w:t>
      </w:r>
      <w:r>
        <w:rPr>
          <w:rFonts w:ascii="Arial" w:cs="Arial" w:eastAsia="Arial" w:hAnsi="Arial"/>
          <w:sz w:val="15"/>
          <w:szCs w:val="15"/>
          <w:color w:val="auto"/>
        </w:rPr>
        <w:t>(a)</w:t>
      </w:r>
      <w:r>
        <w:rPr>
          <w:rFonts w:ascii="Arial" w:cs="Arial" w:eastAsia="Arial" w:hAnsi="Arial"/>
          <w:sz w:val="18"/>
          <w:szCs w:val="18"/>
          <w:color w:val="auto"/>
        </w:rPr>
        <w:t xml:space="preserve"> of $385 million. For the nine-month period, free cash flow was $1.12 billion.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of $272 million.</w:t>
      </w:r>
    </w:p>
    <w:p>
      <w:pPr>
        <w:spacing w:after="0" w:line="130"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of 1.1%, with a positive average growth from yield of 2.7% and a negative average growth from volume of 1.6%. The yield component excludes a 1.3% increase from the combined impact of higher revenues from fuel surcharges, lower recycling commodity prices and slight decreases in electricity rates at Independent Power Production facilities.</w:t>
      </w:r>
    </w:p>
    <w:p>
      <w:pPr>
        <w:spacing w:after="0" w:line="86"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decline in growth from volumes is largely attributable to the absence of significant hurricane related revenues, which added 2.0% in revenue growth from volume during the third quarter of 2004. Acquisitions net of divestitures contributed 0.3% to higher revenues in the quarter and foreign currency translation contributed an additional 0.4%.</w:t>
      </w:r>
    </w:p>
    <w:p>
      <w:pPr>
        <w:spacing w:after="0" w:line="86" w:lineRule="exact"/>
        <w:rPr>
          <w:rFonts w:ascii="Arial" w:cs="Arial" w:eastAsia="Arial" w:hAnsi="Arial"/>
          <w:sz w:val="18"/>
          <w:szCs w:val="18"/>
          <w:b w:val="1"/>
          <w:bCs w:val="1"/>
          <w:color w:val="auto"/>
        </w:rPr>
      </w:pPr>
    </w:p>
    <w:p>
      <w:pPr>
        <w:ind w:left="660" w:right="28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Generated $50 million in additional revenue from our redesigned fuel surcharge program, which recovered nearly all of the increase in direct and indirect fuel costs. Including the effect of our fuel surcharge, revenue growth from yield would have been 4.3% for the quarter.</w:t>
      </w:r>
    </w:p>
    <w:p>
      <w:pPr>
        <w:spacing w:after="0" w:line="51" w:lineRule="exact"/>
        <w:rPr>
          <w:rFonts w:ascii="Arial" w:cs="Arial" w:eastAsia="Arial" w:hAnsi="Arial"/>
          <w:sz w:val="17"/>
          <w:szCs w:val="17"/>
          <w:b w:val="1"/>
          <w:bCs w:val="1"/>
          <w:color w:val="auto"/>
        </w:rPr>
      </w:pPr>
    </w:p>
    <w:p>
      <w:pPr>
        <w:ind w:left="660" w:right="50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$406 million returned to shareholders, consisting of $111 million in cash dividends and $295 million in common stock repurchases. Our share repurchases are on pace to reach the upper end or to slightly exceed our full year objective of $600 to $700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ind w:left="220" w:right="100" w:firstLine="4"/>
        <w:spacing w:after="0" w:line="255" w:lineRule="auto"/>
        <w:tabs>
          <w:tab w:leader="none" w:pos="428" w:val="left"/>
        </w:tabs>
        <w:numPr>
          <w:ilvl w:val="0"/>
          <w:numId w:val="5"/>
        </w:numPr>
        <w:rPr>
          <w:rFonts w:ascii="Arial" w:cs="Arial" w:eastAsia="Arial" w:hAnsi="Arial"/>
          <w:sz w:val="15"/>
          <w:szCs w:val="15"/>
          <w:color w:val="auto"/>
        </w:rPr>
      </w:pPr>
      <w:r>
        <w:rPr>
          <w:rFonts w:ascii="Arial" w:cs="Arial" w:eastAsia="Arial" w:hAnsi="Arial"/>
          <w:sz w:val="18"/>
          <w:szCs w:val="18"/>
          <w:color w:val="auto"/>
        </w:rPr>
        <w:t>This earnings release contains the Company’s (i) earnings per share growth and income from operations as a percentage of revenue (or EBIT margin), both as adjusted to exclude the impact of the restructuring charges, asset impairments and unusual items, adjustments in amortization costs related to landfill leases and contracts, and tax related items described herein, and (ii) “free cash flow”, all of which are non-GAAP financial measures as defined in Regulation G of the Securities Exchange Act of 1934, as amended. The Company’s calculation of EBIT, or earnings before interest and tax, is the same measure as income from operations as presented on the Company’s income statement. EBIT margin represents total operating income as a percentage of revenue. The Company defines free cash flow as:</w:t>
      </w:r>
    </w:p>
    <w:p>
      <w:pPr>
        <w:spacing w:after="0" w:line="85"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definition of EBIT and free cash flow may not be comparable to similarly titled measures presented by other companies.</w:t>
      </w:r>
    </w:p>
    <w:p>
      <w:pPr>
        <w:spacing w:after="0" w:line="117" w:lineRule="exact"/>
        <w:rPr>
          <w:sz w:val="20"/>
          <w:szCs w:val="20"/>
          <w:color w:val="auto"/>
        </w:rPr>
      </w:pPr>
    </w:p>
    <w:p>
      <w:pPr>
        <w:ind w:left="240" w:right="100"/>
        <w:spacing w:after="0" w:line="312" w:lineRule="auto"/>
        <w:rPr>
          <w:sz w:val="20"/>
          <w:szCs w:val="20"/>
          <w:color w:val="auto"/>
        </w:rPr>
      </w:pPr>
      <w:r>
        <w:rPr>
          <w:rFonts w:ascii="Arial" w:cs="Arial" w:eastAsia="Arial" w:hAnsi="Arial"/>
          <w:sz w:val="16"/>
          <w:szCs w:val="16"/>
          <w:color w:val="auto"/>
        </w:rPr>
        <w:t>The Company believes that providing investors with the non-GAAP financial measures of adjusted earnings per share growth and adjusted EBIT margins gives investors additional information to enable them to assess, in the way management assesses, the Company’s current and continuing operations. The Company included the non-GAAP financial measure of free cash flow because it uses that measure in the management of its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240"/>
        <w:spacing w:after="0" w:line="273" w:lineRule="auto"/>
        <w:rPr>
          <w:sz w:val="20"/>
          <w:szCs w:val="20"/>
          <w:color w:val="auto"/>
        </w:rPr>
      </w:pPr>
      <w:r>
        <w:rPr>
          <w:rFonts w:ascii="Arial" w:cs="Arial" w:eastAsia="Arial" w:hAnsi="Arial"/>
          <w:sz w:val="17"/>
          <w:szCs w:val="17"/>
          <w:color w:val="auto"/>
        </w:rPr>
        <w:t>because it believes that investors are interested in the cash produced by the Company from non-financing activities that is available for uses such as the Company’s acquisition program, its share repurchase program, its scheduled debt reduction and the payment of dividends. A reconciliation of (x) free cash flow to the Company’s GAAP reported cash flows from operating activities, which is the most comparable GAAP measure, (y) adjusted earnings per share to the Company’s GAAP reported earnings per share, and (z) adjusted income from operations to the Company’s GAAP reported income from operations, and corresponding income from operations as a percentage of revenue (or EBIT margin) calculations are included in the accompanying schedules. Investors are urged to take into account GAAP measures as well as non-GAAP measures in evaluating the Company.</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and select “3Q2005 Earnings Report Webcast.” You may also listen to the analyst conference call by telephone by contacting the conference call operator 5-10 minutes prior to the scheduled start time and asking for the “Waste Management Conference Call — Call ID 9843424.” US/Canada Dial-In #: (877) 710-6139. Int’l/Local Dial-In #: (706) 643-7398. For those unable to listen to the live call, a replay will be available 24 hours a day beginning at approximately 11:00 a.m. CT October 27</w:t>
      </w:r>
      <w:r>
        <w:rPr>
          <w:rFonts w:ascii="Arial" w:cs="Arial" w:eastAsia="Arial" w:hAnsi="Arial"/>
          <w:sz w:val="15"/>
          <w:szCs w:val="15"/>
          <w:color w:val="auto"/>
        </w:rPr>
        <w:t>th</w:t>
      </w:r>
      <w:r>
        <w:rPr>
          <w:rFonts w:ascii="Arial" w:cs="Arial" w:eastAsia="Arial" w:hAnsi="Arial"/>
          <w:sz w:val="18"/>
          <w:szCs w:val="18"/>
          <w:color w:val="auto"/>
        </w:rPr>
        <w:t xml:space="preserve"> through 5:00 p.m. CT on November 10</w:t>
      </w:r>
      <w:r>
        <w:rPr>
          <w:rFonts w:ascii="Arial" w:cs="Arial" w:eastAsia="Arial" w:hAnsi="Arial"/>
          <w:sz w:val="15"/>
          <w:szCs w:val="15"/>
          <w:color w:val="auto"/>
        </w:rPr>
        <w:t>th</w:t>
      </w:r>
      <w:r>
        <w:rPr>
          <w:rFonts w:ascii="Arial" w:cs="Arial" w:eastAsia="Arial" w:hAnsi="Arial"/>
          <w:sz w:val="18"/>
          <w:szCs w:val="18"/>
          <w:color w:val="auto"/>
        </w:rPr>
        <w:t xml:space="preserve">.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9843424.</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67"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Certain statements contained in this press release include statements that are “forward-looking statements.” Outlined below are some of the risks that the Company faces and that could affect our financial statements for 2005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68" w:lineRule="exact"/>
        <w:rPr>
          <w:sz w:val="20"/>
          <w:szCs w:val="20"/>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effects competition may have on our profitability or cash flows, including the negative impact our price increases may have on volumes or the negative impact to our yield on base business resulting from price roll-backs and lower than average pricing to retain and attract customers;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our inability to maintain or expand margins as volumes increase if we are unable to control variable costs or fixed cost base increases;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our inability to attract or retain qualified personnel, including licensed commercial drivers and truck maintenance professionals, due to any number of factors including qualified workforce shortages;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increases in expenses due to fuel price increases or fuel supply shortages;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 that fluctuating commodity prices may have on our operating revenues and expenses;</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impact that inflation and resulting higher interest rates may have on the economy, such as decreases in volumes of waste generated and increases in financing and operating costs;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inability of our insurers to meet their obligations, which may cause increased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440" w:hanging="436"/>
        <w:spacing w:after="0"/>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 the weather has on our quarter to quarter results, as well as the effect of extremely harsh weather or natural disasters on our operations;</w:t>
      </w:r>
    </w:p>
    <w:p>
      <w:pPr>
        <w:spacing w:after="0" w:line="153" w:lineRule="exact"/>
        <w:rPr>
          <w:rFonts w:ascii="Arial" w:cs="Arial" w:eastAsia="Arial" w:hAnsi="Arial"/>
          <w:sz w:val="16"/>
          <w:szCs w:val="16"/>
          <w:b w:val="1"/>
          <w:bCs w:val="1"/>
          <w:color w:val="auto"/>
        </w:rPr>
      </w:pPr>
    </w:p>
    <w:p>
      <w:pPr>
        <w:ind w:left="440" w:right="14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75"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impact of regulations on our business, including the cost to comply with regulatory requirements and the potential liabilities associated with disposal operations;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our ability to obtain and maintain permits needed to operate our facilities;</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 of limitations or bans on disposal or transportation of out-of-state or cross-border waste or certain categories of waste;</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142" w:lineRule="exact"/>
        <w:rPr>
          <w:rFonts w:ascii="Arial" w:cs="Arial" w:eastAsia="Arial" w:hAnsi="Arial"/>
          <w:sz w:val="17"/>
          <w:szCs w:val="17"/>
          <w:b w:val="1"/>
          <w:bCs w:val="1"/>
          <w:color w:val="auto"/>
        </w:rPr>
      </w:pPr>
    </w:p>
    <w:p>
      <w:pPr>
        <w:ind w:left="44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possible diversions of management’s attention and increases in operating expenses due to efforts by labor unions to organize our employees;</w:t>
      </w:r>
    </w:p>
    <w:p>
      <w:pPr>
        <w:spacing w:after="0" w:line="142" w:lineRule="exact"/>
        <w:rPr>
          <w:rFonts w:ascii="Arial" w:cs="Arial" w:eastAsia="Arial" w:hAnsi="Arial"/>
          <w:sz w:val="17"/>
          <w:szCs w:val="17"/>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outcome of litigation or threatened litigation;</w:t>
      </w:r>
    </w:p>
    <w:p>
      <w:pPr>
        <w:spacing w:after="0" w:line="130" w:lineRule="exact"/>
        <w:rPr>
          <w:rFonts w:ascii="Arial" w:cs="Arial" w:eastAsia="Arial" w:hAnsi="Arial"/>
          <w:sz w:val="18"/>
          <w:szCs w:val="18"/>
          <w:b w:val="1"/>
          <w:bCs w:val="1"/>
          <w:color w:val="auto"/>
        </w:rPr>
      </w:pPr>
    </w:p>
    <w:p>
      <w:pPr>
        <w:ind w:left="440" w:right="100" w:hanging="436"/>
        <w:spacing w:after="0" w:line="342" w:lineRule="auto"/>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reduction or elimination of our dividend or share repurchase program or the need for additional capital if cash flows are less than we expect or capital expenditures are more than we expect, and the possibility that we cannot obtain additional capital on acceptable terms if needed;</w:t>
      </w:r>
    </w:p>
    <w:p>
      <w:pPr>
        <w:spacing w:after="0" w:line="29" w:lineRule="exact"/>
        <w:rPr>
          <w:rFonts w:ascii="Arial" w:cs="Arial" w:eastAsia="Arial" w:hAnsi="Arial"/>
          <w:sz w:val="16"/>
          <w:szCs w:val="16"/>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errors or problems in connection with the implementation and deployment of new information technology systems;</w:t>
      </w:r>
    </w:p>
    <w:p>
      <w:pPr>
        <w:spacing w:after="0" w:line="130"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 and</w:t>
      </w:r>
    </w:p>
    <w:p>
      <w:pPr>
        <w:spacing w:after="0" w:line="75" w:lineRule="exact"/>
        <w:rPr>
          <w:rFonts w:ascii="Arial" w:cs="Arial" w:eastAsia="Arial" w:hAnsi="Arial"/>
          <w:sz w:val="18"/>
          <w:szCs w:val="18"/>
          <w:b w:val="1"/>
          <w:bCs w:val="1"/>
          <w:color w:val="auto"/>
        </w:rPr>
      </w:pPr>
    </w:p>
    <w:p>
      <w:pPr>
        <w:ind w:left="440" w:right="44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our ability to sell under-performing assets or other assets identified for divestiture and upon such sale to realize the full carrying value of such assets.</w:t>
      </w:r>
    </w:p>
    <w:p>
      <w:pPr>
        <w:spacing w:after="0" w:line="62" w:lineRule="exact"/>
        <w:rPr>
          <w:sz w:val="20"/>
          <w:szCs w:val="20"/>
          <w:color w:val="auto"/>
        </w:rPr>
      </w:pPr>
    </w:p>
    <w:p>
      <w:pPr>
        <w:ind w:left="20" w:right="140"/>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2004 and Part II of the Company’s Quarterly Report on Form 10-Q for the quarter ended June 30, 2005.</w:t>
      </w: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Operating (exclusive of depreciation and amortization shown below)</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impairments and unusual items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439"/>
        </w:trPr>
        <w:tc>
          <w:tcPr>
            <w:tcW w:w="5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558.9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0" w:type="dxa"/>
            <w:vAlign w:val="bottom"/>
            <w:vMerge w:val="restart"/>
          </w:tcPr>
          <w:p>
            <w:pPr>
              <w:jc w:val="right"/>
              <w:ind w:right="337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subordinated notes, net of taxes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Effect of using weighted average common shares outstanding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400"/>
              <w:spacing w:after="0" w:line="201" w:lineRule="exact"/>
              <w:rPr>
                <w:sz w:val="20"/>
                <w:szCs w:val="20"/>
                <w:color w:val="auto"/>
              </w:rPr>
            </w:pPr>
            <w:r>
              <w:rPr>
                <w:rFonts w:ascii="Arial" w:cs="Arial" w:eastAsia="Arial" w:hAnsi="Arial"/>
                <w:sz w:val="18"/>
                <w:szCs w:val="18"/>
                <w:color w:val="auto"/>
                <w:w w:val="98"/>
              </w:rPr>
              <w:t>Dilutive effect of equity-based compensation awards, warrants, convertible subordinated notes and other</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contingently issuable shares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jc w:val="right"/>
              <w:ind w:right="269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6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impairments and unusual items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income tax expense of $5 in 2004</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564.7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0.60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892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553.6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5,369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Accounts payable, accrued liabilities, and deferred revenues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892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sales of short-term investments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Net receipts from restricted trust and escrow accounts, business divestitures, asset sales and 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 of common stock options and warrants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2005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Quarters Ended</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380" w:type="dxa"/>
            <w:vAlign w:val="bottom"/>
            <w:gridSpan w:val="6"/>
          </w:tcPr>
          <w:p>
            <w:pPr>
              <w:jc w:val="right"/>
              <w:ind w:right="78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NASW:</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Collection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2,168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816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Recycling and other</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(639)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(648)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3,375</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3,289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Internal Growth of Operating Revenues from Comparable Prior Periods (b)</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Internal growth</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400"/>
              <w:spacing w:after="0"/>
              <w:rPr>
                <w:sz w:val="20"/>
                <w:szCs w:val="20"/>
                <w:color w:val="auto"/>
              </w:rPr>
            </w:pPr>
            <w:r>
              <w:rPr>
                <w:rFonts w:ascii="Arial" w:cs="Arial" w:eastAsia="Arial" w:hAnsi="Arial"/>
                <w:sz w:val="18"/>
                <w:szCs w:val="18"/>
                <w:color w:val="auto"/>
                <w:w w:val="91"/>
              </w:rPr>
              <w:t>Less: Yield changes due to recycling commodities, electricity (IPP) and fuel surcharge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Adjusted internal growth</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(c)</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annualized revenue acquired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Total consideration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for acquisitions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Recycling Segment Supplemental Data (d)</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Operating expenses (exclusive of depreciation and amortization)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5"/>
              </w:rPr>
              <w:t>Quarters Ended 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1,726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w w:val="94"/>
              </w:rPr>
              <w:t>Proceeds from divestitures of businesses, net of cash divested, and other sales of</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1,119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impacts of hurricane revenue, adjusted internal growth for the quarters ended September 30, 2005 and September 30, 2004 is estimated to be 3.0% and 3.3%,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2005</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8,342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8,431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6,197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$ 14,628</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Capitalized interest (b)</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 (a)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 (a)</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amortization expense (c)</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period information has been reclassified to conform to 2005 presentation.</w:t>
      </w:r>
    </w:p>
    <w:p>
      <w:pPr>
        <w:spacing w:after="0" w:line="7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June 30, 2005 includes the reversal of $5 million of previously recorded capitalized interest associated with certain projects that did not qualify for the capitalization of interest.</w:t>
      </w:r>
    </w:p>
    <w:p>
      <w:pPr>
        <w:spacing w:after="0" w:line="21" w:lineRule="exact"/>
        <w:rPr>
          <w:rFonts w:ascii="Arial" w:cs="Arial" w:eastAsia="Arial" w:hAnsi="Arial"/>
          <w:sz w:val="18"/>
          <w:szCs w:val="18"/>
          <w:color w:val="auto"/>
        </w:rPr>
      </w:pPr>
    </w:p>
    <w:p>
      <w:pPr>
        <w:ind w:left="460" w:right="5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September 30, 2005 includes a cumulative correction to increase Non-SFAS No.143 Amortization Expense in the amount of $20.6 million and SFAS No.143 Amortization Expense in the amount of $1.5 million resulting from reducing amortization periods at five of our landfills.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Earnings per Share</w:t>
            </w: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7"/>
              </w:rPr>
              <w:t>Quarter Ended September 30, 2005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rPr>
              <w:t>Quarter Ended September 30,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After-tax Amount</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Per Share Amount</w:t>
            </w:r>
          </w:p>
        </w:tc>
        <w:tc>
          <w:tcPr>
            <w:tcW w:w="1860" w:type="dxa"/>
            <w:vAlign w:val="bottom"/>
            <w:gridSpan w:val="6"/>
          </w:tcPr>
          <w:p>
            <w:pPr>
              <w:ind w:left="220"/>
              <w:spacing w:after="0"/>
              <w:rPr>
                <w:sz w:val="20"/>
                <w:szCs w:val="20"/>
                <w:color w:val="auto"/>
              </w:rPr>
            </w:pPr>
            <w:r>
              <w:rPr>
                <w:rFonts w:ascii="Arial" w:cs="Arial" w:eastAsia="Arial" w:hAnsi="Arial"/>
                <w:sz w:val="14"/>
                <w:szCs w:val="14"/>
                <w:b w:val="1"/>
                <w:bCs w:val="1"/>
                <w:color w:val="auto"/>
              </w:rPr>
              <w:t>After-tax Amount</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Per Share Amount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 and EPS, as reported</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215</w:t>
            </w: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0.38</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b w:val="1"/>
                <w:bCs w:val="1"/>
                <w:color w:val="auto"/>
              </w:rPr>
              <w:t>Adjustments to net income and EPS: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Asset impairments and unusual items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Additional landfill amortization expense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620"/>
              <w:spacing w:after="0"/>
              <w:rPr>
                <w:sz w:val="20"/>
                <w:szCs w:val="20"/>
                <w:color w:val="auto"/>
              </w:rPr>
            </w:pPr>
            <w:r>
              <w:rPr>
                <w:rFonts w:ascii="Arial" w:cs="Arial" w:eastAsia="Arial" w:hAnsi="Arial"/>
                <w:sz w:val="18"/>
                <w:szCs w:val="18"/>
                <w:color w:val="auto"/>
              </w:rPr>
              <w:t>Income tax settlements</w:t>
            </w:r>
          </w:p>
        </w:tc>
        <w:tc>
          <w:tcPr>
            <w:tcW w:w="18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Benefit from reduction of estimated effective tax rate for</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420"/>
              <w:spacing w:after="0"/>
              <w:rPr>
                <w:sz w:val="20"/>
                <w:szCs w:val="20"/>
                <w:color w:val="auto"/>
              </w:rPr>
            </w:pPr>
            <w:r>
              <w:rPr>
                <w:rFonts w:ascii="Arial" w:cs="Arial" w:eastAsia="Arial" w:hAnsi="Arial"/>
                <w:sz w:val="18"/>
                <w:szCs w:val="18"/>
                <w:b w:val="1"/>
                <w:bCs w:val="1"/>
                <w:color w:val="auto"/>
              </w:rPr>
              <w:t>Net income and EPS, as adjusted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2"/>
              </w:rPr>
              <w:t>Quarters Ended September 30,</w:t>
            </w:r>
          </w:p>
        </w:tc>
        <w:tc>
          <w:tcPr>
            <w:tcW w:w="0" w:type="dxa"/>
            <w:vAlign w:val="bottom"/>
          </w:tcPr>
          <w:p>
            <w:pPr>
              <w:spacing w:after="0"/>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percent of Revenue (EBIT Margin)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 reported: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620"/>
              <w:spacing w:after="0"/>
              <w:rPr>
                <w:sz w:val="20"/>
                <w:szCs w:val="20"/>
                <w:color w:val="auto"/>
              </w:rPr>
            </w:pPr>
            <w:r>
              <w:rPr>
                <w:rFonts w:ascii="Arial" w:cs="Arial" w:eastAsia="Arial" w:hAnsi="Arial"/>
                <w:sz w:val="18"/>
                <w:szCs w:val="18"/>
                <w:color w:val="auto"/>
              </w:rPr>
              <w:t>Operating revenues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3,375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b w:val="1"/>
                <w:bCs w:val="1"/>
                <w:color w:val="auto"/>
              </w:rPr>
              <w:t>Income from Operations as a percent of Revenue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11.3%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Adjustments to Income from Operations: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620"/>
              <w:spacing w:after="0"/>
              <w:rPr>
                <w:sz w:val="20"/>
                <w:szCs w:val="20"/>
                <w:color w:val="auto"/>
              </w:rPr>
            </w:pPr>
            <w:r>
              <w:rPr>
                <w:rFonts w:ascii="Arial" w:cs="Arial" w:eastAsia="Arial" w:hAnsi="Arial"/>
                <w:sz w:val="18"/>
                <w:szCs w:val="18"/>
                <w:color w:val="auto"/>
              </w:rPr>
              <w:t>Asset impairments and unusual items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Restructuring</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620"/>
              <w:spacing w:after="0"/>
              <w:rPr>
                <w:sz w:val="20"/>
                <w:szCs w:val="20"/>
                <w:color w:val="auto"/>
              </w:rPr>
            </w:pPr>
            <w:r>
              <w:rPr>
                <w:rFonts w:ascii="Arial" w:cs="Arial" w:eastAsia="Arial" w:hAnsi="Arial"/>
                <w:sz w:val="18"/>
                <w:szCs w:val="18"/>
                <w:color w:val="auto"/>
              </w:rPr>
              <w:t>Additional landfill amortization expense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 adjusted: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620"/>
              <w:spacing w:after="0"/>
              <w:rPr>
                <w:sz w:val="20"/>
                <w:szCs w:val="20"/>
                <w:color w:val="auto"/>
              </w:rPr>
            </w:pPr>
            <w:r>
              <w:rPr>
                <w:rFonts w:ascii="Arial" w:cs="Arial" w:eastAsia="Arial" w:hAnsi="Arial"/>
                <w:sz w:val="18"/>
                <w:szCs w:val="18"/>
                <w:color w:val="auto"/>
              </w:rPr>
              <w:t>Operating revenues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3,375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income from operations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b w:val="1"/>
                <w:bCs w:val="1"/>
                <w:color w:val="auto"/>
                <w:w w:val="95"/>
              </w:rPr>
              <w:t>Adjusted Income from Operations as a percent of Revenue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Earnings per share and income from operations as a percent of revenue (or EBIT margin), as adjusted to exclude the impact of the items listed above, have been prepared to highlight and facilitate the users of the Company’s financial statements understanding of how management evaluates the results of its operations. It is not intended to replace reported earnings per share and income from operations as prepared in accordance with generally accepted accounting principles (“GAAP”).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5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152400</wp:posOffset>
            </wp:positionV>
            <wp:extent cx="1646555" cy="591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For Further Information:</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Waste Management, Inc.</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Analysts: Greg Nikkel — 713.265.1358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Media: Lynn Brown — 713.394.5093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Web site: http://www.WM.com</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#05-19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Plan to Increase Quarterly Dividend Payments by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 Payment of $0.22 Expected to Begin in First Quarter 2006</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HOUSTON — October 27, 2005 — </w:t>
      </w:r>
      <w:r>
        <w:rPr>
          <w:rFonts w:ascii="Arial" w:cs="Arial" w:eastAsia="Arial" w:hAnsi="Arial"/>
          <w:sz w:val="17"/>
          <w:szCs w:val="17"/>
          <w:color w:val="auto"/>
        </w:rPr>
        <w:t>Waste Management, Inc. (NYSE: WMI) today announced that its Board of Directors approved a 10% increase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dividend program, raising the amount to $0.22 per share compared to the $0.20 per share paid in 2005. Beginning in the first quarter of 2006, the Company expects to increase its quarterly dividends to a total of $0.88 per share per year, which would be an increase of $0.08 per share per year compared to the dividends declared in 2005. Future quarterly dividends must first be declared by its Board of Directors prior to payment.</w:t>
      </w:r>
    </w:p>
    <w:p>
      <w:pPr>
        <w:spacing w:after="0" w:line="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company is first and foremost a strong and consistent generator of cash flow from operations,” said David P. Steiner, Chief Executive Officer of Waste Management, Inc. “The Board of Directors and management continue to believe that one of our most important duties is to return free cash flow to our shareholders. Based on the current share count, this equates to approximately $485 million in dividend payments on an annual basis beginning in 2006. At the current share price of about $27.55, this dividend produces a yield of 3.2%, which is in the top 25% of the dividend paying companies within the S&amp;P 500.”</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Steiner continued, “The higher dividend payment remains one of the cornerstones of our capital allocation program, through which the Board of Directors has authorized management to return up to $1.2 billion annually to shareholders in cash dividends and common stock repurchases. This authorization was approved for 2005 through 2007.”</w:t>
      </w:r>
    </w:p>
    <w:p>
      <w:pPr>
        <w:spacing w:after="0" w:line="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noted that it intends to announce in December the record and payment dates for the first payment of the 2006 $0.22 per share quarterly dividend, with the expectation that the first payment of the higher dividend will occur in March of 2006.</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6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2005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580"/>
        <w:spacing w:after="0" w:line="293" w:lineRule="auto"/>
        <w:rPr>
          <w:sz w:val="20"/>
          <w:szCs w:val="20"/>
          <w:color w:val="auto"/>
        </w:rPr>
      </w:pPr>
      <w:r>
        <w:rPr>
          <w:rFonts w:ascii="Arial" w:cs="Arial" w:eastAsia="Arial" w:hAnsi="Arial"/>
          <w:sz w:val="16"/>
          <w:szCs w:val="16"/>
          <w:i w:val="1"/>
          <w:iCs w:val="1"/>
          <w:color w:val="auto"/>
        </w:rPr>
        <w:t>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59" w:lineRule="exact"/>
        <w:rPr>
          <w:sz w:val="20"/>
          <w:szCs w:val="20"/>
          <w:color w:val="auto"/>
        </w:rPr>
      </w:pPr>
    </w:p>
    <w:p>
      <w:pPr>
        <w:ind w:left="660" w:right="240" w:hanging="436"/>
        <w:spacing w:after="0" w:line="342"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effects competition may have on our profitability or cash flows, including the negative impact our price increases may have on volumes or the negative impact to our yield on base business resulting from price roll-backs and lower than average pricing to retain and attract customers;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our inability to maintain or expand margins as volumes increase if we are unable to control variable costs or fixed cost base increases;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our inability to attract or retain qualified personnel, including licensed commercial drivers and truck maintenance professionals, due to any number of factors including qualified workforce shortages;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increases in expenses due to fuel price increases or fuel supply shortages;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 that fluctuating commodity prices may have on our operating revenues and expenses;</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impact that inflation and resulting higher interest rates may have on the economy, such as decreases in volumes of waste generated and increases in financing and operating costs;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inability of our insurers to meet their obligations, which may cause increased expenses;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the effect the weather has on our quarter to quarter results, as well as the effect of extremely harsh weather or natural disasters on our operations;</w:t>
      </w:r>
    </w:p>
    <w:p>
      <w:pPr>
        <w:spacing w:after="0" w:line="153" w:lineRule="exact"/>
        <w:rPr>
          <w:rFonts w:ascii="Arial" w:cs="Arial" w:eastAsia="Arial" w:hAnsi="Arial"/>
          <w:sz w:val="16"/>
          <w:szCs w:val="16"/>
          <w:b w:val="1"/>
          <w:bCs w:val="1"/>
          <w:color w:val="auto"/>
        </w:rPr>
      </w:pPr>
    </w:p>
    <w:p>
      <w:pPr>
        <w:ind w:left="660" w:right="1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possible impact of regulations on our business, including the cost to comply with regulatory requirements and the potential liabilities associated with disposal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our ability to obtain and maintain permits needed to operate our facilities;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 of limitations or bans on disposal or transportation of out-of-state or cross-border waste or certain categories of waste;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142" w:lineRule="exact"/>
        <w:rPr>
          <w:rFonts w:ascii="Arial" w:cs="Arial" w:eastAsia="Arial" w:hAnsi="Arial"/>
          <w:sz w:val="17"/>
          <w:szCs w:val="17"/>
          <w:b w:val="1"/>
          <w:bCs w:val="1"/>
          <w:color w:val="auto"/>
        </w:rPr>
      </w:pPr>
    </w:p>
    <w:p>
      <w:pPr>
        <w:ind w:left="660" w:right="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possible diversions of management’s attention and increases in operating expenses due to efforts by labor unions to organize our employees;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the outcome of litigation or threatened litigation;</w:t>
      </w:r>
    </w:p>
    <w:p>
      <w:pPr>
        <w:spacing w:after="0" w:line="130" w:lineRule="exact"/>
        <w:rPr>
          <w:rFonts w:ascii="Arial" w:cs="Arial" w:eastAsia="Arial" w:hAnsi="Arial"/>
          <w:sz w:val="18"/>
          <w:szCs w:val="18"/>
          <w:b w:val="1"/>
          <w:bCs w:val="1"/>
          <w:color w:val="auto"/>
        </w:rPr>
      </w:pPr>
    </w:p>
    <w:p>
      <w:pPr>
        <w:ind w:left="660" w:right="120" w:hanging="436"/>
        <w:spacing w:after="0" w:line="342"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the reduction or elimination of our dividend or share repurchase program or the need for additional capital if cash flows are less than we expect or capital expenditures are more than we expect, and the possibility that we cannot obtain additional capital on acceptable terms if needed;</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possible errors or problems in connection with the implementation and deployment of new information technology systems;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 and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our ability to sell under-performing assets or other assets identified for divestiture and upon such sale to realize the full carrying value of such assets.</w:t>
      </w:r>
    </w:p>
    <w:p>
      <w:pPr>
        <w:spacing w:after="0" w:line="67"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2004 and Part II of the Company’s Quarterly Report on Form 10-Q for the quarter ended June 30, 2005.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sectPr>
      <w:pgSz w:w="11900" w:h="16838" w:orient="portrait"/>
      <w:cols w:equalWidth="0" w:num="1">
        <w:col w:w="11400"/>
      </w:cols>
      <w:pgMar w:left="240" w:top="9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Roman"/>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2019-12-20T04:09:24Z</dcterms:created>
  <dcterms:modified xsi:type="dcterms:W3CDTF">2019-12-20T04:09:24Z</dcterms:modified>
</cp:coreProperties>
</file>