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474980</wp:posOffset>
            </wp:positionH>
            <wp:positionV relativeFrom="page">
              <wp:posOffset>157480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200660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1" w:lineRule="exact"/>
        <w:rPr>
          <w:sz w:val="24"/>
          <w:szCs w:val="24"/>
          <w:color w:val="auto"/>
        </w:rPr>
      </w:pPr>
    </w:p>
    <w:p>
      <w:pPr>
        <w:ind w:left="500" w:right="260" w:hanging="343"/>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00" w:right="240" w:hanging="343"/>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99" w:lineRule="exact"/>
        <w:rPr>
          <w:sz w:val="24"/>
          <w:szCs w:val="24"/>
          <w:color w:val="auto"/>
        </w:rPr>
      </w:pPr>
    </w:p>
    <w:p>
      <w:pPr>
        <w:ind w:left="2260"/>
        <w:spacing w:after="0"/>
        <w:tabs>
          <w:tab w:leader="none" w:pos="73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73-1309529</w:t>
      </w:r>
    </w:p>
    <w:p>
      <w:pPr>
        <w:ind w:left="1580"/>
        <w:spacing w:after="0" w:line="211" w:lineRule="auto"/>
        <w:tabs>
          <w:tab w:leader="none" w:pos="7200" w:val="left"/>
        </w:tabs>
        <w:rPr>
          <w:sz w:val="20"/>
          <w:szCs w:val="20"/>
          <w:color w:val="auto"/>
        </w:rPr>
      </w:pPr>
      <w:r>
        <w:rPr>
          <w:rFonts w:ascii="Arial" w:cs="Arial" w:eastAsia="Arial" w:hAnsi="Arial"/>
          <w:sz w:val="18"/>
          <w:szCs w:val="18"/>
          <w:i w:val="1"/>
          <w:iCs w:val="1"/>
          <w:color w:val="auto"/>
        </w:rPr>
        <w:t>(State or other jurisdiction of</w:t>
      </w:r>
      <w:r>
        <w:rPr>
          <w:sz w:val="20"/>
          <w:szCs w:val="20"/>
          <w:color w:val="auto"/>
        </w:rPr>
        <w:tab/>
      </w:r>
      <w:r>
        <w:rPr>
          <w:rFonts w:ascii="Arial" w:cs="Arial" w:eastAsia="Arial" w:hAnsi="Arial"/>
          <w:sz w:val="16"/>
          <w:szCs w:val="16"/>
          <w:i w:val="1"/>
          <w:iCs w:val="1"/>
          <w:color w:val="auto"/>
        </w:rPr>
        <w:t>(I.R.S. Employer</w:t>
      </w:r>
    </w:p>
    <w:p>
      <w:pPr>
        <w:ind w:left="1520"/>
        <w:spacing w:after="0"/>
        <w:tabs>
          <w:tab w:leader="none" w:pos="7140" w:val="left"/>
        </w:tabs>
        <w:rPr>
          <w:sz w:val="20"/>
          <w:szCs w:val="20"/>
          <w:color w:val="auto"/>
        </w:rPr>
      </w:pPr>
      <w:r>
        <w:rPr>
          <w:rFonts w:ascii="Arial" w:cs="Arial" w:eastAsia="Arial" w:hAnsi="Arial"/>
          <w:sz w:val="18"/>
          <w:szCs w:val="18"/>
          <w:i w:val="1"/>
          <w:iCs w:val="1"/>
          <w:color w:val="auto"/>
        </w:rPr>
        <w:t>incorporation or organization)</w:t>
      </w:r>
      <w:r>
        <w:rPr>
          <w:sz w:val="20"/>
          <w:szCs w:val="20"/>
          <w:color w:val="auto"/>
        </w:rPr>
        <w:tab/>
      </w:r>
      <w:r>
        <w:rPr>
          <w:rFonts w:ascii="Arial" w:cs="Arial" w:eastAsia="Arial" w:hAnsi="Arial"/>
          <w:sz w:val="17"/>
          <w:szCs w:val="17"/>
          <w:i w:val="1"/>
          <w:iCs w:val="1"/>
          <w:color w:val="auto"/>
        </w:rPr>
        <w:t>Identification No.)</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454" w:right="739" w:bottom="1440" w:gutter="0" w:footer="0" w:header="0"/>
        </w:sectPr>
      </w:pP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tabs>
          <w:tab w:leader="none" w:pos="59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207" w:lineRule="exact"/>
        <w:tabs>
          <w:tab w:leader="none" w:pos="51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2300" w:space="720"/>
            <w:col w:w="7380"/>
          </w:cols>
          <w:pgMar w:left="760" w:top="454" w:right="739" w:bottom="1440" w:gutter="0" w:footer="0" w:header="0"/>
          <w:type w:val="continuous"/>
        </w:sectPr>
      </w:pPr>
    </w:p>
    <w:p>
      <w:pPr>
        <w:spacing w:after="0" w:line="3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tabs>
          <w:tab w:leader="none" w:pos="7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April 16, 2018 was 431,283,814 (excluding treasury shares of 198,998,647).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100330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408940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454" w:right="7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r>
      <w:tr>
        <w:trPr>
          <w:trHeight w:val="142"/>
        </w:trPr>
        <w:tc>
          <w:tcPr>
            <w:tcW w:w="7020" w:type="dxa"/>
            <w:vAlign w:val="bottom"/>
          </w:tcPr>
          <w:p>
            <w:pPr>
              <w:spacing w:after="0"/>
              <w:rPr>
                <w:sz w:val="12"/>
                <w:szCs w:val="12"/>
                <w:color w:val="auto"/>
              </w:rPr>
            </w:pPr>
          </w:p>
        </w:tc>
        <w:tc>
          <w:tcPr>
            <w:tcW w:w="9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7020" w:type="dxa"/>
            <w:vAlign w:val="bottom"/>
            <w:shd w:val="clear" w:color="auto" w:fill="CCEEFF"/>
          </w:tcPr>
          <w:p>
            <w:pPr>
              <w:ind w:left="42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w w:val="96"/>
              </w:rPr>
              <w:t>Accounts receivable, net of allowance for doubtful accounts of $22 and $21, respectively</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Parts and supplies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0"/>
        </w:trPr>
        <w:tc>
          <w:tcPr>
            <w:tcW w:w="70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Property and equipment, net of accumulated depreciation and amortization of $17,860 and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$17,704, respectively</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6,247</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Restricted trust and escrow accounts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7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w:t>
            </w:r>
          </w:p>
        </w:tc>
      </w:tr>
      <w:tr>
        <w:trPr>
          <w:trHeight w:val="190"/>
        </w:trPr>
        <w:tc>
          <w:tcPr>
            <w:tcW w:w="7020" w:type="dxa"/>
            <w:vAlign w:val="bottom"/>
          </w:tcPr>
          <w:p>
            <w:pPr>
              <w:ind w:left="3380"/>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30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10"/>
        </w:trPr>
        <w:tc>
          <w:tcPr>
            <w:tcW w:w="70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210"/>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Waste Management, Inc. stockholders’ equity: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2"/>
        </w:trPr>
        <w:tc>
          <w:tcPr>
            <w:tcW w:w="70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Common stock, $0.01 par value; 1,500,000,000 shares authorized; 630,282,461 shares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issued</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02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4,933</w:t>
            </w:r>
          </w:p>
        </w:tc>
      </w:tr>
      <w:tr>
        <w:trPr>
          <w:trHeight w:val="216"/>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r>
      <w:tr>
        <w:trPr>
          <w:trHeight w:val="216"/>
        </w:trPr>
        <w:tc>
          <w:tcPr>
            <w:tcW w:w="7020" w:type="dxa"/>
            <w:vAlign w:val="bottom"/>
          </w:tcPr>
          <w:p>
            <w:pPr>
              <w:ind w:left="3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stock at cost, 198,511,161 and 196,963,558 shares, respectively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r>
      <w:tr>
        <w:trPr>
          <w:trHeight w:val="210"/>
        </w:trPr>
        <w:tc>
          <w:tcPr>
            <w:tcW w:w="7020" w:type="dxa"/>
            <w:vAlign w:val="bottom"/>
          </w:tcPr>
          <w:p>
            <w:pPr>
              <w:ind w:left="440"/>
              <w:spacing w:after="0"/>
              <w:rPr>
                <w:sz w:val="20"/>
                <w:szCs w:val="20"/>
                <w:color w:val="auto"/>
              </w:rPr>
            </w:pPr>
            <w:r>
              <w:rPr>
                <w:rFonts w:ascii="Arial" w:cs="Arial" w:eastAsia="Arial" w:hAnsi="Arial"/>
                <w:sz w:val="18"/>
                <w:szCs w:val="18"/>
                <w:color w:val="auto"/>
              </w:rPr>
              <w:t>Total Waste Management, Inc. stockholders’ equity</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6,019</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70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r>
      <w:tr>
        <w:trPr>
          <w:trHeight w:val="217"/>
        </w:trPr>
        <w:tc>
          <w:tcPr>
            <w:tcW w:w="7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w:t>
            </w: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85"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Three Months Ended</w:t>
      </w:r>
    </w:p>
    <w:p>
      <w:pPr>
        <w:ind w:left="78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 from divestitures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70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2,903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0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Less: Net loss attributable to noncontrolling interests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0"/>
        </w:trPr>
        <w:tc>
          <w:tcPr>
            <w:tcW w:w="70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0.91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r>
      <w:tr>
        <w:trPr>
          <w:trHeight w:val="236"/>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0.91</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10"/>
        </w:trPr>
        <w:tc>
          <w:tcPr>
            <w:tcW w:w="7020" w:type="dxa"/>
            <w:vAlign w:val="bottom"/>
          </w:tcPr>
          <w:p>
            <w:pPr>
              <w:spacing w:after="0" w:line="203" w:lineRule="exact"/>
              <w:rPr>
                <w:sz w:val="20"/>
                <w:szCs w:val="20"/>
                <w:color w:val="auto"/>
              </w:rPr>
            </w:pPr>
            <w:r>
              <w:rPr>
                <w:rFonts w:ascii="Arial" w:cs="Arial" w:eastAsia="Arial" w:hAnsi="Arial"/>
                <w:sz w:val="18"/>
                <w:szCs w:val="18"/>
                <w:color w:val="auto"/>
              </w:rPr>
              <w:t>Cash dividends declared per common share</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0.465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0.425</w:t>
            </w:r>
          </w:p>
        </w:tc>
      </w:tr>
      <w:tr>
        <w:trPr>
          <w:trHeight w:val="643"/>
        </w:trPr>
        <w:tc>
          <w:tcPr>
            <w:tcW w:w="814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7020" w:type="dxa"/>
            <w:vAlign w:val="bottom"/>
          </w:tcPr>
          <w:p>
            <w:pPr>
              <w:jc w:val="center"/>
              <w:ind w:left="1970"/>
              <w:spacing w:after="0"/>
              <w:rPr>
                <w:sz w:val="20"/>
                <w:szCs w:val="20"/>
                <w:color w:val="auto"/>
              </w:rPr>
            </w:pPr>
            <w:r>
              <w:rPr>
                <w:rFonts w:ascii="Arial" w:cs="Arial" w:eastAsia="Arial" w:hAnsi="Arial"/>
                <w:sz w:val="18"/>
                <w:szCs w:val="18"/>
                <w:b w:val="1"/>
                <w:bCs w:val="1"/>
                <w:color w:val="auto"/>
                <w:w w:val="95"/>
              </w:rPr>
              <w:t>(In Millions)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7020" w:type="dxa"/>
            <w:vAlign w:val="bottom"/>
          </w:tcPr>
          <w:p>
            <w:pPr>
              <w:jc w:val="center"/>
              <w:ind w:left="195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55"/>
        </w:trPr>
        <w:tc>
          <w:tcPr>
            <w:tcW w:w="7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7"/>
          </w:tcPr>
          <w:p>
            <w:pPr>
              <w:jc w:val="right"/>
              <w:ind w:right="271"/>
              <w:spacing w:after="0"/>
              <w:rPr>
                <w:sz w:val="20"/>
                <w:szCs w:val="20"/>
                <w:color w:val="auto"/>
              </w:rPr>
            </w:pPr>
            <w:r>
              <w:rPr>
                <w:rFonts w:ascii="Arial" w:cs="Arial" w:eastAsia="Arial" w:hAnsi="Arial"/>
                <w:sz w:val="14"/>
                <w:szCs w:val="14"/>
                <w:b w:val="1"/>
                <w:bCs w:val="1"/>
                <w:color w:val="auto"/>
                <w:w w:val="99"/>
              </w:rPr>
              <w:t>Three Months Ended</w:t>
            </w:r>
          </w:p>
        </w:tc>
      </w:tr>
      <w:tr>
        <w:trPr>
          <w:trHeight w:val="171"/>
        </w:trPr>
        <w:tc>
          <w:tcPr>
            <w:tcW w:w="7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Post-retirement benefit obligation,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702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Three Months Ended</w:t>
      </w:r>
    </w:p>
    <w:p>
      <w:pPr>
        <w:ind w:left="7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17"/>
                <w:szCs w:val="17"/>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297</w:t>
            </w: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w w:val="99"/>
              </w:rPr>
              <w:t>Adjustments to reconcile consolidated net income to net cash provided by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328</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 expense (benefit)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Interest accretion on landfill liabilities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bad debts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Equity-based compensation expense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gain on disposal of assets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(Income) expense from divestitures, asset impairments and other, net</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 in net losses of unconsolidated entities, net of dividends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Change in operating assets and liabilities, net of effects of acquisitions and divestitures: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Receivables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r>
      <w:tr>
        <w:trPr>
          <w:trHeight w:val="203"/>
        </w:trPr>
        <w:tc>
          <w:tcPr>
            <w:tcW w:w="7000" w:type="dxa"/>
            <w:vAlign w:val="bottom"/>
          </w:tcPr>
          <w:p>
            <w:pPr>
              <w:ind w:left="440"/>
              <w:spacing w:after="0"/>
              <w:rPr>
                <w:sz w:val="20"/>
                <w:szCs w:val="20"/>
                <w:color w:val="auto"/>
              </w:rPr>
            </w:pPr>
            <w:r>
              <w:rPr>
                <w:rFonts w:ascii="Arial" w:cs="Arial" w:eastAsia="Arial" w:hAnsi="Arial"/>
                <w:sz w:val="17"/>
                <w:szCs w:val="17"/>
                <w:color w:val="auto"/>
              </w:rPr>
              <w:t>Other current assets</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3"/>
        </w:trPr>
        <w:tc>
          <w:tcPr>
            <w:tcW w:w="7000" w:type="dxa"/>
            <w:vAlign w:val="bottom"/>
          </w:tcPr>
          <w:p>
            <w:pPr>
              <w:ind w:left="440"/>
              <w:spacing w:after="0"/>
              <w:rPr>
                <w:sz w:val="20"/>
                <w:szCs w:val="20"/>
                <w:color w:val="auto"/>
              </w:rPr>
            </w:pPr>
            <w:r>
              <w:rPr>
                <w:rFonts w:ascii="Arial" w:cs="Arial" w:eastAsia="Arial" w:hAnsi="Arial"/>
                <w:sz w:val="17"/>
                <w:szCs w:val="17"/>
                <w:color w:val="auto"/>
              </w:rPr>
              <w:t>Accounts payable and accrued liabilities</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0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revenues and other liabilities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722</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Acquisitions of businesses, net of cash acquired</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expenditures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net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investing activities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(337)</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New borrowings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Debt repayments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Net commercial paper borrowings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210</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repurchase program</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Cash dividends</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 of common stock options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Tax payments associated with equity-based compensation transactions</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net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financing activities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w w:val="92"/>
              </w:rPr>
              <w:t>Effect of exchange rate changes on cash, cash equivalents and restricted cash and cash equivalents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7000" w:type="dxa"/>
            <w:vAlign w:val="bottom"/>
          </w:tcPr>
          <w:p>
            <w:pPr>
              <w:spacing w:after="0"/>
              <w:rPr>
                <w:sz w:val="20"/>
                <w:szCs w:val="20"/>
                <w:color w:val="auto"/>
              </w:rPr>
            </w:pPr>
            <w:r>
              <w:rPr>
                <w:rFonts w:ascii="Arial" w:cs="Arial" w:eastAsia="Arial" w:hAnsi="Arial"/>
                <w:sz w:val="17"/>
                <w:szCs w:val="17"/>
                <w:color w:val="auto"/>
              </w:rPr>
              <w:t>Increase in cash, cash equivalents and restricted cash and cash equivalents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03"/>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r>
      <w:tr>
        <w:trPr>
          <w:trHeight w:val="203"/>
        </w:trPr>
        <w:tc>
          <w:tcPr>
            <w:tcW w:w="7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7"/>
                <w:szCs w:val="17"/>
                <w:color w:val="auto"/>
                <w:w w:val="94"/>
              </w:rPr>
              <w:t>Reconciliation of cash, cash equivalents and restricted cash and cash equivalents at end of period: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03"/>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Restricted cash and cash equivalents included in restricted trust and escrow accounts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r>
      <w:tr>
        <w:trPr>
          <w:trHeight w:val="203"/>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r>
    </w:tbl>
    <w:p>
      <w:pPr>
        <w:spacing w:after="0" w:line="18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left="1440" w:right="1520"/>
        <w:spacing w:after="0" w:line="275" w:lineRule="auto"/>
        <w:rPr>
          <w:sz w:val="20"/>
          <w:szCs w:val="20"/>
          <w:color w:val="auto"/>
        </w:rPr>
      </w:pPr>
      <w:r>
        <w:rPr>
          <w:rFonts w:ascii="Arial" w:cs="Arial" w:eastAsia="Arial" w:hAnsi="Arial"/>
          <w:sz w:val="18"/>
          <w:szCs w:val="18"/>
          <w:b w:val="1"/>
          <w:bCs w:val="1"/>
          <w:color w:val="auto"/>
        </w:rPr>
        <w:t>CONDENSED CONSOLIDATED STATEMENT OF CHANGES IN EQUITY (In Millions, Except Shares in Thousands)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4"/>
          </w:tcPr>
          <w:p>
            <w:pPr>
              <w:jc w:val="right"/>
              <w:ind w:right="520"/>
              <w:spacing w:after="0"/>
              <w:rPr>
                <w:sz w:val="20"/>
                <w:szCs w:val="20"/>
                <w:color w:val="auto"/>
              </w:rPr>
            </w:pPr>
            <w:r>
              <w:rPr>
                <w:rFonts w:ascii="Arial" w:cs="Arial" w:eastAsia="Arial" w:hAnsi="Arial"/>
                <w:sz w:val="14"/>
                <w:szCs w:val="14"/>
                <w:b w:val="1"/>
                <w:bCs w:val="1"/>
                <w:color w:val="auto"/>
              </w:rPr>
              <w:t>Waste Management, Inc. Stockholders’ Equity</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vMerge w:val="restart"/>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Retained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134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Comprehensive</w:t>
            </w:r>
          </w:p>
        </w:tc>
        <w:tc>
          <w:tcPr>
            <w:tcW w:w="13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6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Amounts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6"/>
              </w:rPr>
              <w:t>Earnings</w:t>
            </w:r>
          </w:p>
        </w:tc>
        <w:tc>
          <w:tcPr>
            <w:tcW w:w="40" w:type="dxa"/>
            <w:vAlign w:val="bottom"/>
          </w:tcPr>
          <w:p>
            <w:pPr>
              <w:spacing w:after="0"/>
              <w:rPr>
                <w:sz w:val="12"/>
                <w:szCs w:val="12"/>
                <w:color w:val="auto"/>
              </w:rPr>
            </w:pPr>
          </w:p>
        </w:tc>
        <w:tc>
          <w:tcPr>
            <w:tcW w:w="10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7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Amounts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2017</w:t>
            </w: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$ 6,042</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4,933</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8,588</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(196,964)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(7,516)</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w w:val="97"/>
              </w:rPr>
              <w:t>Adoption of new accounting standards</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w w:val="93"/>
              </w:rPr>
              <w:t>Other comprehensive income (loss), net</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40" w:type="dxa"/>
            <w:vAlign w:val="bottom"/>
          </w:tcPr>
          <w:p>
            <w:pPr>
              <w:ind w:left="140"/>
              <w:spacing w:after="0"/>
              <w:rPr>
                <w:sz w:val="20"/>
                <w:szCs w:val="20"/>
                <w:color w:val="auto"/>
              </w:rPr>
            </w:pPr>
            <w:r>
              <w:rPr>
                <w:rFonts w:ascii="Arial" w:cs="Arial" w:eastAsia="Arial" w:hAnsi="Arial"/>
                <w:sz w:val="14"/>
                <w:szCs w:val="14"/>
                <w:color w:val="auto"/>
              </w:rPr>
              <w:t>of tax</w:t>
            </w: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(31)</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(31)</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(206)</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Equity-based compensation</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40" w:type="dxa"/>
            <w:vAlign w:val="bottom"/>
          </w:tcPr>
          <w:p>
            <w:pPr>
              <w:ind w:left="140"/>
              <w:spacing w:after="0"/>
              <w:rPr>
                <w:sz w:val="20"/>
                <w:szCs w:val="20"/>
                <w:color w:val="auto"/>
              </w:rPr>
            </w:pPr>
            <w:r>
              <w:rPr>
                <w:rFonts w:ascii="Arial" w:cs="Arial" w:eastAsia="Arial" w:hAnsi="Arial"/>
                <w:sz w:val="14"/>
                <w:szCs w:val="14"/>
                <w:color w:val="auto"/>
              </w:rPr>
              <w:t>transactions, net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(3,031)</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March 31, 2018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$ 6,065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4,916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8,867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(198,511)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(7,717)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 (“U.S.”).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8.</w:t>
      </w:r>
    </w:p>
    <w:p>
      <w:pPr>
        <w:spacing w:after="0" w:line="16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The Condensed Consolidated Financial Statements as of March 31, 2018 and for the three months ended March 31, 2018 and 2017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20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Actual results could differ materially from the estimates and assumptions that we use in the preparation of our financial statements.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In May 2014, the Financial Accounting Standards Board (“FASB”) issued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Update (“ASU”) 2014-09 associated with revenue recognition. On January 1, 2018, we adopted ASU 2014-09 using the modified retrospective approach for all ongoing customer contracts. Our results of operations for the reported periods after January 1, 2018 are presented under this amended guidance, while prior period amounts are not adjusted and continue to be reported in accordance with historical accounting guidance.</w:t>
      </w:r>
    </w:p>
    <w:p>
      <w:pPr>
        <w:spacing w:after="0" w:line="188" w:lineRule="exact"/>
        <w:rPr>
          <w:sz w:val="20"/>
          <w:szCs w:val="20"/>
          <w:color w:val="auto"/>
        </w:rPr>
      </w:pPr>
    </w:p>
    <w:p>
      <w:pPr>
        <w:jc w:val="both"/>
        <w:ind w:firstLine="259"/>
        <w:spacing w:after="0" w:line="342" w:lineRule="auto"/>
        <w:rPr>
          <w:sz w:val="20"/>
          <w:szCs w:val="20"/>
          <w:color w:val="auto"/>
        </w:rPr>
      </w:pPr>
      <w:r>
        <w:rPr>
          <w:rFonts w:ascii="Arial" w:cs="Arial" w:eastAsia="Arial" w:hAnsi="Arial"/>
          <w:sz w:val="16"/>
          <w:szCs w:val="16"/>
          <w:color w:val="auto"/>
        </w:rPr>
        <w:t>The impact of adopting the amended guidance primarily relates to (i) the deferral of certain sales incentives, which previously were expensed as incurred, but under the new guidance are capitalized as other assets and amortized to selling,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 and administrative expenses over the expected life of the customer relationship and (ii) the recognition of certain consideration payable to our customers as a reduction in operating revenues, which under historical guidance was recorded as operating expenses. We recognized a net $80 million increase to our retained earnings as of January 1, 2018 for the cumulative impact of adopting the amended guidance associated with the capitalization of sales incentives as contract acquisition costs consisting of a $108 million asset and a related $28 million deferred tax liability. There were no other material impacts on our consolidated financial statements as a result of our adoption of this amended guidance.</w:t>
      </w:r>
    </w:p>
    <w:p>
      <w:pPr>
        <w:spacing w:after="0" w:line="178"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For contracts with an effective term greater than one year, we applied the standard’s practical expedient that permits the exclusion of unsatisfied performance obligations as our right to consideration corresponds directly to the value provided to the customer for services completed to date and all future variable consideration is allocated to wholly unsatisfied performance obligations. We also applied the standard’s optional exemption for performance obligations related to contracts that have an original expected duration of one year or less. See Note 4 for additional information and disclosures related to this amended guidance.</w:t>
      </w:r>
    </w:p>
    <w:p>
      <w:pPr>
        <w:spacing w:after="0" w:line="19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In January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01 associated with the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financial assets and liabilities with further clarifications made in February 2018 with the issuance of ASU 2018-03. 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The Company adopted this amended guidance on January 1, 2018 using a prospective transition approach, which did not have an impact on our consolidated financial statements.</w:t>
      </w:r>
    </w:p>
    <w:p>
      <w:pPr>
        <w:spacing w:after="0" w:line="20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concluded that all equity investments within the scope of ASU 2016-01, which primarily relate to equity securities previously accounted for under the cost method, do not have readily determinable fair values. Accordingly, the value of these investments beginning January 1, 2018 has been measured using a quantitative approach, or the measurement alternative, as noted above. As of March 31, 2018, the carrying amount of our investments without readily determinable fair values was $87 million. During the three months ended March 31, 2018, we did not recognize any impairments or other adjustments.</w:t>
      </w:r>
    </w:p>
    <w:p>
      <w:pPr>
        <w:spacing w:after="0" w:line="158"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i w:val="1"/>
          <w:iCs w:val="1"/>
          <w:color w:val="auto"/>
        </w:rPr>
        <w:t xml:space="preserve">Statement of Cash Flows — </w:t>
      </w:r>
      <w:r>
        <w:rPr>
          <w:rFonts w:ascii="Arial" w:cs="Arial" w:eastAsia="Arial" w:hAnsi="Arial"/>
          <w:sz w:val="16"/>
          <w:szCs w:val="16"/>
          <w:color w:val="auto"/>
        </w:rPr>
        <w:t>In August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15 associated with the classification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cash receipts and cash payments in the statement of cash flows. In November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18 associated with the presentation of restricted cash and cash equivalents in the statement of cash flows. The objective of the amended guidance was to reduce existing diversity in practice. This amended guidance was retrospectively adopted on January 1, 2018 and required the following disclosures and changes to the presentation of our financial statements:</w:t>
      </w:r>
    </w:p>
    <w:p>
      <w:pPr>
        <w:spacing w:after="0" w:line="96" w:lineRule="exact"/>
        <w:rPr>
          <w:sz w:val="20"/>
          <w:szCs w:val="20"/>
          <w:color w:val="auto"/>
        </w:rPr>
      </w:pPr>
    </w:p>
    <w:p>
      <w:pPr>
        <w:jc w:val="both"/>
        <w:ind w:left="660" w:hanging="333"/>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cash equivalents and restricted cash and cash equivalents reported on the Condensed Consolidated Statements of Cash Flows now includes restricted cash and cash equivalents of $62 million, $64 million and $271 million as of December 31, 2016, March 31, 2017 and December 31, 2017, respectively, as well as previously reported cash and cash equivalents.</w:t>
      </w:r>
    </w:p>
    <w:p>
      <w:pPr>
        <w:spacing w:after="0" w:line="78"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payments made within 120 days of the acquisition date of a business combination to settle a contingent consideration liability are classified as cash outflows from investing activities. Thereafter, cash payments up to the amount of the contingent consideration liability recognized at the acquisition date (including measurement-period adjustments) are classified as cash outflows from financing activities and any excess is classified as cash outflows from operating activities. The adoption of this amended guidance did not have a material impact on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restricted cash and cash equivalents generally consist of funds deposited into specific accounts for purposes of funding insurance claims and demonstrating our ability to meet our landfill final capping, closure, post-closure and environmental remediation obligations.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Reclassification of Certain Tax Effects from Accumulated Other Comprehensive Income — </w:t>
      </w:r>
      <w:r>
        <w:rPr>
          <w:rFonts w:ascii="Arial" w:cs="Arial" w:eastAsia="Arial" w:hAnsi="Arial"/>
          <w:sz w:val="16"/>
          <w:szCs w:val="16"/>
          <w:color w:val="auto"/>
        </w:rPr>
        <w:t>In February 2018,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ASU 2018-02 associated with the reclassification of certain tax effects from accumulated other comprehensive income (loss). This amended guidance allows a reclassification from accumulated other comprehensive income (loss) to retained earnings for stranded tax effects resulting from the Tax Cuts and Jobs Act (the “Act”) which was signed into law on December 22, 2017. We early adopted this amended guidance on January 1, 2018, and as a result, elected to reclassify $5 million of stranded tax effects from accumulated other comprehensive income (loss) to retained earnings using a specific identification approach. See Note 10 for additional disclosures related to this amended guidance.</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In March 2018, the FASB issued ASU 2018-05 associated with the accounting and disclosures around</w:t>
      </w:r>
      <w:r>
        <w:rPr>
          <w:rFonts w:ascii="Arial" w:cs="Arial" w:eastAsia="Arial" w:hAnsi="Arial"/>
          <w:sz w:val="18"/>
          <w:szCs w:val="18"/>
          <w:i w:val="1"/>
          <w:iCs w:val="1"/>
          <w:color w:val="auto"/>
        </w:rPr>
        <w:t xml:space="preserve"> </w:t>
      </w:r>
      <w:r>
        <w:rPr>
          <w:rFonts w:ascii="Arial" w:cs="Arial" w:eastAsia="Arial" w:hAnsi="Arial"/>
          <w:sz w:val="18"/>
          <w:szCs w:val="18"/>
          <w:color w:val="auto"/>
        </w:rPr>
        <w:t>the enactment of the Act and the Securities and Exchange Commission’s Staff Accounting Bulletin No. 118, Income Tax Accounting Implications of the Tax Cuts and Jobs Act (“SAB 118”), which the Company has adopted. See Note 5 for the disclosures related to this amended guidance.</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New Accounting Standards Pending Adoption</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13 associated with the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this amended guidance and evaluating the impact on our consolidated financial statements.</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In February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02 associated with lease accounting. There have been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including practical expedients, with the issuance of ASU 2018-01 in January 2018. The amended guidance requires the recognition of lease assets and lease liabilities on the balance sheet for those leases with terms in excess of 12 months and currently classified as operating leases. Disclosure of key information about leasing arrangements will also be required. The amended guidance is effective for the Company on January 1, 2019. We are assessing the provisions of this amended guidance and we have (i) formed an implementation work team; (ii) performed training for the various organizations that will be most affected by the new standard and (iii) acquired a software solution to manage and account for leases under the new standard. We are evaluating the impact of this amended guidance on our consolidated financial statements.</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20" w:hanging="317"/>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Landfill</w:t>
            </w: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6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Remediation</w:t>
            </w: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7"/>
        </w:trPr>
        <w:tc>
          <w:tcPr>
            <w:tcW w:w="3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three months ended March 31, 2018 are reflected in the table below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Landfill</w:t>
            </w: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demonstrating our ability to meet our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March 31,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9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$2.25 billion revolving credit facility, maturing July 2020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2"/>
              </w:rPr>
              <w:t>Commercial paper program (weighted average interest rate of 2.3% as of March 31, 2018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1.9% as of December 31, 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Canadian term loan and revolving credit facility, maturing March 2019 (weighted average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effective interest rate of 2.8% as of March 31, 2018 and 2.5% as of December 31, 2017)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5"/>
              </w:rPr>
              <w:t>Senior notes, maturing through 2045, interest rates ranging from 2.4% to 7.75% (weighted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average interest rate of 4.3% as of March 31, 2018 and December 31, 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6,184</w:t>
            </w: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Tax-exempt bonds, maturing through 2045, fixed and variable interest rates ranging from</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1.35% to 5.7% (weighted average interest rate of 2.1% as of March 31, 2018 and 2.0% as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2017)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r>
      <w:tr>
        <w:trPr>
          <w:trHeight w:val="216"/>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 leases and other, maturing through 2040, interest rates up to 12%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10"/>
        </w:trPr>
        <w:tc>
          <w:tcPr>
            <w:tcW w:w="6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w:t>
            </w:r>
          </w:p>
        </w:tc>
      </w:tr>
      <w:tr>
        <w:trPr>
          <w:trHeight w:val="216"/>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r>
      <w:tr>
        <w:trPr>
          <w:trHeight w:val="230"/>
        </w:trPr>
        <w:tc>
          <w:tcPr>
            <w:tcW w:w="6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w:t>
            </w:r>
          </w:p>
        </w:tc>
      </w:tr>
      <w:tr>
        <w:trPr>
          <w:trHeight w:val="851"/>
        </w:trPr>
        <w:tc>
          <w:tcPr>
            <w:tcW w:w="6900" w:type="dxa"/>
            <w:vAlign w:val="bottom"/>
          </w:tcPr>
          <w:p>
            <w:pPr>
              <w:ind w:left="44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9"/>
        </w:trPr>
        <w:tc>
          <w:tcPr>
            <w:tcW w:w="6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March 31, 2018, we had $2,180 million of debt maturing within the next 12 months, including (i) $989 million of short-term borrowings under our commercial paper program; (ii) $831 million of tax-exempt bonds with term interest rate periods that expire within the next 12 months, which is prior to their scheduled maturities; (iii) $233 million of other debt with scheduled maturities within the next 12 months, including $181 million of tax-exempt bonds; (iv) C$128 million, or $99 million, of borrowings under our Canadian term loan and (v) $28 million of borrowings under our long-term U.S. credit facility (“$2.25 billion revolving credit facility”). As of March 31, 2018, we have classified $1,124 million of this debt as long-term because we have the intent and ability to refinance these borrowings on a long-term basis as supported by the forecasted available capacity under our $2.25 billion revolving credit facility, as discussed below. The remaining $1,056 million is classified as current obligations.</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March 31, 2018, we also have $328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refinance these bonds on a long-term basis as supported by the forecasted available capacity under our $2.25 billion revolving credit facility, as discussed below. Accordingly, we have also classified these borrowings as long-term in our Condensed Consolidated Balance Sheet as of March 31, 2018.</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$2.25 Billion Revolving Credit Facility — </w:t>
      </w:r>
      <w:r>
        <w:rPr>
          <w:rFonts w:ascii="Arial" w:cs="Arial" w:eastAsia="Arial" w:hAnsi="Arial"/>
          <w:sz w:val="17"/>
          <w:szCs w:val="17"/>
          <w:color w:val="auto"/>
        </w:rPr>
        <w:t>Our $2.25 billion revolving credit facility maturing in July 2020 provides us</w:t>
      </w:r>
      <w:r>
        <w:rPr>
          <w:rFonts w:ascii="Arial" w:cs="Arial" w:eastAsia="Arial" w:hAnsi="Arial"/>
          <w:sz w:val="17"/>
          <w:szCs w:val="17"/>
          <w:i w:val="1"/>
          <w:iCs w:val="1"/>
          <w:color w:val="auto"/>
        </w:rPr>
        <w:t xml:space="preserve"> </w:t>
      </w:r>
      <w:r>
        <w:rPr>
          <w:rFonts w:ascii="Arial" w:cs="Arial" w:eastAsia="Arial" w:hAnsi="Arial"/>
          <w:sz w:val="17"/>
          <w:szCs w:val="17"/>
          <w:color w:val="auto"/>
        </w:rPr>
        <w:t>with credit capacity to be used for either cash borrowings or to support letters of credit or commercial paper. The rates we pay for outstanding loans are generally based on LIBOR plus a spread depending on the Company’s debt rating assigned by Moody’s Investors Service and Standard and Poor’s. As of March 31, 2018, we had $28 million of outstanding borrowings under this facility. We had $603 million of letters of credit issued and $990 million of outstanding borrowings under our commercial paper program (excluding the related discount on issuance), both supported by this facility, leaving unused and available credit capacity of $629 million as of March 31, 2018.</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We have a $1.5 billion commercial paper program that enables us to borrow funds for up</w:t>
      </w:r>
      <w:r>
        <w:rPr>
          <w:rFonts w:ascii="Arial" w:cs="Arial" w:eastAsia="Arial" w:hAnsi="Arial"/>
          <w:sz w:val="16"/>
          <w:szCs w:val="16"/>
          <w:i w:val="1"/>
          <w:iCs w:val="1"/>
          <w:color w:val="auto"/>
        </w:rPr>
        <w:t xml:space="preserve"> </w:t>
      </w:r>
      <w:r>
        <w:rPr>
          <w:rFonts w:ascii="Arial" w:cs="Arial" w:eastAsia="Arial" w:hAnsi="Arial"/>
          <w:sz w:val="16"/>
          <w:szCs w:val="16"/>
          <w:color w:val="auto"/>
        </w:rPr>
        <w:t>to 397 days at competitive interest rates. The commercial paper program is fully supported by our $2.25 billion revolving credit facility. As of March 31, 2018, we had $989 million of outstanding borrowings under our commercial paper program.</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Canadian Term Loan and Revolving Credit Facility — </w:t>
      </w:r>
      <w:r>
        <w:rPr>
          <w:rFonts w:ascii="Arial" w:cs="Arial" w:eastAsia="Arial" w:hAnsi="Arial"/>
          <w:sz w:val="17"/>
          <w:szCs w:val="17"/>
          <w:color w:val="auto"/>
        </w:rPr>
        <w:t>We have a Canadian credit agreement (which includes a term loan</w:t>
      </w:r>
      <w:r>
        <w:rPr>
          <w:rFonts w:ascii="Arial" w:cs="Arial" w:eastAsia="Arial" w:hAnsi="Arial"/>
          <w:sz w:val="17"/>
          <w:szCs w:val="17"/>
          <w:i w:val="1"/>
          <w:iCs w:val="1"/>
          <w:color w:val="auto"/>
        </w:rPr>
        <w:t xml:space="preserve"> </w:t>
      </w:r>
      <w:r>
        <w:rPr>
          <w:rFonts w:ascii="Arial" w:cs="Arial" w:eastAsia="Arial" w:hAnsi="Arial"/>
          <w:sz w:val="17"/>
          <w:szCs w:val="17"/>
          <w:color w:val="auto"/>
        </w:rPr>
        <w:t>and revolving credit facility) that matures in March 2019. This agreement provides the Company (i) C$50 million of revolving credit capacity, which can be used for borrowings or letters of credit, and (ii) C$460 million of non-revolving term credit that is prepayable without penalty and principal amounts repaid may not be reborrowed. As of March 31, 2018, we had C$128 million, or $99 million, of outstanding borrowings under our Canadian term loan. As of March 31, 2018, we had no borrowings or letters of credit outstanding under the Canadian revolving credit facility.</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Facilities — </w:t>
      </w:r>
      <w:r>
        <w:rPr>
          <w:rFonts w:ascii="Arial" w:cs="Arial" w:eastAsia="Arial" w:hAnsi="Arial"/>
          <w:sz w:val="18"/>
          <w:szCs w:val="18"/>
          <w:color w:val="auto"/>
        </w:rPr>
        <w:t>As of March 31, 2018, we utilized $511 million of other letter of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both committed and uncommitted, with terms maturing through April 2019.</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$2.25 Billion Revolving Credit Facility </w:t>
      </w:r>
      <w:r>
        <w:rPr>
          <w:rFonts w:ascii="Arial" w:cs="Arial" w:eastAsia="Arial" w:hAnsi="Arial"/>
          <w:sz w:val="18"/>
          <w:szCs w:val="18"/>
          <w:color w:val="auto"/>
        </w:rPr>
        <w:t>— During the three months ended March 31, 2018, we had borrowings of</w:t>
      </w:r>
      <w:r>
        <w:rPr>
          <w:rFonts w:ascii="Arial" w:cs="Arial" w:eastAsia="Arial" w:hAnsi="Arial"/>
          <w:sz w:val="18"/>
          <w:szCs w:val="18"/>
          <w:i w:val="1"/>
          <w:iCs w:val="1"/>
          <w:color w:val="auto"/>
        </w:rPr>
        <w:t xml:space="preserve"> </w:t>
      </w:r>
      <w:r>
        <w:rPr>
          <w:rFonts w:ascii="Arial" w:cs="Arial" w:eastAsia="Arial" w:hAnsi="Arial"/>
          <w:sz w:val="18"/>
          <w:szCs w:val="18"/>
          <w:color w:val="auto"/>
        </w:rPr>
        <w:t>$28 million under our $2.25 billion revolving credit facility for general corporate purposes.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During the three months ended March 31, 2018, we had net cash borrowings of</w:t>
      </w:r>
      <w:r>
        <w:rPr>
          <w:rFonts w:ascii="Arial" w:cs="Arial" w:eastAsia="Arial" w:hAnsi="Arial"/>
          <w:sz w:val="16"/>
          <w:szCs w:val="16"/>
          <w:i w:val="1"/>
          <w:iCs w:val="1"/>
          <w:color w:val="auto"/>
        </w:rPr>
        <w:t xml:space="preserve"> </w:t>
      </w:r>
      <w:r>
        <w:rPr>
          <w:rFonts w:ascii="Arial" w:cs="Arial" w:eastAsia="Arial" w:hAnsi="Arial"/>
          <w:sz w:val="16"/>
          <w:szCs w:val="16"/>
          <w:color w:val="auto"/>
        </w:rPr>
        <w:t>$471 million (net of related discount on issuance) to support new business opportunities and for general corporate purposes.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Canadian Term Loan and Revolving Credit Facility </w:t>
      </w:r>
      <w:r>
        <w:rPr>
          <w:rFonts w:ascii="Arial" w:cs="Arial" w:eastAsia="Arial" w:hAnsi="Arial"/>
          <w:sz w:val="18"/>
          <w:szCs w:val="18"/>
          <w:color w:val="auto"/>
        </w:rPr>
        <w:t>— During the three months ended March 31, 2018, we had net</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of C$14 million, or $11 million, of net advances under our Canadian term loan and revolving credit facility with available cash. The remaining change in the carrying value of outstanding borrowings under our Canadian term loan is due to foreign currency translation.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Tax-Exempt Bonds </w:t>
      </w:r>
      <w:r>
        <w:rPr>
          <w:rFonts w:ascii="Arial" w:cs="Arial" w:eastAsia="Arial" w:hAnsi="Arial"/>
          <w:sz w:val="18"/>
          <w:szCs w:val="18"/>
          <w:color w:val="auto"/>
        </w:rPr>
        <w:t>— During the three months ended March 31, 2018, we repaid $20 million of our tax-exempt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available cash.</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Leases and Other </w:t>
      </w:r>
      <w:r>
        <w:rPr>
          <w:rFonts w:ascii="Arial" w:cs="Arial" w:eastAsia="Arial" w:hAnsi="Arial"/>
          <w:sz w:val="18"/>
          <w:szCs w:val="18"/>
          <w:color w:val="auto"/>
        </w:rPr>
        <w:t>— During the three months ended March 31, 2018, we made net repayments of $16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other debt with available cash. In addition, during the three months ended March 31, 2018, our other debt increased by $12 million primarily for debt acquired through recent acquisitions.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Operating Revenues</w:t>
      </w:r>
    </w:p>
    <w:p>
      <w:pPr>
        <w:spacing w:after="0" w:line="229" w:lineRule="exact"/>
        <w:rPr>
          <w:sz w:val="20"/>
          <w:szCs w:val="20"/>
          <w:color w:val="auto"/>
        </w:rPr>
      </w:pPr>
    </w:p>
    <w:p>
      <w:pPr>
        <w:jc w:val="both"/>
        <w:ind w:firstLine="259"/>
        <w:spacing w:after="0" w:line="286"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including operations managed by both our Strategic Business Solutions (“WMSBS”) and Energy and Environmental Services (“EES”) organizations, recycling brokerage services, landfill gas-to-energy services and certain other expanded service offerings and solutions.</w:t>
      </w:r>
    </w:p>
    <w:p>
      <w:pPr>
        <w:spacing w:after="0" w:line="175" w:lineRule="exact"/>
        <w:rPr>
          <w:sz w:val="20"/>
          <w:szCs w:val="20"/>
          <w:color w:val="auto"/>
        </w:rPr>
      </w:pPr>
    </w:p>
    <w:p>
      <w:pPr>
        <w:jc w:val="both"/>
        <w:ind w:firstLine="247"/>
        <w:spacing w:after="0" w:line="264" w:lineRule="auto"/>
        <w:rPr>
          <w:sz w:val="20"/>
          <w:szCs w:val="20"/>
          <w:color w:val="auto"/>
        </w:rPr>
      </w:pPr>
      <w:r>
        <w:rPr>
          <w:rFonts w:ascii="Arial" w:cs="Arial" w:eastAsia="Arial" w:hAnsi="Arial"/>
          <w:sz w:val="18"/>
          <w:szCs w:val="18"/>
          <w:color w:val="auto"/>
        </w:rPr>
        <w:t>Our revenue from sources other than customer contracts primarily relates to lease revenue associated with compactors and balers. Revenue from these leasing arrangements was not material and represented approximately 1% of total revenue for each of the reported periods.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8 for additional information related to revenue by reportable segment and major lines of business.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8" w:lineRule="exact"/>
        <w:rPr>
          <w:sz w:val="20"/>
          <w:szCs w:val="20"/>
          <w:color w:val="auto"/>
        </w:rPr>
      </w:pPr>
    </w:p>
    <w:p>
      <w:pPr>
        <w:jc w:val="both"/>
        <w:ind w:firstLine="259"/>
        <w:spacing w:after="0" w:line="291" w:lineRule="auto"/>
        <w:rPr>
          <w:sz w:val="20"/>
          <w:szCs w:val="20"/>
          <w:color w:val="auto"/>
        </w:rPr>
      </w:pPr>
      <w:r>
        <w:rPr>
          <w:rFonts w:ascii="Arial" w:cs="Arial" w:eastAsia="Arial" w:hAnsi="Arial"/>
          <w:sz w:val="16"/>
          <w:szCs w:val="16"/>
          <w:color w:val="auto"/>
        </w:rPr>
        <w:t>Accounts receivable,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internal collection efforts have been unsuccessful.</w:t>
      </w:r>
    </w:p>
    <w:p>
      <w:pPr>
        <w:spacing w:after="0" w:line="14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Deferred Revenues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 deferred revenues when cash payments are received or due in advance of our performance and classify them as current since they are earned within a year and there are no significant financing components. Substantially all our deferred revenues outstanding as of December 31, 2017 were realized as revenues within one to three months, when the related services were performed.</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firstLine="247"/>
        <w:spacing w:after="0" w:line="297" w:lineRule="auto"/>
        <w:rPr>
          <w:sz w:val="20"/>
          <w:szCs w:val="20"/>
          <w:color w:val="auto"/>
        </w:rPr>
      </w:pPr>
      <w:r>
        <w:rPr>
          <w:rFonts w:ascii="Arial" w:cs="Arial" w:eastAsia="Arial" w:hAnsi="Arial"/>
          <w:sz w:val="16"/>
          <w:szCs w:val="16"/>
          <w:color w:val="auto"/>
        </w:rPr>
        <w:t>Our incremental direct costs of obtaining a contract, which consist primarily of sales incentives, are generally deferred and amortized to selling, general and administrative expense over the estimated life of the relevant customer relationship, ranging from 5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w:t>
      </w:r>
    </w:p>
    <w:p>
      <w:pPr>
        <w:spacing w:after="0" w:line="158" w:lineRule="exact"/>
        <w:rPr>
          <w:sz w:val="20"/>
          <w:szCs w:val="20"/>
          <w:color w:val="auto"/>
        </w:rPr>
      </w:pPr>
    </w:p>
    <w:p>
      <w:pPr>
        <w:jc w:val="both"/>
        <w:ind w:firstLine="247"/>
        <w:spacing w:after="0" w:line="286" w:lineRule="auto"/>
        <w:rPr>
          <w:sz w:val="20"/>
          <w:szCs w:val="20"/>
          <w:color w:val="auto"/>
        </w:rPr>
      </w:pPr>
      <w:r>
        <w:rPr>
          <w:rFonts w:ascii="Arial" w:cs="Arial" w:eastAsia="Arial" w:hAnsi="Arial"/>
          <w:sz w:val="17"/>
          <w:szCs w:val="17"/>
          <w:color w:val="auto"/>
        </w:rPr>
        <w:t>As of March 31, 2018, we had $136 million of deferred contract costs, of which $107 million were related to deferred sales incentives. During the three months ended March 31, 2018, we amortized $6 million of sales incentives to selling, general and administrative expense and $10 million of other contract acquisition costs as a reduction in revenue.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Contracts</w:t>
      </w:r>
    </w:p>
    <w:p>
      <w:pPr>
        <w:spacing w:after="0" w:line="225" w:lineRule="exact"/>
        <w:rPr>
          <w:sz w:val="20"/>
          <w:szCs w:val="20"/>
          <w:color w:val="auto"/>
        </w:rPr>
      </w:pPr>
    </w:p>
    <w:p>
      <w:pPr>
        <w:jc w:val="both"/>
        <w:ind w:firstLine="247"/>
        <w:spacing w:after="0" w:line="291" w:lineRule="auto"/>
        <w:rPr>
          <w:sz w:val="20"/>
          <w:szCs w:val="20"/>
          <w:color w:val="auto"/>
        </w:rPr>
      </w:pPr>
      <w:r>
        <w:rPr>
          <w:rFonts w:ascii="Arial" w:cs="Arial" w:eastAsia="Arial" w:hAnsi="Arial"/>
          <w:sz w:val="16"/>
          <w:szCs w:val="16"/>
          <w:color w:val="auto"/>
        </w:rPr>
        <w:t>Approximately 30% of our total revenue is derived from contracts with an effective term greater than one year. The consideration for these contracts is variable in nature. The variable elements of these contracts primarily include the number of homes and businesses served and annual rate changes based on consumer price index, fuel prices or other 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effective income tax rate for the three months ended March 31, 2018 and 2017 was 22.7% and 31.7%, respectively. We evaluate our effective income tax rate at each interim period and adjust it as facts and circumstances warrant. The decrease in the effective income tax rate for the three months ended March 31, 2018, compared with the prior year period, was primarily due to the enactment of tax reform, as discussed below.</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difference between federal income taxes computed at the federal statutory rate and reported income taxes for the three months ended March 31, 2018 was primarily due to the unfavorable impact of state and local income taxes offset, 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 by the favorable impact of federal tax credits and excess tax benefits related to equity-based compensation. The difference between federal income taxes computed at the federal statutory rate and reported income taxes for the three months ended March 31, 2017 was primarily due to the favorable impact of excess tax benefits related to equity-based compensation and federal tax credits offset, in part, by the unfavorable impact of state and local income taxes and the tax implications of impairments.</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Enactment of Tax Reform – </w:t>
      </w:r>
      <w:r>
        <w:rPr>
          <w:rFonts w:ascii="Arial" w:cs="Arial" w:eastAsia="Arial" w:hAnsi="Arial"/>
          <w:sz w:val="16"/>
          <w:szCs w:val="16"/>
          <w:color w:val="auto"/>
        </w:rPr>
        <w:t>The Act was signed into law on December 22, 2017. The most significant impacts of the Act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Company include a reduction in the federal corporate income tax rate from 35% to 21%, effective January 1, 2018, and a one-time, mandatory transition tax on deemed repatriation of previously tax-deferred and unremitted foreign earnings.</w:t>
      </w:r>
    </w:p>
    <w:p>
      <w:pPr>
        <w:spacing w:after="0" w:line="14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accordance with ASU 2018-05 and SAB 118, the Company recognized the provisional tax impacts related to the re-measurement of our deferred income tax assets and liabilities and the one-time, mandatory transition tax on deemed repatriation during the year ended December 31, 2017. As of March 31, 2018, we have not made any additional measurement-period adjustments related to these items. Such adjustments may be necessary in future periods due to, among other things, the significant complexity of the Act and anticipated additional regulatory guidance that may be issued by the Internal Revenue Service (“IRS”), changes in analysis, interpretations and assumptions the Company has made and actions the Company may take as a result of the Act. We are continuing to gather information to assess the application of the Act and expect to complete our analysis with the filing of our 2017 income tax returns during the third quarter of 2018.</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three months ended March 31, 2018 and 2017, we recognized a reduction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our income tax expense of $11 million and $32 million, respectively, for excess tax benefits related to the vesting or exercise of equity-based compensation awards.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Investments Qualifying for Federal Tax Credits </w:t>
      </w:r>
      <w:r>
        <w:rPr>
          <w:rFonts w:ascii="Arial" w:cs="Arial" w:eastAsia="Arial" w:hAnsi="Arial"/>
          <w:sz w:val="17"/>
          <w:szCs w:val="17"/>
          <w:color w:val="auto"/>
        </w:rPr>
        <w:t>— We have significant financial interests in entities established to invest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and manage low-income housing properties and a refined coal facility. We support the operations of these entities in exchange for a pro-rata share of the tax credits they generate. The low-income housing investments and the coal facility’s refinement processes qualify for federal tax credits that we expect to realize through 2020 under Section 42 and through 2019 under Section 45, respectively, of the Internal Revenue Code.</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the three months ended March 31, 2018 and 2017, we recognized $6 million of net losses and a reduction in our income tax expense of $10 million and $11 million, respectively, primarily because of tax credits realized from these investments. Interest expense associated with our investment in low-income housing properties was not material for the periods presented. See Note 13 for additional information related to these unconsolidated variable interest entities.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Basic and diluted earnings per share were computed using the following common share data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(shares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r>
      <w:tr>
        <w:trPr>
          <w:trHeight w:val="216"/>
        </w:trPr>
        <w:tc>
          <w:tcPr>
            <w:tcW w:w="7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r>
      <w:tr>
        <w:trPr>
          <w:trHeight w:val="216"/>
        </w:trPr>
        <w:tc>
          <w:tcPr>
            <w:tcW w:w="7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6"/>
              </w:rPr>
              <w:t>Dilutive effect of equity-based compensation awards and other contingently issuable shares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r>
      <w:tr>
        <w:trPr>
          <w:trHeight w:val="203"/>
        </w:trPr>
        <w:tc>
          <w:tcPr>
            <w:tcW w:w="7260" w:type="dxa"/>
            <w:vAlign w:val="bottom"/>
          </w:tcPr>
          <w:p>
            <w:pPr>
              <w:spacing w:after="0" w:line="203" w:lineRule="exact"/>
              <w:rPr>
                <w:sz w:val="20"/>
                <w:szCs w:val="20"/>
                <w:color w:val="auto"/>
              </w:rPr>
            </w:pPr>
            <w:r>
              <w:rPr>
                <w:rFonts w:ascii="Arial" w:cs="Arial" w:eastAsia="Arial" w:hAnsi="Arial"/>
                <w:sz w:val="18"/>
                <w:szCs w:val="18"/>
                <w:color w:val="auto"/>
              </w:rPr>
              <w:t>Potentially issuable shares</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9.2</w:t>
            </w:r>
          </w:p>
        </w:tc>
      </w:tr>
      <w:tr>
        <w:trPr>
          <w:trHeight w:val="202"/>
        </w:trPr>
        <w:tc>
          <w:tcPr>
            <w:tcW w:w="7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 common shares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automobile liability, workers’ compensation, real and personal property, directors’ and officers’ liability, pollution legal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In December 2017, we elected to use a wholly-owned insurance captive to insure the deductibles for our general liability, automobile liability and workers’ compensation claims programs.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Guarantees — </w:t>
      </w:r>
      <w:r>
        <w:rPr>
          <w:rFonts w:ascii="Arial" w:cs="Arial" w:eastAsia="Arial" w:hAnsi="Arial"/>
          <w:sz w:val="16"/>
          <w:szCs w:val="16"/>
          <w:color w:val="auto"/>
        </w:rPr>
        <w:t>In the ordinary course of our business, WM and WM Holdings enter into guarantee agreements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 See Note 14 for further discussion.</w:t>
      </w:r>
    </w:p>
    <w:p>
      <w:pPr>
        <w:spacing w:after="0" w:line="1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March 31, 2018, we have guaranteed the obligations and certain performance requirements of third parties in connection with both consolidated and unconsolidated entities, including (i) guarantees to cover certain market value losses for approximately 775 homeowners’ properties adjacent to or near 19 of our landfills and (ii) guarantees totaling $85 million for performance obligations of our Wheelabrator business, divested in 2014. We have also agreed to indemnify certain third-party purchasers against liabilities associated with divested operations prior to such sale.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believe that these contingent obligations will have a material adverse effect on the Company’s financial condition, results of operations or cash flows, and we do not expect the financial impact of operational and financial performance guarantees to materially exceed the recorded fair value.</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 as</w:t>
      </w:r>
      <w:r>
        <w:rPr>
          <w:rFonts w:ascii="Arial" w:cs="Arial" w:eastAsia="Arial" w:hAnsi="Arial"/>
          <w:sz w:val="17"/>
          <w:szCs w:val="17"/>
          <w:i w:val="1"/>
          <w:iCs w:val="1"/>
          <w:color w:val="auto"/>
        </w:rPr>
        <w:t xml:space="preserve"> </w:t>
      </w:r>
      <w:r>
        <w:rPr>
          <w:rFonts w:ascii="Arial" w:cs="Arial" w:eastAsia="Arial" w:hAnsi="Arial"/>
          <w:sz w:val="17"/>
          <w:szCs w:val="17"/>
          <w:color w:val="auto"/>
        </w:rPr>
        <w:t>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$145 million higher than the $251 million recorded in the Condensed Consolidated Balance Sheet as of March 31, 2018.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March 31, 2018,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selected remedy for the site. Allocation of responsibility among the PRPs for the selected remedy has not been established. As of March 31, 2018 and December 31, 2017, the recorded liability for MIMC’s estimated potential share of the EPA’s selected remedy and related costs was $55 million. MIMC’s ultimate liability could be materially different from current estimates.</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178" w:lineRule="exact"/>
        <w:rPr>
          <w:sz w:val="20"/>
          <w:szCs w:val="20"/>
          <w:color w:val="auto"/>
        </w:rPr>
      </w:pPr>
    </w:p>
    <w:p>
      <w:pPr>
        <w:jc w:val="both"/>
        <w:ind w:left="320" w:firstLine="324"/>
        <w:spacing w:after="0" w:line="291" w:lineRule="auto"/>
        <w:rPr>
          <w:sz w:val="20"/>
          <w:szCs w:val="20"/>
          <w:color w:val="auto"/>
        </w:rPr>
      </w:pPr>
      <w:r>
        <w:rPr>
          <w:rFonts w:ascii="Arial" w:cs="Arial" w:eastAsia="Arial" w:hAnsi="Arial"/>
          <w:sz w:val="16"/>
          <w:szCs w:val="16"/>
          <w:color w:val="auto"/>
        </w:rPr>
        <w:t>On January 10, 2017, the Pennsylvania Department of Environmental Protection (“DEP”) solid waste program advised us that it would seek civil penalties against the Grows North and Tullytown Landfills (“Grows/Tullytown”), located in southeast Pennsylvania and owned by indirect wholly-owned subsidiaries of WM, related to operational issues, including litter and leachate discharges. We received additional notice on March 15, 2017 that the DEP clean water program would seek civil penalties related to similar underlying events and operational issues at Grows/Tullytown. We engaged in discussions with representatives of the DEP and amicably resolved these issues, and on March 26, 2018, we signed a consent assessment of civil penalty and subsequently made payment of $505,100.</w:t>
      </w:r>
    </w:p>
    <w:p>
      <w:pPr>
        <w:spacing w:after="0" w:line="167" w:lineRule="exact"/>
        <w:rPr>
          <w:sz w:val="20"/>
          <w:szCs w:val="20"/>
          <w:color w:val="auto"/>
        </w:rPr>
      </w:pPr>
    </w:p>
    <w:p>
      <w:pPr>
        <w:jc w:val="both"/>
        <w:ind w:left="320" w:firstLine="324"/>
        <w:spacing w:after="0" w:line="279" w:lineRule="auto"/>
        <w:rPr>
          <w:sz w:val="20"/>
          <w:szCs w:val="20"/>
          <w:color w:val="auto"/>
        </w:rPr>
      </w:pPr>
      <w:r>
        <w:rPr>
          <w:rFonts w:ascii="Arial" w:cs="Arial" w:eastAsia="Arial" w:hAnsi="Arial"/>
          <w:sz w:val="17"/>
          <w:szCs w:val="17"/>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171" w:lineRule="exact"/>
        <w:rPr>
          <w:sz w:val="20"/>
          <w:szCs w:val="20"/>
          <w:color w:val="auto"/>
        </w:rPr>
      </w:pPr>
    </w:p>
    <w:p>
      <w:pPr>
        <w:jc w:val="both"/>
        <w:ind w:left="320" w:firstLine="324"/>
        <w:spacing w:after="0" w:line="257" w:lineRule="auto"/>
        <w:rPr>
          <w:sz w:val="20"/>
          <w:szCs w:val="20"/>
          <w:color w:val="auto"/>
        </w:rPr>
      </w:pPr>
      <w:r>
        <w:rPr>
          <w:rFonts w:ascii="Arial" w:cs="Arial" w:eastAsia="Arial" w:hAnsi="Arial"/>
          <w:sz w:val="18"/>
          <w:szCs w:val="18"/>
          <w:color w:val="auto"/>
        </w:rPr>
        <w:t>The Hawaii Department of Health and the EPA have asserted civil penalty claims against Waste Management of Hawaii, Inc. (“WMHI”), an indirect wholly-owned subsidiary of WM, based on stormwater discharges at the Waimanalo Gulch Sanitary Landfill following two major rainstorms in December 2010 and January 2011 and alleged violations of stormwater permit requirements prior to and after the storms. WMHI operates the landfill for the City and County of Honolulu.</w:t>
      </w:r>
    </w:p>
    <w:p>
      <w:pPr>
        <w:spacing w:after="0" w:line="188"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As a large company with operations across the U.S. and Canada, we are subject to various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Tax Matters — </w:t>
      </w:r>
      <w:r>
        <w:rPr>
          <w:rFonts w:ascii="Arial" w:cs="Arial" w:eastAsia="Arial" w:hAnsi="Arial"/>
          <w:sz w:val="18"/>
          <w:szCs w:val="18"/>
          <w:color w:val="auto"/>
        </w:rPr>
        <w:t>We participate in the IRS’s Compliance Assurance Process, which means we work with the IRS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year towards resolving any material issues prior to the filing of our annual tax return. Any unresolved issues as of the tax return filing date are subject to routine examination procedures. We are currently in the examination phase of IRS audits for the 2014 through 2018 tax years and expect these audits to be completed within the next 24 months. We are also currently undergoing audits by various state and local jurisdictions for tax years that date back to 2011, with the exception of affirmative claims in a limited number of jurisdictions that date back to 2000.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and Related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The 17 Areas constitute our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Annually, we analyze the Areas’ income from operations margins for purposes of segment reporting and in the fourth quarter of 2017, we realigned our Solid Waste tiers to reflect changes in their relative economic characteristics and prospects. These changes are the results of various factors including acquisitions, divestments, business mix and the economic climate of various geographies. Reclassifications have been made to our prior period consolidated financial information to conform to the current year presentation.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Tier 1 is comprised of our operations across the Southern U.S., with the exception of Southern California and the Florida peninsula, and also includes the New England states, the tri-state area of Michigan, Indiana and Ohio, and Western Canada. Tier 2 now includes Southern California, Eastern Canada, Wisconsin and Minnesota. Tier 3 now encompasses all the remaining operations including the Pacific Northwest and Northern California, the Mid-Atlantic region of the U.S., the Florida peninsula, Illinois and Missouri.</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for the three months ended March 31 is shown in the following table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6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Income</w:t>
            </w:r>
          </w:p>
        </w:tc>
      </w:tr>
      <w:tr>
        <w:trPr>
          <w:trHeight w:val="149"/>
        </w:trPr>
        <w:tc>
          <w:tcPr>
            <w:tcW w:w="35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Operating</w:t>
            </w: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3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Revenues</w:t>
            </w:r>
          </w:p>
        </w:tc>
        <w:tc>
          <w:tcPr>
            <w:tcW w:w="1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Revenues</w:t>
            </w: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Operations</w:t>
            </w: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2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Solid Waste: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color w:val="auto"/>
              </w:rPr>
              <w:t>Tier 2</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10"/>
        </w:trPr>
        <w:tc>
          <w:tcPr>
            <w:tcW w:w="3560" w:type="dxa"/>
            <w:vAlign w:val="bottom"/>
          </w:tcPr>
          <w:p>
            <w:pPr>
              <w:ind w:left="320"/>
              <w:spacing w:after="0"/>
              <w:rPr>
                <w:sz w:val="20"/>
                <w:szCs w:val="20"/>
                <w:color w:val="auto"/>
              </w:rPr>
            </w:pPr>
            <w:r>
              <w:rPr>
                <w:rFonts w:ascii="Arial" w:cs="Arial" w:eastAsia="Arial" w:hAnsi="Arial"/>
                <w:sz w:val="18"/>
                <w:szCs w:val="18"/>
                <w:color w:val="auto"/>
              </w:rPr>
              <w:t>Solid Waste</w:t>
            </w:r>
          </w:p>
        </w:tc>
        <w:tc>
          <w:tcPr>
            <w:tcW w:w="2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3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7"/>
        </w:trPr>
        <w:tc>
          <w:tcPr>
            <w:tcW w:w="3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r>
      <w:tr>
        <w:trPr>
          <w:trHeight w:val="216"/>
        </w:trPr>
        <w:tc>
          <w:tcPr>
            <w:tcW w:w="35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color w:val="auto"/>
              </w:rPr>
              <w:t>Tier 1</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16"/>
        </w:trPr>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3560" w:type="dxa"/>
            <w:vAlign w:val="bottom"/>
          </w:tcPr>
          <w:p>
            <w:pPr>
              <w:ind w:left="220"/>
              <w:spacing w:after="0"/>
              <w:rPr>
                <w:sz w:val="20"/>
                <w:szCs w:val="20"/>
                <w:color w:val="auto"/>
              </w:rPr>
            </w:pPr>
            <w:r>
              <w:rPr>
                <w:rFonts w:ascii="Arial" w:cs="Arial" w:eastAsia="Arial" w:hAnsi="Arial"/>
                <w:sz w:val="18"/>
                <w:szCs w:val="18"/>
                <w:color w:val="auto"/>
              </w:rPr>
              <w:t>Tier 3</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10"/>
        </w:trPr>
        <w:tc>
          <w:tcPr>
            <w:tcW w:w="35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Solid Waste</w:t>
            </w:r>
          </w:p>
        </w:tc>
        <w:tc>
          <w:tcPr>
            <w:tcW w:w="2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35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Corporate and Other</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7"/>
        </w:trPr>
        <w:tc>
          <w:tcPr>
            <w:tcW w:w="3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three months ended March 31 are as follows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Residential</w:t>
            </w: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Landfill</w:t>
            </w: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Recycling</w:t>
            </w: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r>
      <w:tr>
        <w:trPr>
          <w:trHeight w:val="217"/>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r>
      <w:tr>
        <w:trPr>
          <w:trHeight w:val="108"/>
        </w:trPr>
        <w:tc>
          <w:tcPr>
            <w:tcW w:w="228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net of intercompany activity.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20" w:hanging="317"/>
        <w:spacing w:after="0" w:line="277"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Fluctuations in our operating results may be caused by many factors, including period-to-period changes in the relative contribution of revenue by each line of business, changes in commodity prices and general economic conditions. In addition,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U.S.,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three months ended March 31, 2018, we acquired seven solid waste businesses. Total consideration, net of cash acquired, for these acquisitions was $246 million. The businesses acquired provide collection, transfer and disposal services. As of March 31, 2018, the allocation of the purchase price for these acquisitions is preliminary; fair value estimates of identifiable assets acquired and liabilities assumed are based on management’s estimates, judgments and assumptions and are subject to change until finalized.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Available-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Post-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Retirement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8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w:t>
            </w: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9"/>
              </w:rPr>
              <w:t>Instruments</w:t>
            </w:r>
          </w:p>
        </w:tc>
        <w:tc>
          <w:tcPr>
            <w:tcW w:w="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Obligations</w:t>
            </w: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506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5"/>
              </w:rPr>
              <w:t>Other comprehensive income (loss) before reclassifications, net</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of tax expense (benefit) of $0, $0, $0 and $0, respectively</w:t>
            </w:r>
          </w:p>
        </w:tc>
        <w:tc>
          <w:tcPr>
            <w:tcW w:w="2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202"/>
        </w:trPr>
        <w:tc>
          <w:tcPr>
            <w:tcW w:w="50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Amounts reclassified from accumulated other comprehensive</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(income) loss, net of tax (expense) benefit of $1, $0, $0 and</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 respectively</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06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new accounting standard (a)</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5060" w:type="dxa"/>
            <w:vAlign w:val="bottom"/>
            <w:gridSpan w:val="2"/>
          </w:tcPr>
          <w:p>
            <w:pPr>
              <w:spacing w:after="0"/>
              <w:rPr>
                <w:sz w:val="20"/>
                <w:szCs w:val="20"/>
                <w:color w:val="auto"/>
              </w:rPr>
            </w:pPr>
            <w:r>
              <w:rPr>
                <w:rFonts w:ascii="Arial" w:cs="Arial" w:eastAsia="Arial" w:hAnsi="Arial"/>
                <w:sz w:val="18"/>
                <w:szCs w:val="18"/>
                <w:color w:val="auto"/>
              </w:rPr>
              <w:t>Balance, March 31, 2018</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January 1, 2018, we adopted ASU 2018-02 and reclassified stranded tax effects to retained earnings. See Note 1 for further discussion of ASU 2018-02.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derivatives outstanding subsequent to March 31, 2016. Amounts reclassified out of each component of accumulated other comprehensive income (loss) associated with our previously terminated cash flow hedges were not material for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 Repurchase Program</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In February 2018, we entered into an accelerated share repurchase (“ASR”) agreement to repurchase $250 million of our common stock. At the beginning of the repurchase period, we delivered $250 million in cash and received 2.3 million shares based on a stock price of $85.13. This agreement was completed in March 2018 and we received 0.6 million additional shares. The final weighted average per share price for the completed ASR agreement was $85.15. In March 2018, after completion of the ASR agreement, we repurchased 0.1 million additional shares in open market transactions under a 10b5-1 plan for $8 million, inclusive of per-share commissions, and made payment in April 2018.</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account for ASR agreements as two separate transactions: (i) as shares of reacquired common stock for the shares delivered to us upon effectiveness of the ASR agreement and (ii) as a forward contract indexed to our own common stock for the undelivered shares. The initial delivery of shares is included in treasury stock at cost and results in an immediate reduction of the outstanding shares used to calculate the weighted average common shares outstanding for basic and diluted earnings per share. The forward contracts indexed to our own common stock meet the criteria for equity classification, and these amounts are initially recorded in additional paid-in capital and reclassified to treasury stock upon completion of the ASR agreement.</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2018, the Company has authorization for $992 million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Quoted</w:t>
            </w:r>
          </w:p>
        </w:tc>
        <w:tc>
          <w:tcPr>
            <w:tcW w:w="140" w:type="dxa"/>
            <w:vAlign w:val="bottom"/>
          </w:tcPr>
          <w:p>
            <w:pPr>
              <w:spacing w:after="0"/>
              <w:rPr>
                <w:sz w:val="10"/>
                <w:szCs w:val="10"/>
                <w:color w:val="auto"/>
              </w:rPr>
            </w:pPr>
          </w:p>
        </w:tc>
        <w:tc>
          <w:tcPr>
            <w:tcW w:w="8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March 31, 2018</w:t>
            </w: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3)(a)</w:t>
            </w:r>
          </w:p>
        </w:tc>
        <w:tc>
          <w:tcPr>
            <w:tcW w:w="0" w:type="dxa"/>
            <w:vAlign w:val="bottom"/>
          </w:tcPr>
          <w:p>
            <w:pPr>
              <w:spacing w:after="0"/>
              <w:rPr>
                <w:sz w:val="1"/>
                <w:szCs w:val="1"/>
                <w:color w:val="auto"/>
              </w:rPr>
            </w:pPr>
          </w:p>
        </w:tc>
      </w:tr>
      <w:tr>
        <w:trPr>
          <w:trHeight w:val="196"/>
        </w:trPr>
        <w:tc>
          <w:tcPr>
            <w:tcW w:w="2280" w:type="dxa"/>
            <w:vAlign w:val="bottom"/>
            <w:vMerge w:val="continue"/>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Available-for-sale securities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Fixed-income securities</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Redeemable preferred stock</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17"/>
        </w:trPr>
        <w:tc>
          <w:tcPr>
            <w:tcW w:w="2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3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Available-for-sale securities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Fixed-income securities</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Redeemable preferred stock</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17"/>
        </w:trPr>
        <w:tc>
          <w:tcPr>
            <w:tcW w:w="22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55"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comparables. There has not been any significant change in the fair value of the redeemable preferred stock since our assessment as of December 31, 2017.</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31, 2018 and December 31, 2017, the carrying value of our debt was $10.0 billion and $9.5 billion, respectively. The estimated fair value of our debt was approximately $10.1 billion and $9.9 billion as of March 31, 2018 and December 31, 2017, respectively.</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March 31, 2018 and December 31, 2017. These amounts have not been revalued since those dates, and current estimates of fair value could differ significantly from the amounts presented.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and a refined coal facility as we have determined we are not the primary beneficiary of these entities as we do not have the power to individually direct the activities of these entities. Accordingly, we account for these investments under the equity method of accounting. Our aggregate investment balance in these two entities was $59 million as of March 31, 2018 and December 31, 2017. The debt balance related to our investment in low-income housing properties was $28 million and $34 million as of March 31, 2018 and December 31, 2017, respectively. Additional information related to these investments is discussed in Note 5.</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host community in which we operate are not consolidated because we are not the primary beneficiary of these entities as we either do not have the (i)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$98 million and $99 million as of March 31, 2018 and December 31, 2017, respectively.</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Consolidated Variable Interest Entities — </w:t>
      </w:r>
      <w:r>
        <w:rPr>
          <w:rFonts w:ascii="Arial" w:cs="Arial" w:eastAsia="Arial" w:hAnsi="Arial"/>
          <w:sz w:val="17"/>
          <w:szCs w:val="17"/>
          <w:color w:val="auto"/>
        </w:rPr>
        <w:t>Trust funds for which we are the sole beneficiary are consolidated because we</w:t>
      </w:r>
      <w:r>
        <w:rPr>
          <w:rFonts w:ascii="Arial" w:cs="Arial" w:eastAsia="Arial" w:hAnsi="Arial"/>
          <w:sz w:val="17"/>
          <w:szCs w:val="17"/>
          <w:i w:val="1"/>
          <w:iCs w:val="1"/>
          <w:color w:val="auto"/>
        </w:rPr>
        <w:t xml:space="preserve"> </w:t>
      </w:r>
      <w:r>
        <w:rPr>
          <w:rFonts w:ascii="Arial" w:cs="Arial" w:eastAsia="Arial" w:hAnsi="Arial"/>
          <w:sz w:val="17"/>
          <w:szCs w:val="17"/>
          <w:color w:val="auto"/>
        </w:rPr>
        <w:t>are the primary beneficiary. These trust funds are recorded in restricted trust and escrow accounts in our Condensed Consolidated Balance Sheets. Unrealized gains and losses on available-for-sale securities held by these trusts are recorded as a component of our accumulated other comprehensive income (loss). These trusts had a fair value of $102 million and $101 million as of March 31, 2018 and December 31, 2017, respectively.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WM</w:t>
            </w:r>
          </w:p>
        </w:tc>
        <w:tc>
          <w:tcPr>
            <w:tcW w:w="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center"/>
              <w:ind w:left="10"/>
              <w:spacing w:after="0" w:line="196" w:lineRule="exact"/>
              <w:rPr>
                <w:sz w:val="20"/>
                <w:szCs w:val="20"/>
                <w:color w:val="auto"/>
              </w:rPr>
            </w:pPr>
            <w:r>
              <w:rPr>
                <w:rFonts w:ascii="Arial" w:cs="Arial" w:eastAsia="Arial" w:hAnsi="Arial"/>
                <w:sz w:val="18"/>
                <w:szCs w:val="18"/>
                <w:b w:val="1"/>
                <w:bCs w:val="1"/>
                <w:color w:val="auto"/>
                <w:w w:val="91"/>
              </w:rPr>
              <w:t>ASSETS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11,637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11,637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23,351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(46,229)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(15,398)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23,022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23,387</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(61,627)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8"/>
          </w:tcPr>
          <w:p>
            <w:pPr>
              <w:jc w:val="center"/>
              <w:ind w:left="299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Due to affiliates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15,472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(21,748)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23,051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(21,748)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16,041</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22,877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23,352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(46,229)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(6,073)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22,877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(39,879)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17"/>
        </w:trPr>
        <w:tc>
          <w:tcPr>
            <w:tcW w:w="38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23,387</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(61,627)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22,106</w:t>
            </w:r>
          </w:p>
        </w:tc>
        <w:tc>
          <w:tcPr>
            <w:tcW w:w="0" w:type="dxa"/>
            <w:vAlign w:val="bottom"/>
          </w:tcPr>
          <w:p>
            <w:pPr>
              <w:spacing w:after="0"/>
              <w:rPr>
                <w:sz w:val="1"/>
                <w:szCs w:val="1"/>
                <w:color w:val="auto"/>
              </w:rPr>
            </w:pPr>
          </w:p>
        </w:tc>
      </w:tr>
      <w:tr>
        <w:trPr>
          <w:trHeight w:val="864"/>
        </w:trPr>
        <w:tc>
          <w:tcPr>
            <w:tcW w:w="3840" w:type="dxa"/>
            <w:vAlign w:val="bottom"/>
          </w:tcPr>
          <w:p>
            <w:pPr>
              <w:spacing w:after="0"/>
              <w:rPr>
                <w:sz w:val="24"/>
                <w:szCs w:val="24"/>
                <w:color w:val="auto"/>
              </w:rPr>
            </w:pPr>
          </w:p>
        </w:tc>
        <w:tc>
          <w:tcPr>
            <w:tcW w:w="128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vMerge w:val="restart"/>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Holdings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left="30"/>
              <w:spacing w:after="0" w:line="196" w:lineRule="exact"/>
              <w:rPr>
                <w:sz w:val="20"/>
                <w:szCs w:val="20"/>
                <w:color w:val="auto"/>
              </w:rPr>
            </w:pPr>
            <w:r>
              <w:rPr>
                <w:rFonts w:ascii="Arial" w:cs="Arial" w:eastAsia="Arial" w:hAnsi="Arial"/>
                <w:sz w:val="18"/>
                <w:szCs w:val="18"/>
                <w:b w:val="1"/>
                <w:bCs w:val="1"/>
                <w:color w:val="auto"/>
                <w:w w:val="91"/>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22,393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(45,286)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(15,349)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22,407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22,929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(60,635)</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8"/>
          </w:tcPr>
          <w:p>
            <w:pPr>
              <w:jc w:val="center"/>
              <w:ind w:left="287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Due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15,404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(21,701)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22,461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(21,701)</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22,392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(45,286)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(6,073)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22,392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(38,934)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17"/>
        </w:trPr>
        <w:tc>
          <w:tcPr>
            <w:tcW w:w="38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22,407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22,929</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(60,635)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864"/>
        </w:trPr>
        <w:tc>
          <w:tcPr>
            <w:tcW w:w="3840" w:type="dxa"/>
            <w:vAlign w:val="bottom"/>
          </w:tcPr>
          <w:p>
            <w:pPr>
              <w:spacing w:after="0"/>
              <w:rPr>
                <w:sz w:val="24"/>
                <w:szCs w:val="24"/>
                <w:color w:val="auto"/>
              </w:rPr>
            </w:pP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WM</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WM</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ind w:right="180"/>
              <w:spacing w:after="0" w:line="161" w:lineRule="exact"/>
              <w:rPr>
                <w:sz w:val="20"/>
                <w:szCs w:val="20"/>
                <w:color w:val="auto"/>
              </w:rPr>
            </w:pPr>
            <w:r>
              <w:rPr>
                <w:rFonts w:ascii="Arial" w:cs="Arial" w:eastAsia="Arial" w:hAnsi="Arial"/>
                <w:sz w:val="14"/>
                <w:szCs w:val="14"/>
                <w:b w:val="1"/>
                <w:bCs w:val="1"/>
                <w:color w:val="auto"/>
                <w:w w:val="98"/>
              </w:rPr>
              <w:t>Non</w:t>
            </w:r>
            <w:r>
              <w:rPr>
                <w:rFonts w:ascii="MS PGothic" w:cs="MS PGothic" w:eastAsia="MS PGothic" w:hAnsi="MS PGothic"/>
                <w:sz w:val="14"/>
                <w:szCs w:val="14"/>
                <w:b w:val="1"/>
                <w:bCs w:val="1"/>
                <w:color w:val="auto"/>
                <w:w w:val="98"/>
              </w:rPr>
              <w:t>‑</w:t>
            </w:r>
            <w:r>
              <w:rPr>
                <w:rFonts w:ascii="Arial" w:cs="Arial" w:eastAsia="Arial" w:hAnsi="Arial"/>
                <w:sz w:val="14"/>
                <w:szCs w:val="14"/>
                <w:b w:val="1"/>
                <w:bCs w:val="1"/>
                <w:color w:val="auto"/>
                <w:w w:val="98"/>
              </w:rPr>
              <w:t>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7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Holdings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Costs and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(974)</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w w:val="93"/>
              </w:rPr>
              <w:t>Less: Net loss attributable to noncontrolling interests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income attributable to Waste Management, Inc.</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414"/>
        </w:trPr>
        <w:tc>
          <w:tcPr>
            <w:tcW w:w="6000" w:type="dxa"/>
            <w:vAlign w:val="bottom"/>
            <w:gridSpan w:val="12"/>
          </w:tcPr>
          <w:p>
            <w:pPr>
              <w:jc w:val="center"/>
              <w:ind w:left="2990"/>
              <w:spacing w:after="0"/>
              <w:rPr>
                <w:sz w:val="20"/>
                <w:szCs w:val="20"/>
                <w:color w:val="auto"/>
              </w:rPr>
            </w:pPr>
            <w:r>
              <w:rPr>
                <w:rFonts w:ascii="Arial" w:cs="Arial" w:eastAsia="Arial" w:hAnsi="Arial"/>
                <w:sz w:val="18"/>
                <w:szCs w:val="18"/>
                <w:b w:val="1"/>
                <w:bCs w:val="1"/>
                <w:color w:val="auto"/>
                <w:w w:val="92"/>
              </w:rPr>
              <w:t>Three Months Ended March 31, 2017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3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WM</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rPr>
              <w:t>WM</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3"/>
          </w:tcPr>
          <w:p>
            <w:pPr>
              <w:jc w:val="center"/>
              <w:ind w:right="160"/>
              <w:spacing w:after="0" w:line="161" w:lineRule="exact"/>
              <w:rPr>
                <w:sz w:val="20"/>
                <w:szCs w:val="20"/>
                <w:color w:val="auto"/>
              </w:rPr>
            </w:pPr>
            <w:r>
              <w:rPr>
                <w:rFonts w:ascii="Arial" w:cs="Arial" w:eastAsia="Arial" w:hAnsi="Arial"/>
                <w:sz w:val="14"/>
                <w:szCs w:val="14"/>
                <w:b w:val="1"/>
                <w:bCs w:val="1"/>
                <w:color w:val="auto"/>
                <w:w w:val="96"/>
              </w:rPr>
              <w:t>Non</w:t>
            </w:r>
            <w:r>
              <w:rPr>
                <w:rFonts w:ascii="MS PGothic" w:cs="MS PGothic" w:eastAsia="MS PGothic" w:hAnsi="MS PGothic"/>
                <w:sz w:val="14"/>
                <w:szCs w:val="14"/>
                <w:b w:val="1"/>
                <w:bCs w:val="1"/>
                <w:color w:val="auto"/>
                <w:w w:val="96"/>
              </w:rPr>
              <w:t>‑</w:t>
            </w:r>
            <w:r>
              <w:rPr>
                <w:rFonts w:ascii="Arial" w:cs="Arial" w:eastAsia="Arial" w:hAnsi="Arial"/>
                <w:sz w:val="14"/>
                <w:szCs w:val="14"/>
                <w:b w:val="1"/>
                <w:bCs w:val="1"/>
                <w:color w:val="auto"/>
                <w:w w:val="96"/>
              </w:rPr>
              <w:t>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Holdings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Costs and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94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(689)</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w w:val="93"/>
              </w:rPr>
              <w:t>Less: Net loss attributable to noncontrolling interests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income attributable to Waste Management, Inc.</w:t>
            </w:r>
          </w:p>
        </w:tc>
        <w:tc>
          <w:tcPr>
            <w:tcW w:w="7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851"/>
        </w:trPr>
        <w:tc>
          <w:tcPr>
            <w:tcW w:w="39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Holdings</w:t>
            </w: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4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March 31:</w:t>
            </w: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1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2"/>
        </w:trPr>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w w:val="95"/>
              </w:rPr>
              <w:t>Less: Comprehensive loss attributable to noncontrolling</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140"/>
              <w:spacing w:after="0"/>
              <w:rPr>
                <w:sz w:val="20"/>
                <w:szCs w:val="20"/>
                <w:color w:val="auto"/>
              </w:rPr>
            </w:pPr>
            <w:r>
              <w:rPr>
                <w:rFonts w:ascii="Arial" w:cs="Arial" w:eastAsia="Arial" w:hAnsi="Arial"/>
                <w:sz w:val="18"/>
                <w:szCs w:val="18"/>
                <w:color w:val="auto"/>
              </w:rPr>
              <w:t>interests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24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 Waste</w:t>
            </w: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gridSpan w:val="2"/>
            <w:vMerge w:val="continue"/>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(974)</w:t>
            </w:r>
          </w:p>
        </w:tc>
        <w:tc>
          <w:tcPr>
            <w:tcW w:w="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4"/>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Management, Inc.</w:t>
            </w:r>
          </w:p>
        </w:tc>
        <w:tc>
          <w:tcPr>
            <w:tcW w:w="48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(689)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2"/>
        </w:trPr>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Less: Comprehensive loss attributable to noncontrolling</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Comprehensive income attributable to Waste</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gridSpan w:val="2"/>
            <w:vMerge w:val="continue"/>
          </w:tcPr>
          <w:p>
            <w:pPr>
              <w:spacing w:after="0"/>
              <w:rPr>
                <w:sz w:val="15"/>
                <w:szCs w:val="15"/>
                <w:color w:val="auto"/>
              </w:rPr>
            </w:pP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300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(689)</w:t>
            </w:r>
          </w:p>
        </w:tc>
        <w:tc>
          <w:tcPr>
            <w:tcW w:w="30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7"/>
        </w:trPr>
        <w:tc>
          <w:tcPr>
            <w:tcW w:w="4240" w:type="dxa"/>
            <w:vAlign w:val="bottom"/>
            <w:gridSpan w:val="2"/>
          </w:tcPr>
          <w:p>
            <w:pPr>
              <w:ind w:left="140"/>
              <w:spacing w:after="0"/>
              <w:rPr>
                <w:sz w:val="20"/>
                <w:szCs w:val="20"/>
                <w:color w:val="auto"/>
              </w:rPr>
            </w:pPr>
            <w:r>
              <w:rPr>
                <w:rFonts w:ascii="Arial" w:cs="Arial" w:eastAsia="Arial" w:hAnsi="Arial"/>
                <w:sz w:val="18"/>
                <w:szCs w:val="18"/>
                <w:color w:val="auto"/>
              </w:rPr>
              <w:t>Management, Inc.</w:t>
            </w:r>
          </w:p>
        </w:tc>
        <w:tc>
          <w:tcPr>
            <w:tcW w:w="4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4"/>
        </w:trPr>
        <w:tc>
          <w:tcPr>
            <w:tcW w:w="2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Three Months Ended March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WM(a)</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Non-Guarantor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Holdings(a)</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Subsidiaries(a)</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809</w:t>
            </w:r>
          </w:p>
        </w:tc>
        <w:tc>
          <w:tcPr>
            <w:tcW w:w="1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44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Effect of exchange rate changes on cash, cash equivalents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restricted cash and 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Intercompany activity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4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Increase in cash, cash equivalents and restricted cash and</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Cash, cash equivalents and restricted cash and cash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equivalents at beginning of period</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82"/>
        </w:trPr>
        <w:tc>
          <w:tcPr>
            <w:tcW w:w="44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and cash</w:t>
            </w:r>
          </w:p>
        </w:tc>
        <w:tc>
          <w:tcPr>
            <w:tcW w:w="10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7"/>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equivalents at end of period</w:t>
            </w:r>
          </w:p>
        </w:tc>
        <w:tc>
          <w:tcPr>
            <w:tcW w:w="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720" w:type="dxa"/>
            <w:vAlign w:val="bottom"/>
            <w:tcBorders>
              <w:right w:val="single" w:sz="8" w:color="CCEEFF"/>
            </w:tcBorders>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2300" w:type="dxa"/>
            <w:vAlign w:val="bottom"/>
            <w:gridSpan w:val="2"/>
            <w:shd w:val="clear" w:color="auto" w:fill="CCEEFF"/>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4"/>
        </w:trPr>
        <w:tc>
          <w:tcPr>
            <w:tcW w:w="2280" w:type="dxa"/>
            <w:vAlign w:val="bottom"/>
          </w:tcPr>
          <w:p>
            <w:pPr>
              <w:spacing w:after="0"/>
              <w:rPr>
                <w:sz w:val="24"/>
                <w:szCs w:val="24"/>
                <w:color w:val="auto"/>
              </w:rPr>
            </w:pPr>
          </w:p>
        </w:tc>
        <w:tc>
          <w:tcPr>
            <w:tcW w:w="3820" w:type="dxa"/>
            <w:vAlign w:val="bottom"/>
            <w:gridSpan w:val="8"/>
          </w:tcPr>
          <w:p>
            <w:pPr>
              <w:jc w:val="center"/>
              <w:ind w:left="610"/>
              <w:spacing w:after="0"/>
              <w:rPr>
                <w:sz w:val="20"/>
                <w:szCs w:val="20"/>
                <w:color w:val="auto"/>
              </w:rPr>
            </w:pPr>
            <w:r>
              <w:rPr>
                <w:rFonts w:ascii="Arial" w:cs="Arial" w:eastAsia="Arial" w:hAnsi="Arial"/>
                <w:sz w:val="18"/>
                <w:szCs w:val="18"/>
                <w:b w:val="1"/>
                <w:bCs w:val="1"/>
                <w:color w:val="auto"/>
                <w:w w:val="92"/>
              </w:rPr>
              <w:t>Three Months Ended March 31, 2017</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278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WM(a)</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Non-Guarantor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Holdings(a)</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Subsidiaries(a)</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722</w:t>
            </w:r>
          </w:p>
        </w:tc>
        <w:tc>
          <w:tcPr>
            <w:tcW w:w="1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3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2"/>
        </w:trPr>
        <w:tc>
          <w:tcPr>
            <w:tcW w:w="44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Effect of exchange rate changes on cash, cash equivalents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restricted cash and 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Intercompany activity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4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Increase in cash, cash equivalents and restricted cash and</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Cash, cash equivalents and restricted cash and cash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equivalents at beginning of period</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2"/>
        </w:trPr>
        <w:tc>
          <w:tcPr>
            <w:tcW w:w="44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and cash</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4"/>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equivalents at end of period</w:t>
            </w:r>
          </w:p>
        </w:tc>
        <w:tc>
          <w:tcPr>
            <w:tcW w:w="28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720" w:type="dxa"/>
            <w:vAlign w:val="bottom"/>
            <w:tcBorders>
              <w:right w:val="single" w:sz="8" w:color="CCEEFF"/>
            </w:tcBorders>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80" w:type="dxa"/>
            <w:vAlign w:val="bottom"/>
            <w:tcBorders>
              <w:top w:val="single" w:sz="8" w:color="CCEEFF"/>
              <w:bottom w:val="single" w:sz="8" w:color="auto"/>
            </w:tcBorders>
          </w:tcPr>
          <w:p>
            <w:pPr>
              <w:spacing w:after="0"/>
              <w:rPr>
                <w:sz w:val="9"/>
                <w:szCs w:val="9"/>
                <w:color w:val="auto"/>
              </w:rPr>
            </w:pPr>
          </w:p>
        </w:tc>
        <w:tc>
          <w:tcPr>
            <w:tcW w:w="220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2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188"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Some of the risks that we believe could affect our business and financial statements for 2018 and beyond and that could cause actual results to be materially different from those that may be set forth in forward-looking statements made by the Company include the following:</w:t>
      </w:r>
    </w:p>
    <w:p>
      <w:pPr>
        <w:spacing w:after="0" w:line="181" w:lineRule="exact"/>
        <w:rPr>
          <w:sz w:val="20"/>
          <w:szCs w:val="20"/>
          <w:color w:val="auto"/>
        </w:rPr>
      </w:pPr>
    </w:p>
    <w:p>
      <w:pPr>
        <w:jc w:val="both"/>
        <w:ind w:left="660" w:hanging="333"/>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lines of business;</w:t>
      </w:r>
    </w:p>
    <w:p>
      <w:pPr>
        <w:spacing w:after="0" w:line="73"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80"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78" w:lineRule="exact"/>
        <w:rPr>
          <w:rFonts w:ascii="Arial" w:cs="Arial" w:eastAsia="Arial" w:hAnsi="Arial"/>
          <w:sz w:val="18"/>
          <w:szCs w:val="18"/>
          <w:color w:val="auto"/>
        </w:rPr>
      </w:pPr>
    </w:p>
    <w:p>
      <w:pPr>
        <w:jc w:val="both"/>
        <w:ind w:left="660" w:hanging="333"/>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15"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integration of acquisitions and/or new service offerings could increase our exposure to environmental liabilities for past operations and the risk of inadvertent noncompliance with laws and regulations;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29" w:name="page30"/>
    <w:bookmarkEnd w:id="29"/>
    <w:p>
      <w:pPr>
        <w:jc w:val="both"/>
        <w:ind w:left="640" w:hanging="333"/>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73"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possible changes in our estimates of costs for site remediation requirements, final capping, closure and post-closure obligations, compliance and regulatory developments may increase our expenses and future cash outflows;</w:t>
      </w:r>
    </w:p>
    <w:p>
      <w:pPr>
        <w:spacing w:after="0" w:line="15" w:lineRule="exact"/>
        <w:rPr>
          <w:rFonts w:ascii="Arial" w:cs="Arial" w:eastAsia="Arial" w:hAnsi="Arial"/>
          <w:sz w:val="16"/>
          <w:szCs w:val="16"/>
          <w:color w:val="auto"/>
        </w:rPr>
      </w:pPr>
    </w:p>
    <w:p>
      <w:pPr>
        <w:jc w:val="both"/>
        <w:ind w:left="640" w:hanging="333"/>
        <w:spacing w:after="0" w:line="286"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57" w:lineRule="exact"/>
        <w:rPr>
          <w:rFonts w:ascii="Arial" w:cs="Arial" w:eastAsia="Arial" w:hAnsi="Arial"/>
          <w:sz w:val="17"/>
          <w:szCs w:val="17"/>
          <w:color w:val="auto"/>
        </w:rPr>
      </w:pPr>
    </w:p>
    <w:p>
      <w:pPr>
        <w:jc w:val="both"/>
        <w:ind w:left="640" w:hanging="333"/>
        <w:spacing w:after="0" w:line="259"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significant portion of the recycled fiber we market is shipped to export markets across the globe, particularly China; changes in international or domestic regulations and restrictions or tariffs on American or Chinese imports and exports, including recent actions taken by the Chinese government, could increase operating expense, result in excess supply and drive down prices;</w:t>
      </w:r>
    </w:p>
    <w:p>
      <w:pPr>
        <w:spacing w:after="0" w:line="78"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EES organization;</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73"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5" w:lineRule="exact"/>
        <w:rPr>
          <w:rFonts w:ascii="Arial" w:cs="Arial" w:eastAsia="Arial" w:hAnsi="Arial"/>
          <w:sz w:val="16"/>
          <w:szCs w:val="16"/>
          <w:color w:val="auto"/>
        </w:rPr>
      </w:pPr>
    </w:p>
    <w:p>
      <w:pPr>
        <w:jc w:val="both"/>
        <w:ind w:left="640" w:hanging="333"/>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73" w:lineRule="exact"/>
        <w:rPr>
          <w:rFonts w:ascii="Arial" w:cs="Arial" w:eastAsia="Arial" w:hAnsi="Arial"/>
          <w:sz w:val="18"/>
          <w:szCs w:val="18"/>
          <w:color w:val="auto"/>
        </w:rPr>
      </w:pPr>
    </w:p>
    <w:p>
      <w:pPr>
        <w:jc w:val="both"/>
        <w:ind w:left="640" w:hanging="333"/>
        <w:spacing w:after="0" w:line="259"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8" w:lineRule="exact"/>
        <w:rPr>
          <w:rFonts w:ascii="Arial" w:cs="Arial" w:eastAsia="Arial" w:hAnsi="Arial"/>
          <w:sz w:val="18"/>
          <w:szCs w:val="18"/>
          <w:color w:val="auto"/>
        </w:rPr>
      </w:pPr>
    </w:p>
    <w:p>
      <w:pPr>
        <w:jc w:val="both"/>
        <w:ind w:left="640" w:hanging="333"/>
        <w:spacing w:after="0" w:line="259"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8"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affecting their credit risk, which could negatively impact our operating results, due to their credit risk and the impact of the municipal debt market on remarketing of our tax-exempt bonds;</w:t>
      </w:r>
    </w:p>
    <w:p>
      <w:pPr>
        <w:spacing w:after="0" w:line="73" w:lineRule="exact"/>
        <w:rPr>
          <w:rFonts w:ascii="Arial" w:cs="Arial" w:eastAsia="Arial" w:hAnsi="Arial"/>
          <w:sz w:val="18"/>
          <w:szCs w:val="18"/>
          <w:color w:val="auto"/>
        </w:rPr>
      </w:pPr>
    </w:p>
    <w:p>
      <w:pPr>
        <w:ind w:left="680" w:hanging="373"/>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obtain and maintain required permits or to expand existing permitted capacity of our landfills, which could decrease our revenue and increase our costs;</w:t>
      </w:r>
    </w:p>
    <w:p>
      <w:pPr>
        <w:spacing w:after="0" w:line="62"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341" w:right="1419" w:bottom="1440" w:gutter="0" w:footer="0" w:header="0"/>
        </w:sectPr>
      </w:pPr>
    </w:p>
    <w:bookmarkStart w:id="30" w:name="page31"/>
    <w:bookmarkEnd w:id="30"/>
    <w:p>
      <w:pPr>
        <w:ind w:left="640" w:hanging="333"/>
        <w:spacing w:after="0" w:line="342"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15" w:lineRule="exact"/>
        <w:rPr>
          <w:rFonts w:ascii="Arial" w:cs="Arial" w:eastAsia="Arial" w:hAnsi="Arial"/>
          <w:sz w:val="16"/>
          <w:szCs w:val="16"/>
          <w:color w:val="auto"/>
        </w:rPr>
      </w:pPr>
    </w:p>
    <w:p>
      <w:pPr>
        <w:jc w:val="both"/>
        <w:ind w:left="640" w:hanging="333"/>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systems or the technology systems of third parties on which we rely as well as the development and deployment of new information technology systems could decrease our efficiencies and increase our costs;</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 and expose us to litigation risk;</w:t>
      </w:r>
    </w:p>
    <w:p>
      <w:pPr>
        <w:spacing w:after="0" w:line="62" w:lineRule="exact"/>
        <w:rPr>
          <w:rFonts w:ascii="Arial" w:cs="Arial" w:eastAsia="Arial" w:hAnsi="Arial"/>
          <w:sz w:val="18"/>
          <w:szCs w:val="18"/>
          <w:color w:val="auto"/>
        </w:rPr>
      </w:pPr>
    </w:p>
    <w:p>
      <w:pPr>
        <w:jc w:val="both"/>
        <w:ind w:left="640" w:hanging="333"/>
        <w:spacing w:after="0" w:line="259"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78" w:lineRule="exact"/>
        <w:rPr>
          <w:rFonts w:ascii="Arial" w:cs="Arial" w:eastAsia="Arial" w:hAnsi="Arial"/>
          <w:sz w:val="18"/>
          <w:szCs w:val="18"/>
          <w:color w:val="auto"/>
        </w:rPr>
      </w:pPr>
    </w:p>
    <w:p>
      <w:pPr>
        <w:ind w:left="640" w:hanging="33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face significant liabilities for withdrawal from multiemployer pension plans;</w:t>
      </w:r>
    </w:p>
    <w:p>
      <w:pPr>
        <w:spacing w:after="0" w:line="117" w:lineRule="exact"/>
        <w:rPr>
          <w:rFonts w:ascii="Arial" w:cs="Arial" w:eastAsia="Arial" w:hAnsi="Arial"/>
          <w:sz w:val="18"/>
          <w:szCs w:val="18"/>
          <w:color w:val="auto"/>
        </w:rPr>
      </w:pPr>
    </w:p>
    <w:p>
      <w:pPr>
        <w:jc w:val="both"/>
        <w:ind w:left="640" w:hanging="333"/>
        <w:spacing w:after="0" w:line="293"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56" w:lineRule="exact"/>
        <w:rPr>
          <w:rFonts w:ascii="Arial" w:cs="Arial" w:eastAsia="Arial" w:hAnsi="Arial"/>
          <w:sz w:val="16"/>
          <w:szCs w:val="16"/>
          <w:color w:val="auto"/>
        </w:rPr>
      </w:pPr>
    </w:p>
    <w:p>
      <w:pPr>
        <w:ind w:left="640" w:hanging="333"/>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62"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640" w:hanging="333"/>
        <w:spacing w:after="0" w:line="308"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reduce or suspend capital expenditures, growth and acquisition activity, implementation of our business strategy, dividend declarations or share repurchases if we suffer a significant reduction in cash flows;</w:t>
      </w:r>
    </w:p>
    <w:p>
      <w:pPr>
        <w:spacing w:after="0" w:line="38" w:lineRule="exact"/>
        <w:rPr>
          <w:rFonts w:ascii="Arial" w:cs="Arial" w:eastAsia="Arial" w:hAnsi="Arial"/>
          <w:sz w:val="17"/>
          <w:szCs w:val="17"/>
          <w:color w:val="auto"/>
        </w:rPr>
      </w:pPr>
    </w:p>
    <w:p>
      <w:pPr>
        <w:jc w:val="both"/>
        <w:ind w:left="640" w:hanging="333"/>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weather-related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73"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73" w:lineRule="exact"/>
        <w:rPr>
          <w:rFonts w:ascii="Arial" w:cs="Arial" w:eastAsia="Arial" w:hAnsi="Arial"/>
          <w:sz w:val="18"/>
          <w:szCs w:val="18"/>
          <w:color w:val="auto"/>
        </w:rPr>
      </w:pPr>
    </w:p>
    <w:p>
      <w:pPr>
        <w:jc w:val="both"/>
        <w:ind w:left="640" w:hanging="333"/>
        <w:spacing w:after="0" w:line="293"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and</w:t>
      </w:r>
    </w:p>
    <w:p>
      <w:pPr>
        <w:spacing w:after="0" w:line="56" w:lineRule="exact"/>
        <w:rPr>
          <w:rFonts w:ascii="Arial" w:cs="Arial" w:eastAsia="Arial" w:hAnsi="Arial"/>
          <w:sz w:val="16"/>
          <w:szCs w:val="16"/>
          <w:color w:val="auto"/>
        </w:rPr>
      </w:pPr>
    </w:p>
    <w:p>
      <w:pPr>
        <w:ind w:left="640" w:hanging="333"/>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341" w:right="1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Waste Management, Inc. is a holding company listed on the New York Stock Exchange under the symbol “WM” and all operations are conducted by its subsidiaries. 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North America.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and we are a leading recycler in North America, handling materials that include paper, cardboard, glass, plastic and metal. Our “Solid Waste” business is operated and managed locally by our subsidiaries that focus on distinct geographic areas and provides collection, transfer, disposal, and recycling and resource recovery services, and our “Traditional Solid Waste” business excludes our recycling and resource recovery services. Through our subsidiaries, we are also a leading developer, operator and owner of landfill gas-to-energy facilities in the U.S.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Our Solid Waste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below.</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that execution of our strategy will deliver shareholder value and leadership in a dynamic industry.</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waste industry is a comparatively mature and stable industry. However, customers increasingly want more of their waste materials recovered, and waste streams are becoming more complex. In addition, many state and local governments mandate diversion, recycling and waste reduction at the source and prohibit the disposal of certain types of waste at landfills, and we monitor these developments to adapt our services offerings. As companies, individuals and communities look for ways to be more sustainable, we are promoting our comprehensive services that go beyond our core business of collecting and disposing of waste.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2" w:name="page33"/>
    <w:bookmarkEnd w:id="32"/>
    <w:p>
      <w:pPr>
        <w:jc w:val="both"/>
        <w:ind w:firstLine="324"/>
        <w:spacing w:after="0" w:line="270" w:lineRule="auto"/>
        <w:rPr>
          <w:sz w:val="20"/>
          <w:szCs w:val="20"/>
          <w:color w:val="auto"/>
        </w:rPr>
      </w:pPr>
      <w:r>
        <w:rPr>
          <w:rFonts w:ascii="Arial" w:cs="Arial" w:eastAsia="Arial" w:hAnsi="Arial"/>
          <w:sz w:val="17"/>
          <w:szCs w:val="17"/>
          <w:color w:val="auto"/>
        </w:rPr>
        <w:t>Despite some industry consolidation in recent years, we encounter intense competition from governmental, quasi-governmental and private service providers based on pricing, service quality, customer experience and breadth of service offerings. Our industry is directly affected by changes in general economic factors, as increases and decreases in consumer spending and construction starts generally correlate to volumes of waste generated and our revenues. Negative economic conditions, in addition to price competition, can make it more challenging to negotiate and renew service contracts with acceptable margins. General economic factors and the market for consumer goods, in addition to regulatory developments, can also significantly impact commodity prices for recyclable materials we sell. Our operating expenses are directly impacted by volume levels; as volume levels shift, due to economic and other factors, we must manage our network capacity and cost structure accordingly.</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generally favorable macro-economic environment, including steady spending by consumers and businesses and construction starts, has benefited our volume growth and gross margins in recent quarters, and we are not expecting any significant shift in the near term. However, we have seen disruption and downward price pressure in the global market for recycling commodities, due in part to recent actions by the Chinese government that have restricted our ability to sell recycled fiber to Chinese paper mills. We and others in the industry continue to work to adapt to the Chinese government’s regulations and identify alternative markets.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the first quarter of 2018, we produced strong operating results from our Solid Waste business despite larger than anticipated headwinds from our recycling line of business. Income and cash flow from operations both showed significant year-over-year growth, driven by the strong performance of our commercial and industrial collection and landfill lines of business. Net income and earnings per diluted share growth was even more pronounced given the reduction in our effective tax rate due to the enactment of tax reform. The Company continued its commitment to supporting both organic and inorganic growth during the first quarter of 2018, allocating $400 million of available cash to capital expenditures and $246 million to the acquisition of solid waste businesses. We also allocated $456 million to our shareholders during the first quarter of 2018 through common stock repurchases and dividends.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elements of our financial results for the current quarter include:</w:t>
      </w:r>
    </w:p>
    <w:p>
      <w:pPr>
        <w:spacing w:after="0" w:line="117" w:lineRule="exact"/>
        <w:rPr>
          <w:sz w:val="20"/>
          <w:szCs w:val="20"/>
          <w:color w:val="auto"/>
        </w:rPr>
      </w:pPr>
    </w:p>
    <w:p>
      <w:pPr>
        <w:jc w:val="both"/>
        <w:ind w:left="660" w:hanging="333"/>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were $3,511 million compared with $3,440 million in the prior year period, an increase of $71 million, or 2.1%. The increase is primarily attributable to yield and volume growth in our collection and disposal lines of business, partially offset by lower market prices for recycling commodities;</w:t>
      </w:r>
    </w:p>
    <w:p>
      <w:pPr>
        <w:spacing w:after="0" w:line="73" w:lineRule="exact"/>
        <w:rPr>
          <w:rFonts w:ascii="Arial" w:cs="Arial" w:eastAsia="Arial" w:hAnsi="Arial"/>
          <w:sz w:val="18"/>
          <w:szCs w:val="18"/>
          <w:color w:val="auto"/>
        </w:rPr>
      </w:pPr>
    </w:p>
    <w:p>
      <w:pPr>
        <w:jc w:val="both"/>
        <w:ind w:left="660" w:hanging="333"/>
        <w:spacing w:after="0" w:line="31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Operating expenses were $2,184 million, or 62.2% of revenues, compared with $2,166 million, or 63.0% of revenues, in the prior year period. The $18 million increase is primarily attributable to higher volumes in the current year period, partially offset by decreased cost of goods sold due to lower market prices for recycling commodities;</w:t>
      </w:r>
    </w:p>
    <w:p>
      <w:pPr>
        <w:spacing w:after="0" w:line="38"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from operations was $608 million, or 17.3% of revenues, compared with $558 million, or 16.2% of revenues, in the prior year period;</w:t>
      </w:r>
    </w:p>
    <w:p>
      <w:pPr>
        <w:spacing w:after="0" w:line="62"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attributable to Waste Management, Inc. was $396 million, or $0.91 per diluted share, compared with $298 million, or $0.67 per diluted share, in the prior year period. The increase is primarily attributable to improved operating results in our Solid Waste business and the tax reform enacted in December 2017 which decreased the federal corporate income tax rate;</w:t>
      </w:r>
    </w:p>
    <w:p>
      <w:pPr>
        <w:spacing w:after="0" w:line="78"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cash provided by operating activities was $809 million compared with $722 million in the prior year period; and</w:t>
      </w:r>
    </w:p>
    <w:p>
      <w:pPr>
        <w:spacing w:after="0" w:line="140" w:lineRule="exact"/>
        <w:rPr>
          <w:rFonts w:ascii="Arial" w:cs="Arial" w:eastAsia="Arial" w:hAnsi="Arial"/>
          <w:sz w:val="16"/>
          <w:szCs w:val="16"/>
          <w:color w:val="auto"/>
        </w:rPr>
      </w:pPr>
    </w:p>
    <w:p>
      <w:pPr>
        <w:jc w:val="both"/>
        <w:ind w:left="660" w:hanging="333"/>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Free cash flow was $423 million compared with $397 million in the prior year period. Free cash flow is a non-GAAP measure of liquidity. Refer to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Areas. We also provide additional services that are not managed through our Solid Waste business, including operations managed by both our Strategic Business Solutions (“WMSBS”) and Energy and Environmental Services (“EES”) organizations, recycling brokerage services, landfill gas-to-energy services and certain other expanded service offerings and solutions. These operations are presented in our “Other” segment in the table below. The following table summarizes revenues for the three months ended March 31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17"/>
        </w:trPr>
        <w:tc>
          <w:tcPr>
            <w:tcW w:w="7180" w:type="dxa"/>
            <w:vAlign w:val="bottom"/>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mix of operating revenues from our major lines of business is reflected in the table below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Residential</w:t>
            </w: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Landfill</w:t>
            </w: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Recycling</w:t>
            </w: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Intercompany (b)</w:t>
            </w:r>
          </w:p>
        </w:tc>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17"/>
        </w:trPr>
        <w:tc>
          <w:tcPr>
            <w:tcW w:w="2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9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r>
      <w:tr>
        <w:trPr>
          <w:trHeight w:val="108"/>
        </w:trPr>
        <w:tc>
          <w:tcPr>
            <w:tcW w:w="228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7"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net of intercompany activity.</w:t>
      </w:r>
    </w:p>
    <w:p>
      <w:pPr>
        <w:spacing w:after="0" w:line="80"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4" w:name="page35"/>
    <w:bookmarkEnd w:id="34"/>
    <w:p>
      <w:pPr>
        <w:ind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changes in revenues and average yield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Period-to-Period Change for the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gridSpan w:val="9"/>
          </w:tcPr>
          <w:p>
            <w:pPr>
              <w:jc w:val="center"/>
              <w:ind w:right="150"/>
              <w:spacing w:after="0"/>
              <w:rPr>
                <w:sz w:val="20"/>
                <w:szCs w:val="20"/>
                <w:color w:val="auto"/>
              </w:rPr>
            </w:pPr>
            <w:r>
              <w:rPr>
                <w:rFonts w:ascii="Arial" w:cs="Arial" w:eastAsia="Arial" w:hAnsi="Arial"/>
                <w:sz w:val="14"/>
                <w:szCs w:val="14"/>
                <w:b w:val="1"/>
                <w:bCs w:val="1"/>
                <w:color w:val="auto"/>
                <w:w w:val="93"/>
              </w:rPr>
              <w:t>Three Months Ended March 31, 2018 vs. 2017</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05"/>
              <w:spacing w:after="0" w:line="119" w:lineRule="exact"/>
              <w:rPr>
                <w:sz w:val="20"/>
                <w:szCs w:val="20"/>
                <w:color w:val="auto"/>
              </w:rPr>
            </w:pPr>
            <w:r>
              <w:rPr>
                <w:rFonts w:ascii="Arial" w:cs="Arial" w:eastAsia="Arial" w:hAnsi="Arial"/>
                <w:sz w:val="13"/>
                <w:szCs w:val="13"/>
                <w:b w:val="1"/>
                <w:bCs w:val="1"/>
                <w:color w:val="auto"/>
              </w:rPr>
              <w:t>As a % of</w:t>
            </w: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160" w:type="dxa"/>
            <w:vAlign w:val="bottom"/>
            <w:gridSpan w:val="3"/>
          </w:tcPr>
          <w:p>
            <w:pPr>
              <w:jc w:val="center"/>
              <w:ind w:right="385"/>
              <w:spacing w:after="0" w:line="149" w:lineRule="exact"/>
              <w:rPr>
                <w:sz w:val="20"/>
                <w:szCs w:val="20"/>
                <w:color w:val="auto"/>
              </w:rPr>
            </w:pPr>
            <w:r>
              <w:rPr>
                <w:rFonts w:ascii="Arial" w:cs="Arial" w:eastAsia="Arial" w:hAnsi="Arial"/>
                <w:sz w:val="14"/>
                <w:szCs w:val="14"/>
                <w:b w:val="1"/>
                <w:bCs w:val="1"/>
                <w:color w:val="auto"/>
                <w:w w:val="90"/>
              </w:rPr>
              <w:t>Related</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385"/>
              <w:spacing w:after="0"/>
              <w:rPr>
                <w:sz w:val="20"/>
                <w:szCs w:val="20"/>
                <w:color w:val="auto"/>
              </w:rPr>
            </w:pPr>
            <w:r>
              <w:rPr>
                <w:rFonts w:ascii="Arial" w:cs="Arial" w:eastAsia="Arial" w:hAnsi="Arial"/>
                <w:sz w:val="14"/>
                <w:szCs w:val="14"/>
                <w:b w:val="1"/>
                <w:bCs w:val="1"/>
                <w:color w:val="auto"/>
                <w:w w:val="88"/>
              </w:rPr>
              <w:t>Business(a)</w:t>
            </w:r>
          </w:p>
        </w:tc>
        <w:tc>
          <w:tcPr>
            <w:tcW w:w="780" w:type="dxa"/>
            <w:vAlign w:val="bottom"/>
            <w:gridSpan w:val="2"/>
            <w:vMerge w:val="continue"/>
          </w:tcPr>
          <w:p>
            <w:pPr>
              <w:spacing w:after="0"/>
              <w:rPr>
                <w:sz w:val="14"/>
                <w:szCs w:val="14"/>
                <w:color w:val="auto"/>
              </w:rPr>
            </w:pPr>
          </w:p>
        </w:tc>
        <w:tc>
          <w:tcPr>
            <w:tcW w:w="9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Recycling commodities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240" w:type="dxa"/>
            <w:vAlign w:val="bottom"/>
            <w:gridSpan w:val="3"/>
          </w:tcPr>
          <w:p>
            <w:pPr>
              <w:jc w:val="right"/>
              <w:ind w:right="29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Total average yield (c)</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Internal revenue growth</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Divestitures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and other</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20" w:right="260" w:hanging="317"/>
        <w:spacing w:after="0" w:line="530"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amounts reported herein represent the changes in our revenue attributable to average yield for the total Company. The following provides further details associated with our period-to-period change in revenues: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Collection and Disposal Average Yield </w:t>
      </w:r>
      <w:r>
        <w:rPr>
          <w:rFonts w:ascii="Arial" w:cs="Arial" w:eastAsia="Arial" w:hAnsi="Arial"/>
          <w:sz w:val="17"/>
          <w:szCs w:val="17"/>
          <w:color w:val="auto"/>
        </w:rPr>
        <w:t>— This measure reflects the effect on our revenue from the pricing activities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collection, transfer and landfill lines of business,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growth from collection and disposal average yield was $68 million, or 2.3%, for the three months ended March 31, 2018. We experienced growth in all of our collection and disposal lines of business in the current year period. The details are as follows (dollars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0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w w:val="93"/>
              </w:rPr>
              <w:t>Period-to-Period Change for the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00" w:type="dxa"/>
            <w:vAlign w:val="bottom"/>
            <w:gridSpan w:val="5"/>
          </w:tcPr>
          <w:p>
            <w:pPr>
              <w:jc w:val="center"/>
              <w:ind w:right="9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00" w:type="dxa"/>
            <w:vAlign w:val="bottom"/>
            <w:gridSpan w:val="5"/>
          </w:tcPr>
          <w:p>
            <w:pPr>
              <w:jc w:val="center"/>
              <w:ind w:right="90"/>
              <w:spacing w:after="0"/>
              <w:rPr>
                <w:sz w:val="20"/>
                <w:szCs w:val="20"/>
                <w:color w:val="auto"/>
              </w:rPr>
            </w:pPr>
            <w:r>
              <w:rPr>
                <w:rFonts w:ascii="Arial" w:cs="Arial" w:eastAsia="Arial" w:hAnsi="Arial"/>
                <w:sz w:val="14"/>
                <w:szCs w:val="14"/>
                <w:b w:val="1"/>
                <w:bCs w:val="1"/>
                <w:color w:val="auto"/>
                <w:w w:val="93"/>
              </w:rPr>
              <w:t>March 31, 2018 vs. 2017</w:t>
            </w: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6"/>
              </w:rPr>
              <w:t>Business</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3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62"/>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28</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Industrial</w:t>
            </w:r>
          </w:p>
        </w:tc>
        <w:tc>
          <w:tcPr>
            <w:tcW w:w="3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19</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3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3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59</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3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w:t>
            </w:r>
          </w:p>
        </w:tc>
        <w:tc>
          <w:tcPr>
            <w:tcW w:w="34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3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68</w:t>
            </w:r>
          </w:p>
        </w:tc>
        <w:tc>
          <w:tcPr>
            <w:tcW w:w="132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w w:val="99"/>
              </w:rPr>
              <w:t>2.3 %</w:t>
            </w:r>
          </w:p>
        </w:tc>
        <w:tc>
          <w:tcPr>
            <w:tcW w:w="0" w:type="dxa"/>
            <w:vAlign w:val="bottom"/>
          </w:tcPr>
          <w:p>
            <w:pPr>
              <w:spacing w:after="0"/>
              <w:rPr>
                <w:sz w:val="1"/>
                <w:szCs w:val="1"/>
                <w:color w:val="auto"/>
              </w:rPr>
            </w:pPr>
          </w:p>
        </w:tc>
      </w:tr>
      <w:tr>
        <w:trPr>
          <w:trHeight w:val="635"/>
        </w:trPr>
        <w:tc>
          <w:tcPr>
            <w:tcW w:w="3360" w:type="dxa"/>
            <w:vAlign w:val="bottom"/>
          </w:tcPr>
          <w:p>
            <w:pPr>
              <w:spacing w:after="0"/>
              <w:rPr>
                <w:sz w:val="24"/>
                <w:szCs w:val="24"/>
                <w:color w:val="auto"/>
              </w:rPr>
            </w:pPr>
          </w:p>
        </w:tc>
        <w:tc>
          <w:tcPr>
            <w:tcW w:w="3400" w:type="dxa"/>
            <w:vAlign w:val="bottom"/>
          </w:tcPr>
          <w:p>
            <w:pPr>
              <w:jc w:val="right"/>
              <w:ind w:right="2050"/>
              <w:spacing w:after="0"/>
              <w:rPr>
                <w:sz w:val="20"/>
                <w:szCs w:val="20"/>
                <w:color w:val="auto"/>
              </w:rPr>
            </w:pPr>
            <w:r>
              <w:rPr>
                <w:rFonts w:ascii="Arial" w:cs="Arial" w:eastAsia="Arial" w:hAnsi="Arial"/>
                <w:sz w:val="18"/>
                <w:szCs w:val="18"/>
                <w:color w:val="auto"/>
              </w:rPr>
              <w:t>35</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341" w:right="1419" w:bottom="1440" w:gutter="0" w:footer="0" w:header="0"/>
        </w:sectPr>
      </w:pPr>
    </w:p>
    <w:bookmarkStart w:id="35" w:name="page36"/>
    <w:bookmarkEnd w:id="35"/>
    <w:p>
      <w:pPr>
        <w:jc w:val="both"/>
        <w:ind w:firstLine="324"/>
        <w:spacing w:after="0" w:line="277" w:lineRule="auto"/>
        <w:rPr>
          <w:sz w:val="20"/>
          <w:szCs w:val="20"/>
          <w:color w:val="auto"/>
        </w:rPr>
      </w:pPr>
      <w:r>
        <w:rPr>
          <w:rFonts w:ascii="Arial" w:cs="Arial" w:eastAsia="Arial" w:hAnsi="Arial"/>
          <w:sz w:val="18"/>
          <w:szCs w:val="18"/>
          <w:color w:val="auto"/>
        </w:rPr>
        <w:t>Our increase in collection and disposal yield for the three months ended March 31, 2018, compared to the prior year period, includes increased revenues of $17 million from our environmental fees.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Decreases in the market prices for recycling commodities resulted in revenue decline of $73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2018, as compared with the prior year period. Disruptions in the global movement of recycling commodities reduced market prices, returning to levels last seen in the second quarter of 2016. We expect these disruptions in the market to extend through 2018, and likely beyond, which will continue to put downward pressure on average market prices for recycling commodities.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Fuel Surcharges and Mandated Fees — </w:t>
      </w:r>
      <w:r>
        <w:rPr>
          <w:rFonts w:ascii="Arial" w:cs="Arial" w:eastAsia="Arial" w:hAnsi="Arial"/>
          <w:sz w:val="18"/>
          <w:szCs w:val="18"/>
          <w:color w:val="auto"/>
        </w:rPr>
        <w:t>These revenues, which are predominantly generated by our fuel surcharge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increased $24 million for the three months ended March 31, 2018, as compared with the prior year period. These revenues fluctuate in response to changes in the national average prices for diesel fuel on which our surcharge is based. Market prices for diesel fuel increased 17.5% for the three months ended March 31, 2018, as compared with the prior year period. The mandated fees included in this line item are primarily related to pass-through fees and taxes assessed by various state, county and municipal government agencies at our landfills and transfer stations. These fees did not have a significant impact on the comparability of the periods.</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revenues from volumes increased $88 million, or 2.6%, for the three months ended March 31, 2018, as compared with the prior year period, excluding volumes from acquisitions and divestitures.</w:t>
      </w:r>
    </w:p>
    <w:p>
      <w:pPr>
        <w:spacing w:after="0" w:line="170" w:lineRule="exact"/>
        <w:rPr>
          <w:sz w:val="20"/>
          <w:szCs w:val="20"/>
          <w:color w:val="auto"/>
        </w:rPr>
      </w:pPr>
    </w:p>
    <w:p>
      <w:pPr>
        <w:jc w:val="both"/>
        <w:ind w:firstLine="259"/>
        <w:spacing w:after="0" w:line="291" w:lineRule="auto"/>
        <w:rPr>
          <w:sz w:val="20"/>
          <w:szCs w:val="20"/>
          <w:color w:val="auto"/>
        </w:rPr>
      </w:pPr>
      <w:r>
        <w:rPr>
          <w:rFonts w:ascii="Arial" w:cs="Arial" w:eastAsia="Arial" w:hAnsi="Arial"/>
          <w:sz w:val="16"/>
          <w:szCs w:val="16"/>
          <w:color w:val="auto"/>
        </w:rPr>
        <w:t>We experienced higher volumes due to improving market conditions in our Traditional Solid Waste business and strong sales performance. Our focus on customer service and disciplined growth delivered consistent operating results throughout 2017 and into the first quarter of 2018. Two large new contract additions in the second half of 2017 favorably impacted volume growth for our commercial collection, industrial collection and transfer stations. Additionally, landfill volume increases continued from events during the second half of 2017 that may not repeat, including the natural disaster clean-up efforts throughout the U.S. Our residential collection experienced volume declines in the current year period because of our continued focus on renegotiating existing contracts and only engaging in new contracts with a reasonable rate of return.</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Currency Translation and Other</w:t>
      </w:r>
    </w:p>
    <w:p>
      <w:pPr>
        <w:spacing w:after="0" w:line="225" w:lineRule="exact"/>
        <w:rPr>
          <w:sz w:val="20"/>
          <w:szCs w:val="20"/>
          <w:color w:val="auto"/>
        </w:rPr>
      </w:pPr>
    </w:p>
    <w:p>
      <w:pPr>
        <w:jc w:val="both"/>
        <w:ind w:firstLine="259"/>
        <w:spacing w:after="0" w:line="221" w:lineRule="exact"/>
        <w:rPr>
          <w:sz w:val="20"/>
          <w:szCs w:val="20"/>
          <w:color w:val="auto"/>
        </w:rPr>
      </w:pPr>
      <w:r>
        <w:rPr>
          <w:rFonts w:ascii="Arial" w:cs="Arial" w:eastAsia="Arial" w:hAnsi="Arial"/>
          <w:sz w:val="16"/>
          <w:szCs w:val="16"/>
          <w:color w:val="auto"/>
        </w:rPr>
        <w:t>Revenue increases from foreign currency translation, which affects revenues from our Canadian operations, were more than offset by the revenue decline associated with the adoption of Accounting Standards Update (“ASU”) 2014-09 and other changes. See Notes 1 and 4 to the Condensed Consolidated Financial Statements for further discussion of ASU 2014</w:t>
      </w:r>
      <w:r>
        <w:rPr>
          <w:rFonts w:ascii="MS PGothic" w:cs="MS PGothic" w:eastAsia="MS PGothic" w:hAnsi="MS PGothic"/>
          <w:sz w:val="16"/>
          <w:szCs w:val="16"/>
          <w:color w:val="auto"/>
        </w:rPr>
        <w:t>‑</w:t>
      </w:r>
      <w:r>
        <w:rPr>
          <w:rFonts w:ascii="Arial" w:cs="Arial" w:eastAsia="Arial" w:hAnsi="Arial"/>
          <w:sz w:val="16"/>
          <w:szCs w:val="16"/>
          <w:color w:val="auto"/>
        </w:rPr>
        <w:t>09.</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57" w:right="1419" w:bottom="1440" w:gutter="0" w:footer="0" w:header="0"/>
        </w:sectPr>
      </w:pPr>
    </w:p>
    <w:bookmarkStart w:id="36" w:name="page37"/>
    <w:bookmarkEnd w:id="36"/>
    <w:p>
      <w:pPr>
        <w:ind w:left="1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for the three months ended March 31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140" w:type="dxa"/>
            <w:vAlign w:val="bottom"/>
          </w:tcPr>
          <w:p>
            <w:pPr>
              <w:spacing w:after="0"/>
              <w:rPr>
                <w:sz w:val="20"/>
                <w:szCs w:val="20"/>
                <w:color w:val="auto"/>
              </w:rPr>
            </w:pPr>
            <w:r>
              <w:rPr>
                <w:rFonts w:ascii="Arial" w:cs="Arial" w:eastAsia="Arial" w:hAnsi="Arial"/>
                <w:sz w:val="18"/>
                <w:szCs w:val="18"/>
                <w:color w:val="auto"/>
              </w:rPr>
              <w:t>Labor and related benefits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Transfer and disposal costs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Maintenance and repairs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Subcontractor costs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Fuel</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Disposal and franchise fees and taxes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Landfill operating costs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Risk management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2,166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revenues</w:t>
            </w: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2.6% increase in volumes in the current year period, as compared to the prior year period, as discussed above in </w:t>
      </w:r>
      <w:r>
        <w:rPr>
          <w:rFonts w:ascii="Arial" w:cs="Arial" w:eastAsia="Arial" w:hAnsi="Arial"/>
          <w:sz w:val="18"/>
          <w:szCs w:val="18"/>
          <w:i w:val="1"/>
          <w:iCs w:val="1"/>
          <w:color w:val="auto"/>
        </w:rPr>
        <w:t>Operating Revenues</w:t>
      </w:r>
      <w:r>
        <w:rPr>
          <w:rFonts w:ascii="Arial" w:cs="Arial" w:eastAsia="Arial" w:hAnsi="Arial"/>
          <w:sz w:val="18"/>
          <w:szCs w:val="18"/>
          <w:color w:val="auto"/>
        </w:rPr>
        <w:t>, affects the comparability of operating expenses for the periods presented.</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significant items affecting the comparability of operating expenses for the periods include: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was also driven by a bonus plan put in</w:t>
      </w:r>
      <w:r>
        <w:rPr>
          <w:rFonts w:ascii="Arial" w:cs="Arial" w:eastAsia="Arial" w:hAnsi="Arial"/>
          <w:sz w:val="18"/>
          <w:szCs w:val="18"/>
          <w:i w:val="1"/>
          <w:iCs w:val="1"/>
          <w:color w:val="auto"/>
        </w:rPr>
        <w:t xml:space="preserve"> </w:t>
      </w:r>
      <w:r>
        <w:rPr>
          <w:rFonts w:ascii="Arial" w:cs="Arial" w:eastAsia="Arial" w:hAnsi="Arial"/>
          <w:sz w:val="18"/>
          <w:szCs w:val="18"/>
          <w:color w:val="auto"/>
        </w:rPr>
        <w:t>place in early 2018 targeted at improving employee retention and merit increases.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maintenance and repairs costs was driven by (i) higher labor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(ii) higher parts and third-party service costs.</w:t>
      </w:r>
    </w:p>
    <w:p>
      <w:pPr>
        <w:spacing w:after="0" w:line="170"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The decrease in cost of goods sold was primarily driven by (i) lower market prices for recycling</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commodities and (ii) a change in accounting for certain customer rebates due to the adoption of ASU 2014-09 in the current year period. See Notes 1 and 4 to the Condensed Consolidated Financial Statements for further discussion of ASU 2014</w:t>
      </w:r>
      <w:r>
        <w:rPr>
          <w:rFonts w:ascii="MS PGothic" w:cs="MS PGothic" w:eastAsia="MS PGothic" w:hAnsi="MS PGothic"/>
          <w:sz w:val="16"/>
          <w:szCs w:val="16"/>
          <w:color w:val="auto"/>
        </w:rPr>
        <w:t>‑</w:t>
      </w:r>
      <w:r>
        <w:rPr>
          <w:rFonts w:ascii="Arial" w:cs="Arial" w:eastAsia="Arial" w:hAnsi="Arial"/>
          <w:sz w:val="16"/>
          <w:szCs w:val="16"/>
          <w:color w:val="auto"/>
        </w:rPr>
        <w:t>09.</w:t>
      </w:r>
    </w:p>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Fuel </w:t>
      </w:r>
      <w:r>
        <w:rPr>
          <w:rFonts w:ascii="Arial" w:cs="Arial" w:eastAsia="Arial" w:hAnsi="Arial"/>
          <w:sz w:val="17"/>
          <w:szCs w:val="17"/>
          <w:color w:val="auto"/>
        </w:rPr>
        <w:t>— The decrease in fuel costs was due to the recognition of a $28 million benefit from the extension of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natural gas fuel credits. We recognized the benefit in the first quarter of 2018 when the legislation was passed, though the credits relate to 2017 business activity. This benefit was offset, in part, by higher market prices for diesel fuel.</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Disposal and Franchise Fees and Taxes </w:t>
      </w:r>
      <w:r>
        <w:rPr>
          <w:rFonts w:ascii="Arial" w:cs="Arial" w:eastAsia="Arial" w:hAnsi="Arial"/>
          <w:sz w:val="17"/>
          <w:szCs w:val="17"/>
          <w:color w:val="auto"/>
        </w:rPr>
        <w:t>— The decrease in disposal and franchise fees and taxes was driven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of ASU 2014-09 in the current year period; specifically, certain franchise fees were treated as disposal fees and taxes in the prior year period and were treated as a reduction to revenue in the current year period. See Notes 1 and 4 to the Condensed Consolidated Financial Statements for further discussion of ASU 2014-09.</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7" w:name="page38"/>
    <w:bookmarkEnd w:id="37"/>
    <w:p>
      <w:pPr>
        <w:ind w:left="1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three months ended March 31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left="195"/>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Professional fees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(4.4)%</w:t>
            </w:r>
          </w:p>
        </w:tc>
        <w:tc>
          <w:tcPr>
            <w:tcW w:w="0" w:type="dxa"/>
            <w:vAlign w:val="bottom"/>
          </w:tcPr>
          <w:p>
            <w:pPr>
              <w:spacing w:after="0"/>
              <w:rPr>
                <w:sz w:val="1"/>
                <w:szCs w:val="1"/>
                <w:color w:val="auto"/>
              </w:rPr>
            </w:pPr>
          </w:p>
        </w:tc>
      </w:tr>
      <w:tr>
        <w:trPr>
          <w:trHeight w:val="210"/>
        </w:trPr>
        <w:tc>
          <w:tcPr>
            <w:tcW w:w="4060" w:type="dxa"/>
            <w:vAlign w:val="bottom"/>
          </w:tcPr>
          <w:p>
            <w:pPr>
              <w:spacing w:after="0" w:line="203" w:lineRule="exact"/>
              <w:rPr>
                <w:sz w:val="20"/>
                <w:szCs w:val="20"/>
                <w:color w:val="auto"/>
              </w:rPr>
            </w:pPr>
            <w:r>
              <w:rPr>
                <w:rFonts w:ascii="Arial" w:cs="Arial" w:eastAsia="Arial" w:hAnsi="Arial"/>
                <w:sz w:val="18"/>
                <w:szCs w:val="18"/>
                <w:color w:val="auto"/>
              </w:rPr>
              <w:t>Percentage of revenues</w:t>
            </w:r>
          </w:p>
        </w:tc>
        <w:tc>
          <w:tcPr>
            <w:tcW w:w="2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10.6</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6"/>
              </w:rPr>
              <w:t>11.3</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decrease in our labor and related benefits costs during the three months ended March 31, 2018, compared to the prior year period, is largely due to severance costs for former executives incurred during the first quarter of 2017. Other items affecting the comparability of our labor and related benefits costs for the reported periods include (i) lower incentive compensation accruals in the current year period; (ii) a bonus plan put in place in early 2018 targeted at improving employee retention and (iii) merit increases.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and amortization expenses for the three months ended March 31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1300" w:type="dxa"/>
            <w:vAlign w:val="bottom"/>
            <w:gridSpan w:val="5"/>
          </w:tcPr>
          <w:p>
            <w:pPr>
              <w:jc w:val="center"/>
              <w:ind w:right="9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left="34"/>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3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91"/>
              </w:rPr>
              <w:t>5.8 %</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revenues</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depreciation of tangible property and equipment during the three months ended March 31, 2018, compared to the prior year period, was primarily due to increased capital expenditures to support organic growth in our business. The increase in amortization of landfill airspace during the three months ended March 31, 2018, compared to the prior year period, was primarily due to increased volumes at our landfills.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8" w:name="page39"/>
    <w:bookmarkEnd w:id="38"/>
    <w:p>
      <w:pPr>
        <w:ind w:left="1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income from operations for our reportable segments for the three months ended March 31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13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2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Tier 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Tier 3</w:t>
            </w:r>
          </w:p>
        </w:tc>
        <w:tc>
          <w:tcPr>
            <w:tcW w:w="2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(147)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0"/>
              </w:rPr>
              <w:t>(160)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revenues</w:t>
            </w:r>
          </w:p>
        </w:tc>
        <w:tc>
          <w:tcPr>
            <w:tcW w:w="2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information presented has been updated to reflect our realigned segments which are discussed further in Note 8 to the Condensed Consolidated Financial Statements.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significant items affecting the income from operations for our segments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as compared with the prior year period, are summarized below:</w:t>
      </w:r>
    </w:p>
    <w:p>
      <w:pPr>
        <w:spacing w:after="0" w:line="103" w:lineRule="exact"/>
        <w:rPr>
          <w:sz w:val="20"/>
          <w:szCs w:val="20"/>
          <w:color w:val="auto"/>
        </w:rPr>
      </w:pPr>
    </w:p>
    <w:p>
      <w:pPr>
        <w:jc w:val="both"/>
        <w:ind w:left="500" w:hanging="241"/>
        <w:spacing w:after="0" w:line="259"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Solid Waste </w:t>
      </w:r>
      <w:r>
        <w:rPr>
          <w:rFonts w:ascii="Arial" w:cs="Arial" w:eastAsia="Arial" w:hAnsi="Arial"/>
          <w:sz w:val="18"/>
          <w:szCs w:val="18"/>
          <w:color w:val="auto"/>
        </w:rPr>
        <w:t>— Our Traditional Solid Waste business benefited from internal revenue growth, primarily in Tier 3,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natural gas fuel credits offset, in part, by (i) lower market prices for recycling commodities; (ii) a bonus plan put in place in early 2018 targeted at improving employee retention; (iii) increased maintenance and repair costs and (iv) merit increases.</w:t>
      </w:r>
    </w:p>
    <w:p>
      <w:pPr>
        <w:spacing w:after="0" w:line="78" w:lineRule="exact"/>
        <w:rPr>
          <w:rFonts w:ascii="Arial" w:cs="Arial" w:eastAsia="Arial" w:hAnsi="Arial"/>
          <w:sz w:val="18"/>
          <w:szCs w:val="18"/>
          <w:color w:val="auto"/>
        </w:rPr>
      </w:pPr>
    </w:p>
    <w:p>
      <w:pPr>
        <w:ind w:left="500" w:hanging="241"/>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Improved results in our WM Renewable Energy organization in the current year period.</w:t>
      </w:r>
    </w:p>
    <w:p>
      <w:pPr>
        <w:spacing w:after="0" w:line="117" w:lineRule="exact"/>
        <w:rPr>
          <w:rFonts w:ascii="Arial" w:cs="Arial" w:eastAsia="Arial" w:hAnsi="Arial"/>
          <w:sz w:val="18"/>
          <w:szCs w:val="18"/>
          <w:color w:val="auto"/>
        </w:rPr>
      </w:pPr>
    </w:p>
    <w:p>
      <w:pPr>
        <w:ind w:left="500" w:hanging="241"/>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Decreased expenses as a result of severance costs for former executives incurred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2017 and lower incentive compensation accruals in the current year period.</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recognized equity in net losses of unconsolidated entities of $7 million and $32 million during the three months ended March 31, 2018 and 2017, respectively. During the three months ended March 31, 2017, we recognized a $25 million impairment charge to write down an equity method investment in a waste diversion technology company to its estimated fair value. The remaining losses for each period are primarily related to our noncontrolling interests in entities established to invest in and manage low-income housing properties and a refined coal facility. Refer to Notes 5 and 13 to the Condensed Consolidated Financial Statements for more information related to these investments.</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income tax expense and effective income tax rates were $116 million, or 22.7%, and $137 million, or 31.7%, for the three months ended March 31, 2018 and 2017, respectively. The decrease in our income tax expense and effective income tax rate for the three months ended March 31, 2018, compared with the same period in 2017, was primarily due to the enactment of tax reform, which reduced the federal corporate income tax rate from 35% to 21% effective January 1, 2018. Refer to Note 5 to the Condensed Consolidated Financial Statements for more information.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r>
      <w:tr>
        <w:trPr>
          <w:trHeight w:val="230"/>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3"/>
        </w:trPr>
        <w:tc>
          <w:tcPr>
            <w:tcW w:w="6280" w:type="dxa"/>
            <w:vAlign w:val="bottom"/>
          </w:tcPr>
          <w:p>
            <w:pPr>
              <w:spacing w:after="0" w:line="203" w:lineRule="exact"/>
              <w:rPr>
                <w:sz w:val="20"/>
                <w:szCs w:val="20"/>
                <w:color w:val="auto"/>
              </w:rPr>
            </w:pPr>
            <w:r>
              <w:rPr>
                <w:rFonts w:ascii="Arial" w:cs="Arial" w:eastAsia="Arial" w:hAnsi="Arial"/>
                <w:sz w:val="18"/>
                <w:szCs w:val="18"/>
                <w:color w:val="auto"/>
              </w:rPr>
              <w:t>Restricted trust and escrow accounts: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reserves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6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restricted trust and escrow accounts</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1,056</w:t>
            </w:r>
          </w:p>
        </w:tc>
        <w:tc>
          <w:tcPr>
            <w:tcW w:w="200" w:type="dxa"/>
            <w:vAlign w:val="bottom"/>
          </w:tcPr>
          <w:p>
            <w:pPr>
              <w:spacing w:after="0"/>
              <w:rPr>
                <w:sz w:val="18"/>
                <w:szCs w:val="18"/>
                <w:color w:val="auto"/>
              </w:rPr>
            </w:pPr>
          </w:p>
        </w:tc>
        <w:tc>
          <w:tcPr>
            <w:tcW w:w="200" w:type="dxa"/>
            <w:vAlign w:val="bottom"/>
            <w:gridSpan w:val="2"/>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w:t>
            </w:r>
          </w:p>
        </w:tc>
      </w:tr>
      <w:tr>
        <w:trPr>
          <w:trHeight w:val="217"/>
        </w:trPr>
        <w:tc>
          <w:tcPr>
            <w:tcW w:w="6280" w:type="dxa"/>
            <w:vAlign w:val="bottom"/>
          </w:tcPr>
          <w:p>
            <w:pPr>
              <w:ind w:left="320"/>
              <w:spacing w:after="0"/>
              <w:rPr>
                <w:sz w:val="20"/>
                <w:szCs w:val="20"/>
                <w:color w:val="auto"/>
              </w:rPr>
            </w:pPr>
            <w:r>
              <w:rPr>
                <w:rFonts w:ascii="Arial" w:cs="Arial" w:eastAsia="Arial" w:hAnsi="Arial"/>
                <w:sz w:val="18"/>
                <w:szCs w:val="18"/>
                <w:color w:val="auto"/>
              </w:rPr>
              <w:t>Total debt</w:t>
            </w:r>
          </w:p>
        </w:tc>
        <w:tc>
          <w:tcPr>
            <w:tcW w:w="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w:t>
            </w:r>
          </w:p>
        </w:tc>
      </w:tr>
    </w:tbl>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March 31, 2018, we had $2,180 million of debt maturing within the next 12 months, including (i) $989 million of short-term borrowings under our commercial paper program; (ii) $831 million of tax-exempt bonds with term interest rate periods that expire within the next 12 months, which is prior to their scheduled maturities; (iii) $233 million of other debt with scheduled maturities within the next 12 months, including $181 million of tax-exempt bonds; (iv) C$128 million, or $99 million, of borrowings under our Canadian term loan and (v) $28 million of borrowings under our long-term U.S. credit facility (“$2.25 billion revolving credit facility”). As of March 31, 2018, we have classified $1,124 million of this debt as long-term because we have the intent and ability to refinance these borrowings on a long-term basis as supported by the forecasted available capacity under our $2.25 billion revolving credit facility. The remaining $1,056 million is classified as current obligations.</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0" w:name="page41"/>
    <w:bookmarkEnd w:id="40"/>
    <w:p>
      <w:pPr>
        <w:jc w:val="both"/>
        <w:ind w:firstLine="324"/>
        <w:spacing w:after="0" w:line="264" w:lineRule="auto"/>
        <w:rPr>
          <w:sz w:val="20"/>
          <w:szCs w:val="20"/>
          <w:color w:val="auto"/>
        </w:rPr>
      </w:pPr>
      <w:r>
        <w:rPr>
          <w:rFonts w:ascii="Arial" w:cs="Arial" w:eastAsia="Arial" w:hAnsi="Arial"/>
          <w:sz w:val="18"/>
          <w:szCs w:val="18"/>
          <w:color w:val="auto"/>
        </w:rPr>
        <w:t>Our calculation of free cash flow and reconciliation to net cash provided by operating activities for the three months ended March 31 is shown in the table below (in millions), and may not be calculated the same as similarly-titled measures presented by other companies: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r>
      <w:tr>
        <w:trPr>
          <w:trHeight w:val="21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7060" w:type="dxa"/>
            <w:vAlign w:val="bottom"/>
            <w:gridSpan w:val="2"/>
          </w:tcPr>
          <w:p>
            <w:pPr>
              <w:ind w:left="120"/>
              <w:spacing w:after="0"/>
              <w:rPr>
                <w:sz w:val="20"/>
                <w:szCs w:val="20"/>
                <w:color w:val="auto"/>
              </w:rPr>
            </w:pPr>
            <w:r>
              <w:rPr>
                <w:rFonts w:ascii="Arial" w:cs="Arial" w:eastAsia="Arial" w:hAnsi="Arial"/>
                <w:sz w:val="18"/>
                <w:szCs w:val="18"/>
                <w:color w:val="auto"/>
              </w:rPr>
              <w:t>Free cash flow (a)</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r>
      <w:tr>
        <w:trPr>
          <w:trHeight w:val="108"/>
        </w:trPr>
        <w:tc>
          <w:tcPr>
            <w:tcW w:w="2280" w:type="dxa"/>
            <w:vAlign w:val="bottom"/>
            <w:tcBorders>
              <w:bottom w:val="single" w:sz="8" w:color="auto"/>
            </w:tcBorders>
          </w:tcPr>
          <w:p>
            <w:pPr>
              <w:spacing w:after="0"/>
              <w:rPr>
                <w:sz w:val="9"/>
                <w:szCs w:val="9"/>
                <w:color w:val="auto"/>
              </w:rPr>
            </w:pPr>
          </w:p>
        </w:tc>
        <w:tc>
          <w:tcPr>
            <w:tcW w:w="4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year information has been revised to reflect the adoption of ASU 2016-18 and conform to our current year presentation. See Note 1 to the Condensed Consolidated Financial Statements for further discussion.</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cash flows for the three months ended March 31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2017(a)</w:t>
            </w:r>
          </w:p>
        </w:tc>
      </w:tr>
      <w:tr>
        <w:trPr>
          <w:trHeight w:val="230"/>
        </w:trPr>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10"/>
        </w:trPr>
        <w:tc>
          <w:tcPr>
            <w:tcW w:w="70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w:t>
            </w:r>
          </w:p>
        </w:tc>
      </w:tr>
      <w:tr>
        <w:trPr>
          <w:trHeight w:val="223"/>
        </w:trPr>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115"/>
        </w:trPr>
        <w:tc>
          <w:tcPr>
            <w:tcW w:w="2280" w:type="dxa"/>
            <w:vAlign w:val="bottom"/>
            <w:tcBorders>
              <w:bottom w:val="single" w:sz="8" w:color="auto"/>
            </w:tcBorders>
          </w:tcPr>
          <w:p>
            <w:pPr>
              <w:spacing w:after="0"/>
              <w:rPr>
                <w:sz w:val="10"/>
                <w:szCs w:val="10"/>
                <w:color w:val="auto"/>
              </w:rPr>
            </w:pPr>
          </w:p>
        </w:tc>
        <w:tc>
          <w:tcPr>
            <w:tcW w:w="4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94" w:lineRule="exact"/>
        <w:rPr>
          <w:sz w:val="20"/>
          <w:szCs w:val="20"/>
          <w:color w:val="auto"/>
        </w:rPr>
      </w:pPr>
    </w:p>
    <w:p>
      <w:pPr>
        <w:ind w:left="320" w:hanging="317"/>
        <w:spacing w:after="0" w:line="224" w:lineRule="exact"/>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Prior year information has been revised to reflect the adoption of ASU 2016</w:t>
      </w:r>
      <w:r>
        <w:rPr>
          <w:rFonts w:ascii="MS PGothic" w:cs="MS PGothic" w:eastAsia="MS PGothic" w:hAnsi="MS PGothic"/>
          <w:sz w:val="16"/>
          <w:szCs w:val="16"/>
          <w:color w:val="auto"/>
        </w:rPr>
        <w:t>‑</w:t>
      </w:r>
      <w:r>
        <w:rPr>
          <w:rFonts w:ascii="Arial" w:cs="Arial" w:eastAsia="Arial" w:hAnsi="Arial"/>
          <w:sz w:val="16"/>
          <w:szCs w:val="16"/>
          <w:color w:val="auto"/>
        </w:rPr>
        <w:t>15 and ASU 2016-18 and conform to our current year presentation. See Note 1 to the Condensed Consolidated Financial Statements for further discussion.</w:t>
      </w:r>
    </w:p>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Our operating cash flows increased by $87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 as compared with the prior year period, as a result of (i) an increase in income from operations, excluding depreciation and amortization of $69 million, primarily attributable to higher earnings from our Traditional Solid Waste business and (ii) lower interest payments. These increases were partially offset by lower earnings from our recycling line of business.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2018 and 2017 are summarized below:</w:t>
      </w:r>
    </w:p>
    <w:p>
      <w:pPr>
        <w:spacing w:after="0" w:line="62" w:lineRule="exact"/>
        <w:rPr>
          <w:sz w:val="20"/>
          <w:szCs w:val="20"/>
          <w:color w:val="auto"/>
        </w:rPr>
      </w:pPr>
    </w:p>
    <w:p>
      <w:pPr>
        <w:ind w:left="500" w:hanging="241"/>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We spent $246 million and $8 million on acquisitions during the three months ended March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and 2017, respectively, related to our Solid Waste business.</w:t>
      </w:r>
    </w:p>
    <w:p>
      <w:pPr>
        <w:spacing w:after="0" w:line="62" w:lineRule="exact"/>
        <w:rPr>
          <w:rFonts w:ascii="Arial" w:cs="Arial" w:eastAsia="Arial" w:hAnsi="Arial"/>
          <w:sz w:val="18"/>
          <w:szCs w:val="18"/>
          <w:color w:val="auto"/>
        </w:rPr>
      </w:pPr>
    </w:p>
    <w:p>
      <w:pPr>
        <w:jc w:val="both"/>
        <w:ind w:left="500" w:hanging="241"/>
        <w:spacing w:after="0" w:line="259"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$400 million and $332 million for capital expenditures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 and 2017, respectively. The Company continues to maintain a disciplined focus on capital management and fluctuations in our capital expenditures are a result of new business opportunities, growth in our existing business and the timing of replacement of aging assets.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1" w:name="page42"/>
    <w:bookmarkEnd w:id="41"/>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three months ended March 31, 2018 and 2017 are summarized below:</w:t>
      </w:r>
    </w:p>
    <w:p>
      <w:pPr>
        <w:spacing w:after="0" w:line="62" w:lineRule="exact"/>
        <w:rPr>
          <w:sz w:val="20"/>
          <w:szCs w:val="20"/>
          <w:color w:val="auto"/>
        </w:rPr>
      </w:pPr>
    </w:p>
    <w:p>
      <w:pPr>
        <w:ind w:left="500" w:hanging="241"/>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Debt Borrowings (Repayments) — </w:t>
      </w:r>
      <w:r>
        <w:rPr>
          <w:rFonts w:ascii="Arial" w:cs="Arial" w:eastAsia="Arial" w:hAnsi="Arial"/>
          <w:sz w:val="17"/>
          <w:szCs w:val="17"/>
          <w:color w:val="auto"/>
        </w:rPr>
        <w:t>The following summarizes our cash borrowings and repayments of debt (excluding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commercial paper program discussed below) for the three months ended March 31 (in millions):</w:t>
      </w:r>
    </w:p>
    <w:p>
      <w:pPr>
        <w:spacing w:after="0" w:line="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4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$2.25 billion revolving credit facility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debt</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4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4640" w:type="dxa"/>
            <w:vAlign w:val="bottom"/>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$2.25 billion revolving credit facility</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debt</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4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17"/>
        </w:trPr>
        <w:tc>
          <w:tcPr>
            <w:tcW w:w="4640" w:type="dxa"/>
            <w:vAlign w:val="bottom"/>
          </w:tcPr>
          <w:p>
            <w:pPr>
              <w:spacing w:after="0"/>
              <w:rPr>
                <w:sz w:val="20"/>
                <w:szCs w:val="20"/>
                <w:color w:val="auto"/>
              </w:rPr>
            </w:pPr>
            <w:r>
              <w:rPr>
                <w:rFonts w:ascii="Arial" w:cs="Arial" w:eastAsia="Arial" w:hAnsi="Arial"/>
                <w:sz w:val="18"/>
                <w:szCs w:val="18"/>
                <w:i w:val="1"/>
                <w:iCs w:val="1"/>
                <w:color w:val="auto"/>
              </w:rPr>
              <w:t>Net cash repayments</w:t>
            </w:r>
          </w:p>
        </w:tc>
        <w:tc>
          <w:tcPr>
            <w:tcW w:w="10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r>
    </w:tbl>
    <w:p>
      <w:pPr>
        <w:spacing w:after="0" w:line="20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62" w:lineRule="exact"/>
        <w:rPr>
          <w:sz w:val="20"/>
          <w:szCs w:val="20"/>
          <w:color w:val="auto"/>
        </w:rPr>
      </w:pPr>
    </w:p>
    <w:p>
      <w:pPr>
        <w:jc w:val="both"/>
        <w:ind w:left="500" w:hanging="241"/>
        <w:spacing w:after="0" w:line="312"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Commercial Paper Program — </w:t>
      </w:r>
      <w:r>
        <w:rPr>
          <w:rFonts w:ascii="Arial" w:cs="Arial" w:eastAsia="Arial" w:hAnsi="Arial"/>
          <w:sz w:val="16"/>
          <w:szCs w:val="16"/>
          <w:color w:val="auto"/>
        </w:rPr>
        <w:t>During the three months ended March 31, 2018 and 2017, we had net cash borrowings</w:t>
      </w:r>
      <w:r>
        <w:rPr>
          <w:rFonts w:ascii="Arial" w:cs="Arial" w:eastAsia="Arial" w:hAnsi="Arial"/>
          <w:sz w:val="16"/>
          <w:szCs w:val="16"/>
          <w:i w:val="1"/>
          <w:iCs w:val="1"/>
          <w:color w:val="auto"/>
        </w:rPr>
        <w:t xml:space="preserve"> </w:t>
      </w:r>
      <w:r>
        <w:rPr>
          <w:rFonts w:ascii="Arial" w:cs="Arial" w:eastAsia="Arial" w:hAnsi="Arial"/>
          <w:sz w:val="16"/>
          <w:szCs w:val="16"/>
          <w:color w:val="auto"/>
        </w:rPr>
        <w:t>of $471 million and $210 million (net of the related discount on issuance), respectively, under our commercial paper program. Borrowings were primarily to support new business opportunities and for general corporate purposes.</w:t>
      </w:r>
    </w:p>
    <w:p>
      <w:pPr>
        <w:spacing w:after="0" w:line="38" w:lineRule="exact"/>
        <w:rPr>
          <w:rFonts w:ascii="Arial" w:cs="Arial" w:eastAsia="Arial" w:hAnsi="Arial"/>
          <w:sz w:val="16"/>
          <w:szCs w:val="16"/>
          <w:color w:val="auto"/>
        </w:rPr>
      </w:pPr>
    </w:p>
    <w:p>
      <w:pPr>
        <w:jc w:val="both"/>
        <w:ind w:left="500" w:hanging="241"/>
        <w:spacing w:after="0" w:line="26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Repurchase Program — </w:t>
      </w:r>
      <w:r>
        <w:rPr>
          <w:rFonts w:ascii="Arial" w:cs="Arial" w:eastAsia="Arial" w:hAnsi="Arial"/>
          <w:sz w:val="18"/>
          <w:szCs w:val="18"/>
          <w:color w:val="auto"/>
        </w:rPr>
        <w:t>We repurchased $258 million of common stock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 of which $8 million was paid in April 2018. See Note 11 to the Condensed Consolidated Financial Statements for additional information.</w:t>
      </w:r>
    </w:p>
    <w:p>
      <w:pPr>
        <w:spacing w:after="0" w:line="73" w:lineRule="exact"/>
        <w:rPr>
          <w:rFonts w:ascii="Arial" w:cs="Arial" w:eastAsia="Arial" w:hAnsi="Arial"/>
          <w:sz w:val="18"/>
          <w:szCs w:val="18"/>
          <w:color w:val="auto"/>
        </w:rPr>
      </w:pPr>
    </w:p>
    <w:p>
      <w:pPr>
        <w:jc w:val="both"/>
        <w:ind w:left="500" w:hanging="241"/>
        <w:spacing w:after="0" w:line="279"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We paid cash dividends of $206 million and $194 million during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2018 and 2017, respectively. The increase in dividend payments is primarily due to our quarterly per share dividend increasing from $0.425 in 2017 to $0.465 in 2018 and has been offset, in part, by a reduction in our common stock outstanding during 2018 as a result of our common stock repurchase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as described in Item 7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2017. Actual results could differ materially from the estimates and assumptions that we use in the preparation of our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Pending Adoption</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In February 2016, the Financial Accounting Standards Board issued ASU 2016</w:t>
      </w:r>
      <w:r>
        <w:rPr>
          <w:rFonts w:ascii="MS PGothic" w:cs="MS PGothic" w:eastAsia="MS PGothic" w:hAnsi="MS PGothic"/>
          <w:sz w:val="16"/>
          <w:szCs w:val="16"/>
          <w:color w:val="auto"/>
        </w:rPr>
        <w:t>‑</w:t>
      </w:r>
      <w:r>
        <w:rPr>
          <w:rFonts w:ascii="Arial" w:cs="Arial" w:eastAsia="Arial" w:hAnsi="Arial"/>
          <w:sz w:val="16"/>
          <w:szCs w:val="16"/>
          <w:color w:val="auto"/>
        </w:rPr>
        <w:t>02 associated with lease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There have been further amendments, including practical expedients, with the issuance of ASU 2018-01 in January 2018. The amended guidance requires the recognition of lease assets and lease liabilities on the balance sheet for those leases with terms in excess of 12 months and currently classified as operating leases. Disclosure of key information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2" w:name="page43"/>
    <w:bookmarkEnd w:id="42"/>
    <w:p>
      <w:pPr>
        <w:jc w:val="both"/>
        <w:spacing w:after="0" w:line="274" w:lineRule="auto"/>
        <w:rPr>
          <w:sz w:val="20"/>
          <w:szCs w:val="20"/>
          <w:color w:val="auto"/>
        </w:rPr>
      </w:pPr>
      <w:r>
        <w:rPr>
          <w:rFonts w:ascii="Arial" w:cs="Arial" w:eastAsia="Arial" w:hAnsi="Arial"/>
          <w:sz w:val="17"/>
          <w:szCs w:val="17"/>
          <w:color w:val="auto"/>
        </w:rPr>
        <w:t>about leasing arrangements will also be required. The amended guidance is effective for the Company on January 1, 2019. We are assessing the provisions of this amended guidance and we have (i) formed an implementation work team;</w:t>
      </w:r>
    </w:p>
    <w:p>
      <w:pPr>
        <w:jc w:val="both"/>
        <w:ind w:firstLine="3"/>
        <w:spacing w:after="0" w:line="255" w:lineRule="auto"/>
        <w:tabs>
          <w:tab w:leader="none" w:pos="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performed training for the various organizations that will be most affected by the new standard and (iii) acquired a software solution to manage and account for leases under the new standard. We are evaluating the impact of this amended guidance on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three months ended March 31, 2018, nor are they expected to have a material impact on our future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collection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U.S.,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Information about market risks as of March 31, 2018, does not differ materially from that discussed under Item 7A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3" w:name="page44"/>
    <w:bookmarkEnd w:id="43"/>
    <w:p>
      <w:pPr>
        <w:jc w:val="both"/>
        <w:spacing w:after="0" w:line="223" w:lineRule="exact"/>
        <w:rPr>
          <w:sz w:val="20"/>
          <w:szCs w:val="20"/>
          <w:color w:val="auto"/>
        </w:rPr>
      </w:pPr>
      <w:r>
        <w:rPr>
          <w:rFonts w:ascii="Arial" w:cs="Arial" w:eastAsia="Arial" w:hAnsi="Arial"/>
          <w:sz w:val="18"/>
          <w:szCs w:val="18"/>
          <w:color w:val="auto"/>
        </w:rPr>
        <w:t>officers have concluded that such disclosure controls and procedures were effective as of March 31, 2018 (the end of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2018. We determined that there were no changes in our internal control over financial reporting during the quarter ended March 31, 2018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7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There have been no material changes to the risk factors previously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in response to Item 1A to Part I of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following table summarizes common stock repurchases made during the first quarter of 2018 (shares in millions):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Approximate Maximum</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00" w:type="dxa"/>
            <w:vAlign w:val="bottom"/>
          </w:tcPr>
          <w:p>
            <w:pPr>
              <w:spacing w:after="0"/>
              <w:rPr>
                <w:sz w:val="12"/>
                <w:szCs w:val="12"/>
                <w:color w:val="auto"/>
              </w:rPr>
            </w:pPr>
          </w:p>
        </w:tc>
        <w:tc>
          <w:tcPr>
            <w:tcW w:w="1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per Share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31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 billion</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February 1 — 28</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85.13</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 billion</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31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w:t>
            </w:r>
          </w:p>
        </w:tc>
        <w:tc>
          <w:tcPr>
            <w:tcW w:w="3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 million</w:t>
            </w:r>
          </w:p>
        </w:tc>
        <w:tc>
          <w:tcPr>
            <w:tcW w:w="0" w:type="dxa"/>
            <w:vAlign w:val="bottom"/>
          </w:tcPr>
          <w:p>
            <w:pPr>
              <w:spacing w:after="0"/>
              <w:rPr>
                <w:sz w:val="1"/>
                <w:szCs w:val="1"/>
                <w:color w:val="auto"/>
              </w:rPr>
            </w:pPr>
          </w:p>
        </w:tc>
      </w:tr>
      <w:tr>
        <w:trPr>
          <w:trHeight w:val="217"/>
        </w:trPr>
        <w:tc>
          <w:tcPr>
            <w:tcW w:w="35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85.11</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2018, we entered into an accelerated share repurchase (“ASR”) agreement to repurchase $250 million of our common stock. At the beginning of the repurchase period, we delivered $250 million in cash and received 2.3 million shares. This agreement was completed in March 2018 and we received 0.6 million additional shares. The final weighted average per share price for the completed ASR agreement was $85.15. In March 2018, after completion of the ASR agreement, we repurchased 0.1 million additional shares in open market transactions under a 10b5-1 plan for $8 million, inclusive of per-share commissions, and made payment in April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520" w:type="dxa"/>
            <w:vAlign w:val="bottom"/>
            <w:gridSpan w:val="2"/>
          </w:tcPr>
          <w:p>
            <w:pPr>
              <w:ind w:left="640"/>
              <w:spacing w:after="0"/>
              <w:rPr>
                <w:sz w:val="20"/>
                <w:szCs w:val="20"/>
                <w:color w:val="auto"/>
              </w:rPr>
            </w:pPr>
            <w:r>
              <w:rPr>
                <w:rFonts w:ascii="Arial" w:cs="Arial" w:eastAsia="Arial" w:hAnsi="Arial"/>
                <w:sz w:val="18"/>
                <w:szCs w:val="18"/>
                <w:b w:val="1"/>
                <w:bCs w:val="1"/>
                <w:color w:val="auto"/>
              </w:rPr>
              <w:t>Exhibit</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60" w:type="dxa"/>
            <w:vAlign w:val="bottom"/>
            <w:gridSpan w:val="8"/>
          </w:tcPr>
          <w:p>
            <w:pPr>
              <w:ind w:left="76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20" w:type="dxa"/>
            <w:vAlign w:val="bottom"/>
          </w:tcPr>
          <w:p>
            <w:pPr>
              <w:spacing w:after="0"/>
              <w:rPr>
                <w:sz w:val="16"/>
                <w:szCs w:val="16"/>
                <w:color w:val="auto"/>
              </w:rPr>
            </w:pPr>
          </w:p>
        </w:tc>
        <w:tc>
          <w:tcPr>
            <w:tcW w:w="15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No.</w:t>
            </w: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2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3.2</w:t>
            </w:r>
          </w:p>
        </w:tc>
        <w:tc>
          <w:tcPr>
            <w:tcW w:w="300" w:type="dxa"/>
            <w:vAlign w:val="bottom"/>
          </w:tcPr>
          <w:p>
            <w:pPr>
              <w:spacing w:after="0"/>
              <w:rPr>
                <w:sz w:val="14"/>
                <w:szCs w:val="14"/>
                <w:color w:val="auto"/>
              </w:rPr>
            </w:pPr>
          </w:p>
        </w:tc>
        <w:tc>
          <w:tcPr>
            <w:tcW w:w="7420" w:type="dxa"/>
            <w:vAlign w:val="bottom"/>
            <w:tcBorders>
              <w:top w:val="single" w:sz="8" w:color="auto"/>
              <w:bottom w:val="single" w:sz="8" w:color="0000EE"/>
            </w:tcBorders>
            <w:gridSpan w:val="9"/>
          </w:tcPr>
          <w:p>
            <w:pPr>
              <w:spacing w:after="0" w:line="170"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Amended and Restated By-Laws of Waste Management, Inc. as of February 19, 2018 [incorporated by</w:t>
              </w:r>
            </w:hyperlink>
          </w:p>
        </w:tc>
        <w:tc>
          <w:tcPr>
            <w:tcW w:w="100" w:type="dxa"/>
            <w:vAlign w:val="bottom"/>
            <w:tcBorders>
              <w:top w:val="single" w:sz="8" w:color="auto"/>
            </w:tcBorders>
            <w:gridSpan w:val="2"/>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reference to Exhibit 3.2 to Form 8-K filed February 23, 2018].</w:t>
              </w:r>
            </w:hyperlink>
          </w:p>
        </w:tc>
        <w:tc>
          <w:tcPr>
            <w:tcW w:w="3020" w:type="dxa"/>
            <w:vAlign w:val="bottom"/>
            <w:gridSpan w:val="7"/>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7440" w:type="dxa"/>
            <w:vAlign w:val="bottom"/>
            <w:tcBorders>
              <w:bottom w:val="single" w:sz="8" w:color="0000EE"/>
            </w:tcBorders>
            <w:gridSpan w:val="10"/>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Form of 2018 Senior Leadership Team Award Agreement [incorporated by reference to Exhibit 10.1 to</w:t>
              </w:r>
            </w:hyperlink>
          </w:p>
        </w:tc>
        <w:tc>
          <w:tcPr>
            <w:tcW w:w="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11"/>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Form 8-K filed February 23, 2018].</w:t>
              </w:r>
            </w:hyperlink>
          </w:p>
        </w:tc>
      </w:tr>
      <w:tr>
        <w:trPr>
          <w:trHeight w:val="20"/>
        </w:trPr>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7420" w:type="dxa"/>
            <w:vAlign w:val="bottom"/>
            <w:tcBorders>
              <w:bottom w:val="single" w:sz="8" w:color="0000EE"/>
            </w:tcBorders>
            <w:gridSpan w:val="9"/>
          </w:tcPr>
          <w:p>
            <w:pPr>
              <w:spacing w:after="0" w:line="207"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Certification Pursuant to Rules 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 as</w:t>
              </w:r>
            </w:hyperlink>
          </w:p>
        </w:tc>
        <w:tc>
          <w:tcPr>
            <w:tcW w:w="10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1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amended, of James C. Fish, Jr., President and Chief Executive Officer.</w:t>
              </w:r>
            </w:hyperlink>
          </w:p>
        </w:tc>
      </w:tr>
      <w:tr>
        <w:trPr>
          <w:trHeight w:val="20"/>
        </w:trPr>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7420" w:type="dxa"/>
            <w:vAlign w:val="bottom"/>
            <w:tcBorders>
              <w:bottom w:val="single" w:sz="8" w:color="0000EE"/>
            </w:tcBorders>
            <w:gridSpan w:val="9"/>
          </w:tcPr>
          <w:p>
            <w:pPr>
              <w:spacing w:after="0" w:line="207"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Certification Pursuant to Rules 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 as</w:t>
              </w:r>
            </w:hyperlink>
          </w:p>
        </w:tc>
        <w:tc>
          <w:tcPr>
            <w:tcW w:w="10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amended, of Devina A. Rankin, Senior Vice President and Chief Financial Officer.</w:t>
              </w:r>
            </w:hyperlink>
          </w:p>
        </w:tc>
        <w:tc>
          <w:tcPr>
            <w:tcW w:w="1560" w:type="dxa"/>
            <w:vAlign w:val="bottom"/>
            <w:gridSpan w:val="5"/>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74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Certification Pursuant to 18 U.S.C. §1350 of James C. Fish, Jr., President and Chief Executive Officer.</w:t>
              </w:r>
            </w:hyperlink>
          </w:p>
        </w:tc>
        <w:tc>
          <w:tcPr>
            <w:tcW w:w="120" w:type="dxa"/>
            <w:vAlign w:val="bottom"/>
            <w:gridSpan w:val="3"/>
          </w:tcPr>
          <w:p>
            <w:pPr>
              <w:spacing w:after="0"/>
              <w:rPr>
                <w:sz w:val="24"/>
                <w:szCs w:val="24"/>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7520" w:type="dxa"/>
            <w:vAlign w:val="bottom"/>
            <w:gridSpan w:val="11"/>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Certification Pursuant to 18 U.S.C. §1350 of Devina A. Rankin, Senior Vice President and Chief</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9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Financial Officer.</w:t>
              </w:r>
            </w:hyperlink>
          </w:p>
        </w:tc>
        <w:tc>
          <w:tcPr>
            <w:tcW w:w="560" w:type="dxa"/>
            <w:vAlign w:val="bottom"/>
            <w:gridSpan w:val="4"/>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4"/>
                <w:szCs w:val="24"/>
                <w:color w:val="auto"/>
              </w:rPr>
            </w:pPr>
          </w:p>
        </w:tc>
        <w:tc>
          <w:tcPr>
            <w:tcW w:w="18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Mine Safety Disclosures.</w:t>
              </w:r>
            </w:hyperlink>
          </w:p>
        </w:tc>
        <w:tc>
          <w:tcPr>
            <w:tcW w:w="5700" w:type="dxa"/>
            <w:vAlign w:val="bottom"/>
            <w:gridSpan w:val="9"/>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52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52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52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52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520" w:type="dxa"/>
            <w:vAlign w:val="bottom"/>
            <w:gridSpan w:val="11"/>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5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4408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9" w:lineRule="exact"/>
        <w:rPr>
          <w:sz w:val="20"/>
          <w:szCs w:val="20"/>
          <w:color w:val="auto"/>
        </w:rPr>
      </w:pPr>
    </w:p>
    <w:p>
      <w:pPr>
        <w:ind w:left="320" w:hanging="317"/>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60" w:type="dxa"/>
            <w:vAlign w:val="bottom"/>
          </w:tcPr>
          <w:p>
            <w:pPr>
              <w:spacing w:after="0"/>
              <w:rPr>
                <w:sz w:val="16"/>
                <w:szCs w:val="16"/>
                <w:color w:val="auto"/>
              </w:rPr>
            </w:pPr>
          </w:p>
        </w:tc>
        <w:tc>
          <w:tcPr>
            <w:tcW w:w="4080" w:type="dxa"/>
            <w:vAlign w:val="bottom"/>
          </w:tcPr>
          <w:p>
            <w:pPr>
              <w:jc w:val="center"/>
              <w:spacing w:after="0" w:line="195" w:lineRule="exact"/>
              <w:rPr>
                <w:sz w:val="20"/>
                <w:szCs w:val="20"/>
                <w:color w:val="auto"/>
              </w:rPr>
            </w:pPr>
            <w:r>
              <w:rPr>
                <w:rFonts w:ascii="Arial" w:cs="Arial" w:eastAsia="Arial" w:hAnsi="Arial"/>
                <w:sz w:val="18"/>
                <w:szCs w:val="18"/>
                <w:color w:val="auto"/>
                <w:w w:val="94"/>
              </w:rPr>
              <w:t>Devina A. Rankin</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6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LESLIE K. NAGY</w:t>
            </w:r>
          </w:p>
        </w:tc>
      </w:tr>
      <w:tr>
        <w:trPr>
          <w:trHeight w:val="211"/>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3"/>
              </w:rPr>
              <w:t>Leslie K. Nagy</w:t>
            </w:r>
          </w:p>
        </w:tc>
      </w:tr>
    </w:tbl>
    <w:p>
      <w:pPr>
        <w:jc w:val="center"/>
        <w:ind w:left="4980"/>
        <w:spacing w:after="0"/>
        <w:rPr>
          <w:sz w:val="20"/>
          <w:szCs w:val="20"/>
          <w:color w:val="auto"/>
        </w:rPr>
      </w:pPr>
      <w:r>
        <w:rPr>
          <w:rFonts w:ascii="Arial" w:cs="Arial" w:eastAsia="Arial" w:hAnsi="Arial"/>
          <w:sz w:val="18"/>
          <w:szCs w:val="18"/>
          <w:i w:val="1"/>
          <w:iCs w:val="1"/>
          <w:color w:val="auto"/>
        </w:rPr>
        <w:t>Vice President and</w:t>
      </w:r>
    </w:p>
    <w:p>
      <w:pPr>
        <w:spacing w:after="0" w:line="7" w:lineRule="exact"/>
        <w:rPr>
          <w:sz w:val="20"/>
          <w:szCs w:val="20"/>
          <w:color w:val="auto"/>
        </w:rPr>
      </w:pPr>
    </w:p>
    <w:p>
      <w:pPr>
        <w:jc w:val="center"/>
        <w:ind w:left="498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98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58" w:lineRule="exact"/>
        <w:rPr>
          <w:sz w:val="20"/>
          <w:szCs w:val="20"/>
          <w:color w:val="auto"/>
        </w:rPr>
      </w:pPr>
    </w:p>
    <w:p>
      <w:pPr>
        <w:ind w:left="560" w:hanging="233"/>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right="160" w:firstLine="327"/>
        <w:spacing w:after="0" w:line="264" w:lineRule="auto"/>
        <w:tabs>
          <w:tab w:leader="none" w:pos="5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right="60" w:firstLine="327"/>
        <w:spacing w:after="0" w:line="264" w:lineRule="auto"/>
        <w:tabs>
          <w:tab w:leader="none" w:pos="5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right="220" w:firstLine="327"/>
        <w:spacing w:after="0" w:line="286" w:lineRule="auto"/>
        <w:tabs>
          <w:tab w:leader="none" w:pos="53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20" w:right="180" w:firstLine="331"/>
        <w:spacing w:after="0" w:line="259" w:lineRule="auto"/>
        <w:tabs>
          <w:tab w:leader="none" w:pos="90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20" w:right="80" w:firstLine="331"/>
        <w:spacing w:after="0" w:line="259" w:lineRule="auto"/>
        <w:tabs>
          <w:tab w:leader="none" w:pos="89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20" w:right="180" w:firstLine="331"/>
        <w:spacing w:after="0" w:line="259" w:lineRule="auto"/>
        <w:tabs>
          <w:tab w:leader="none" w:pos="90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right="440" w:firstLine="327"/>
        <w:spacing w:after="0" w:line="264" w:lineRule="auto"/>
        <w:tabs>
          <w:tab w:leader="none" w:pos="5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20" w:right="80" w:firstLine="331"/>
        <w:spacing w:after="0" w:line="277" w:lineRule="auto"/>
        <w:tabs>
          <w:tab w:leader="none" w:pos="88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280" w:type="dxa"/>
            <w:vAlign w:val="bottom"/>
          </w:tcPr>
          <w:p>
            <w:pPr>
              <w:spacing w:after="0"/>
              <w:rPr>
                <w:sz w:val="16"/>
                <w:szCs w:val="16"/>
                <w:color w:val="auto"/>
              </w:rPr>
            </w:pPr>
          </w:p>
        </w:tc>
        <w:tc>
          <w:tcPr>
            <w:tcW w:w="424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8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Devina A. Rankin, certify that:</w:t>
      </w:r>
    </w:p>
    <w:p>
      <w:pPr>
        <w:spacing w:after="0" w:line="158" w:lineRule="exact"/>
        <w:rPr>
          <w:sz w:val="20"/>
          <w:szCs w:val="20"/>
          <w:color w:val="auto"/>
        </w:rPr>
      </w:pPr>
    </w:p>
    <w:p>
      <w:pPr>
        <w:ind w:left="560" w:hanging="233"/>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right="160" w:firstLine="327"/>
        <w:spacing w:after="0" w:line="264" w:lineRule="auto"/>
        <w:tabs>
          <w:tab w:leader="none" w:pos="5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right="60" w:firstLine="327"/>
        <w:spacing w:after="0" w:line="264" w:lineRule="auto"/>
        <w:tabs>
          <w:tab w:leader="none" w:pos="5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right="220" w:firstLine="327"/>
        <w:spacing w:after="0" w:line="286" w:lineRule="auto"/>
        <w:tabs>
          <w:tab w:leader="none" w:pos="53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20" w:right="180" w:firstLine="331"/>
        <w:spacing w:after="0" w:line="259" w:lineRule="auto"/>
        <w:tabs>
          <w:tab w:leader="none" w:pos="90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20" w:right="80" w:firstLine="331"/>
        <w:spacing w:after="0" w:line="259" w:lineRule="auto"/>
        <w:tabs>
          <w:tab w:leader="none" w:pos="8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20" w:right="180" w:firstLine="331"/>
        <w:spacing w:after="0" w:line="259" w:lineRule="auto"/>
        <w:tabs>
          <w:tab w:leader="none" w:pos="90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right="440" w:firstLine="327"/>
        <w:spacing w:after="0" w:line="264" w:lineRule="auto"/>
        <w:tabs>
          <w:tab w:leader="none" w:pos="5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20" w:right="80" w:firstLine="331"/>
        <w:spacing w:after="0" w:line="277" w:lineRule="auto"/>
        <w:tabs>
          <w:tab w:leader="none" w:pos="8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0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2018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320" w:right="320" w:firstLine="331"/>
        <w:spacing w:after="0" w:line="277" w:lineRule="auto"/>
        <w:tabs>
          <w:tab w:leader="none" w:pos="9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20" w:right="400" w:firstLine="331"/>
        <w:spacing w:after="0" w:line="277" w:lineRule="auto"/>
        <w:tabs>
          <w:tab w:leader="none" w:pos="9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C. FISH, JR.</w:t>
            </w:r>
          </w:p>
        </w:tc>
      </w:tr>
      <w:tr>
        <w:trPr>
          <w:trHeight w:val="195"/>
        </w:trPr>
        <w:tc>
          <w:tcPr>
            <w:tcW w:w="34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April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March 31, 2018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320" w:right="320" w:firstLine="331"/>
        <w:spacing w:after="0" w:line="277" w:lineRule="auto"/>
        <w:tabs>
          <w:tab w:leader="none" w:pos="94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20" w:firstLine="331"/>
        <w:spacing w:after="0" w:line="277" w:lineRule="auto"/>
        <w:tabs>
          <w:tab w:leader="none" w:pos="9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20" w:type="dxa"/>
            <w:vAlign w:val="bottom"/>
          </w:tcPr>
          <w:p>
            <w:pPr>
              <w:spacing w:after="0"/>
              <w:rPr>
                <w:sz w:val="16"/>
                <w:szCs w:val="16"/>
                <w:color w:val="auto"/>
              </w:rPr>
            </w:pPr>
          </w:p>
        </w:tc>
        <w:tc>
          <w:tcPr>
            <w:tcW w:w="452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bl>
    <w:p>
      <w:pPr>
        <w:spacing w:after="0"/>
        <w:rPr>
          <w:sz w:val="20"/>
          <w:szCs w:val="20"/>
          <w:color w:val="auto"/>
        </w:rPr>
      </w:pPr>
      <w:r>
        <w:rPr>
          <w:rFonts w:ascii="Arial" w:cs="Arial" w:eastAsia="Arial" w:hAnsi="Arial"/>
          <w:sz w:val="18"/>
          <w:szCs w:val="18"/>
          <w:color w:val="auto"/>
        </w:rPr>
        <w:t>April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4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21"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During the quarter ended March 31, 2018,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24"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addition, during the quarter ended March 31, 2018,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2"/>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Roman"/>
      <w:start w:val="2"/>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lowerRoman"/>
      <w:start w:val="1"/>
    </w:lvl>
    <w:lvl w:ilvl="1">
      <w:lvlJc w:val="left"/>
      <w:lvlText w:val="%2."/>
      <w:numFmt w:val="upperLetter"/>
      <w:start w:val="1"/>
    </w:lvl>
  </w:abstractNum>
  <w:abstractNum w:abstractNumId="25">
    <w:nsid w:val="54E49EB4"/>
    <w:multiLevelType w:val="hybridMultilevel"/>
    <w:lvl w:ilvl="0">
      <w:lvlJc w:val="left"/>
      <w:lvlText w:val="%1."/>
      <w:numFmt w:val="lowerRoman"/>
      <w:start w:val="1"/>
    </w:lvl>
    <w:lvl w:ilvl="1">
      <w:lvlJc w:val="left"/>
      <w:lvlText w:val="%2."/>
      <w:numFmt w:val="upp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0" Type="http://schemas.openxmlformats.org/officeDocument/2006/relationships/hyperlink" Target="http://www.sec.gov/Archives/edgar/data/823768/000110465918011700/a18-6740_1ex3d2.htm" TargetMode="External"/><Relationship Id="rId51" Type="http://schemas.openxmlformats.org/officeDocument/2006/relationships/hyperlink" Target="http://www.sec.gov/Archives/edgar/data/823768/000110465918011700/a18-6740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2019-12-28T23:09:26Z</dcterms:created>
  <dcterms:modified xsi:type="dcterms:W3CDTF">2019-12-28T23:09:26Z</dcterms:modified>
</cp:coreProperties>
</file>