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Carpenter Don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&amp; Chief Acctg Officer</w:t>
      </w:r>
    </w:p>
    <w:p>
      <w:pPr>
        <w:spacing w:after="0" w:line="315"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02/17/2015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4,006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53.495</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25,119.515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02/17/2015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1,151</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53.495</w:t>
            </w:r>
          </w:p>
        </w:tc>
        <w:tc>
          <w:tcPr>
            <w:tcW w:w="1240" w:type="dxa"/>
            <w:vAlign w:val="bottom"/>
            <w:gridSpan w:val="2"/>
          </w:tcPr>
          <w:p>
            <w:pPr>
              <w:ind w:left="200"/>
              <w:spacing w:after="0"/>
              <w:rPr>
                <w:sz w:val="20"/>
                <w:szCs w:val="20"/>
                <w:color w:val="auto"/>
              </w:rPr>
            </w:pPr>
            <w:r>
              <w:rPr>
                <w:rFonts w:ascii="Arial" w:cs="Arial" w:eastAsia="Arial" w:hAnsi="Arial"/>
                <w:sz w:val="18"/>
                <w:szCs w:val="18"/>
                <w:color w:val="0000FF"/>
              </w:rPr>
              <w:t>23,968.515</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02/18/2015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575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54.7141</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23,393.515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Settlement of performance share award granted under Waste Management, Inc. 2009 Stock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additional shares to cover personal federal income tax obligation.</w:t>
      </w:r>
    </w:p>
    <w:p>
      <w:pPr>
        <w:spacing w:after="0" w:line="41" w:lineRule="exact"/>
        <w:rPr>
          <w:rFonts w:ascii="Arial" w:cs="Arial" w:eastAsia="Arial" w:hAnsi="Arial"/>
          <w:sz w:val="14"/>
          <w:szCs w:val="14"/>
          <w:color w:val="008000"/>
        </w:rPr>
      </w:pPr>
    </w:p>
    <w:p>
      <w:pPr>
        <w:ind w:left="40" w:right="4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54.7136 to 54.715.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0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Courtney Tippy, Attorney-in-</w:t>
            </w:r>
          </w:p>
        </w:tc>
        <w:tc>
          <w:tcPr>
            <w:tcW w:w="1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727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2019-12-24T05:04:28Z</dcterms:created>
  <dcterms:modified xsi:type="dcterms:W3CDTF">2019-12-24T05:04:28Z</dcterms:modified>
</cp:coreProperties>
</file>