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6243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4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Sjoqvist Nikolaj H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Chief Digital Officer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63"/>
            <w:col w:w="3337"/>
          </w:cols>
          <w:pgMar w:left="460" w:top="222" w:right="359" w:bottom="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-2486025</wp:posOffset>
            </wp:positionH>
            <wp:positionV relativeFrom="paragraph">
              <wp:posOffset>153035</wp:posOffset>
            </wp:positionV>
            <wp:extent cx="6967220" cy="26466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264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center"/>
              <w:ind w:left="269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08/04/2020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8,009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54.635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31,378.158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08/04/2020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6,860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41.37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38,238.158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08/04/2020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6,530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56.235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44,768.158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08/04/2020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5,443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73.335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50,211.158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08/04/2020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4,234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36.885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54,445.158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08/04/2020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31,076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108.4829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23,369.158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884.8872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54.635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08/04/2020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8,009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02/25/2016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02/25/2025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44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8,009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54.635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56.235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08/04/2020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6,530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02/26/2017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02/26/2026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44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6,530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56.235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73.335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08/04/2020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5,443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02/28/2018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02/28/2027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44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5,443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73.335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41.37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08/04/2020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6,860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03/07/2015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03/07/2024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44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6,860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41.37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36.885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08/04/2020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4,234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03/08/2014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03/08/2023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44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4,234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36.885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-3834130</wp:posOffset>
            </wp:positionV>
            <wp:extent cx="7033260" cy="397446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974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22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25% on the first and second anniversary of the date of grant with the remaining 50% on the third anniversary of the date of grant.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2009 Stock Incentive Plan. The stock option vests 25% on the first and second anniversary of the date of grant with the remaining 50% on the third anniversary of the date of grant.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3"/>
        <w:spacing w:after="0" w:line="293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$108.23 to $108.695.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Debra Woods, Attorney-in-fact 08/06/2020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-10795</wp:posOffset>
            </wp:positionV>
            <wp:extent cx="18815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0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right="2459" w:firstLine="3"/>
        <w:spacing w:after="0" w:line="337" w:lineRule="auto"/>
        <w:tabs>
          <w:tab w:leader="none" w:pos="13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20066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2020-08-06T13:06:52Z</dcterms:created>
  <dcterms:modified xsi:type="dcterms:W3CDTF">2020-08-06T13:06:52Z</dcterms:modified>
</cp:coreProperties>
</file>