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ind w:left="2020"/>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ind w:left="2460"/>
        <w:spacing w:after="0"/>
        <w:tabs>
          <w:tab w:leader="none" w:pos="402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6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8-K/A</w:t>
      </w:r>
    </w:p>
    <w:p>
      <w:pPr>
        <w:spacing w:after="0" w:line="166"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CURRENT REPORT</w:t>
      </w:r>
    </w:p>
    <w:p>
      <w:pPr>
        <w:spacing w:after="0" w:line="34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PURSUANT TO SECTION 13 OR 15(d) OF THE SECURITIES EXCHANGE ACT OF 1934</w:t>
      </w:r>
    </w:p>
    <w:p>
      <w:pPr>
        <w:spacing w:after="0" w:line="34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DATE OF REPORT (date of earliest event reported): September 12, 1996</w:t>
      </w:r>
    </w:p>
    <w:p>
      <w:pPr>
        <w:spacing w:after="0" w:line="200" w:lineRule="exact"/>
        <w:rPr>
          <w:sz w:val="24"/>
          <w:szCs w:val="24"/>
          <w:color w:val="auto"/>
        </w:rPr>
      </w:pPr>
    </w:p>
    <w:p>
      <w:pPr>
        <w:spacing w:after="0" w:line="303" w:lineRule="exact"/>
        <w:rPr>
          <w:sz w:val="24"/>
          <w:szCs w:val="24"/>
          <w:color w:val="auto"/>
        </w:rPr>
      </w:pPr>
    </w:p>
    <w:p>
      <w:pPr>
        <w:jc w:val="center"/>
        <w:ind w:right="3559"/>
        <w:spacing w:after="0"/>
        <w:rPr>
          <w:sz w:val="20"/>
          <w:szCs w:val="20"/>
          <w:color w:val="auto"/>
        </w:rPr>
      </w:pPr>
      <w:r>
        <w:rPr>
          <w:rFonts w:ascii="Courier New" w:cs="Courier New" w:eastAsia="Courier New" w:hAnsi="Courier New"/>
          <w:sz w:val="15"/>
          <w:szCs w:val="15"/>
          <w:color w:val="auto"/>
        </w:rPr>
        <w:t>USA WASTE SERVICES, INC.</w:t>
      </w:r>
    </w:p>
    <w:p>
      <w:pPr>
        <w:jc w:val="center"/>
        <w:ind w:right="355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7" w:lineRule="exact"/>
        <w:rPr>
          <w:sz w:val="24"/>
          <w:szCs w:val="24"/>
          <w:color w:val="auto"/>
        </w:rPr>
      </w:pPr>
    </w:p>
    <w:p>
      <w:pPr>
        <w:jc w:val="right"/>
        <w:ind w:right="5599"/>
        <w:spacing w:after="0"/>
        <w:rPr>
          <w:sz w:val="20"/>
          <w:szCs w:val="20"/>
          <w:color w:val="auto"/>
        </w:rPr>
      </w:pPr>
      <w:r>
        <w:rPr>
          <w:rFonts w:ascii="Courier New" w:cs="Courier New" w:eastAsia="Courier New" w:hAnsi="Courier New"/>
          <w:sz w:val="15"/>
          <w:szCs w:val="15"/>
          <w:color w:val="auto"/>
        </w:rPr>
        <w:t>Commission file number 1-12154</w:t>
      </w:r>
    </w:p>
    <w:p>
      <w:pPr>
        <w:jc w:val="right"/>
        <w:ind w:right="5599"/>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225" w:right="1440" w:bottom="1440" w:gutter="0" w:footer="0" w:header="0"/>
        </w:sectPr>
      </w:pPr>
    </w:p>
    <w:p>
      <w:pPr>
        <w:spacing w:after="0" w:line="335"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(State or other jurisdiction of</w:t>
      </w:r>
    </w:p>
    <w:p>
      <w:pPr>
        <w:spacing w:after="0" w:line="10"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73-1309529</w:t>
      </w:r>
    </w:p>
    <w:p>
      <w:pPr>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2">
            <w:col w:w="4620" w:space="720"/>
            <w:col w:w="4899"/>
          </w:cols>
          <w:pgMar w:left="220" w:top="225" w:right="1440" w:bottom="1440" w:gutter="0" w:footer="0" w:header="0"/>
          <w:type w:val="continuous"/>
        </w:sectPr>
      </w:pPr>
    </w:p>
    <w:p>
      <w:pPr>
        <w:spacing w:after="0" w:line="146"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5400 LBJ FREEWAY, SUITE 300 - TOWER ONE</w:t>
      </w:r>
    </w:p>
    <w:p>
      <w:pPr>
        <w:spacing w:after="0" w:line="3"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DALLAS, TEXAS</w:t>
      </w:r>
    </w:p>
    <w:p>
      <w:pPr>
        <w:spacing w:after="0" w:line="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75240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sz w:val="24"/>
          <w:szCs w:val="24"/>
          <w:color w:val="auto"/>
        </w:rPr>
      </w:pPr>
    </w:p>
    <w:p>
      <w:pPr>
        <w:sectPr>
          <w:pgSz w:w="11900" w:h="16838" w:orient="portrait"/>
          <w:cols w:equalWidth="0" w:num="2">
            <w:col w:w="4980" w:space="720"/>
            <w:col w:w="4539"/>
          </w:cols>
          <w:pgMar w:left="220" w:top="225" w:right="1440" w:bottom="1440" w:gutter="0" w:footer="0" w:header="0"/>
          <w:type w:val="continuous"/>
        </w:sectPr>
      </w:pPr>
    </w:p>
    <w:p>
      <w:pPr>
        <w:spacing w:after="0" w:line="31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9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(972) 383-7900</w:t>
      </w:r>
    </w:p>
    <w:p>
      <w:pPr>
        <w:sectPr>
          <w:pgSz w:w="11900" w:h="16838" w:orient="portrait"/>
          <w:cols w:equalWidth="0" w:num="2">
            <w:col w:w="4480" w:space="160"/>
            <w:col w:w="559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 FINANCIAL STATEMENTS AND EXHIBITS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Pro Forma Condensed Consolidated Financial Statements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pro forma condensed consolidated financial statements of USA Waste Services, Inc. and subsidiaries (the "Company") listed below present the pro forma balance sheet as if the acquisitions which occurred after June 30, 1996 were consummated as of that date, and pro forma results of operations as if 1996 acquisitions had occured on January 1, 1995. The pro forma condensed consolidated balance sheet is as of June 30, 1996. The pro forma condensed consolidated statements of operations are for the six months ended June 30, 1996 and for the year ended December 31, 1995.</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Exhibits</w:t>
      </w:r>
    </w:p>
    <w:p>
      <w:pPr>
        <w:spacing w:after="0" w:line="16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Independent Auditors</w:t>
      </w:r>
    </w:p>
    <w:p>
      <w:pPr>
        <w:spacing w:after="0" w:line="16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Independent Accountants</w:t>
      </w:r>
    </w:p>
    <w:p>
      <w:pPr>
        <w:spacing w:after="0" w:line="16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4"/>
          <w:szCs w:val="14"/>
          <w:color w:val="auto"/>
        </w:rPr>
        <w:t>Consent of Independent Auditors</w:t>
      </w:r>
    </w:p>
    <w:p>
      <w:pPr>
        <w:spacing w:after="0" w:line="16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23.4</w:t>
      </w:r>
      <w:r>
        <w:rPr>
          <w:sz w:val="20"/>
          <w:szCs w:val="20"/>
          <w:color w:val="auto"/>
        </w:rPr>
        <w:tab/>
      </w:r>
      <w:r>
        <w:rPr>
          <w:rFonts w:ascii="Courier New" w:cs="Courier New" w:eastAsia="Courier New" w:hAnsi="Courier New"/>
          <w:sz w:val="14"/>
          <w:szCs w:val="14"/>
          <w:color w:val="auto"/>
        </w:rPr>
        <w:t>Consent of Independent Auditors</w:t>
      </w:r>
    </w:p>
    <w:p>
      <w:pPr>
        <w:spacing w:after="0" w:line="16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23.5</w:t>
      </w:r>
      <w:r>
        <w:rPr>
          <w:sz w:val="20"/>
          <w:szCs w:val="20"/>
          <w:color w:val="auto"/>
        </w:rPr>
        <w:tab/>
      </w:r>
      <w:r>
        <w:rPr>
          <w:rFonts w:ascii="Courier New" w:cs="Courier New" w:eastAsia="Courier New" w:hAnsi="Courier New"/>
          <w:sz w:val="14"/>
          <w:szCs w:val="14"/>
          <w:color w:val="auto"/>
        </w:rPr>
        <w:t>Consent of Independent Auditors</w:t>
      </w:r>
    </w:p>
    <w:p>
      <w:pPr>
        <w:spacing w:after="0" w:line="16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23.6</w:t>
      </w:r>
      <w:r>
        <w:rPr>
          <w:sz w:val="20"/>
          <w:szCs w:val="20"/>
          <w:color w:val="auto"/>
        </w:rPr>
        <w:tab/>
      </w:r>
      <w:r>
        <w:rPr>
          <w:rFonts w:ascii="Courier New" w:cs="Courier New" w:eastAsia="Courier New" w:hAnsi="Courier New"/>
          <w:sz w:val="14"/>
          <w:szCs w:val="14"/>
          <w:color w:val="auto"/>
        </w:rPr>
        <w:t>Consent of Independent Public Accountants</w:t>
      </w:r>
    </w:p>
    <w:p>
      <w:pPr>
        <w:spacing w:after="0" w:line="16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23.7</w:t>
      </w:r>
      <w:r>
        <w:rPr>
          <w:sz w:val="20"/>
          <w:szCs w:val="20"/>
          <w:color w:val="auto"/>
        </w:rPr>
        <w:tab/>
      </w:r>
      <w:r>
        <w:rPr>
          <w:rFonts w:ascii="Courier New" w:cs="Courier New" w:eastAsia="Courier New" w:hAnsi="Courier New"/>
          <w:sz w:val="14"/>
          <w:szCs w:val="14"/>
          <w:color w:val="auto"/>
        </w:rPr>
        <w:t>Consent of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2500" w:type="dxa"/>
            <w:vAlign w:val="bottom"/>
          </w:tcPr>
          <w:p>
            <w:pPr>
              <w:jc w:val="right"/>
              <w:ind w:right="2067"/>
              <w:spacing w:after="0"/>
              <w:rPr>
                <w:sz w:val="20"/>
                <w:szCs w:val="20"/>
                <w:color w:val="auto"/>
              </w:rPr>
            </w:pPr>
            <w:r>
              <w:rPr>
                <w:rFonts w:ascii="Courier New" w:cs="Courier New" w:eastAsia="Courier New" w:hAnsi="Courier New"/>
                <w:sz w:val="15"/>
                <w:szCs w:val="15"/>
                <w:color w:val="auto"/>
              </w:rPr>
              <w:t>3</w:t>
            </w:r>
          </w:p>
        </w:tc>
        <w:tc>
          <w:tcPr>
            <w:tcW w:w="76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10120" w:type="dxa"/>
            <w:vAlign w:val="bottom"/>
            <w:gridSpan w:val="2"/>
          </w:tcPr>
          <w:p>
            <w:pPr>
              <w:jc w:val="right"/>
              <w:ind w:right="4007"/>
              <w:spacing w:after="0" w:line="168" w:lineRule="exact"/>
              <w:rPr>
                <w:sz w:val="20"/>
                <w:szCs w:val="20"/>
                <w:color w:val="auto"/>
              </w:rPr>
            </w:pPr>
            <w:r>
              <w:rPr>
                <w:rFonts w:ascii="Courier New" w:cs="Courier New" w:eastAsia="Courier New" w:hAnsi="Courier New"/>
                <w:sz w:val="15"/>
                <w:szCs w:val="15"/>
                <w:color w:val="auto"/>
              </w:rPr>
              <w:t>INDEX TO PRO FORMA CONDENSED CONSOLIDATED FINANCIAL STATEMENTS</w:t>
            </w:r>
          </w:p>
        </w:tc>
        <w:tc>
          <w:tcPr>
            <w:tcW w:w="380" w:type="dxa"/>
            <w:vAlign w:val="bottom"/>
          </w:tcPr>
          <w:p>
            <w:pPr>
              <w:spacing w:after="0"/>
              <w:rPr>
                <w:sz w:val="14"/>
                <w:szCs w:val="14"/>
                <w:color w:val="auto"/>
              </w:rPr>
            </w:pPr>
          </w:p>
        </w:tc>
      </w:tr>
      <w:tr>
        <w:trPr>
          <w:trHeight w:val="673"/>
        </w:trPr>
        <w:tc>
          <w:tcPr>
            <w:tcW w:w="25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Page</w:t>
            </w:r>
          </w:p>
        </w:tc>
      </w:tr>
      <w:tr>
        <w:trPr>
          <w:trHeight w:val="168"/>
        </w:trPr>
        <w:tc>
          <w:tcPr>
            <w:tcW w:w="250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10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Item 7.  Financial Statements and Exhibits  . . . . . . . . . . . . . . . . . . . . . . . . . . . . . . . . . . . .</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r>
      <w:tr>
        <w:trPr>
          <w:trHeight w:val="336"/>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Pro Forma Condensed</w:t>
            </w:r>
          </w:p>
        </w:tc>
        <w:tc>
          <w:tcPr>
            <w:tcW w:w="7620" w:type="dxa"/>
            <w:vAlign w:val="bottom"/>
          </w:tcPr>
          <w:p>
            <w:pPr>
              <w:jc w:val="right"/>
              <w:spacing w:after="0"/>
              <w:rPr>
                <w:sz w:val="20"/>
                <w:szCs w:val="20"/>
                <w:color w:val="auto"/>
              </w:rPr>
            </w:pPr>
            <w:r>
              <w:rPr>
                <w:rFonts w:ascii="Courier New" w:cs="Courier New" w:eastAsia="Courier New" w:hAnsi="Courier New"/>
                <w:sz w:val="15"/>
                <w:szCs w:val="15"/>
                <w:color w:val="auto"/>
                <w:w w:val="97"/>
              </w:rPr>
              <w:t>Consolidated Balance Sheet (unaudited) as of June 30, 1996 . . . . . . . . . . . . . .</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w:t>
            </w:r>
          </w:p>
        </w:tc>
      </w:tr>
      <w:tr>
        <w:trPr>
          <w:trHeight w:val="336"/>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Pro Forma Condensed</w:t>
            </w:r>
          </w:p>
        </w:tc>
        <w:tc>
          <w:tcPr>
            <w:tcW w:w="7620" w:type="dxa"/>
            <w:vAlign w:val="bottom"/>
          </w:tcPr>
          <w:p>
            <w:pPr>
              <w:jc w:val="right"/>
              <w:ind w:right="4347"/>
              <w:spacing w:after="0"/>
              <w:rPr>
                <w:sz w:val="20"/>
                <w:szCs w:val="20"/>
                <w:color w:val="auto"/>
              </w:rPr>
            </w:pPr>
            <w:r>
              <w:rPr>
                <w:rFonts w:ascii="Courier New" w:cs="Courier New" w:eastAsia="Courier New" w:hAnsi="Courier New"/>
                <w:sz w:val="15"/>
                <w:szCs w:val="15"/>
                <w:color w:val="auto"/>
                <w:w w:val="98"/>
              </w:rPr>
              <w:t>Consolidated Statement of Operations</w:t>
            </w:r>
          </w:p>
        </w:tc>
        <w:tc>
          <w:tcPr>
            <w:tcW w:w="380" w:type="dxa"/>
            <w:vAlign w:val="bottom"/>
          </w:tcPr>
          <w:p>
            <w:pPr>
              <w:spacing w:after="0"/>
              <w:rPr>
                <w:sz w:val="24"/>
                <w:szCs w:val="24"/>
                <w:color w:val="auto"/>
              </w:rPr>
            </w:pPr>
          </w:p>
        </w:tc>
      </w:tr>
      <w:tr>
        <w:trPr>
          <w:trHeight w:val="168"/>
        </w:trPr>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c>
          <w:tcPr>
            <w:tcW w:w="7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for the six months ended June 30, 1996 . . . . . . . . . . . . . . . . . . . . . . . .</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r>
      <w:tr>
        <w:trPr>
          <w:trHeight w:val="336"/>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Pro Forma Condensed</w:t>
            </w:r>
          </w:p>
        </w:tc>
        <w:tc>
          <w:tcPr>
            <w:tcW w:w="7620" w:type="dxa"/>
            <w:vAlign w:val="bottom"/>
          </w:tcPr>
          <w:p>
            <w:pPr>
              <w:jc w:val="right"/>
              <w:ind w:right="4347"/>
              <w:spacing w:after="0"/>
              <w:rPr>
                <w:sz w:val="20"/>
                <w:szCs w:val="20"/>
                <w:color w:val="auto"/>
              </w:rPr>
            </w:pPr>
            <w:r>
              <w:rPr>
                <w:rFonts w:ascii="Courier New" w:cs="Courier New" w:eastAsia="Courier New" w:hAnsi="Courier New"/>
                <w:sz w:val="15"/>
                <w:szCs w:val="15"/>
                <w:color w:val="auto"/>
                <w:w w:val="98"/>
              </w:rPr>
              <w:t>Consolidated Statement of Operations</w:t>
            </w:r>
          </w:p>
        </w:tc>
        <w:tc>
          <w:tcPr>
            <w:tcW w:w="380" w:type="dxa"/>
            <w:vAlign w:val="bottom"/>
          </w:tcPr>
          <w:p>
            <w:pPr>
              <w:spacing w:after="0"/>
              <w:rPr>
                <w:sz w:val="24"/>
                <w:szCs w:val="24"/>
                <w:color w:val="auto"/>
              </w:rPr>
            </w:pPr>
          </w:p>
        </w:tc>
      </w:tr>
      <w:tr>
        <w:trPr>
          <w:trHeight w:val="168"/>
        </w:trPr>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c>
          <w:tcPr>
            <w:tcW w:w="7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for the year ended December 31, 1995 . . . . . . . . . . . . . . . . . . . . . . . . .</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r>
      <w:tr>
        <w:trPr>
          <w:trHeight w:val="336"/>
        </w:trPr>
        <w:tc>
          <w:tcPr>
            <w:tcW w:w="10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Notes to Pro Forma Condensed Consolidated Financial Statements (unaudited) . . . . . . . . . . . . . . . .</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w:t>
            </w:r>
          </w:p>
        </w:tc>
      </w:tr>
      <w:tr>
        <w:trPr>
          <w:trHeight w:val="336"/>
        </w:trPr>
        <w:tc>
          <w:tcPr>
            <w:tcW w:w="10120" w:type="dxa"/>
            <w:vAlign w:val="bottom"/>
            <w:gridSpan w:val="2"/>
          </w:tcPr>
          <w:p>
            <w:pPr>
              <w:jc w:val="right"/>
              <w:ind w:right="5407"/>
              <w:spacing w:after="0"/>
              <w:rPr>
                <w:sz w:val="20"/>
                <w:szCs w:val="20"/>
                <w:color w:val="auto"/>
              </w:rPr>
            </w:pPr>
            <w:r>
              <w:rPr>
                <w:rFonts w:ascii="Courier New" w:cs="Courier New" w:eastAsia="Courier New" w:hAnsi="Courier New"/>
                <w:sz w:val="15"/>
                <w:szCs w:val="15"/>
                <w:color w:val="auto"/>
              </w:rPr>
              <w:t>Financial Statements of Businesses Acquired:</w:t>
            </w:r>
          </w:p>
        </w:tc>
        <w:tc>
          <w:tcPr>
            <w:tcW w:w="380" w:type="dxa"/>
            <w:vAlign w:val="bottom"/>
          </w:tcPr>
          <w:p>
            <w:pPr>
              <w:spacing w:after="0"/>
              <w:rPr>
                <w:sz w:val="24"/>
                <w:szCs w:val="24"/>
                <w:color w:val="auto"/>
              </w:rPr>
            </w:pPr>
          </w:p>
        </w:tc>
      </w:tr>
      <w:tr>
        <w:trPr>
          <w:trHeight w:val="336"/>
        </w:trPr>
        <w:tc>
          <w:tcPr>
            <w:tcW w:w="101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Acquired Quebec Solid Waste Companies . . . . . . . . . . . . . . . . . . . . . . . . . . . . . .</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r>
      <w:tr>
        <w:trPr>
          <w:trHeight w:val="168"/>
        </w:trPr>
        <w:tc>
          <w:tcPr>
            <w:tcW w:w="10120" w:type="dxa"/>
            <w:vAlign w:val="bottom"/>
            <w:gridSpan w:val="2"/>
          </w:tcPr>
          <w:p>
            <w:pPr>
              <w:jc w:val="right"/>
              <w:ind w:right="5747"/>
              <w:spacing w:after="0" w:line="168" w:lineRule="exact"/>
              <w:rPr>
                <w:sz w:val="20"/>
                <w:szCs w:val="20"/>
                <w:color w:val="auto"/>
              </w:rPr>
            </w:pPr>
            <w:r>
              <w:rPr>
                <w:rFonts w:ascii="Courier New" w:cs="Courier New" w:eastAsia="Courier New" w:hAnsi="Courier New"/>
                <w:sz w:val="15"/>
                <w:szCs w:val="15"/>
                <w:color w:val="auto"/>
              </w:rPr>
              <w:t>Transport Sanico Lte'e:</w:t>
            </w:r>
          </w:p>
        </w:tc>
        <w:tc>
          <w:tcPr>
            <w:tcW w:w="380" w:type="dxa"/>
            <w:vAlign w:val="bottom"/>
          </w:tcPr>
          <w:p>
            <w:pPr>
              <w:spacing w:after="0"/>
              <w:rPr>
                <w:sz w:val="14"/>
                <w:szCs w:val="14"/>
                <w:color w:val="auto"/>
              </w:rPr>
            </w:pPr>
          </w:p>
        </w:tc>
      </w:tr>
    </w:tbl>
    <w:p>
      <w:pPr>
        <w:ind w:left="2460"/>
        <w:spacing w:after="0" w:line="237" w:lineRule="auto"/>
        <w:rPr>
          <w:sz w:val="20"/>
          <w:szCs w:val="20"/>
          <w:color w:val="auto"/>
        </w:rPr>
      </w:pPr>
      <w:r>
        <w:rPr>
          <w:rFonts w:ascii="Courier New" w:cs="Courier New" w:eastAsia="Courier New" w:hAnsi="Courier New"/>
          <w:sz w:val="15"/>
          <w:szCs w:val="15"/>
          <w:color w:val="auto"/>
        </w:rPr>
        <w:t>Auditors' Report</w:t>
      </w:r>
    </w:p>
    <w:p>
      <w:pPr>
        <w:ind w:left="2460"/>
        <w:spacing w:after="0" w:line="238" w:lineRule="auto"/>
        <w:rPr>
          <w:sz w:val="20"/>
          <w:szCs w:val="20"/>
          <w:color w:val="auto"/>
        </w:rPr>
      </w:pPr>
      <w:r>
        <w:rPr>
          <w:rFonts w:ascii="Courier New" w:cs="Courier New" w:eastAsia="Courier New" w:hAnsi="Courier New"/>
          <w:sz w:val="15"/>
          <w:szCs w:val="15"/>
          <w:color w:val="auto"/>
        </w:rPr>
        <w:t>Statement of Earnings and Retained Earnings for the Year ended December 31, 1995</w:t>
      </w:r>
    </w:p>
    <w:p>
      <w:pPr>
        <w:ind w:left="2460"/>
        <w:spacing w:after="0" w:line="237" w:lineRule="auto"/>
        <w:rPr>
          <w:sz w:val="20"/>
          <w:szCs w:val="20"/>
          <w:color w:val="auto"/>
        </w:rPr>
      </w:pPr>
      <w:r>
        <w:rPr>
          <w:rFonts w:ascii="Courier New" w:cs="Courier New" w:eastAsia="Courier New" w:hAnsi="Courier New"/>
          <w:sz w:val="15"/>
          <w:szCs w:val="15"/>
          <w:color w:val="auto"/>
        </w:rPr>
        <w:t>Balance Sheet as of December 31, 1995</w:t>
      </w:r>
    </w:p>
    <w:p>
      <w:pPr>
        <w:ind w:left="2460"/>
        <w:spacing w:after="0" w:line="238" w:lineRule="auto"/>
        <w:rPr>
          <w:sz w:val="20"/>
          <w:szCs w:val="20"/>
          <w:color w:val="auto"/>
        </w:rPr>
      </w:pPr>
      <w:r>
        <w:rPr>
          <w:rFonts w:ascii="Courier New" w:cs="Courier New" w:eastAsia="Courier New" w:hAnsi="Courier New"/>
          <w:sz w:val="15"/>
          <w:szCs w:val="15"/>
          <w:color w:val="auto"/>
        </w:rPr>
        <w:t>Statement of Changes in Financial Position for the Year Ended December 31, 1995</w:t>
      </w:r>
    </w:p>
    <w:p>
      <w:pPr>
        <w:ind w:left="2460"/>
        <w:spacing w:after="0" w:line="237" w:lineRule="auto"/>
        <w:rPr>
          <w:sz w:val="20"/>
          <w:szCs w:val="20"/>
          <w:color w:val="auto"/>
        </w:rPr>
      </w:pPr>
      <w:r>
        <w:rPr>
          <w:rFonts w:ascii="Courier New" w:cs="Courier New" w:eastAsia="Courier New" w:hAnsi="Courier New"/>
          <w:sz w:val="15"/>
          <w:szCs w:val="15"/>
          <w:color w:val="auto"/>
        </w:rPr>
        <w:t>Notes to Financial Statements</w:t>
      </w:r>
    </w:p>
    <w:p>
      <w:pPr>
        <w:ind w:left="2280"/>
        <w:spacing w:after="0" w:line="238" w:lineRule="auto"/>
        <w:rPr>
          <w:sz w:val="20"/>
          <w:szCs w:val="20"/>
          <w:color w:val="auto"/>
        </w:rPr>
      </w:pPr>
      <w:r>
        <w:rPr>
          <w:rFonts w:ascii="Courier New" w:cs="Courier New" w:eastAsia="Courier New" w:hAnsi="Courier New"/>
          <w:sz w:val="15"/>
          <w:szCs w:val="15"/>
          <w:color w:val="auto"/>
        </w:rPr>
        <w:t>Les Entreprises De Rebuts Sanipan Inc.:</w:t>
      </w:r>
    </w:p>
    <w:p>
      <w:pPr>
        <w:ind w:left="2460"/>
        <w:spacing w:after="0" w:line="237" w:lineRule="auto"/>
        <w:rPr>
          <w:sz w:val="20"/>
          <w:szCs w:val="20"/>
          <w:color w:val="auto"/>
        </w:rPr>
      </w:pPr>
      <w:r>
        <w:rPr>
          <w:rFonts w:ascii="Courier New" w:cs="Courier New" w:eastAsia="Courier New" w:hAnsi="Courier New"/>
          <w:sz w:val="15"/>
          <w:szCs w:val="15"/>
          <w:color w:val="auto"/>
        </w:rPr>
        <w:t>Auditors' Report</w:t>
      </w:r>
    </w:p>
    <w:p>
      <w:pPr>
        <w:ind w:left="2460"/>
        <w:spacing w:after="0" w:line="238" w:lineRule="auto"/>
        <w:rPr>
          <w:sz w:val="20"/>
          <w:szCs w:val="20"/>
          <w:color w:val="auto"/>
        </w:rPr>
      </w:pPr>
      <w:r>
        <w:rPr>
          <w:rFonts w:ascii="Courier New" w:cs="Courier New" w:eastAsia="Courier New" w:hAnsi="Courier New"/>
          <w:sz w:val="15"/>
          <w:szCs w:val="15"/>
          <w:color w:val="auto"/>
        </w:rPr>
        <w:t>Statement of Earnings and Retained Earnings for the Year ended December 31, 1995</w:t>
      </w:r>
    </w:p>
    <w:p>
      <w:pPr>
        <w:ind w:left="2460"/>
        <w:spacing w:after="0" w:line="238" w:lineRule="auto"/>
        <w:rPr>
          <w:sz w:val="20"/>
          <w:szCs w:val="20"/>
          <w:color w:val="auto"/>
        </w:rPr>
      </w:pPr>
      <w:r>
        <w:rPr>
          <w:rFonts w:ascii="Courier New" w:cs="Courier New" w:eastAsia="Courier New" w:hAnsi="Courier New"/>
          <w:sz w:val="15"/>
          <w:szCs w:val="15"/>
          <w:color w:val="auto"/>
        </w:rPr>
        <w:t>Balance Sheet as of December 31, 1995</w:t>
      </w:r>
    </w:p>
    <w:p>
      <w:pPr>
        <w:ind w:left="2460"/>
        <w:spacing w:after="0" w:line="237" w:lineRule="auto"/>
        <w:rPr>
          <w:sz w:val="20"/>
          <w:szCs w:val="20"/>
          <w:color w:val="auto"/>
        </w:rPr>
      </w:pPr>
      <w:r>
        <w:rPr>
          <w:rFonts w:ascii="Courier New" w:cs="Courier New" w:eastAsia="Courier New" w:hAnsi="Courier New"/>
          <w:sz w:val="15"/>
          <w:szCs w:val="15"/>
          <w:color w:val="auto"/>
        </w:rPr>
        <w:t>Statement of Changes in Financial Position for the Year Ended December 31, 1995</w:t>
      </w:r>
    </w:p>
    <w:p>
      <w:pPr>
        <w:ind w:left="2460"/>
        <w:spacing w:after="0" w:line="238" w:lineRule="auto"/>
        <w:rPr>
          <w:sz w:val="20"/>
          <w:szCs w:val="20"/>
          <w:color w:val="auto"/>
        </w:rPr>
      </w:pPr>
      <w:r>
        <w:rPr>
          <w:rFonts w:ascii="Courier New" w:cs="Courier New" w:eastAsia="Courier New" w:hAnsi="Courier New"/>
          <w:sz w:val="15"/>
          <w:szCs w:val="15"/>
          <w:color w:val="auto"/>
        </w:rPr>
        <w:t>Notes to Financial Statements</w:t>
      </w:r>
    </w:p>
    <w:p>
      <w:pPr>
        <w:spacing w:after="0" w:line="167" w:lineRule="exact"/>
        <w:rPr>
          <w:sz w:val="20"/>
          <w:szCs w:val="20"/>
          <w:color w:val="auto"/>
        </w:rPr>
      </w:pPr>
    </w:p>
    <w:tbl>
      <w:tblPr>
        <w:tblLayout w:type="fixed"/>
        <w:tblInd w:w="1500" w:type="dxa"/>
        <w:tblCellMar>
          <w:top w:w="0" w:type="dxa"/>
          <w:left w:w="0" w:type="dxa"/>
          <w:bottom w:w="0" w:type="dxa"/>
          <w:right w:w="0" w:type="dxa"/>
        </w:tblCellMar>
      </w:tblPr>
      <w:tr>
        <w:trPr>
          <w:trHeight w:val="170"/>
        </w:trPr>
        <w:tc>
          <w:tcPr>
            <w:tcW w:w="8620" w:type="dxa"/>
            <w:vAlign w:val="bottom"/>
          </w:tcPr>
          <w:p>
            <w:pPr>
              <w:spacing w:after="0"/>
              <w:rPr>
                <w:sz w:val="20"/>
                <w:szCs w:val="20"/>
                <w:color w:val="auto"/>
              </w:rPr>
            </w:pPr>
            <w:r>
              <w:rPr>
                <w:rFonts w:ascii="Courier New" w:cs="Courier New" w:eastAsia="Courier New" w:hAnsi="Courier New"/>
                <w:sz w:val="15"/>
                <w:szCs w:val="15"/>
                <w:color w:val="auto"/>
                <w:w w:val="98"/>
              </w:rPr>
              <w:t>Acquired Michigan and Ontario Solid Waste Companies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Report of Independent Accountants</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w w:val="99"/>
              </w:rPr>
              <w:t>Historical Summary of Revenues and Direct Expenses for the year ended December 31, 1995</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Notes to Historical Summary of Revenues and Direct Expenses</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Report of Independent Accountants</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Historical Summary of Net Book Value of Property, Plant and Equipment</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Notes to Historical Summary of Net Book Value of Property, Plant and Equipment</w:t>
            </w:r>
          </w:p>
        </w:tc>
        <w:tc>
          <w:tcPr>
            <w:tcW w:w="300" w:type="dxa"/>
            <w:vAlign w:val="bottom"/>
          </w:tcPr>
          <w:p>
            <w:pPr>
              <w:spacing w:after="0"/>
              <w:rPr>
                <w:sz w:val="14"/>
                <w:szCs w:val="14"/>
                <w:color w:val="auto"/>
              </w:rPr>
            </w:pPr>
          </w:p>
        </w:tc>
      </w:tr>
      <w:tr>
        <w:trPr>
          <w:trHeight w:val="336"/>
        </w:trPr>
        <w:tc>
          <w:tcPr>
            <w:tcW w:w="8620" w:type="dxa"/>
            <w:vAlign w:val="bottom"/>
          </w:tcPr>
          <w:p>
            <w:pPr>
              <w:spacing w:after="0"/>
              <w:rPr>
                <w:sz w:val="20"/>
                <w:szCs w:val="20"/>
                <w:color w:val="auto"/>
              </w:rPr>
            </w:pPr>
            <w:r>
              <w:rPr>
                <w:rFonts w:ascii="Courier New" w:cs="Courier New" w:eastAsia="Courier New" w:hAnsi="Courier New"/>
                <w:sz w:val="15"/>
                <w:szCs w:val="15"/>
                <w:color w:val="auto"/>
                <w:w w:val="98"/>
              </w:rPr>
              <w:t>Kasper Brothers, Inc. Financial Statements.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Report of Independent Accountants</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Balance Sheet as of September 30, 1995</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Statement of Operations and Retained Earnings for the year ended September 30, 1995</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Statement of Cash Flows for the year ended September 30, 1995</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Notes to Financial Statements</w:t>
            </w:r>
          </w:p>
        </w:tc>
        <w:tc>
          <w:tcPr>
            <w:tcW w:w="300" w:type="dxa"/>
            <w:vAlign w:val="bottom"/>
          </w:tcPr>
          <w:p>
            <w:pPr>
              <w:spacing w:after="0"/>
              <w:rPr>
                <w:sz w:val="14"/>
                <w:szCs w:val="14"/>
                <w:color w:val="auto"/>
              </w:rPr>
            </w:pPr>
          </w:p>
        </w:tc>
      </w:tr>
      <w:tr>
        <w:trPr>
          <w:trHeight w:val="336"/>
        </w:trPr>
        <w:tc>
          <w:tcPr>
            <w:tcW w:w="8620" w:type="dxa"/>
            <w:vAlign w:val="bottom"/>
          </w:tcPr>
          <w:p>
            <w:pPr>
              <w:spacing w:after="0"/>
              <w:rPr>
                <w:sz w:val="20"/>
                <w:szCs w:val="20"/>
                <w:color w:val="auto"/>
              </w:rPr>
            </w:pPr>
            <w:r>
              <w:rPr>
                <w:rFonts w:ascii="Courier New" w:cs="Courier New" w:eastAsia="Courier New" w:hAnsi="Courier New"/>
                <w:sz w:val="15"/>
                <w:szCs w:val="15"/>
                <w:color w:val="auto"/>
                <w:w w:val="98"/>
              </w:rPr>
              <w:t>Arnoni Group Financial Statements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Report of Independent Auditors</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Combined Balance Sheet as of December 31, 1995</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w w:val="99"/>
              </w:rPr>
              <w:t>Combined Statement of Income and Retained Earnings for the year ended December 31, 1995</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Notes to Combined Financial Statements</w:t>
            </w:r>
          </w:p>
        </w:tc>
        <w:tc>
          <w:tcPr>
            <w:tcW w:w="300" w:type="dxa"/>
            <w:vAlign w:val="bottom"/>
          </w:tcPr>
          <w:p>
            <w:pPr>
              <w:spacing w:after="0"/>
              <w:rPr>
                <w:sz w:val="14"/>
                <w:szCs w:val="14"/>
                <w:color w:val="auto"/>
              </w:rPr>
            </w:pPr>
          </w:p>
        </w:tc>
      </w:tr>
      <w:tr>
        <w:trPr>
          <w:trHeight w:val="336"/>
        </w:trPr>
        <w:tc>
          <w:tcPr>
            <w:tcW w:w="8620" w:type="dxa"/>
            <w:vAlign w:val="bottom"/>
          </w:tcPr>
          <w:p>
            <w:pPr>
              <w:spacing w:after="0"/>
              <w:rPr>
                <w:sz w:val="20"/>
                <w:szCs w:val="20"/>
                <w:color w:val="auto"/>
              </w:rPr>
            </w:pPr>
            <w:r>
              <w:rPr>
                <w:rFonts w:ascii="Courier New" w:cs="Courier New" w:eastAsia="Courier New" w:hAnsi="Courier New"/>
                <w:sz w:val="15"/>
                <w:szCs w:val="15"/>
                <w:color w:val="auto"/>
                <w:w w:val="98"/>
              </w:rPr>
              <w:t>Jennings Environmental Services, Inc. Financial Statements. . . . . . . . . .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Independent Auditors' Report</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Balance Sheet as of December 31, 1995</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Statement of Income for the year ended December 31, 1995</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Statement of Changes in Stockholders' Equity for the year ended December 31, 1995</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Statement of Cash Flows for the year ended December 31, 1995</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Notes to Financial Statements</w:t>
            </w:r>
          </w:p>
        </w:tc>
        <w:tc>
          <w:tcPr>
            <w:tcW w:w="300" w:type="dxa"/>
            <w:vAlign w:val="bottom"/>
          </w:tcPr>
          <w:p>
            <w:pPr>
              <w:spacing w:after="0"/>
              <w:rPr>
                <w:sz w:val="14"/>
                <w:szCs w:val="14"/>
                <w:color w:val="auto"/>
              </w:rPr>
            </w:pPr>
          </w:p>
        </w:tc>
      </w:tr>
      <w:tr>
        <w:trPr>
          <w:trHeight w:val="336"/>
        </w:trPr>
        <w:tc>
          <w:tcPr>
            <w:tcW w:w="8620" w:type="dxa"/>
            <w:vAlign w:val="bottom"/>
          </w:tcPr>
          <w:p>
            <w:pPr>
              <w:spacing w:after="0"/>
              <w:rPr>
                <w:sz w:val="20"/>
                <w:szCs w:val="20"/>
                <w:color w:val="auto"/>
              </w:rPr>
            </w:pPr>
            <w:r>
              <w:rPr>
                <w:rFonts w:ascii="Courier New" w:cs="Courier New" w:eastAsia="Courier New" w:hAnsi="Courier New"/>
                <w:sz w:val="15"/>
                <w:szCs w:val="15"/>
                <w:color w:val="auto"/>
                <w:w w:val="98"/>
              </w:rPr>
              <w:t>Grand Central Sanitation, Inc. and Related Companies.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Independent Auditors' Report</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Combined Balance Sheet as of December 31, 1995</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Combined Statement of Income for the year ended December 31, 1995</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Combined Statement of Stockholders' Equity for the year ended December 31, 1995</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Combined Statement of Cash Flows for the year ended December 31, 1995</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Notes to Combined Financial Statements</w:t>
            </w:r>
          </w:p>
        </w:tc>
        <w:tc>
          <w:tcPr>
            <w:tcW w:w="30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500"/>
          </w:cols>
          <w:pgMar w:left="220" w:top="281"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3</w:t>
      </w:r>
    </w:p>
    <w:p>
      <w:pPr>
        <w:sectPr>
          <w:pgSz w:w="11900" w:h="16838" w:orient="portrait"/>
          <w:cols w:equalWidth="0" w:num="1">
            <w:col w:w="10500"/>
          </w:cols>
          <w:pgMar w:left="220" w:top="281" w:right="1179"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tabs>
          <w:tab w:leader="none" w:pos="140" w:val="left"/>
        </w:tabs>
        <w:rPr>
          <w:sz w:val="20"/>
          <w:szCs w:val="20"/>
          <w:color w:val="auto"/>
        </w:rPr>
      </w:pPr>
      <w:r>
        <w:rPr>
          <w:rFonts w:ascii="Courier New" w:cs="Courier New" w:eastAsia="Courier New" w:hAnsi="Courier New"/>
          <w:sz w:val="15"/>
          <w:szCs w:val="15"/>
          <w:color w:val="auto"/>
        </w:rPr>
        <w:t>Garnet Group Combined Financial Statements . . . . . . . . . . . . . . . . . . . . . . . . . . . . .</w:t>
      </w:r>
      <w:r>
        <w:rPr>
          <w:sz w:val="20"/>
          <w:szCs w:val="20"/>
          <w:color w:val="auto"/>
        </w:rPr>
        <w:tab/>
      </w:r>
      <w:r>
        <w:rPr>
          <w:rFonts w:ascii="Courier New" w:cs="Courier New" w:eastAsia="Courier New" w:hAnsi="Courier New"/>
          <w:sz w:val="12"/>
          <w:szCs w:val="12"/>
          <w:color w:val="auto"/>
        </w:rPr>
        <w:t>80</w:t>
      </w:r>
    </w:p>
    <w:p>
      <w:pPr>
        <w:ind w:left="2000"/>
        <w:spacing w:after="0" w:line="237" w:lineRule="auto"/>
        <w:rPr>
          <w:sz w:val="20"/>
          <w:szCs w:val="20"/>
          <w:color w:val="auto"/>
        </w:rPr>
      </w:pPr>
      <w:r>
        <w:rPr>
          <w:rFonts w:ascii="Courier New" w:cs="Courier New" w:eastAsia="Courier New" w:hAnsi="Courier New"/>
          <w:sz w:val="15"/>
          <w:szCs w:val="15"/>
          <w:color w:val="auto"/>
        </w:rPr>
        <w:t>Report of Independent Public Accountants</w:t>
      </w:r>
    </w:p>
    <w:p>
      <w:pPr>
        <w:ind w:left="2000"/>
        <w:spacing w:after="0" w:line="238" w:lineRule="auto"/>
        <w:rPr>
          <w:sz w:val="20"/>
          <w:szCs w:val="20"/>
          <w:color w:val="auto"/>
        </w:rPr>
      </w:pPr>
      <w:r>
        <w:rPr>
          <w:rFonts w:ascii="Courier New" w:cs="Courier New" w:eastAsia="Courier New" w:hAnsi="Courier New"/>
          <w:sz w:val="15"/>
          <w:szCs w:val="15"/>
          <w:color w:val="auto"/>
        </w:rPr>
        <w:t>Combined Balance Sheet as of December 31, 1995</w:t>
      </w:r>
    </w:p>
    <w:p>
      <w:pPr>
        <w:ind w:left="2000"/>
        <w:spacing w:after="0" w:line="237" w:lineRule="auto"/>
        <w:rPr>
          <w:sz w:val="20"/>
          <w:szCs w:val="20"/>
          <w:color w:val="auto"/>
        </w:rPr>
      </w:pPr>
      <w:r>
        <w:rPr>
          <w:rFonts w:ascii="Courier New" w:cs="Courier New" w:eastAsia="Courier New" w:hAnsi="Courier New"/>
          <w:sz w:val="15"/>
          <w:szCs w:val="15"/>
          <w:color w:val="auto"/>
        </w:rPr>
        <w:t>Combined Statement of Operations for the year ended December 31, 1995</w:t>
      </w:r>
    </w:p>
    <w:p>
      <w:pPr>
        <w:ind w:left="2000"/>
        <w:spacing w:after="0" w:line="238" w:lineRule="auto"/>
        <w:rPr>
          <w:sz w:val="20"/>
          <w:szCs w:val="20"/>
          <w:color w:val="auto"/>
        </w:rPr>
      </w:pPr>
      <w:r>
        <w:rPr>
          <w:rFonts w:ascii="Courier New" w:cs="Courier New" w:eastAsia="Courier New" w:hAnsi="Courier New"/>
          <w:sz w:val="15"/>
          <w:szCs w:val="15"/>
          <w:color w:val="auto"/>
        </w:rPr>
        <w:t>Combined Statement of Stockholders' Deficit for the year ended December 31, 1995</w:t>
      </w:r>
    </w:p>
    <w:p>
      <w:pPr>
        <w:ind w:left="2000"/>
        <w:spacing w:after="0" w:line="237" w:lineRule="auto"/>
        <w:rPr>
          <w:sz w:val="20"/>
          <w:szCs w:val="20"/>
          <w:color w:val="auto"/>
        </w:rPr>
      </w:pPr>
      <w:r>
        <w:rPr>
          <w:rFonts w:ascii="Courier New" w:cs="Courier New" w:eastAsia="Courier New" w:hAnsi="Courier New"/>
          <w:sz w:val="15"/>
          <w:szCs w:val="15"/>
          <w:color w:val="auto"/>
        </w:rPr>
        <w:t>Combined Statement of Cash Flows for the year ended December 31, 1995</w:t>
      </w:r>
    </w:p>
    <w:p>
      <w:pPr>
        <w:ind w:left="2000"/>
        <w:spacing w:after="0" w:line="238" w:lineRule="auto"/>
        <w:rPr>
          <w:sz w:val="20"/>
          <w:szCs w:val="20"/>
          <w:color w:val="auto"/>
        </w:rPr>
      </w:pPr>
      <w:r>
        <w:rPr>
          <w:rFonts w:ascii="Courier New" w:cs="Courier New" w:eastAsia="Courier New" w:hAnsi="Courier New"/>
          <w:sz w:val="15"/>
          <w:szCs w:val="15"/>
          <w:color w:val="auto"/>
        </w:rPr>
        <w:t>Notes to Combined Financial Statements</w:t>
      </w:r>
    </w:p>
    <w:p>
      <w:pPr>
        <w:spacing w:after="0" w:line="167" w:lineRule="exact"/>
        <w:rPr>
          <w:sz w:val="20"/>
          <w:szCs w:val="20"/>
          <w:color w:val="auto"/>
        </w:rPr>
      </w:pPr>
    </w:p>
    <w:p>
      <w:pPr>
        <w:jc w:val="right"/>
        <w:spacing w:after="0"/>
        <w:tabs>
          <w:tab w:leader="none" w:pos="140" w:val="left"/>
        </w:tabs>
        <w:rPr>
          <w:sz w:val="20"/>
          <w:szCs w:val="20"/>
          <w:color w:val="auto"/>
        </w:rPr>
      </w:pPr>
      <w:r>
        <w:rPr>
          <w:rFonts w:ascii="Courier New" w:cs="Courier New" w:eastAsia="Courier New" w:hAnsi="Courier New"/>
          <w:sz w:val="15"/>
          <w:szCs w:val="15"/>
          <w:color w:val="auto"/>
        </w:rPr>
        <w:t>Orange Group Combined Financial Statements . . . . . . . . . . . . . . . . . . . . . . . . . . . . .</w:t>
      </w:r>
      <w:r>
        <w:rPr>
          <w:sz w:val="20"/>
          <w:szCs w:val="20"/>
          <w:color w:val="auto"/>
        </w:rPr>
        <w:tab/>
      </w:r>
      <w:r>
        <w:rPr>
          <w:rFonts w:ascii="Courier New" w:cs="Courier New" w:eastAsia="Courier New" w:hAnsi="Courier New"/>
          <w:sz w:val="12"/>
          <w:szCs w:val="12"/>
          <w:color w:val="auto"/>
        </w:rPr>
        <w:t>93</w:t>
      </w:r>
    </w:p>
    <w:p>
      <w:pPr>
        <w:ind w:left="2000"/>
        <w:spacing w:after="0" w:line="237" w:lineRule="auto"/>
        <w:rPr>
          <w:sz w:val="20"/>
          <w:szCs w:val="20"/>
          <w:color w:val="auto"/>
        </w:rPr>
      </w:pPr>
      <w:r>
        <w:rPr>
          <w:rFonts w:ascii="Courier New" w:cs="Courier New" w:eastAsia="Courier New" w:hAnsi="Courier New"/>
          <w:sz w:val="15"/>
          <w:szCs w:val="15"/>
          <w:color w:val="auto"/>
        </w:rPr>
        <w:t>Report of Independent Auditors</w:t>
      </w:r>
    </w:p>
    <w:p>
      <w:pPr>
        <w:ind w:left="2000"/>
        <w:spacing w:after="0" w:line="238" w:lineRule="auto"/>
        <w:rPr>
          <w:sz w:val="20"/>
          <w:szCs w:val="20"/>
          <w:color w:val="auto"/>
        </w:rPr>
      </w:pPr>
      <w:r>
        <w:rPr>
          <w:rFonts w:ascii="Courier New" w:cs="Courier New" w:eastAsia="Courier New" w:hAnsi="Courier New"/>
          <w:sz w:val="15"/>
          <w:szCs w:val="15"/>
          <w:color w:val="auto"/>
        </w:rPr>
        <w:t>Combined Balance Sheet as of December 31, 1995</w:t>
      </w:r>
    </w:p>
    <w:p>
      <w:pPr>
        <w:ind w:left="2000"/>
        <w:spacing w:after="0" w:line="237" w:lineRule="auto"/>
        <w:rPr>
          <w:sz w:val="20"/>
          <w:szCs w:val="20"/>
          <w:color w:val="auto"/>
        </w:rPr>
      </w:pPr>
      <w:r>
        <w:rPr>
          <w:rFonts w:ascii="Courier New" w:cs="Courier New" w:eastAsia="Courier New" w:hAnsi="Courier New"/>
          <w:sz w:val="15"/>
          <w:szCs w:val="15"/>
          <w:color w:val="auto"/>
        </w:rPr>
        <w:t>Combined Statement of Operations for the year ended December 31, 1995</w:t>
      </w:r>
    </w:p>
    <w:p>
      <w:pPr>
        <w:ind w:left="2000"/>
        <w:spacing w:after="0" w:line="238" w:lineRule="auto"/>
        <w:rPr>
          <w:sz w:val="20"/>
          <w:szCs w:val="20"/>
          <w:color w:val="auto"/>
        </w:rPr>
      </w:pPr>
      <w:r>
        <w:rPr>
          <w:rFonts w:ascii="Courier New" w:cs="Courier New" w:eastAsia="Courier New" w:hAnsi="Courier New"/>
          <w:sz w:val="15"/>
          <w:szCs w:val="15"/>
          <w:color w:val="auto"/>
        </w:rPr>
        <w:t>Combined Statement of Retained Earnings for the year ended December 31, 1995</w:t>
      </w:r>
    </w:p>
    <w:p>
      <w:pPr>
        <w:ind w:left="2000"/>
        <w:spacing w:after="0" w:line="237" w:lineRule="auto"/>
        <w:rPr>
          <w:sz w:val="20"/>
          <w:szCs w:val="20"/>
          <w:color w:val="auto"/>
        </w:rPr>
      </w:pPr>
      <w:r>
        <w:rPr>
          <w:rFonts w:ascii="Courier New" w:cs="Courier New" w:eastAsia="Courier New" w:hAnsi="Courier New"/>
          <w:sz w:val="15"/>
          <w:szCs w:val="15"/>
          <w:color w:val="auto"/>
        </w:rPr>
        <w:t>Combined Statement of Cash Flows for the year ended December 31, 1995</w:t>
      </w:r>
    </w:p>
    <w:p>
      <w:pPr>
        <w:ind w:left="2000"/>
        <w:spacing w:after="0" w:line="238" w:lineRule="auto"/>
        <w:rPr>
          <w:sz w:val="20"/>
          <w:szCs w:val="20"/>
          <w:color w:val="auto"/>
        </w:rPr>
      </w:pPr>
      <w:r>
        <w:rPr>
          <w:rFonts w:ascii="Courier New" w:cs="Courier New" w:eastAsia="Courier New" w:hAnsi="Courier New"/>
          <w:sz w:val="15"/>
          <w:szCs w:val="15"/>
          <w:color w:val="auto"/>
        </w:rPr>
        <w:t>Notes to Combined Financial Statements</w:t>
      </w:r>
    </w:p>
    <w:p>
      <w:pPr>
        <w:spacing w:after="0" w:line="167" w:lineRule="exact"/>
        <w:rPr>
          <w:sz w:val="20"/>
          <w:szCs w:val="20"/>
          <w:color w:val="auto"/>
        </w:rPr>
      </w:pPr>
    </w:p>
    <w:p>
      <w:pPr>
        <w:jc w:val="right"/>
        <w:spacing w:after="0"/>
        <w:tabs>
          <w:tab w:leader="none" w:pos="3560" w:val="left"/>
          <w:tab w:leader="none" w:pos="240" w:val="left"/>
        </w:tabs>
        <w:rPr>
          <w:sz w:val="20"/>
          <w:szCs w:val="20"/>
          <w:color w:val="auto"/>
        </w:rPr>
      </w:pPr>
      <w:r>
        <w:rPr>
          <w:rFonts w:ascii="Courier New" w:cs="Courier New" w:eastAsia="Courier New" w:hAnsi="Courier New"/>
          <w:sz w:val="15"/>
          <w:szCs w:val="15"/>
          <w:color w:val="auto"/>
        </w:rPr>
        <w:t>Combined Companies (City, Alpine, and LGI) Financial Statements</w:t>
        <w:tab/>
        <w:t>. . . . . . . . . . . . . . . . . .</w:t>
      </w:r>
      <w:r>
        <w:rPr>
          <w:sz w:val="20"/>
          <w:szCs w:val="20"/>
          <w:color w:val="auto"/>
        </w:rPr>
        <w:tab/>
      </w:r>
      <w:r>
        <w:rPr>
          <w:rFonts w:ascii="Courier New" w:cs="Courier New" w:eastAsia="Courier New" w:hAnsi="Courier New"/>
          <w:sz w:val="14"/>
          <w:szCs w:val="14"/>
          <w:color w:val="auto"/>
        </w:rPr>
        <w:t>108</w:t>
      </w:r>
    </w:p>
    <w:p>
      <w:pPr>
        <w:ind w:left="2000"/>
        <w:spacing w:after="0" w:line="237" w:lineRule="auto"/>
        <w:rPr>
          <w:sz w:val="20"/>
          <w:szCs w:val="20"/>
          <w:color w:val="auto"/>
        </w:rPr>
      </w:pPr>
      <w:r>
        <w:rPr>
          <w:rFonts w:ascii="Courier New" w:cs="Courier New" w:eastAsia="Courier New" w:hAnsi="Courier New"/>
          <w:sz w:val="15"/>
          <w:szCs w:val="15"/>
          <w:color w:val="auto"/>
        </w:rPr>
        <w:t>Report of Independent Public Accountants</w:t>
      </w:r>
    </w:p>
    <w:p>
      <w:pPr>
        <w:ind w:left="2000"/>
        <w:spacing w:after="0" w:line="238" w:lineRule="auto"/>
        <w:rPr>
          <w:sz w:val="20"/>
          <w:szCs w:val="20"/>
          <w:color w:val="auto"/>
        </w:rPr>
      </w:pPr>
      <w:r>
        <w:rPr>
          <w:rFonts w:ascii="Courier New" w:cs="Courier New" w:eastAsia="Courier New" w:hAnsi="Courier New"/>
          <w:sz w:val="15"/>
          <w:szCs w:val="15"/>
          <w:color w:val="auto"/>
        </w:rPr>
        <w:t>Combined Balance Sheet as of December 31, 1995</w:t>
      </w:r>
    </w:p>
    <w:p>
      <w:pPr>
        <w:ind w:left="2000"/>
        <w:spacing w:after="0" w:line="237" w:lineRule="auto"/>
        <w:rPr>
          <w:sz w:val="20"/>
          <w:szCs w:val="20"/>
          <w:color w:val="auto"/>
        </w:rPr>
      </w:pPr>
      <w:r>
        <w:rPr>
          <w:rFonts w:ascii="Courier New" w:cs="Courier New" w:eastAsia="Courier New" w:hAnsi="Courier New"/>
          <w:sz w:val="15"/>
          <w:szCs w:val="15"/>
          <w:color w:val="auto"/>
        </w:rPr>
        <w:t>Combined Statement of Operations for the year ended December 31, 1995</w:t>
      </w:r>
    </w:p>
    <w:p>
      <w:pPr>
        <w:ind w:left="2000"/>
        <w:spacing w:after="0" w:line="238" w:lineRule="auto"/>
        <w:rPr>
          <w:sz w:val="20"/>
          <w:szCs w:val="20"/>
          <w:color w:val="auto"/>
        </w:rPr>
      </w:pPr>
      <w:r>
        <w:rPr>
          <w:rFonts w:ascii="Courier New" w:cs="Courier New" w:eastAsia="Courier New" w:hAnsi="Courier New"/>
          <w:sz w:val="15"/>
          <w:szCs w:val="15"/>
          <w:color w:val="auto"/>
        </w:rPr>
        <w:t>Combined Statement of Stockholders' Equity and Partners' Capital for the year ended</w:t>
      </w:r>
    </w:p>
    <w:p>
      <w:pPr>
        <w:ind w:left="2620"/>
        <w:spacing w:after="0" w:line="237" w:lineRule="auto"/>
        <w:rPr>
          <w:sz w:val="20"/>
          <w:szCs w:val="20"/>
          <w:color w:val="auto"/>
        </w:rPr>
      </w:pPr>
      <w:r>
        <w:rPr>
          <w:rFonts w:ascii="Courier New" w:cs="Courier New" w:eastAsia="Courier New" w:hAnsi="Courier New"/>
          <w:sz w:val="15"/>
          <w:szCs w:val="15"/>
          <w:color w:val="auto"/>
        </w:rPr>
        <w:t>December 31, 1995</w:t>
      </w:r>
    </w:p>
    <w:p>
      <w:pPr>
        <w:ind w:left="2000"/>
        <w:spacing w:after="0" w:line="238" w:lineRule="auto"/>
        <w:rPr>
          <w:sz w:val="20"/>
          <w:szCs w:val="20"/>
          <w:color w:val="auto"/>
        </w:rPr>
      </w:pPr>
      <w:r>
        <w:rPr>
          <w:rFonts w:ascii="Courier New" w:cs="Courier New" w:eastAsia="Courier New" w:hAnsi="Courier New"/>
          <w:sz w:val="15"/>
          <w:szCs w:val="15"/>
          <w:color w:val="auto"/>
        </w:rPr>
        <w:t>Combined Statement of Cash Flows for the year ended December 31, 1995</w:t>
      </w:r>
    </w:p>
    <w:p>
      <w:pPr>
        <w:ind w:left="2000"/>
        <w:spacing w:after="0" w:line="237" w:lineRule="auto"/>
        <w:rPr>
          <w:sz w:val="20"/>
          <w:szCs w:val="20"/>
          <w:color w:val="auto"/>
        </w:rPr>
      </w:pPr>
      <w:r>
        <w:rPr>
          <w:rFonts w:ascii="Courier New" w:cs="Courier New" w:eastAsia="Courier New" w:hAnsi="Courier New"/>
          <w:sz w:val="15"/>
          <w:szCs w:val="15"/>
          <w:color w:val="auto"/>
        </w:rPr>
        <w:t>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480"/>
          </w:cols>
          <w:pgMar w:left="500" w:top="281" w:right="919"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jc w:val="center"/>
        <w:ind w:right="3399"/>
        <w:spacing w:after="0" w:line="237" w:lineRule="auto"/>
        <w:rPr>
          <w:sz w:val="20"/>
          <w:szCs w:val="20"/>
          <w:color w:val="auto"/>
        </w:rPr>
      </w:pPr>
      <w:r>
        <w:rPr>
          <w:rFonts w:ascii="Courier New" w:cs="Courier New" w:eastAsia="Courier New" w:hAnsi="Courier New"/>
          <w:sz w:val="15"/>
          <w:szCs w:val="15"/>
          <w:color w:val="auto"/>
        </w:rPr>
        <w:t>USA WASTE SERVICES, INC.</w:t>
      </w:r>
    </w:p>
    <w:p>
      <w:pPr>
        <w:jc w:val="center"/>
        <w:ind w:right="3499"/>
        <w:spacing w:after="0" w:line="238" w:lineRule="auto"/>
        <w:rPr>
          <w:sz w:val="20"/>
          <w:szCs w:val="20"/>
          <w:color w:val="auto"/>
        </w:rPr>
      </w:pPr>
      <w:r>
        <w:rPr>
          <w:rFonts w:ascii="Courier New" w:cs="Courier New" w:eastAsia="Courier New" w:hAnsi="Courier New"/>
          <w:sz w:val="15"/>
          <w:szCs w:val="15"/>
          <w:color w:val="auto"/>
        </w:rPr>
        <w:t>PRO FORMA CONDENSED CONSOLIDATED FINANCIAL STATEMENTS</w:t>
      </w:r>
    </w:p>
    <w:p>
      <w:pPr>
        <w:jc w:val="center"/>
        <w:ind w:right="3499"/>
        <w:spacing w:after="0" w:line="237" w:lineRule="auto"/>
        <w:rPr>
          <w:sz w:val="20"/>
          <w:szCs w:val="20"/>
          <w:color w:val="auto"/>
        </w:rPr>
      </w:pPr>
      <w:r>
        <w:rPr>
          <w:rFonts w:ascii="Courier New" w:cs="Courier New" w:eastAsia="Courier New" w:hAnsi="Courier New"/>
          <w:sz w:val="15"/>
          <w:szCs w:val="15"/>
          <w:color w:val="auto"/>
        </w:rPr>
        <w:t>(Unaudited)</w:t>
      </w:r>
    </w:p>
    <w:p>
      <w:pPr>
        <w:spacing w:after="0" w:line="342"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During 1996, USA Waste Services, Inc. (the "Company") acquired several waste collection businesses and landfills, at various dates, as described in Notes 2 and 16 to the 1995 Supplemental Consolidated Financial Statements and Notes 1 and 5 to the 1996 Supplemental Interim Condensed Consolidated Financial Statements included in the Company's Current Report on Form 8-K dated November 12, 1996, filed in connection with the acquisition of Sanifill, Inc. (the "Supplemental Financial Statements"). For those acquisitions accounted for under the pooling of interests method, the financial statements of the acquired companies are included with the Supplemental Financial Statements at their historical amounts, and, if material, all periods presented are restated as if the combination occurred on the first day of the earliest year presented. For acquisitions accounted for as purchases, the financial statements of the businesses acquired are included with the Supplemental Financial Statements since the date of the acquisitions.</w:t>
      </w:r>
    </w:p>
    <w:p>
      <w:pPr>
        <w:spacing w:after="0" w:line="332"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 accompanying pro forma condensed consolidated balance sheet as of June 30, 1996 has been prepared as if the acquisitions which occurred after June 30, 1996 were consummated as of that date. The accompanying pro forma condensed consolidated statements of operations for the year ended December 31, 1995 and for the six month period ended June 30, 1996 present the pro forma results of operations of the Company as if the 1996 acquisitions had occurred on January 1, 1995. The accompanying pro forma condensed consolidated financial statements should be read in conjunction with the Supplemental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jc w:val="center"/>
        <w:ind w:right="4100"/>
        <w:spacing w:after="0" w:line="237" w:lineRule="auto"/>
        <w:rPr>
          <w:sz w:val="20"/>
          <w:szCs w:val="20"/>
          <w:color w:val="auto"/>
        </w:rPr>
      </w:pPr>
      <w:r>
        <w:rPr>
          <w:rFonts w:ascii="Courier New" w:cs="Courier New" w:eastAsia="Courier New" w:hAnsi="Courier New"/>
          <w:sz w:val="15"/>
          <w:szCs w:val="15"/>
          <w:color w:val="auto"/>
        </w:rPr>
        <w:t>USA WASTE SERVICES, INC.</w:t>
      </w:r>
    </w:p>
    <w:p>
      <w:pPr>
        <w:jc w:val="center"/>
        <w:ind w:right="4100"/>
        <w:spacing w:after="0" w:line="238" w:lineRule="auto"/>
        <w:rPr>
          <w:sz w:val="20"/>
          <w:szCs w:val="20"/>
          <w:color w:val="auto"/>
        </w:rPr>
      </w:pPr>
      <w:r>
        <w:rPr>
          <w:rFonts w:ascii="Courier New" w:cs="Courier New" w:eastAsia="Courier New" w:hAnsi="Courier New"/>
          <w:sz w:val="15"/>
          <w:szCs w:val="15"/>
          <w:color w:val="auto"/>
        </w:rPr>
        <w:t>PRO FORMA CONDENSED CONSOLIDATED BALANCE SHEET</w:t>
      </w:r>
    </w:p>
    <w:p>
      <w:pPr>
        <w:jc w:val="center"/>
        <w:ind w:right="4100"/>
        <w:spacing w:after="0" w:line="237" w:lineRule="auto"/>
        <w:rPr>
          <w:sz w:val="20"/>
          <w:szCs w:val="20"/>
          <w:color w:val="auto"/>
        </w:rPr>
      </w:pPr>
      <w:r>
        <w:rPr>
          <w:rFonts w:ascii="Courier New" w:cs="Courier New" w:eastAsia="Courier New" w:hAnsi="Courier New"/>
          <w:sz w:val="15"/>
          <w:szCs w:val="15"/>
          <w:color w:val="auto"/>
        </w:rPr>
        <w:t>(In Thousands, Except Share and Par Value Amounts)</w:t>
      </w:r>
    </w:p>
    <w:p>
      <w:pPr>
        <w:jc w:val="center"/>
        <w:ind w:right="400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June 30,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5"/>
              </w:rPr>
              <w:t>BUSINESSES</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tcPr>
          <w:p>
            <w:pPr>
              <w:jc w:val="center"/>
              <w:ind w:right="547"/>
              <w:spacing w:after="0" w:line="168" w:lineRule="exact"/>
              <w:rPr>
                <w:sz w:val="20"/>
                <w:szCs w:val="20"/>
                <w:color w:val="auto"/>
              </w:rPr>
            </w:pPr>
            <w:r>
              <w:rPr>
                <w:rFonts w:ascii="Courier New" w:cs="Courier New" w:eastAsia="Courier New" w:hAnsi="Courier New"/>
                <w:sz w:val="15"/>
                <w:szCs w:val="15"/>
                <w:color w:val="auto"/>
                <w:w w:val="97"/>
              </w:rPr>
              <w:t>ACQUIRED</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AFTER</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220" w:type="dxa"/>
            <w:vAlign w:val="bottom"/>
          </w:tcPr>
          <w:p>
            <w:pPr>
              <w:spacing w:after="0"/>
              <w:rPr>
                <w:sz w:val="14"/>
                <w:szCs w:val="14"/>
                <w:color w:val="auto"/>
              </w:rPr>
            </w:pPr>
          </w:p>
        </w:tc>
        <w:tc>
          <w:tcPr>
            <w:tcW w:w="19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SUPPLEMENTAL</w:t>
            </w:r>
          </w:p>
        </w:tc>
        <w:tc>
          <w:tcPr>
            <w:tcW w:w="210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JUNE 30, 1996</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(NOTE 1)</w:t>
            </w:r>
          </w:p>
        </w:tc>
        <w:tc>
          <w:tcPr>
            <w:tcW w:w="620" w:type="dxa"/>
            <w:vAlign w:val="bottom"/>
          </w:tcPr>
          <w:p>
            <w:pPr>
              <w:spacing w:after="0"/>
              <w:rPr>
                <w:sz w:val="14"/>
                <w:szCs w:val="14"/>
                <w:color w:val="auto"/>
              </w:rPr>
            </w:pPr>
          </w:p>
        </w:tc>
        <w:tc>
          <w:tcPr>
            <w:tcW w:w="1480" w:type="dxa"/>
            <w:vAlign w:val="bottom"/>
          </w:tcPr>
          <w:p>
            <w:pPr>
              <w:jc w:val="center"/>
              <w:ind w:right="547"/>
              <w:spacing w:after="0" w:line="168" w:lineRule="exact"/>
              <w:rPr>
                <w:sz w:val="20"/>
                <w:szCs w:val="20"/>
                <w:color w:val="auto"/>
              </w:rPr>
            </w:pPr>
            <w:r>
              <w:rPr>
                <w:rFonts w:ascii="Courier New" w:cs="Courier New" w:eastAsia="Courier New" w:hAnsi="Courier New"/>
                <w:sz w:val="15"/>
                <w:szCs w:val="15"/>
                <w:color w:val="auto"/>
                <w:w w:val="97"/>
              </w:rPr>
              <w:t>(NOTE 2)</w:t>
            </w:r>
          </w:p>
        </w:tc>
        <w:tc>
          <w:tcPr>
            <w:tcW w:w="5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PRO FORMA</w:t>
            </w:r>
          </w:p>
        </w:tc>
      </w:tr>
      <w:tr>
        <w:trPr>
          <w:trHeight w:val="168"/>
        </w:trPr>
        <w:tc>
          <w:tcPr>
            <w:tcW w:w="5220" w:type="dxa"/>
            <w:vAlign w:val="bottom"/>
          </w:tcPr>
          <w:p>
            <w:pPr>
              <w:spacing w:after="0"/>
              <w:rPr>
                <w:sz w:val="14"/>
                <w:szCs w:val="14"/>
                <w:color w:val="auto"/>
              </w:rPr>
            </w:pPr>
          </w:p>
        </w:tc>
        <w:tc>
          <w:tcPr>
            <w:tcW w:w="196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6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34,626</w:t>
            </w:r>
          </w:p>
        </w:tc>
        <w:tc>
          <w:tcPr>
            <w:tcW w:w="620" w:type="dxa"/>
            <w:vAlign w:val="bottom"/>
          </w:tcPr>
          <w:p>
            <w:pPr>
              <w:spacing w:after="0"/>
              <w:rPr>
                <w:sz w:val="14"/>
                <w:szCs w:val="14"/>
                <w:color w:val="auto"/>
              </w:rPr>
            </w:pP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($11,787)</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22,839</w:t>
            </w: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176,422</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1,254</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177,676</w:t>
            </w: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Notes and other receivables</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14,343</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14,343</w:t>
            </w: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38,870</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38,870</w:t>
            </w: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39,333</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213</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39,546</w:t>
            </w:r>
          </w:p>
        </w:tc>
      </w:tr>
      <w:tr>
        <w:trPr>
          <w:trHeight w:val="168"/>
        </w:trPr>
        <w:tc>
          <w:tcPr>
            <w:tcW w:w="5220" w:type="dxa"/>
            <w:vAlign w:val="bottom"/>
          </w:tcPr>
          <w:p>
            <w:pPr>
              <w:spacing w:after="0"/>
              <w:rPr>
                <w:sz w:val="14"/>
                <w:szCs w:val="14"/>
                <w:color w:val="auto"/>
              </w:rPr>
            </w:pP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303,594</w:t>
            </w:r>
          </w:p>
        </w:tc>
        <w:tc>
          <w:tcPr>
            <w:tcW w:w="620" w:type="dxa"/>
            <w:vAlign w:val="bottom"/>
          </w:tcPr>
          <w:p>
            <w:pPr>
              <w:spacing w:after="0"/>
              <w:rPr>
                <w:sz w:val="14"/>
                <w:szCs w:val="14"/>
                <w:color w:val="auto"/>
              </w:rPr>
            </w:pP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(10,320)</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293,274</w:t>
            </w:r>
          </w:p>
        </w:tc>
      </w:tr>
      <w:tr>
        <w:trPr>
          <w:trHeight w:val="168"/>
        </w:trPr>
        <w:tc>
          <w:tcPr>
            <w:tcW w:w="5220" w:type="dxa"/>
            <w:vAlign w:val="bottom"/>
          </w:tcPr>
          <w:p>
            <w:pPr>
              <w:spacing w:after="0"/>
              <w:rPr>
                <w:sz w:val="14"/>
                <w:szCs w:val="14"/>
                <w:color w:val="auto"/>
              </w:rPr>
            </w:pP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Notes and other receivables</w:t>
            </w:r>
          </w:p>
        </w:tc>
        <w:tc>
          <w:tcPr>
            <w:tcW w:w="600" w:type="dxa"/>
            <w:vAlign w:val="bottom"/>
          </w:tcPr>
          <w:p>
            <w:pPr>
              <w:spacing w:after="0"/>
              <w:rPr>
                <w:sz w:val="24"/>
                <w:szCs w:val="24"/>
                <w:color w:val="auto"/>
              </w:rPr>
            </w:pP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28,937</w:t>
            </w:r>
          </w:p>
        </w:tc>
        <w:tc>
          <w:tcPr>
            <w:tcW w:w="620" w:type="dxa"/>
            <w:vAlign w:val="bottom"/>
          </w:tcPr>
          <w:p>
            <w:pPr>
              <w:spacing w:after="0"/>
              <w:rPr>
                <w:sz w:val="24"/>
                <w:szCs w:val="24"/>
                <w:color w:val="auto"/>
              </w:rPr>
            </w:pP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28,937</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1,586,353</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97,139</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1,683,492</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of cost over net assets of acquired</w:t>
            </w:r>
          </w:p>
        </w:tc>
        <w:tc>
          <w:tcPr>
            <w:tcW w:w="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business, net</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278,494</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132,623</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411,117</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intangible assets, net</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63,185</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6,127</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69,312</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117,332</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2,386</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119,718</w:t>
            </w:r>
          </w:p>
        </w:tc>
      </w:tr>
      <w:tr>
        <w:trPr>
          <w:trHeight w:val="168"/>
        </w:trPr>
        <w:tc>
          <w:tcPr>
            <w:tcW w:w="5220" w:type="dxa"/>
            <w:vAlign w:val="bottom"/>
          </w:tcPr>
          <w:p>
            <w:pPr>
              <w:spacing w:after="0"/>
              <w:rPr>
                <w:sz w:val="14"/>
                <w:szCs w:val="14"/>
                <w:color w:val="auto"/>
              </w:rPr>
            </w:pP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assets</w:t>
            </w: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$ 2,377,895</w:t>
            </w:r>
          </w:p>
        </w:tc>
        <w:tc>
          <w:tcPr>
            <w:tcW w:w="6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88"/>
              </w:rPr>
              <w:t>$</w:t>
            </w: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227,955</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$ 2,605,850</w:t>
            </w:r>
          </w:p>
        </w:tc>
      </w:tr>
      <w:tr>
        <w:trPr>
          <w:trHeight w:val="168"/>
        </w:trPr>
        <w:tc>
          <w:tcPr>
            <w:tcW w:w="5220" w:type="dxa"/>
            <w:vAlign w:val="bottom"/>
          </w:tcPr>
          <w:p>
            <w:pPr>
              <w:spacing w:after="0"/>
              <w:rPr>
                <w:sz w:val="14"/>
                <w:szCs w:val="14"/>
                <w:color w:val="auto"/>
              </w:rPr>
            </w:pP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22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6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73,154</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426</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73,580</w:t>
            </w: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93,170</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3,045</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96,215</w:t>
            </w: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revenues</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15,853</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374</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16,227</w:t>
            </w: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maturities of long-term debt</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24,766</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2,863</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27,629</w:t>
            </w:r>
          </w:p>
        </w:tc>
      </w:tr>
      <w:tr>
        <w:trPr>
          <w:trHeight w:val="168"/>
        </w:trPr>
        <w:tc>
          <w:tcPr>
            <w:tcW w:w="5220" w:type="dxa"/>
            <w:vAlign w:val="bottom"/>
          </w:tcPr>
          <w:p>
            <w:pPr>
              <w:spacing w:after="0"/>
              <w:rPr>
                <w:sz w:val="14"/>
                <w:szCs w:val="14"/>
                <w:color w:val="auto"/>
              </w:rPr>
            </w:pP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206,943</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6,708</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213,651</w:t>
            </w:r>
          </w:p>
        </w:tc>
      </w:tr>
      <w:tr>
        <w:trPr>
          <w:trHeight w:val="168"/>
        </w:trPr>
        <w:tc>
          <w:tcPr>
            <w:tcW w:w="5220" w:type="dxa"/>
            <w:vAlign w:val="bottom"/>
          </w:tcPr>
          <w:p>
            <w:pPr>
              <w:spacing w:after="0"/>
              <w:rPr>
                <w:sz w:val="14"/>
                <w:szCs w:val="14"/>
                <w:color w:val="auto"/>
              </w:rPr>
            </w:pP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600" w:type="dxa"/>
            <w:vAlign w:val="bottom"/>
          </w:tcPr>
          <w:p>
            <w:pPr>
              <w:spacing w:after="0"/>
              <w:rPr>
                <w:sz w:val="24"/>
                <w:szCs w:val="24"/>
                <w:color w:val="auto"/>
              </w:rPr>
            </w:pP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928,147</w:t>
            </w:r>
          </w:p>
        </w:tc>
        <w:tc>
          <w:tcPr>
            <w:tcW w:w="620" w:type="dxa"/>
            <w:vAlign w:val="bottom"/>
          </w:tcPr>
          <w:p>
            <w:pPr>
              <w:spacing w:after="0"/>
              <w:rPr>
                <w:sz w:val="24"/>
                <w:szCs w:val="24"/>
                <w:color w:val="auto"/>
              </w:rPr>
            </w:pP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108,758</w:t>
            </w:r>
          </w:p>
        </w:tc>
        <w:tc>
          <w:tcPr>
            <w:tcW w:w="52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1,036,905</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Closure, post-closure, and other liabilities</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167,812</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25,166</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192,978</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28,845</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29,400</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58,245</w:t>
            </w:r>
          </w:p>
        </w:tc>
      </w:tr>
      <w:tr>
        <w:trPr>
          <w:trHeight w:val="168"/>
        </w:trPr>
        <w:tc>
          <w:tcPr>
            <w:tcW w:w="5220" w:type="dxa"/>
            <w:vAlign w:val="bottom"/>
          </w:tcPr>
          <w:p>
            <w:pPr>
              <w:spacing w:after="0"/>
              <w:rPr>
                <w:sz w:val="14"/>
                <w:szCs w:val="14"/>
                <w:color w:val="auto"/>
              </w:rPr>
            </w:pP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1,331,747</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170,032</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1,501,353</w:t>
            </w:r>
          </w:p>
        </w:tc>
      </w:tr>
      <w:tr>
        <w:trPr>
          <w:trHeight w:val="168"/>
        </w:trPr>
        <w:tc>
          <w:tcPr>
            <w:tcW w:w="5220" w:type="dxa"/>
            <w:vAlign w:val="bottom"/>
          </w:tcPr>
          <w:p>
            <w:pPr>
              <w:spacing w:after="0"/>
              <w:rPr>
                <w:sz w:val="14"/>
                <w:szCs w:val="14"/>
                <w:color w:val="auto"/>
              </w:rPr>
            </w:pP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stock:  $1.00 par value; 10,000,000 shares</w:t>
            </w:r>
          </w:p>
        </w:tc>
        <w:tc>
          <w:tcPr>
            <w:tcW w:w="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authorized; none issued</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  $.01 par value; 150,000,000 shares</w:t>
            </w:r>
          </w:p>
        </w:tc>
        <w:tc>
          <w:tcPr>
            <w:tcW w:w="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authorized; historical 134,289,891 shares</w:t>
            </w:r>
          </w:p>
        </w:tc>
        <w:tc>
          <w:tcPr>
            <w:tcW w:w="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(137,184,979 pro forma shares) issued and</w:t>
            </w:r>
          </w:p>
        </w:tc>
        <w:tc>
          <w:tcPr>
            <w:tcW w:w="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outstanding</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1,343</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29</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1,372</w:t>
            </w: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1,167,105</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59,444</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1,226,549</w:t>
            </w: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Retained earnings (accumulated deficit)</w:t>
            </w:r>
          </w:p>
        </w:tc>
        <w:tc>
          <w:tcPr>
            <w:tcW w:w="60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(107,170)</w:t>
            </w:r>
          </w:p>
        </w:tc>
        <w:tc>
          <w:tcPr>
            <w:tcW w:w="620" w:type="dxa"/>
            <w:vAlign w:val="bottom"/>
          </w:tcPr>
          <w:p>
            <w:pPr>
              <w:spacing w:after="0"/>
              <w:rPr>
                <w:sz w:val="14"/>
                <w:szCs w:val="14"/>
                <w:color w:val="auto"/>
              </w:rPr>
            </w:pP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(1,352)</w:t>
            </w:r>
          </w:p>
        </w:tc>
        <w:tc>
          <w:tcPr>
            <w:tcW w:w="5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(108,522)</w:t>
            </w: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Foreign currency translation adjustment</w:t>
            </w:r>
          </w:p>
        </w:tc>
        <w:tc>
          <w:tcPr>
            <w:tcW w:w="60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(14,646)</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(14,646)</w:t>
            </w: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treasury stock at cost, 23,485 shares</w:t>
            </w:r>
          </w:p>
        </w:tc>
        <w:tc>
          <w:tcPr>
            <w:tcW w:w="60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(484)</w:t>
            </w:r>
          </w:p>
        </w:tc>
        <w:tc>
          <w:tcPr>
            <w:tcW w:w="620" w:type="dxa"/>
            <w:vAlign w:val="bottom"/>
          </w:tcPr>
          <w:p>
            <w:pPr>
              <w:spacing w:after="0"/>
              <w:rPr>
                <w:sz w:val="14"/>
                <w:szCs w:val="14"/>
                <w:color w:val="auto"/>
              </w:rPr>
            </w:pP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(198)</w:t>
            </w:r>
          </w:p>
        </w:tc>
        <w:tc>
          <w:tcPr>
            <w:tcW w:w="5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(682)</w:t>
            </w:r>
          </w:p>
        </w:tc>
      </w:tr>
      <w:tr>
        <w:trPr>
          <w:trHeight w:val="168"/>
        </w:trPr>
        <w:tc>
          <w:tcPr>
            <w:tcW w:w="5220" w:type="dxa"/>
            <w:vAlign w:val="bottom"/>
          </w:tcPr>
          <w:p>
            <w:pPr>
              <w:spacing w:after="0"/>
              <w:rPr>
                <w:sz w:val="14"/>
                <w:szCs w:val="14"/>
                <w:color w:val="auto"/>
              </w:rPr>
            </w:pP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1,046,148</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57,923</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1,104,071</w:t>
            </w:r>
          </w:p>
        </w:tc>
      </w:tr>
      <w:tr>
        <w:trPr>
          <w:trHeight w:val="168"/>
        </w:trPr>
        <w:tc>
          <w:tcPr>
            <w:tcW w:w="5220" w:type="dxa"/>
            <w:vAlign w:val="bottom"/>
          </w:tcPr>
          <w:p>
            <w:pPr>
              <w:spacing w:after="0"/>
              <w:rPr>
                <w:sz w:val="14"/>
                <w:szCs w:val="14"/>
                <w:color w:val="auto"/>
              </w:rPr>
            </w:pP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$ 2,377,895</w:t>
            </w:r>
          </w:p>
        </w:tc>
        <w:tc>
          <w:tcPr>
            <w:tcW w:w="6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88"/>
              </w:rPr>
              <w:t>$</w:t>
            </w: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227,955</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$ 2,605,850</w:t>
            </w:r>
          </w:p>
        </w:tc>
      </w:tr>
      <w:tr>
        <w:trPr>
          <w:trHeight w:val="168"/>
        </w:trPr>
        <w:tc>
          <w:tcPr>
            <w:tcW w:w="5220" w:type="dxa"/>
            <w:vAlign w:val="bottom"/>
          </w:tcPr>
          <w:p>
            <w:pPr>
              <w:spacing w:after="0"/>
              <w:rPr>
                <w:sz w:val="14"/>
                <w:szCs w:val="14"/>
                <w:color w:val="auto"/>
              </w:rPr>
            </w:pP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00" w:right="3920"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NOTE 1</w:t>
        <w:tab/>
        <w:t>The supplemental consolidated balance sheet will become the historical consolidated balance sheet of the Company after financial statements covering the date of consummation of the Sanifill, Inc. merger (August 30, 1996) are issued.</w:t>
      </w:r>
    </w:p>
    <w:p>
      <w:pPr>
        <w:spacing w:after="0" w:line="175" w:lineRule="exact"/>
        <w:rPr>
          <w:sz w:val="20"/>
          <w:szCs w:val="20"/>
          <w:color w:val="auto"/>
        </w:rPr>
      </w:pPr>
    </w:p>
    <w:p>
      <w:pPr>
        <w:ind w:left="700" w:right="3920"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NOTE 2</w:t>
        <w:tab/>
        <w:t>To reflect the historical balance sheet for acquisitions accounted for as poolings of interests and the purchase price allocations for acquisitions accounted for as purchases.</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See notes to pro forma condensed consolidated financial statements.</w:t>
      </w:r>
    </w:p>
    <w:p>
      <w:pPr>
        <w:sectPr>
          <w:pgSz w:w="11900" w:h="16838" w:orient="portrait"/>
          <w:cols w:equalWidth="0" w:num="1">
            <w:col w:w="10760"/>
          </w:cols>
          <w:pgMar w:left="220" w:top="281" w:right="9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6</w:t>
      </w:r>
    </w:p>
    <w:p>
      <w:pPr>
        <w:sectPr>
          <w:pgSz w:w="11900" w:h="16838" w:orient="portrait"/>
          <w:cols w:equalWidth="0" w:num="1">
            <w:col w:w="10760"/>
          </w:cols>
          <w:pgMar w:left="220" w:top="281" w:right="919" w:bottom="0" w:gutter="0" w:footer="0" w:header="0"/>
          <w:type w:val="continuous"/>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jc w:val="center"/>
        <w:ind w:right="4020"/>
        <w:spacing w:after="0"/>
        <w:rPr>
          <w:sz w:val="20"/>
          <w:szCs w:val="20"/>
          <w:color w:val="auto"/>
        </w:rPr>
      </w:pPr>
      <w:r>
        <w:rPr>
          <w:rFonts w:ascii="Courier New" w:cs="Courier New" w:eastAsia="Courier New" w:hAnsi="Courier New"/>
          <w:sz w:val="15"/>
          <w:szCs w:val="15"/>
          <w:color w:val="auto"/>
        </w:rPr>
        <w:t>USA WASTE SERVICES, INC.</w:t>
      </w:r>
    </w:p>
    <w:p>
      <w:pPr>
        <w:jc w:val="center"/>
        <w:ind w:right="4020"/>
        <w:spacing w:after="0" w:line="237" w:lineRule="auto"/>
        <w:rPr>
          <w:sz w:val="20"/>
          <w:szCs w:val="20"/>
          <w:color w:val="auto"/>
        </w:rPr>
      </w:pPr>
      <w:r>
        <w:rPr>
          <w:rFonts w:ascii="Courier New" w:cs="Courier New" w:eastAsia="Courier New" w:hAnsi="Courier New"/>
          <w:sz w:val="15"/>
          <w:szCs w:val="15"/>
          <w:color w:val="auto"/>
        </w:rPr>
        <w:t>PRO FORMA CONDENSED CONSOLIDATED STATEMENT OF OPERATIONS</w:t>
      </w:r>
    </w:p>
    <w:p>
      <w:pPr>
        <w:jc w:val="center"/>
        <w:ind w:right="4020"/>
        <w:spacing w:after="0" w:line="238" w:lineRule="auto"/>
        <w:rPr>
          <w:sz w:val="20"/>
          <w:szCs w:val="20"/>
          <w:color w:val="auto"/>
        </w:rPr>
      </w:pPr>
      <w:r>
        <w:rPr>
          <w:rFonts w:ascii="Courier New" w:cs="Courier New" w:eastAsia="Courier New" w:hAnsi="Courier New"/>
          <w:sz w:val="15"/>
          <w:szCs w:val="15"/>
          <w:color w:val="auto"/>
        </w:rPr>
        <w:t>(In Thousands, Except Per Share Amounts)</w:t>
      </w:r>
    </w:p>
    <w:p>
      <w:pPr>
        <w:jc w:val="center"/>
        <w:ind w:right="412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For the Six Months Ended June 30,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jc w:val="center"/>
              <w:ind w:right="147"/>
              <w:spacing w:after="0"/>
              <w:rPr>
                <w:sz w:val="20"/>
                <w:szCs w:val="20"/>
                <w:color w:val="auto"/>
              </w:rPr>
            </w:pPr>
            <w:r>
              <w:rPr>
                <w:rFonts w:ascii="Courier New" w:cs="Courier New" w:eastAsia="Courier New" w:hAnsi="Courier New"/>
                <w:sz w:val="15"/>
                <w:szCs w:val="15"/>
                <w:color w:val="auto"/>
                <w:w w:val="95"/>
              </w:rPr>
              <w:t>BUSINESSES</w:t>
            </w:r>
          </w:p>
        </w:tc>
        <w:tc>
          <w:tcPr>
            <w:tcW w:w="15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5"/>
              </w:rPr>
              <w:t>BUSINESSES</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97"/>
              </w:rPr>
              <w:t>ACQUIRED</w:t>
            </w:r>
          </w:p>
        </w:tc>
        <w:tc>
          <w:tcPr>
            <w:tcW w:w="440" w:type="dxa"/>
            <w:vAlign w:val="bottom"/>
          </w:tcPr>
          <w:p>
            <w:pPr>
              <w:spacing w:after="0"/>
              <w:rPr>
                <w:sz w:val="14"/>
                <w:szCs w:val="14"/>
                <w:color w:val="auto"/>
              </w:rPr>
            </w:pPr>
          </w:p>
        </w:tc>
        <w:tc>
          <w:tcPr>
            <w:tcW w:w="114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ACQUIRED</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5"/>
              </w:rPr>
              <w:t>THROUGH</w:t>
            </w:r>
          </w:p>
        </w:tc>
        <w:tc>
          <w:tcPr>
            <w:tcW w:w="44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AFTER</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97"/>
              </w:rPr>
              <w:t>JUNE 30,</w:t>
            </w:r>
          </w:p>
        </w:tc>
        <w:tc>
          <w:tcPr>
            <w:tcW w:w="440" w:type="dxa"/>
            <w:vAlign w:val="bottom"/>
          </w:tcPr>
          <w:p>
            <w:pPr>
              <w:spacing w:after="0"/>
              <w:rPr>
                <w:sz w:val="14"/>
                <w:szCs w:val="14"/>
                <w:color w:val="auto"/>
              </w:rPr>
            </w:pPr>
          </w:p>
        </w:tc>
        <w:tc>
          <w:tcPr>
            <w:tcW w:w="114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JUNE 30,</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SUPPLEMENTAL</w:t>
            </w:r>
          </w:p>
        </w:tc>
        <w:tc>
          <w:tcPr>
            <w:tcW w:w="300" w:type="dxa"/>
            <w:vAlign w:val="bottom"/>
          </w:tcPr>
          <w:p>
            <w:pPr>
              <w:spacing w:after="0"/>
              <w:rPr>
                <w:sz w:val="14"/>
                <w:szCs w:val="14"/>
                <w:color w:val="auto"/>
              </w:rPr>
            </w:pPr>
          </w:p>
        </w:tc>
        <w:tc>
          <w:tcPr>
            <w:tcW w:w="122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94"/>
              </w:rPr>
              <w:t>1996</w:t>
            </w:r>
          </w:p>
        </w:tc>
        <w:tc>
          <w:tcPr>
            <w:tcW w:w="440" w:type="dxa"/>
            <w:vAlign w:val="bottom"/>
          </w:tcPr>
          <w:p>
            <w:pPr>
              <w:spacing w:after="0"/>
              <w:rPr>
                <w:sz w:val="14"/>
                <w:szCs w:val="14"/>
                <w:color w:val="auto"/>
              </w:rPr>
            </w:pPr>
          </w:p>
        </w:tc>
        <w:tc>
          <w:tcPr>
            <w:tcW w:w="114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4"/>
              </w:rPr>
              <w:t>1996</w:t>
            </w:r>
          </w:p>
        </w:tc>
        <w:tc>
          <w:tcPr>
            <w:tcW w:w="15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PRO FORMA</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(NOTE 1)</w:t>
            </w:r>
          </w:p>
        </w:tc>
        <w:tc>
          <w:tcPr>
            <w:tcW w:w="300" w:type="dxa"/>
            <w:vAlign w:val="bottom"/>
          </w:tcPr>
          <w:p>
            <w:pPr>
              <w:spacing w:after="0"/>
              <w:rPr>
                <w:sz w:val="14"/>
                <w:szCs w:val="14"/>
                <w:color w:val="auto"/>
              </w:rPr>
            </w:pPr>
          </w:p>
        </w:tc>
        <w:tc>
          <w:tcPr>
            <w:tcW w:w="122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97"/>
              </w:rPr>
              <w:t>(NOTE 2)</w:t>
            </w:r>
          </w:p>
        </w:tc>
        <w:tc>
          <w:tcPr>
            <w:tcW w:w="440" w:type="dxa"/>
            <w:vAlign w:val="bottom"/>
          </w:tcPr>
          <w:p>
            <w:pPr>
              <w:spacing w:after="0"/>
              <w:rPr>
                <w:sz w:val="14"/>
                <w:szCs w:val="14"/>
                <w:color w:val="auto"/>
              </w:rPr>
            </w:pPr>
          </w:p>
        </w:tc>
        <w:tc>
          <w:tcPr>
            <w:tcW w:w="114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(NOTE 3)</w:t>
            </w:r>
          </w:p>
        </w:tc>
        <w:tc>
          <w:tcPr>
            <w:tcW w:w="15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ADJUSTMENTS</w:t>
            </w:r>
          </w:p>
        </w:tc>
        <w:tc>
          <w:tcPr>
            <w:tcW w:w="12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3720" w:type="dxa"/>
            <w:vAlign w:val="bottom"/>
          </w:tcPr>
          <w:p>
            <w:pPr>
              <w:spacing w:after="0"/>
              <w:rPr>
                <w:sz w:val="14"/>
                <w:szCs w:val="14"/>
                <w:color w:val="auto"/>
              </w:rPr>
            </w:pPr>
          </w:p>
        </w:tc>
        <w:tc>
          <w:tcPr>
            <w:tcW w:w="15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610,267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28,513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42,711</w:t>
            </w:r>
          </w:p>
        </w:tc>
        <w:tc>
          <w:tcPr>
            <w:tcW w:w="5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681,491</w:t>
            </w:r>
          </w:p>
        </w:tc>
      </w:tr>
      <w:tr>
        <w:trPr>
          <w:trHeight w:val="168"/>
        </w:trPr>
        <w:tc>
          <w:tcPr>
            <w:tcW w:w="37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Operating</w:t>
            </w:r>
          </w:p>
        </w:tc>
        <w:tc>
          <w:tcPr>
            <w:tcW w:w="3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336,211</w:t>
            </w:r>
          </w:p>
        </w:tc>
        <w:tc>
          <w:tcPr>
            <w:tcW w:w="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15,739</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12,530</w:t>
            </w:r>
          </w:p>
        </w:tc>
        <w:tc>
          <w:tcPr>
            <w:tcW w:w="5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364,479</w:t>
            </w: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3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76,853</w:t>
            </w:r>
          </w:p>
        </w:tc>
        <w:tc>
          <w:tcPr>
            <w:tcW w:w="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4,252</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4,218</w:t>
            </w:r>
          </w:p>
        </w:tc>
        <w:tc>
          <w:tcPr>
            <w:tcW w:w="5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85,323</w:t>
            </w: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69,804</w:t>
            </w:r>
          </w:p>
        </w:tc>
        <w:tc>
          <w:tcPr>
            <w:tcW w:w="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3,745</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2,986</w:t>
            </w:r>
          </w:p>
        </w:tc>
        <w:tc>
          <w:tcPr>
            <w:tcW w:w="5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76,536</w:t>
            </w: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Merger costs</w:t>
            </w:r>
          </w:p>
        </w:tc>
        <w:tc>
          <w:tcPr>
            <w:tcW w:w="3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38,100</w:t>
            </w:r>
          </w:p>
        </w:tc>
        <w:tc>
          <w:tcPr>
            <w:tcW w:w="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38,100</w:t>
            </w: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Unusual items</w:t>
            </w:r>
          </w:p>
        </w:tc>
        <w:tc>
          <w:tcPr>
            <w:tcW w:w="3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12,952</w:t>
            </w:r>
          </w:p>
        </w:tc>
        <w:tc>
          <w:tcPr>
            <w:tcW w:w="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12,952</w:t>
            </w:r>
          </w:p>
        </w:tc>
      </w:tr>
      <w:tr>
        <w:trPr>
          <w:trHeight w:val="168"/>
        </w:trPr>
        <w:tc>
          <w:tcPr>
            <w:tcW w:w="37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533,920</w:t>
            </w:r>
          </w:p>
        </w:tc>
        <w:tc>
          <w:tcPr>
            <w:tcW w:w="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23,736</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19,734</w:t>
            </w:r>
          </w:p>
        </w:tc>
        <w:tc>
          <w:tcPr>
            <w:tcW w:w="5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577,390</w:t>
            </w:r>
          </w:p>
        </w:tc>
      </w:tr>
      <w:tr>
        <w:trPr>
          <w:trHeight w:val="168"/>
        </w:trPr>
        <w:tc>
          <w:tcPr>
            <w:tcW w:w="37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360" w:type="dxa"/>
            <w:vAlign w:val="bottom"/>
          </w:tcPr>
          <w:p>
            <w:pPr>
              <w:spacing w:after="0"/>
              <w:rPr>
                <w:sz w:val="24"/>
                <w:szCs w:val="2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76,347</w:t>
            </w:r>
          </w:p>
        </w:tc>
        <w:tc>
          <w:tcPr>
            <w:tcW w:w="30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4,777</w:t>
            </w:r>
          </w:p>
        </w:tc>
        <w:tc>
          <w:tcPr>
            <w:tcW w:w="44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22,977</w:t>
            </w:r>
          </w:p>
        </w:tc>
        <w:tc>
          <w:tcPr>
            <w:tcW w:w="560" w:type="dxa"/>
            <w:vAlign w:val="bottom"/>
          </w:tcPr>
          <w:p>
            <w:pPr>
              <w:spacing w:after="0"/>
              <w:rPr>
                <w:sz w:val="24"/>
                <w:szCs w:val="24"/>
                <w:color w:val="auto"/>
              </w:rPr>
            </w:pP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104,100</w:t>
            </w:r>
          </w:p>
        </w:tc>
      </w:tr>
      <w:tr>
        <w:trPr>
          <w:trHeight w:val="168"/>
        </w:trPr>
        <w:tc>
          <w:tcPr>
            <w:tcW w:w="37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36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(22,457)</w:t>
            </w:r>
          </w:p>
        </w:tc>
        <w:tc>
          <w:tcPr>
            <w:tcW w:w="3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(3,024)</w:t>
            </w:r>
          </w:p>
        </w:tc>
        <w:tc>
          <w:tcPr>
            <w:tcW w:w="4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(9,641)</w:t>
            </w:r>
          </w:p>
        </w:tc>
        <w:tc>
          <w:tcPr>
            <w:tcW w:w="5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(35,122)</w:t>
            </w: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income</w:t>
            </w:r>
          </w:p>
        </w:tc>
        <w:tc>
          <w:tcPr>
            <w:tcW w:w="3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2,998</w:t>
            </w:r>
          </w:p>
        </w:tc>
        <w:tc>
          <w:tcPr>
            <w:tcW w:w="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96</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w:t>
            </w:r>
          </w:p>
        </w:tc>
        <w:tc>
          <w:tcPr>
            <w:tcW w:w="5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3,222</w:t>
            </w: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income, net</w:t>
            </w:r>
          </w:p>
        </w:tc>
        <w:tc>
          <w:tcPr>
            <w:tcW w:w="3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2,542</w:t>
            </w:r>
          </w:p>
        </w:tc>
        <w:tc>
          <w:tcPr>
            <w:tcW w:w="3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w:t>
            </w:r>
          </w:p>
        </w:tc>
        <w:tc>
          <w:tcPr>
            <w:tcW w:w="5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2,552</w:t>
            </w:r>
          </w:p>
        </w:tc>
      </w:tr>
      <w:tr>
        <w:trPr>
          <w:trHeight w:val="168"/>
        </w:trPr>
        <w:tc>
          <w:tcPr>
            <w:tcW w:w="37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(16,917)</w:t>
            </w:r>
          </w:p>
        </w:tc>
        <w:tc>
          <w:tcPr>
            <w:tcW w:w="3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(2,966)</w:t>
            </w:r>
          </w:p>
        </w:tc>
        <w:tc>
          <w:tcPr>
            <w:tcW w:w="4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(9,465)</w:t>
            </w:r>
          </w:p>
        </w:tc>
        <w:tc>
          <w:tcPr>
            <w:tcW w:w="5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(29,348)</w:t>
            </w:r>
          </w:p>
        </w:tc>
      </w:tr>
      <w:tr>
        <w:trPr>
          <w:trHeight w:val="168"/>
        </w:trPr>
        <w:tc>
          <w:tcPr>
            <w:tcW w:w="37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72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360" w:type="dxa"/>
            <w:vAlign w:val="bottom"/>
          </w:tcPr>
          <w:p>
            <w:pPr>
              <w:spacing w:after="0"/>
              <w:rPr>
                <w:sz w:val="24"/>
                <w:szCs w:val="2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59,430</w:t>
            </w:r>
          </w:p>
        </w:tc>
        <w:tc>
          <w:tcPr>
            <w:tcW w:w="30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1,811</w:t>
            </w:r>
          </w:p>
        </w:tc>
        <w:tc>
          <w:tcPr>
            <w:tcW w:w="44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13,511</w:t>
            </w:r>
          </w:p>
        </w:tc>
        <w:tc>
          <w:tcPr>
            <w:tcW w:w="560" w:type="dxa"/>
            <w:vAlign w:val="bottom"/>
          </w:tcPr>
          <w:p>
            <w:pPr>
              <w:spacing w:after="0"/>
              <w:rPr>
                <w:sz w:val="24"/>
                <w:szCs w:val="24"/>
                <w:color w:val="auto"/>
              </w:rPr>
            </w:pP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74,752</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3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33,846</w:t>
            </w:r>
          </w:p>
        </w:tc>
        <w:tc>
          <w:tcPr>
            <w:tcW w:w="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721</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5,469</w:t>
            </w:r>
          </w:p>
        </w:tc>
        <w:tc>
          <w:tcPr>
            <w:tcW w:w="5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(61)(a)</w:t>
            </w:r>
          </w:p>
        </w:tc>
        <w:tc>
          <w:tcPr>
            <w:tcW w:w="4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39,975</w:t>
            </w:r>
          </w:p>
        </w:tc>
      </w:tr>
      <w:tr>
        <w:trPr>
          <w:trHeight w:val="168"/>
        </w:trPr>
        <w:tc>
          <w:tcPr>
            <w:tcW w:w="37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25,584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1,091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8,042</w:t>
            </w:r>
          </w:p>
        </w:tc>
        <w:tc>
          <w:tcPr>
            <w:tcW w:w="5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61</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34,778</w:t>
            </w:r>
          </w:p>
        </w:tc>
      </w:tr>
      <w:tr>
        <w:trPr>
          <w:trHeight w:val="168"/>
        </w:trPr>
        <w:tc>
          <w:tcPr>
            <w:tcW w:w="37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720" w:type="dxa"/>
            <w:vAlign w:val="bottom"/>
          </w:tcPr>
          <w:p>
            <w:pPr>
              <w:spacing w:after="0"/>
              <w:rPr>
                <w:sz w:val="20"/>
                <w:szCs w:val="20"/>
                <w:color w:val="auto"/>
              </w:rPr>
            </w:pPr>
            <w:r>
              <w:rPr>
                <w:rFonts w:ascii="Courier New" w:cs="Courier New" w:eastAsia="Courier New" w:hAnsi="Courier New"/>
                <w:sz w:val="15"/>
                <w:szCs w:val="15"/>
                <w:color w:val="auto"/>
              </w:rPr>
              <w:t>Earnings per common share</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0.19</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0.25</w:t>
            </w:r>
          </w:p>
        </w:tc>
      </w:tr>
      <w:tr>
        <w:trPr>
          <w:trHeight w:val="168"/>
        </w:trPr>
        <w:tc>
          <w:tcPr>
            <w:tcW w:w="37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equivalent shares outstanding</w:t>
            </w:r>
          </w:p>
        </w:tc>
        <w:tc>
          <w:tcPr>
            <w:tcW w:w="3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135,790</w:t>
            </w:r>
          </w:p>
        </w:tc>
        <w:tc>
          <w:tcPr>
            <w:tcW w:w="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1,375</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2,895</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140,060</w:t>
            </w:r>
          </w:p>
        </w:tc>
      </w:tr>
      <w:tr>
        <w:trPr>
          <w:trHeight w:val="168"/>
        </w:trPr>
        <w:tc>
          <w:tcPr>
            <w:tcW w:w="37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00" w:right="4300"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NOTE 1</w:t>
        <w:tab/>
        <w:t>The supplemental consolidated statement of operations will become the historical consolidated statement of operations of the Company after financial statements covering the date of consummation of the Sanifill, Inc. merger (August 30, 1996) are issued.</w:t>
      </w:r>
    </w:p>
    <w:p>
      <w:pPr>
        <w:spacing w:after="0" w:line="175" w:lineRule="exact"/>
        <w:rPr>
          <w:sz w:val="20"/>
          <w:szCs w:val="20"/>
          <w:color w:val="auto"/>
        </w:rPr>
      </w:pPr>
    </w:p>
    <w:p>
      <w:pPr>
        <w:ind w:left="700" w:right="4120" w:hanging="699"/>
        <w:spacing w:after="0" w:line="261" w:lineRule="auto"/>
        <w:tabs>
          <w:tab w:leader="none" w:pos="6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To reflect the revenues and expenses of businesses acquired during 1996 for the periods from January 1, 1996 through the dates of acquisition.</w:t>
      </w:r>
    </w:p>
    <w:p>
      <w:pPr>
        <w:spacing w:after="0" w:line="160" w:lineRule="exact"/>
        <w:rPr>
          <w:sz w:val="20"/>
          <w:szCs w:val="20"/>
          <w:color w:val="auto"/>
        </w:rPr>
      </w:pPr>
    </w:p>
    <w:p>
      <w:pPr>
        <w:ind w:left="700" w:right="4200" w:hanging="699"/>
        <w:spacing w:after="0" w:line="234" w:lineRule="auto"/>
        <w:tabs>
          <w:tab w:leader="none" w:pos="680" w:val="left"/>
        </w:tabs>
        <w:rPr>
          <w:sz w:val="20"/>
          <w:szCs w:val="20"/>
          <w:color w:val="auto"/>
        </w:rPr>
      </w:pPr>
      <w:r>
        <w:rPr>
          <w:rFonts w:ascii="Courier New" w:cs="Courier New" w:eastAsia="Courier New" w:hAnsi="Courier New"/>
          <w:sz w:val="15"/>
          <w:szCs w:val="15"/>
          <w:color w:val="auto"/>
        </w:rPr>
        <w:t>NOTE 3</w:t>
        <w:tab/>
        <w:t>To reflect the revenues and expenses of businesses acquired subsequent to June 30, 1996 for the six months ended June 30, 1996.</w:t>
      </w:r>
    </w:p>
    <w:p>
      <w:pPr>
        <w:spacing w:after="0" w:line="33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See notes to pro forma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040"/>
          </w:cols>
          <w:pgMar w:left="220" w:top="281" w:right="639"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USA WASTE SERVICES, INC.</w:t>
      </w:r>
    </w:p>
    <w:p>
      <w:pPr>
        <w:jc w:val="center"/>
        <w:ind w:right="4520"/>
        <w:spacing w:after="0" w:line="237" w:lineRule="auto"/>
        <w:rPr>
          <w:sz w:val="20"/>
          <w:szCs w:val="20"/>
          <w:color w:val="auto"/>
        </w:rPr>
      </w:pPr>
      <w:r>
        <w:rPr>
          <w:rFonts w:ascii="Courier New" w:cs="Courier New" w:eastAsia="Courier New" w:hAnsi="Courier New"/>
          <w:sz w:val="15"/>
          <w:szCs w:val="15"/>
          <w:color w:val="auto"/>
        </w:rPr>
        <w:t>PRO FORMA CONDENSED CONSOLIDATED STATEMENT OF OPERATIONS</w:t>
      </w:r>
    </w:p>
    <w:p>
      <w:pPr>
        <w:jc w:val="center"/>
        <w:ind w:right="4520"/>
        <w:spacing w:after="0" w:line="238" w:lineRule="auto"/>
        <w:rPr>
          <w:sz w:val="20"/>
          <w:szCs w:val="20"/>
          <w:color w:val="auto"/>
        </w:rPr>
      </w:pPr>
      <w:r>
        <w:rPr>
          <w:rFonts w:ascii="Courier New" w:cs="Courier New" w:eastAsia="Courier New" w:hAnsi="Courier New"/>
          <w:sz w:val="15"/>
          <w:szCs w:val="15"/>
          <w:color w:val="auto"/>
        </w:rPr>
        <w:t>(In Thousands, Except Per Share Amounts)</w:t>
      </w:r>
    </w:p>
    <w:p>
      <w:pPr>
        <w:jc w:val="center"/>
        <w:ind w:right="462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For the Year Ended December 31,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AUDITED</w:t>
            </w:r>
          </w:p>
        </w:tc>
        <w:tc>
          <w:tcPr>
            <w:tcW w:w="380" w:type="dxa"/>
            <w:vAlign w:val="bottom"/>
          </w:tcPr>
          <w:p>
            <w:pPr>
              <w:spacing w:after="0"/>
              <w:rPr>
                <w:sz w:val="14"/>
                <w:szCs w:val="14"/>
                <w:color w:val="auto"/>
              </w:rPr>
            </w:pPr>
          </w:p>
        </w:tc>
        <w:tc>
          <w:tcPr>
            <w:tcW w:w="9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BUSINESSES</w:t>
            </w:r>
          </w:p>
        </w:tc>
        <w:tc>
          <w:tcPr>
            <w:tcW w:w="134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BUSINESSES</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ACQUIRED</w:t>
            </w:r>
          </w:p>
        </w:tc>
        <w:tc>
          <w:tcPr>
            <w:tcW w:w="380" w:type="dxa"/>
            <w:vAlign w:val="bottom"/>
          </w:tcPr>
          <w:p>
            <w:pPr>
              <w:spacing w:after="0"/>
              <w:rPr>
                <w:sz w:val="14"/>
                <w:szCs w:val="14"/>
                <w:color w:val="auto"/>
              </w:rPr>
            </w:pPr>
          </w:p>
        </w:tc>
        <w:tc>
          <w:tcPr>
            <w:tcW w:w="9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ACQUIRED</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AFTER</w:t>
            </w:r>
          </w:p>
        </w:tc>
        <w:tc>
          <w:tcPr>
            <w:tcW w:w="3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AFTER</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SUPPLEMENTAL</w:t>
            </w:r>
          </w:p>
        </w:tc>
        <w:tc>
          <w:tcPr>
            <w:tcW w:w="16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DECEMBER 31,</w:t>
            </w:r>
          </w:p>
        </w:tc>
        <w:tc>
          <w:tcPr>
            <w:tcW w:w="134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98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8"/>
              </w:rPr>
              <w:t>PRO FORMA</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(NOTE 1)</w:t>
            </w:r>
          </w:p>
        </w:tc>
        <w:tc>
          <w:tcPr>
            <w:tcW w:w="440" w:type="dxa"/>
            <w:vAlign w:val="bottom"/>
          </w:tcPr>
          <w:p>
            <w:pPr>
              <w:spacing w:after="0"/>
              <w:rPr>
                <w:sz w:val="14"/>
                <w:szCs w:val="14"/>
                <w:color w:val="auto"/>
              </w:rPr>
            </w:pPr>
          </w:p>
        </w:tc>
        <w:tc>
          <w:tcPr>
            <w:tcW w:w="1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1995</w:t>
            </w:r>
          </w:p>
        </w:tc>
        <w:tc>
          <w:tcPr>
            <w:tcW w:w="380" w:type="dxa"/>
            <w:vAlign w:val="bottom"/>
          </w:tcPr>
          <w:p>
            <w:pPr>
              <w:spacing w:after="0"/>
              <w:rPr>
                <w:sz w:val="14"/>
                <w:szCs w:val="14"/>
                <w:color w:val="auto"/>
              </w:rPr>
            </w:pPr>
          </w:p>
        </w:tc>
        <w:tc>
          <w:tcPr>
            <w:tcW w:w="96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9"/>
              </w:rPr>
              <w:t>1995</w:t>
            </w:r>
          </w:p>
        </w:tc>
        <w:tc>
          <w:tcPr>
            <w:tcW w:w="1360" w:type="dxa"/>
            <w:vAlign w:val="bottom"/>
            <w:gridSpan w:val="3"/>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ADJUSTMENTS</w:t>
            </w:r>
          </w:p>
        </w:tc>
        <w:tc>
          <w:tcPr>
            <w:tcW w:w="220" w:type="dxa"/>
            <w:vAlign w:val="bottom"/>
          </w:tcPr>
          <w:p>
            <w:pPr>
              <w:spacing w:after="0"/>
              <w:rPr>
                <w:sz w:val="14"/>
                <w:szCs w:val="14"/>
                <w:color w:val="auto"/>
              </w:rPr>
            </w:pPr>
          </w:p>
        </w:tc>
        <w:tc>
          <w:tcPr>
            <w:tcW w:w="13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w w:val="96"/>
              </w:rPr>
              <w:t>PRO FORMA</w:t>
            </w:r>
          </w:p>
        </w:tc>
      </w:tr>
      <w:tr>
        <w:trPr>
          <w:trHeight w:val="168"/>
        </w:trPr>
        <w:tc>
          <w:tcPr>
            <w:tcW w:w="3940" w:type="dxa"/>
            <w:vAlign w:val="bottom"/>
          </w:tcPr>
          <w:p>
            <w:pPr>
              <w:spacing w:after="0"/>
              <w:rPr>
                <w:sz w:val="14"/>
                <w:szCs w:val="14"/>
                <w:color w:val="auto"/>
              </w:rPr>
            </w:pPr>
          </w:p>
        </w:tc>
        <w:tc>
          <w:tcPr>
            <w:tcW w:w="17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987,705</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127,054</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96,090</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1,210,849</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w:t>
            </w:r>
          </w:p>
        </w:tc>
        <w:tc>
          <w:tcPr>
            <w:tcW w:w="5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551,305</w:t>
            </w:r>
          </w:p>
        </w:tc>
        <w:tc>
          <w:tcPr>
            <w:tcW w:w="4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81,778</w:t>
            </w:r>
          </w:p>
        </w:tc>
        <w:tc>
          <w:tcPr>
            <w:tcW w:w="3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53,147</w:t>
            </w:r>
          </w:p>
        </w:tc>
        <w:tc>
          <w:tcPr>
            <w:tcW w:w="3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686,230</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5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140,051</w:t>
            </w:r>
          </w:p>
        </w:tc>
        <w:tc>
          <w:tcPr>
            <w:tcW w:w="4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24,377</w:t>
            </w:r>
          </w:p>
        </w:tc>
        <w:tc>
          <w:tcPr>
            <w:tcW w:w="3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14,730</w:t>
            </w:r>
          </w:p>
        </w:tc>
        <w:tc>
          <w:tcPr>
            <w:tcW w:w="3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179,158</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5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119,570</w:t>
            </w:r>
          </w:p>
        </w:tc>
        <w:tc>
          <w:tcPr>
            <w:tcW w:w="4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13,225</w:t>
            </w:r>
          </w:p>
        </w:tc>
        <w:tc>
          <w:tcPr>
            <w:tcW w:w="3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8,340</w:t>
            </w:r>
          </w:p>
        </w:tc>
        <w:tc>
          <w:tcPr>
            <w:tcW w:w="3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141,135</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Merger costs</w:t>
            </w:r>
          </w:p>
        </w:tc>
        <w:tc>
          <w:tcPr>
            <w:tcW w:w="5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25,639</w:t>
            </w:r>
          </w:p>
        </w:tc>
        <w:tc>
          <w:tcPr>
            <w:tcW w:w="4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25,639</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Unusual items</w:t>
            </w:r>
          </w:p>
        </w:tc>
        <w:tc>
          <w:tcPr>
            <w:tcW w:w="5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4,733</w:t>
            </w:r>
          </w:p>
        </w:tc>
        <w:tc>
          <w:tcPr>
            <w:tcW w:w="4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4,733</w:t>
            </w:r>
          </w:p>
        </w:tc>
      </w:tr>
      <w:tr>
        <w:trPr>
          <w:trHeight w:val="168"/>
        </w:trPr>
        <w:tc>
          <w:tcPr>
            <w:tcW w:w="3940" w:type="dxa"/>
            <w:vAlign w:val="bottom"/>
          </w:tcPr>
          <w:p>
            <w:pPr>
              <w:spacing w:after="0"/>
              <w:rPr>
                <w:sz w:val="14"/>
                <w:szCs w:val="14"/>
                <w:color w:val="auto"/>
              </w:rPr>
            </w:pPr>
          </w:p>
        </w:tc>
        <w:tc>
          <w:tcPr>
            <w:tcW w:w="17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841,298</w:t>
            </w:r>
          </w:p>
        </w:tc>
        <w:tc>
          <w:tcPr>
            <w:tcW w:w="4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119,380</w:t>
            </w:r>
          </w:p>
        </w:tc>
        <w:tc>
          <w:tcPr>
            <w:tcW w:w="3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76,217</w:t>
            </w:r>
          </w:p>
        </w:tc>
        <w:tc>
          <w:tcPr>
            <w:tcW w:w="3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1,036,895</w:t>
            </w:r>
          </w:p>
        </w:tc>
      </w:tr>
      <w:tr>
        <w:trPr>
          <w:trHeight w:val="168"/>
        </w:trPr>
        <w:tc>
          <w:tcPr>
            <w:tcW w:w="3940" w:type="dxa"/>
            <w:vAlign w:val="bottom"/>
          </w:tcPr>
          <w:p>
            <w:pPr>
              <w:spacing w:after="0"/>
              <w:rPr>
                <w:sz w:val="14"/>
                <w:szCs w:val="14"/>
                <w:color w:val="auto"/>
              </w:rPr>
            </w:pPr>
          </w:p>
        </w:tc>
        <w:tc>
          <w:tcPr>
            <w:tcW w:w="17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54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146,407</w:t>
            </w:r>
          </w:p>
        </w:tc>
        <w:tc>
          <w:tcPr>
            <w:tcW w:w="440" w:type="dxa"/>
            <w:vAlign w:val="bottom"/>
          </w:tcPr>
          <w:p>
            <w:pPr>
              <w:spacing w:after="0"/>
              <w:rPr>
                <w:sz w:val="24"/>
                <w:szCs w:val="2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7,674</w:t>
            </w:r>
          </w:p>
        </w:tc>
        <w:tc>
          <w:tcPr>
            <w:tcW w:w="38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19,873</w:t>
            </w:r>
          </w:p>
        </w:tc>
        <w:tc>
          <w:tcPr>
            <w:tcW w:w="360" w:type="dxa"/>
            <w:vAlign w:val="bottom"/>
          </w:tcPr>
          <w:p>
            <w:pPr>
              <w:spacing w:after="0"/>
              <w:rPr>
                <w:sz w:val="24"/>
                <w:szCs w:val="2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173,954</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Nonrecurring</w:t>
            </w:r>
          </w:p>
        </w:tc>
        <w:tc>
          <w:tcPr>
            <w:tcW w:w="54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(10,994)</w:t>
            </w:r>
          </w:p>
        </w:tc>
        <w:tc>
          <w:tcPr>
            <w:tcW w:w="4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(10,994)</w:t>
            </w:r>
          </w:p>
        </w:tc>
      </w:tr>
      <w:tr>
        <w:trPr>
          <w:trHeight w:val="168"/>
        </w:trPr>
        <w:tc>
          <w:tcPr>
            <w:tcW w:w="3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w:t>
            </w:r>
          </w:p>
        </w:tc>
        <w:tc>
          <w:tcPr>
            <w:tcW w:w="54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(48,558)</w:t>
            </w:r>
          </w:p>
        </w:tc>
        <w:tc>
          <w:tcPr>
            <w:tcW w:w="44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(4,549)</w:t>
            </w:r>
          </w:p>
        </w:tc>
        <w:tc>
          <w:tcPr>
            <w:tcW w:w="38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(6,421)</w:t>
            </w:r>
          </w:p>
        </w:tc>
        <w:tc>
          <w:tcPr>
            <w:tcW w:w="3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(59,528)</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income</w:t>
            </w:r>
          </w:p>
        </w:tc>
        <w:tc>
          <w:tcPr>
            <w:tcW w:w="5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5,482</w:t>
            </w:r>
          </w:p>
        </w:tc>
        <w:tc>
          <w:tcPr>
            <w:tcW w:w="4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325</w:t>
            </w:r>
          </w:p>
        </w:tc>
        <w:tc>
          <w:tcPr>
            <w:tcW w:w="3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325</w:t>
            </w:r>
          </w:p>
        </w:tc>
        <w:tc>
          <w:tcPr>
            <w:tcW w:w="3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6,132</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income, net</w:t>
            </w:r>
          </w:p>
        </w:tc>
        <w:tc>
          <w:tcPr>
            <w:tcW w:w="5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5,143</w:t>
            </w:r>
          </w:p>
        </w:tc>
        <w:tc>
          <w:tcPr>
            <w:tcW w:w="44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(1,728)</w:t>
            </w:r>
          </w:p>
        </w:tc>
        <w:tc>
          <w:tcPr>
            <w:tcW w:w="3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323</w:t>
            </w:r>
          </w:p>
        </w:tc>
        <w:tc>
          <w:tcPr>
            <w:tcW w:w="3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3,738</w:t>
            </w:r>
          </w:p>
        </w:tc>
      </w:tr>
      <w:tr>
        <w:trPr>
          <w:trHeight w:val="168"/>
        </w:trPr>
        <w:tc>
          <w:tcPr>
            <w:tcW w:w="3940" w:type="dxa"/>
            <w:vAlign w:val="bottom"/>
          </w:tcPr>
          <w:p>
            <w:pPr>
              <w:spacing w:after="0"/>
              <w:rPr>
                <w:sz w:val="14"/>
                <w:szCs w:val="14"/>
                <w:color w:val="auto"/>
              </w:rPr>
            </w:pPr>
          </w:p>
        </w:tc>
        <w:tc>
          <w:tcPr>
            <w:tcW w:w="17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(48,927)</w:t>
            </w:r>
          </w:p>
        </w:tc>
        <w:tc>
          <w:tcPr>
            <w:tcW w:w="44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(5,952)</w:t>
            </w:r>
          </w:p>
        </w:tc>
        <w:tc>
          <w:tcPr>
            <w:tcW w:w="38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(5,773)</w:t>
            </w:r>
          </w:p>
        </w:tc>
        <w:tc>
          <w:tcPr>
            <w:tcW w:w="3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(60,652)</w:t>
            </w:r>
          </w:p>
        </w:tc>
      </w:tr>
      <w:tr>
        <w:trPr>
          <w:trHeight w:val="168"/>
        </w:trPr>
        <w:tc>
          <w:tcPr>
            <w:tcW w:w="3940" w:type="dxa"/>
            <w:vAlign w:val="bottom"/>
          </w:tcPr>
          <w:p>
            <w:pPr>
              <w:spacing w:after="0"/>
              <w:rPr>
                <w:sz w:val="14"/>
                <w:szCs w:val="14"/>
                <w:color w:val="auto"/>
              </w:rPr>
            </w:pPr>
          </w:p>
        </w:tc>
        <w:tc>
          <w:tcPr>
            <w:tcW w:w="17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54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97,480</w:t>
            </w:r>
          </w:p>
        </w:tc>
        <w:tc>
          <w:tcPr>
            <w:tcW w:w="440" w:type="dxa"/>
            <w:vAlign w:val="bottom"/>
          </w:tcPr>
          <w:p>
            <w:pPr>
              <w:spacing w:after="0"/>
              <w:rPr>
                <w:sz w:val="24"/>
                <w:szCs w:val="2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1,722</w:t>
            </w:r>
          </w:p>
        </w:tc>
        <w:tc>
          <w:tcPr>
            <w:tcW w:w="38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14,100</w:t>
            </w:r>
          </w:p>
        </w:tc>
        <w:tc>
          <w:tcPr>
            <w:tcW w:w="360" w:type="dxa"/>
            <w:vAlign w:val="bottom"/>
          </w:tcPr>
          <w:p>
            <w:pPr>
              <w:spacing w:after="0"/>
              <w:rPr>
                <w:sz w:val="24"/>
                <w:szCs w:val="2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113,302</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5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44,992</w:t>
            </w:r>
          </w:p>
        </w:tc>
        <w:tc>
          <w:tcPr>
            <w:tcW w:w="4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787</w:t>
            </w:r>
          </w:p>
        </w:tc>
        <w:tc>
          <w:tcPr>
            <w:tcW w:w="3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1,752</w:t>
            </w:r>
          </w:p>
        </w:tc>
        <w:tc>
          <w:tcPr>
            <w:tcW w:w="3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3,788</w:t>
            </w:r>
          </w:p>
        </w:tc>
        <w:tc>
          <w:tcPr>
            <w:tcW w:w="380" w:type="dxa"/>
            <w:vAlign w:val="bottom"/>
          </w:tcPr>
          <w:p>
            <w:pPr>
              <w:spacing w:after="0" w:line="168" w:lineRule="exact"/>
              <w:rPr>
                <w:sz w:val="20"/>
                <w:szCs w:val="20"/>
                <w:color w:val="auto"/>
              </w:rPr>
            </w:pPr>
            <w:r>
              <w:rPr>
                <w:rFonts w:ascii="Courier New" w:cs="Courier New" w:eastAsia="Courier New" w:hAnsi="Courier New"/>
                <w:sz w:val="15"/>
                <w:szCs w:val="15"/>
                <w:color w:val="auto"/>
              </w:rPr>
              <w:t>(a)</w:t>
            </w:r>
          </w:p>
        </w:tc>
        <w:tc>
          <w:tcPr>
            <w:tcW w:w="22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51,319</w:t>
            </w:r>
          </w:p>
        </w:tc>
      </w:tr>
      <w:tr>
        <w:trPr>
          <w:trHeight w:val="168"/>
        </w:trPr>
        <w:tc>
          <w:tcPr>
            <w:tcW w:w="3940" w:type="dxa"/>
            <w:vAlign w:val="bottom"/>
          </w:tcPr>
          <w:p>
            <w:pPr>
              <w:spacing w:after="0"/>
              <w:rPr>
                <w:sz w:val="14"/>
                <w:szCs w:val="14"/>
                <w:color w:val="auto"/>
              </w:rPr>
            </w:pPr>
          </w:p>
        </w:tc>
        <w:tc>
          <w:tcPr>
            <w:tcW w:w="17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52,488</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935</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12,348</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(3,788)</w:t>
            </w:r>
          </w:p>
        </w:tc>
        <w:tc>
          <w:tcPr>
            <w:tcW w:w="38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61,983</w:t>
            </w:r>
          </w:p>
        </w:tc>
      </w:tr>
      <w:tr>
        <w:trPr>
          <w:trHeight w:val="168"/>
        </w:trPr>
        <w:tc>
          <w:tcPr>
            <w:tcW w:w="3940" w:type="dxa"/>
            <w:vAlign w:val="bottom"/>
          </w:tcPr>
          <w:p>
            <w:pPr>
              <w:spacing w:after="0"/>
              <w:rPr>
                <w:sz w:val="14"/>
                <w:szCs w:val="14"/>
                <w:color w:val="auto"/>
              </w:rPr>
            </w:pPr>
          </w:p>
        </w:tc>
        <w:tc>
          <w:tcPr>
            <w:tcW w:w="17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940" w:type="dxa"/>
            <w:vAlign w:val="bottom"/>
          </w:tcPr>
          <w:p>
            <w:pPr>
              <w:spacing w:after="0"/>
              <w:rPr>
                <w:sz w:val="20"/>
                <w:szCs w:val="20"/>
                <w:color w:val="auto"/>
              </w:rPr>
            </w:pPr>
            <w:r>
              <w:rPr>
                <w:rFonts w:ascii="Courier New" w:cs="Courier New" w:eastAsia="Courier New" w:hAnsi="Courier New"/>
                <w:sz w:val="15"/>
                <w:szCs w:val="15"/>
                <w:color w:val="auto"/>
              </w:rPr>
              <w:t>Earnings per common share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0.46</w:t>
            </w: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0.52 (b)</w:t>
            </w:r>
          </w:p>
        </w:tc>
      </w:tr>
      <w:tr>
        <w:trPr>
          <w:trHeight w:val="168"/>
        </w:trPr>
        <w:tc>
          <w:tcPr>
            <w:tcW w:w="3940" w:type="dxa"/>
            <w:vAlign w:val="bottom"/>
          </w:tcPr>
          <w:p>
            <w:pPr>
              <w:spacing w:after="0"/>
              <w:rPr>
                <w:sz w:val="14"/>
                <w:szCs w:val="14"/>
                <w:color w:val="auto"/>
              </w:rPr>
            </w:pPr>
          </w:p>
        </w:tc>
        <w:tc>
          <w:tcPr>
            <w:tcW w:w="17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w:t>
            </w: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equivalent shares outstanding</w:t>
            </w:r>
          </w:p>
        </w:tc>
        <w:tc>
          <w:tcPr>
            <w:tcW w:w="5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113,279</w:t>
            </w:r>
          </w:p>
        </w:tc>
        <w:tc>
          <w:tcPr>
            <w:tcW w:w="4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847</w:t>
            </w:r>
          </w:p>
        </w:tc>
        <w:tc>
          <w:tcPr>
            <w:tcW w:w="3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w:t>
            </w:r>
          </w:p>
        </w:tc>
        <w:tc>
          <w:tcPr>
            <w:tcW w:w="3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5,303</w:t>
            </w:r>
          </w:p>
        </w:tc>
        <w:tc>
          <w:tcPr>
            <w:tcW w:w="380" w:type="dxa"/>
            <w:vAlign w:val="bottom"/>
          </w:tcPr>
          <w:p>
            <w:pPr>
              <w:spacing w:after="0" w:line="168" w:lineRule="exact"/>
              <w:rPr>
                <w:sz w:val="20"/>
                <w:szCs w:val="20"/>
                <w:color w:val="auto"/>
              </w:rPr>
            </w:pPr>
            <w:r>
              <w:rPr>
                <w:rFonts w:ascii="Courier New" w:cs="Courier New" w:eastAsia="Courier New" w:hAnsi="Courier New"/>
                <w:sz w:val="15"/>
                <w:szCs w:val="15"/>
                <w:color w:val="auto"/>
              </w:rPr>
              <w:t>(b)</w:t>
            </w:r>
          </w:p>
        </w:tc>
        <w:tc>
          <w:tcPr>
            <w:tcW w:w="22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119,543</w:t>
            </w:r>
          </w:p>
        </w:tc>
      </w:tr>
      <w:tr>
        <w:trPr>
          <w:trHeight w:val="168"/>
        </w:trPr>
        <w:tc>
          <w:tcPr>
            <w:tcW w:w="3940" w:type="dxa"/>
            <w:vAlign w:val="bottom"/>
          </w:tcPr>
          <w:p>
            <w:pPr>
              <w:spacing w:after="0"/>
              <w:rPr>
                <w:sz w:val="14"/>
                <w:szCs w:val="14"/>
                <w:color w:val="auto"/>
              </w:rPr>
            </w:pPr>
          </w:p>
        </w:tc>
        <w:tc>
          <w:tcPr>
            <w:tcW w:w="17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00" w:right="4800"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NOTE 1</w:t>
        <w:tab/>
        <w:t>The supplemental consolidated statement of operations will become the historical consolidated statement of operations of the Company after financial statements covering the date of consummation of the Sanifill, Inc. merger (August 30, 1996) are issued.</w:t>
      </w:r>
    </w:p>
    <w:p>
      <w:pPr>
        <w:spacing w:after="0" w:line="33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See notes to pro forma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540"/>
          </w:cols>
          <w:pgMar w:left="220" w:top="281" w:right="139"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9</w:t>
      </w:r>
    </w:p>
    <w:p>
      <w:pPr>
        <w:jc w:val="center"/>
        <w:ind w:right="3239"/>
        <w:spacing w:after="0" w:line="237" w:lineRule="auto"/>
        <w:rPr>
          <w:sz w:val="20"/>
          <w:szCs w:val="20"/>
          <w:color w:val="auto"/>
        </w:rPr>
      </w:pPr>
      <w:r>
        <w:rPr>
          <w:rFonts w:ascii="Courier New" w:cs="Courier New" w:eastAsia="Courier New" w:hAnsi="Courier New"/>
          <w:sz w:val="15"/>
          <w:szCs w:val="15"/>
          <w:color w:val="auto"/>
        </w:rPr>
        <w:t>USA WASTE SERVICES, INC.</w:t>
      </w:r>
    </w:p>
    <w:p>
      <w:pPr>
        <w:jc w:val="center"/>
        <w:ind w:right="3239"/>
        <w:spacing w:after="0" w:line="238" w:lineRule="auto"/>
        <w:rPr>
          <w:sz w:val="20"/>
          <w:szCs w:val="20"/>
          <w:color w:val="auto"/>
        </w:rPr>
      </w:pPr>
      <w:r>
        <w:rPr>
          <w:rFonts w:ascii="Courier New" w:cs="Courier New" w:eastAsia="Courier New" w:hAnsi="Courier New"/>
          <w:sz w:val="15"/>
          <w:szCs w:val="15"/>
          <w:color w:val="auto"/>
        </w:rPr>
        <w:t>NOTES TO PRO FORMA CONDENSED CONSOLIDATED FINANCIAL STATEMENTS</w:t>
      </w:r>
    </w:p>
    <w:p>
      <w:pPr>
        <w:jc w:val="center"/>
        <w:ind w:right="3139"/>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accompanying pro forma condensed consolidated financial statements for the Company have been prepared based upon certain pro forma adjustments to the Supplemental Financial Statements. These pro forma adjustments are described below:</w:t>
      </w:r>
    </w:p>
    <w:p>
      <w:pPr>
        <w:spacing w:after="0" w:line="175" w:lineRule="exact"/>
        <w:rPr>
          <w:sz w:val="20"/>
          <w:szCs w:val="20"/>
          <w:color w:val="auto"/>
        </w:rPr>
      </w:pPr>
    </w:p>
    <w:p>
      <w:pPr>
        <w:ind w:right="3399" w:firstLine="797"/>
        <w:spacing w:after="0" w:line="234" w:lineRule="auto"/>
        <w:tabs>
          <w:tab w:leader="none" w:pos="113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 for income taxes reflects the corporate income tax rate of 40% for all acquired businesses.</w:t>
      </w:r>
    </w:p>
    <w:p>
      <w:pPr>
        <w:spacing w:after="0" w:line="173" w:lineRule="exact"/>
        <w:rPr>
          <w:rFonts w:ascii="Courier New" w:cs="Courier New" w:eastAsia="Courier New" w:hAnsi="Courier New"/>
          <w:sz w:val="15"/>
          <w:szCs w:val="15"/>
          <w:color w:val="auto"/>
        </w:rPr>
      </w:pPr>
    </w:p>
    <w:p>
      <w:pPr>
        <w:ind w:right="3239" w:firstLine="797"/>
        <w:spacing w:after="0" w:line="235" w:lineRule="auto"/>
        <w:tabs>
          <w:tab w:leader="none" w:pos="113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earnings per common share for each period is based on the combined weighted average number of shares outstanding (considering pro forma shares issued by the Company in connection with the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AUDITORS' REPORT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Directors of</w:t>
      </w:r>
    </w:p>
    <w:p>
      <w:pPr>
        <w:spacing w:after="0" w:line="237" w:lineRule="auto"/>
        <w:rPr>
          <w:sz w:val="20"/>
          <w:szCs w:val="20"/>
          <w:color w:val="auto"/>
        </w:rPr>
      </w:pPr>
      <w:r>
        <w:rPr>
          <w:rFonts w:ascii="Courier New" w:cs="Courier New" w:eastAsia="Courier New" w:hAnsi="Courier New"/>
          <w:sz w:val="15"/>
          <w:szCs w:val="15"/>
          <w:color w:val="auto"/>
        </w:rPr>
        <w:t>Transport Sanico Ltee</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have audited the balance sheet of Transport Sanico Ltee as at December 31, 1995 and the statements of earnings and retained earnings and of changes in financial position for the year then ended. These financial statements are the responsibility of the Company's management. Our responsibility is to express an opinion on these financial statements based on our audit.</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in Canada. Those standards require that we plan and perform an audit to obtain reasonable assurance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our opinion, these financial statements present fairly, in all material respects, the financial position of the Company as at December 31, 1995 and the results of its operations and the changes in its financial position for the year then ended in accordance with generally accepted accounting principles in Canada.</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Chartered Accountants</w:t>
      </w:r>
    </w:p>
    <w:p>
      <w:pPr>
        <w:spacing w:after="0" w:line="237" w:lineRule="auto"/>
        <w:rPr>
          <w:sz w:val="20"/>
          <w:szCs w:val="20"/>
          <w:color w:val="auto"/>
        </w:rPr>
      </w:pPr>
      <w:r>
        <w:rPr>
          <w:rFonts w:ascii="Courier New" w:cs="Courier New" w:eastAsia="Courier New" w:hAnsi="Courier New"/>
          <w:sz w:val="15"/>
          <w:szCs w:val="15"/>
          <w:color w:val="auto"/>
        </w:rPr>
        <w:t>Montreal, Quebec</w:t>
      </w:r>
    </w:p>
    <w:p>
      <w:pPr>
        <w:spacing w:after="0" w:line="238" w:lineRule="auto"/>
        <w:rPr>
          <w:sz w:val="20"/>
          <w:szCs w:val="20"/>
          <w:color w:val="auto"/>
        </w:rPr>
      </w:pPr>
      <w:r>
        <w:rPr>
          <w:rFonts w:ascii="Courier New" w:cs="Courier New" w:eastAsia="Courier New" w:hAnsi="Courier New"/>
          <w:sz w:val="15"/>
          <w:szCs w:val="15"/>
          <w:color w:val="auto"/>
        </w:rPr>
        <w:t>October 25, 1996</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TRANSPORT SANICO LTEE</w:t>
      </w:r>
    </w:p>
    <w:p>
      <w:pPr>
        <w:spacing w:after="0" w:line="237" w:lineRule="auto"/>
        <w:rPr>
          <w:sz w:val="20"/>
          <w:szCs w:val="20"/>
          <w:color w:val="auto"/>
        </w:rPr>
      </w:pPr>
      <w:r>
        <w:rPr>
          <w:rFonts w:ascii="Courier New" w:cs="Courier New" w:eastAsia="Courier New" w:hAnsi="Courier New"/>
          <w:sz w:val="15"/>
          <w:szCs w:val="15"/>
          <w:color w:val="auto"/>
        </w:rPr>
        <w:t>STATEMENT OF EARNINGS AND RETAINED EARNINGS</w:t>
      </w:r>
    </w:p>
    <w:p>
      <w:pPr>
        <w:spacing w:after="0" w:line="238" w:lineRule="auto"/>
        <w:rPr>
          <w:sz w:val="20"/>
          <w:szCs w:val="20"/>
          <w:color w:val="auto"/>
        </w:rPr>
      </w:pPr>
      <w:r>
        <w:rPr>
          <w:rFonts w:ascii="Courier New" w:cs="Courier New" w:eastAsia="Courier New" w:hAnsi="Courier New"/>
          <w:sz w:val="15"/>
          <w:szCs w:val="15"/>
          <w:color w:val="auto"/>
        </w:rPr>
        <w:t>YEAR ENDED DECEMBER 31, 1995</w:t>
      </w:r>
    </w:p>
    <w:p>
      <w:pPr>
        <w:spacing w:after="0" w:line="237" w:lineRule="auto"/>
        <w:rPr>
          <w:sz w:val="20"/>
          <w:szCs w:val="20"/>
          <w:color w:val="auto"/>
        </w:rPr>
      </w:pPr>
      <w:r>
        <w:rPr>
          <w:rFonts w:ascii="Courier New" w:cs="Courier New" w:eastAsia="Courier New" w:hAnsi="Courier New"/>
          <w:sz w:val="15"/>
          <w:szCs w:val="15"/>
          <w:color w:val="auto"/>
        </w:rPr>
        <w:t>======================================================================</w:t>
      </w:r>
    </w:p>
    <w:p>
      <w:pPr>
        <w:ind w:left="4300"/>
        <w:spacing w:after="0" w:line="238" w:lineRule="auto"/>
        <w:tabs>
          <w:tab w:leader="none" w:pos="532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3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r>
        <w:rPr>
          <w:rFonts w:ascii="Courier New" w:cs="Courier New" w:eastAsia="Courier New" w:hAnsi="Courier New"/>
          <w:sz w:val="12"/>
          <w:szCs w:val="12"/>
          <w:color w:val="auto"/>
        </w:rPr>
        <w:t>$</w:t>
      </w:r>
    </w:p>
    <w:p>
      <w:pPr>
        <w:ind w:left="51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6,638,214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6,658,879</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4,020,825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4,264,678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2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2,617,389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2,394,201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Sales and administrative expenses</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3,153,346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1,605,090</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Amortization of capital assets</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5,024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5,479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120"/>
        <w:spacing w:after="0"/>
        <w:tabs>
          <w:tab w:leader="none" w:pos="5240" w:val="left"/>
        </w:tabs>
        <w:rPr>
          <w:sz w:val="20"/>
          <w:szCs w:val="20"/>
          <w:color w:val="auto"/>
        </w:rPr>
      </w:pPr>
      <w:r>
        <w:rPr>
          <w:rFonts w:ascii="Courier New" w:cs="Courier New" w:eastAsia="Courier New" w:hAnsi="Courier New"/>
          <w:sz w:val="15"/>
          <w:szCs w:val="15"/>
          <w:color w:val="auto"/>
        </w:rPr>
        <w:t>3,158,370</w:t>
      </w:r>
      <w:r>
        <w:rPr>
          <w:sz w:val="20"/>
          <w:szCs w:val="20"/>
          <w:color w:val="auto"/>
        </w:rPr>
        <w:tab/>
      </w:r>
      <w:r>
        <w:rPr>
          <w:rFonts w:ascii="Courier New" w:cs="Courier New" w:eastAsia="Courier New" w:hAnsi="Courier New"/>
          <w:sz w:val="15"/>
          <w:szCs w:val="15"/>
          <w:color w:val="auto"/>
        </w:rPr>
        <w:t>1,610,569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(Loss)</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earnings before income taxes</w:t>
            </w:r>
          </w:p>
        </w:tc>
        <w:tc>
          <w:tcPr>
            <w:tcW w:w="1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(540,981)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783,632</w:t>
            </w:r>
          </w:p>
        </w:tc>
      </w:tr>
      <w:tr>
        <w:trPr>
          <w:trHeight w:val="336"/>
        </w:trPr>
        <w:tc>
          <w:tcPr>
            <w:tcW w:w="58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taxes</w:t>
            </w: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Current (recovery)</w:t>
            </w:r>
          </w:p>
        </w:tc>
        <w:tc>
          <w:tcPr>
            <w:tcW w:w="15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(197,608)</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298,207</w:t>
            </w:r>
          </w:p>
        </w:tc>
      </w:tr>
      <w:tr>
        <w:trPr>
          <w:trHeight w:val="168"/>
        </w:trPr>
        <w:tc>
          <w:tcPr>
            <w:tcW w:w="3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Deferred</w:t>
            </w:r>
          </w:p>
        </w:tc>
        <w:tc>
          <w:tcPr>
            <w:tcW w:w="15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768</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3,869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120"/>
        <w:spacing w:after="0"/>
        <w:tabs>
          <w:tab w:leader="none" w:pos="5420" w:val="left"/>
        </w:tabs>
        <w:rPr>
          <w:sz w:val="20"/>
          <w:szCs w:val="20"/>
          <w:color w:val="auto"/>
        </w:rPr>
      </w:pPr>
      <w:r>
        <w:rPr>
          <w:rFonts w:ascii="Courier New" w:cs="Courier New" w:eastAsia="Courier New" w:hAnsi="Courier New"/>
          <w:sz w:val="15"/>
          <w:szCs w:val="15"/>
          <w:color w:val="auto"/>
        </w:rPr>
        <w:t>(196,840)</w:t>
      </w:r>
      <w:r>
        <w:rPr>
          <w:sz w:val="20"/>
          <w:szCs w:val="20"/>
          <w:color w:val="auto"/>
        </w:rPr>
        <w:tab/>
      </w:r>
      <w:r>
        <w:rPr>
          <w:rFonts w:ascii="Courier New" w:cs="Courier New" w:eastAsia="Courier New" w:hAnsi="Courier New"/>
          <w:sz w:val="15"/>
          <w:szCs w:val="15"/>
          <w:color w:val="auto"/>
        </w:rPr>
        <w:t>302,076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Net (loss) earnings</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(344,141)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481,556</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 beginning of year</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2,655,763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2,174,207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RETAINED EARNINGS, END OF YEAR</w:t>
            </w:r>
          </w:p>
        </w:tc>
        <w:tc>
          <w:tcPr>
            <w:tcW w:w="1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2,311,622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2,655,763</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TRANSPORT SANICO LTEE</w:t>
      </w:r>
    </w:p>
    <w:p>
      <w:pPr>
        <w:spacing w:after="0" w:line="237" w:lineRule="auto"/>
        <w:rPr>
          <w:sz w:val="20"/>
          <w:szCs w:val="20"/>
          <w:color w:val="auto"/>
        </w:rPr>
      </w:pPr>
      <w:r>
        <w:rPr>
          <w:rFonts w:ascii="Courier New" w:cs="Courier New" w:eastAsia="Courier New" w:hAnsi="Courier New"/>
          <w:sz w:val="15"/>
          <w:szCs w:val="15"/>
          <w:color w:val="auto"/>
        </w:rPr>
        <w:t>BALANCE SHEET</w:t>
      </w:r>
    </w:p>
    <w:p>
      <w:pPr>
        <w:spacing w:after="0" w:line="238" w:lineRule="auto"/>
        <w:rPr>
          <w:sz w:val="20"/>
          <w:szCs w:val="20"/>
          <w:color w:val="auto"/>
        </w:rPr>
      </w:pPr>
      <w:r>
        <w:rPr>
          <w:rFonts w:ascii="Courier New" w:cs="Courier New" w:eastAsia="Courier New" w:hAnsi="Courier New"/>
          <w:sz w:val="15"/>
          <w:szCs w:val="15"/>
          <w:color w:val="auto"/>
        </w:rPr>
        <w:t>AS AT DECEMBER 31, 1995</w:t>
      </w:r>
    </w:p>
    <w:p>
      <w:pPr>
        <w:spacing w:after="0" w:line="237" w:lineRule="auto"/>
        <w:rPr>
          <w:sz w:val="20"/>
          <w:szCs w:val="20"/>
          <w:color w:val="auto"/>
        </w:rPr>
      </w:pPr>
      <w:r>
        <w:rPr>
          <w:rFonts w:ascii="Courier New" w:cs="Courier New" w:eastAsia="Courier New" w:hAnsi="Courier New"/>
          <w:sz w:val="15"/>
          <w:szCs w:val="15"/>
          <w:color w:val="auto"/>
        </w:rPr>
        <w:t>======================================================================</w:t>
      </w:r>
    </w:p>
    <w:p>
      <w:pPr>
        <w:ind w:left="4300"/>
        <w:spacing w:after="0" w:line="238" w:lineRule="auto"/>
        <w:tabs>
          <w:tab w:leader="none" w:pos="524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4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r>
        <w:rPr>
          <w:rFonts w:ascii="Courier New" w:cs="Courier New" w:eastAsia="Courier New" w:hAnsi="Courier New"/>
          <w:sz w:val="12"/>
          <w:szCs w:val="12"/>
          <w:color w:val="auto"/>
        </w:rPr>
        <w:t>$</w:t>
      </w:r>
    </w:p>
    <w:p>
      <w:pPr>
        <w:ind w:left="50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1,545,665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1,128,048</w:t>
            </w:r>
          </w:p>
        </w:tc>
      </w:tr>
      <w:tr>
        <w:trPr>
          <w:trHeight w:val="168"/>
        </w:trPr>
        <w:tc>
          <w:tcPr>
            <w:tcW w:w="3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318,263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285,052</w:t>
            </w:r>
          </w:p>
        </w:tc>
      </w:tr>
      <w:tr>
        <w:trPr>
          <w:trHeight w:val="168"/>
        </w:trPr>
        <w:tc>
          <w:tcPr>
            <w:tcW w:w="3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advances and deposits</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158,462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70,490</w:t>
            </w:r>
          </w:p>
        </w:tc>
      </w:tr>
      <w:tr>
        <w:trPr>
          <w:trHeight w:val="168"/>
        </w:trPr>
        <w:tc>
          <w:tcPr>
            <w:tcW w:w="3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Advances to affiliated companies</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1,858,208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1,892,590</w:t>
            </w:r>
          </w:p>
        </w:tc>
      </w:tr>
      <w:tr>
        <w:trPr>
          <w:trHeight w:val="168"/>
        </w:trPr>
        <w:tc>
          <w:tcPr>
            <w:tcW w:w="3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taxes</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464,238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80" w:hanging="170"/>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1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4,344,836</w:t>
      </w:r>
      <w:r>
        <w:rPr>
          <w:rFonts w:ascii="Courier New" w:cs="Courier New" w:eastAsia="Courier New" w:hAnsi="Courier New"/>
          <w:sz w:val="14"/>
          <w:szCs w:val="14"/>
          <w:color w:val="auto"/>
        </w:rPr>
        <w:t>3,376,180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Capital assets (Note 3)</w:t>
            </w:r>
          </w:p>
        </w:tc>
        <w:tc>
          <w:tcPr>
            <w:tcW w:w="2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19,785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28,013</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77,600</w:t>
            </w:r>
          </w:p>
        </w:tc>
      </w:tr>
    </w:tbl>
    <w:p>
      <w:pPr>
        <w:spacing w:after="0" w:line="5" w:lineRule="exact"/>
        <w:rPr>
          <w:sz w:val="20"/>
          <w:szCs w:val="20"/>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1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4,364,621</w:t>
      </w:r>
      <w:r>
        <w:rPr>
          <w:rFonts w:ascii="Courier New" w:cs="Courier New" w:eastAsia="Courier New" w:hAnsi="Courier New"/>
          <w:sz w:val="14"/>
          <w:szCs w:val="14"/>
          <w:color w:val="auto"/>
        </w:rPr>
        <w:t>3,481,793</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799,142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460,894</w:t>
            </w: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Advances from affiliated companies</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1,251,744</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326,364</w:t>
            </w: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taxes</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37,427</w:t>
            </w: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2,013</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120"/>
        <w:spacing w:after="0"/>
        <w:tabs>
          <w:tab w:leader="none" w:pos="5420" w:val="left"/>
        </w:tabs>
        <w:rPr>
          <w:sz w:val="20"/>
          <w:szCs w:val="20"/>
          <w:color w:val="auto"/>
        </w:rPr>
      </w:pPr>
      <w:r>
        <w:rPr>
          <w:rFonts w:ascii="Courier New" w:cs="Courier New" w:eastAsia="Courier New" w:hAnsi="Courier New"/>
          <w:sz w:val="15"/>
          <w:szCs w:val="15"/>
          <w:color w:val="auto"/>
        </w:rPr>
        <w:t>2,052,899</w:t>
      </w:r>
      <w:r>
        <w:rPr>
          <w:sz w:val="20"/>
          <w:szCs w:val="20"/>
          <w:color w:val="auto"/>
        </w:rPr>
        <w:tab/>
      </w:r>
      <w:r>
        <w:rPr>
          <w:rFonts w:ascii="Courier New" w:cs="Courier New" w:eastAsia="Courier New" w:hAnsi="Courier New"/>
          <w:sz w:val="15"/>
          <w:szCs w:val="15"/>
          <w:color w:val="auto"/>
        </w:rPr>
        <w:t>825,930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9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 capital (Note 4)</w:t>
            </w:r>
          </w:p>
        </w:tc>
        <w:tc>
          <w:tcPr>
            <w:tcW w:w="1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2,311,622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2,655,763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120"/>
        <w:spacing w:after="0"/>
        <w:tabs>
          <w:tab w:leader="none" w:pos="5240" w:val="left"/>
        </w:tabs>
        <w:rPr>
          <w:sz w:val="20"/>
          <w:szCs w:val="20"/>
          <w:color w:val="auto"/>
        </w:rPr>
      </w:pPr>
      <w:r>
        <w:rPr>
          <w:rFonts w:ascii="Courier New" w:cs="Courier New" w:eastAsia="Courier New" w:hAnsi="Courier New"/>
          <w:sz w:val="15"/>
          <w:szCs w:val="15"/>
          <w:color w:val="auto"/>
        </w:rPr>
        <w:t>2,311,722</w:t>
      </w:r>
      <w:r>
        <w:rPr>
          <w:sz w:val="20"/>
          <w:szCs w:val="20"/>
          <w:color w:val="auto"/>
        </w:rPr>
        <w:tab/>
      </w:r>
      <w:r>
        <w:rPr>
          <w:rFonts w:ascii="Courier New" w:cs="Courier New" w:eastAsia="Courier New" w:hAnsi="Courier New"/>
          <w:sz w:val="15"/>
          <w:szCs w:val="15"/>
          <w:color w:val="auto"/>
        </w:rPr>
        <w:t>2,655,863</w:t>
      </w:r>
    </w:p>
    <w:p>
      <w:pPr>
        <w:spacing w:after="0" w:line="5" w:lineRule="exact"/>
        <w:rPr>
          <w:sz w:val="20"/>
          <w:szCs w:val="20"/>
          <w:color w:val="auto"/>
        </w:rPr>
      </w:pPr>
    </w:p>
    <w:p>
      <w:pPr>
        <w:ind w:left="180" w:hanging="170"/>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1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4,364,621</w:t>
      </w:r>
      <w:r>
        <w:rPr>
          <w:rFonts w:ascii="Courier New" w:cs="Courier New" w:eastAsia="Courier New" w:hAnsi="Courier New"/>
          <w:sz w:val="14"/>
          <w:szCs w:val="14"/>
          <w:color w:val="auto"/>
        </w:rPr>
        <w:t>3,481,793</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13</w:t>
      </w:r>
    </w:p>
    <w:p>
      <w:pPr>
        <w:spacing w:after="0" w:line="237" w:lineRule="auto"/>
        <w:rPr>
          <w:sz w:val="20"/>
          <w:szCs w:val="20"/>
          <w:color w:val="auto"/>
        </w:rPr>
      </w:pPr>
      <w:r>
        <w:rPr>
          <w:rFonts w:ascii="Courier New" w:cs="Courier New" w:eastAsia="Courier New" w:hAnsi="Courier New"/>
          <w:sz w:val="15"/>
          <w:szCs w:val="15"/>
          <w:color w:val="auto"/>
        </w:rPr>
        <w:t>TRANSPORT SANICO LTEE</w:t>
      </w:r>
    </w:p>
    <w:p>
      <w:pPr>
        <w:spacing w:after="0" w:line="238" w:lineRule="auto"/>
        <w:rPr>
          <w:sz w:val="20"/>
          <w:szCs w:val="20"/>
          <w:color w:val="auto"/>
        </w:rPr>
      </w:pPr>
      <w:r>
        <w:rPr>
          <w:rFonts w:ascii="Courier New" w:cs="Courier New" w:eastAsia="Courier New" w:hAnsi="Courier New"/>
          <w:sz w:val="15"/>
          <w:szCs w:val="15"/>
          <w:color w:val="auto"/>
        </w:rPr>
        <w:t>STATEMENT OF CHANGES IN FINANCIAL POSITION</w:t>
      </w:r>
    </w:p>
    <w:p>
      <w:pPr>
        <w:spacing w:after="0" w:line="237" w:lineRule="auto"/>
        <w:rPr>
          <w:sz w:val="20"/>
          <w:szCs w:val="20"/>
          <w:color w:val="auto"/>
        </w:rPr>
      </w:pPr>
      <w:r>
        <w:rPr>
          <w:rFonts w:ascii="Courier New" w:cs="Courier New" w:eastAsia="Courier New" w:hAnsi="Courier New"/>
          <w:sz w:val="15"/>
          <w:szCs w:val="15"/>
          <w:color w:val="auto"/>
        </w:rPr>
        <w:t>YEAR ENDED DECEMBER 31, 1995</w:t>
      </w:r>
    </w:p>
    <w:p>
      <w:pPr>
        <w:spacing w:after="0" w:line="238" w:lineRule="auto"/>
        <w:rPr>
          <w:sz w:val="20"/>
          <w:szCs w:val="20"/>
          <w:color w:val="auto"/>
        </w:rPr>
      </w:pPr>
      <w:r>
        <w:rPr>
          <w:rFonts w:ascii="Courier New" w:cs="Courier New" w:eastAsia="Courier New" w:hAnsi="Courier New"/>
          <w:sz w:val="15"/>
          <w:szCs w:val="15"/>
          <w:color w:val="auto"/>
        </w:rPr>
        <w:t>======================================================================</w:t>
      </w:r>
    </w:p>
    <w:p>
      <w:pPr>
        <w:ind w:left="4300"/>
        <w:spacing w:after="0" w:line="237" w:lineRule="auto"/>
        <w:tabs>
          <w:tab w:leader="none" w:pos="542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ind w:left="180" w:hanging="170"/>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4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51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(unaudited)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provided by operations</w:t>
            </w:r>
          </w:p>
        </w:tc>
        <w:tc>
          <w:tcPr>
            <w:tcW w:w="1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(loss) earnings</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(344,141)</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481,556</w:t>
            </w: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Items not affecting cash</w:t>
            </w:r>
          </w:p>
        </w:tc>
        <w:tc>
          <w:tcPr>
            <w:tcW w:w="1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Amortization of capital assets</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5,024</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5,479</w:t>
            </w:r>
          </w:p>
        </w:tc>
      </w:tr>
      <w:tr>
        <w:trPr>
          <w:trHeight w:val="168"/>
        </w:trPr>
        <w:tc>
          <w:tcPr>
            <w:tcW w:w="3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Gain on sale</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3,869</w:t>
            </w:r>
          </w:p>
        </w:tc>
      </w:tr>
      <w:tr>
        <w:trPr>
          <w:trHeight w:val="168"/>
        </w:trPr>
        <w:tc>
          <w:tcPr>
            <w:tcW w:w="3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768</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80" w:hanging="170"/>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1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(338,349)</w:t>
      </w:r>
      <w:r>
        <w:rPr>
          <w:rFonts w:ascii="Courier New" w:cs="Courier New" w:eastAsia="Courier New" w:hAnsi="Courier New"/>
          <w:sz w:val="14"/>
          <w:szCs w:val="14"/>
          <w:color w:val="auto"/>
        </w:rPr>
        <w:t>490,904</w:t>
      </w:r>
    </w:p>
    <w:p>
      <w:pPr>
        <w:spacing w:after="0" w:line="167"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3760" w:type="dxa"/>
            <w:vAlign w:val="bottom"/>
          </w:tcPr>
          <w:p>
            <w:pPr>
              <w:spacing w:after="0"/>
              <w:rPr>
                <w:sz w:val="20"/>
                <w:szCs w:val="20"/>
                <w:color w:val="auto"/>
              </w:rPr>
            </w:pPr>
            <w:r>
              <w:rPr>
                <w:rFonts w:ascii="Courier New" w:cs="Courier New" w:eastAsia="Courier New" w:hAnsi="Courier New"/>
                <w:sz w:val="15"/>
                <w:szCs w:val="15"/>
                <w:color w:val="auto"/>
              </w:rPr>
              <w:t>Changes in non-cash working capital items</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675,162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455,787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300"/>
        <w:spacing w:after="0"/>
        <w:tabs>
          <w:tab w:leader="none" w:pos="5420" w:val="left"/>
        </w:tabs>
        <w:rPr>
          <w:sz w:val="20"/>
          <w:szCs w:val="20"/>
          <w:color w:val="auto"/>
        </w:rPr>
      </w:pPr>
      <w:r>
        <w:rPr>
          <w:rFonts w:ascii="Courier New" w:cs="Courier New" w:eastAsia="Courier New" w:hAnsi="Courier New"/>
          <w:sz w:val="15"/>
          <w:szCs w:val="15"/>
          <w:color w:val="auto"/>
        </w:rPr>
        <w:t>336,813</w:t>
      </w:r>
      <w:r>
        <w:rPr>
          <w:sz w:val="20"/>
          <w:szCs w:val="20"/>
          <w:color w:val="auto"/>
        </w:rPr>
        <w:tab/>
      </w:r>
      <w:r>
        <w:rPr>
          <w:rFonts w:ascii="Courier New" w:cs="Courier New" w:eastAsia="Courier New" w:hAnsi="Courier New"/>
          <w:sz w:val="15"/>
          <w:szCs w:val="15"/>
          <w:color w:val="auto"/>
        </w:rPr>
        <w:t>946,691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assets</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77,600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92,577</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on disposal of capital assets</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3,204</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5,321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380"/>
        <w:spacing w:after="0"/>
        <w:tabs>
          <w:tab w:leader="none" w:pos="5500" w:val="left"/>
        </w:tabs>
        <w:rPr>
          <w:sz w:val="20"/>
          <w:szCs w:val="20"/>
          <w:color w:val="auto"/>
        </w:rPr>
      </w:pPr>
      <w:r>
        <w:rPr>
          <w:rFonts w:ascii="Courier New" w:cs="Courier New" w:eastAsia="Courier New" w:hAnsi="Courier New"/>
          <w:sz w:val="15"/>
          <w:szCs w:val="15"/>
          <w:color w:val="auto"/>
        </w:rPr>
        <w:t>80,804</w:t>
      </w:r>
      <w:r>
        <w:rPr>
          <w:sz w:val="20"/>
          <w:szCs w:val="20"/>
          <w:color w:val="auto"/>
        </w:rPr>
        <w:tab/>
      </w:r>
      <w:r>
        <w:rPr>
          <w:rFonts w:ascii="Courier New" w:cs="Courier New" w:eastAsia="Courier New" w:hAnsi="Courier New"/>
          <w:sz w:val="15"/>
          <w:szCs w:val="15"/>
          <w:color w:val="auto"/>
        </w:rPr>
        <w:t>97,898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 change in cash</w:t>
            </w:r>
          </w:p>
        </w:tc>
        <w:tc>
          <w:tcPr>
            <w:tcW w:w="2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417,617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1,044,589</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beginning of year</w:t>
            </w:r>
          </w:p>
        </w:tc>
        <w:tc>
          <w:tcPr>
            <w:tcW w:w="2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1,128,048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83,459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Courier New" w:cs="Courier New" w:eastAsia="Courier New" w:hAnsi="Courier New"/>
                <w:sz w:val="15"/>
                <w:szCs w:val="15"/>
                <w:color w:val="auto"/>
              </w:rPr>
              <w:t>CASH, END OF YEAR</w:t>
            </w:r>
          </w:p>
        </w:tc>
        <w:tc>
          <w:tcPr>
            <w:tcW w:w="2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1,545,665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1,128,048</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14</w:t>
      </w:r>
    </w:p>
    <w:p>
      <w:pPr>
        <w:spacing w:after="0" w:line="237" w:lineRule="auto"/>
        <w:rPr>
          <w:sz w:val="20"/>
          <w:szCs w:val="20"/>
          <w:color w:val="auto"/>
        </w:rPr>
      </w:pPr>
      <w:r>
        <w:rPr>
          <w:rFonts w:ascii="Courier New" w:cs="Courier New" w:eastAsia="Courier New" w:hAnsi="Courier New"/>
          <w:sz w:val="15"/>
          <w:szCs w:val="15"/>
          <w:color w:val="auto"/>
        </w:rPr>
        <w:t>TRANSPORT SANICO LTEE</w:t>
      </w:r>
    </w:p>
    <w:p>
      <w:pPr>
        <w:spacing w:after="0" w:line="238" w:lineRule="auto"/>
        <w:rPr>
          <w:sz w:val="20"/>
          <w:szCs w:val="20"/>
          <w:color w:val="auto"/>
        </w:rPr>
      </w:pPr>
      <w:r>
        <w:rPr>
          <w:rFonts w:ascii="Courier New" w:cs="Courier New" w:eastAsia="Courier New" w:hAnsi="Courier New"/>
          <w:sz w:val="15"/>
          <w:szCs w:val="15"/>
          <w:color w:val="auto"/>
        </w:rPr>
        <w:t>STATEMENT OF CHANGES IN FINANCIAL POSITION</w:t>
      </w:r>
    </w:p>
    <w:p>
      <w:pPr>
        <w:spacing w:after="0" w:line="237" w:lineRule="auto"/>
        <w:rPr>
          <w:sz w:val="20"/>
          <w:szCs w:val="20"/>
          <w:color w:val="auto"/>
        </w:rPr>
      </w:pPr>
      <w:r>
        <w:rPr>
          <w:rFonts w:ascii="Courier New" w:cs="Courier New" w:eastAsia="Courier New" w:hAnsi="Courier New"/>
          <w:sz w:val="15"/>
          <w:szCs w:val="15"/>
          <w:color w:val="auto"/>
        </w:rPr>
        <w:t>YEAR ENDED DECEMBER 31,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60" w:hanging="350"/>
        <w:spacing w:after="0"/>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STATUS AND NATURE OF ACTIVITIES</w:t>
      </w:r>
    </w:p>
    <w:p>
      <w:pPr>
        <w:spacing w:after="0" w:line="172" w:lineRule="exact"/>
        <w:rPr>
          <w:rFonts w:ascii="Courier New" w:cs="Courier New" w:eastAsia="Courier New" w:hAnsi="Courier New"/>
          <w:sz w:val="15"/>
          <w:szCs w:val="15"/>
          <w:color w:val="auto"/>
        </w:rPr>
      </w:pPr>
    </w:p>
    <w:p>
      <w:pPr>
        <w:jc w:val="both"/>
        <w:ind w:left="36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incorporated under the Canada Business Corporations Act, and is wholly-owned by Intersan Inc. Its main operations are the picking-up and transportation of waste.</w:t>
      </w:r>
    </w:p>
    <w:p>
      <w:pPr>
        <w:spacing w:after="0" w:line="167"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POLICIES</w:t>
      </w:r>
    </w:p>
    <w:p>
      <w:pPr>
        <w:spacing w:after="0" w:line="172" w:lineRule="exact"/>
        <w:rPr>
          <w:rFonts w:ascii="Courier New" w:cs="Courier New" w:eastAsia="Courier New" w:hAnsi="Courier New"/>
          <w:sz w:val="15"/>
          <w:szCs w:val="15"/>
          <w:color w:val="auto"/>
        </w:rPr>
      </w:pPr>
    </w:p>
    <w:p>
      <w:pPr>
        <w:ind w:left="36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statements have been prepared in accordance with accounting principles generally accepted in Canada. They have been prepared for filing with the United States Securities and Exchange Commission.The significant accounting policies are as follows:</w:t>
      </w:r>
    </w:p>
    <w:p>
      <w:pPr>
        <w:spacing w:after="0" w:line="168"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72" w:lineRule="exact"/>
        <w:rPr>
          <w:rFonts w:ascii="Courier New" w:cs="Courier New" w:eastAsia="Courier New" w:hAnsi="Courier New"/>
          <w:sz w:val="15"/>
          <w:szCs w:val="15"/>
          <w:color w:val="auto"/>
        </w:rPr>
      </w:pPr>
    </w:p>
    <w:p>
      <w:pPr>
        <w:ind w:left="360" w:right="4379"/>
        <w:spacing w:after="0" w:line="4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revenues are accounted for when services are rendered. Capital assets</w:t>
      </w:r>
    </w:p>
    <w:p>
      <w:pPr>
        <w:spacing w:after="0" w:line="14" w:lineRule="exact"/>
        <w:rPr>
          <w:rFonts w:ascii="Courier New" w:cs="Courier New" w:eastAsia="Courier New" w:hAnsi="Courier New"/>
          <w:sz w:val="15"/>
          <w:szCs w:val="15"/>
          <w:color w:val="auto"/>
        </w:rPr>
      </w:pPr>
    </w:p>
    <w:p>
      <w:pPr>
        <w:ind w:left="360" w:right="339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Capital assets are recorded at acquisition cost and are amortized over their estimated useful lives using the following methods, rates and terms:</w:t>
      </w:r>
    </w:p>
    <w:p>
      <w:pPr>
        <w:sectPr>
          <w:pgSz w:w="11900" w:h="16838" w:orient="portrait"/>
          <w:cols w:equalWidth="0" w:num="1">
            <w:col w:w="10239"/>
          </w:cols>
          <w:pgMar w:left="220" w:top="281" w:right="1440" w:bottom="1440" w:gutter="0" w:footer="0" w:header="0"/>
        </w:sectPr>
      </w:pPr>
    </w:p>
    <w:p>
      <w:pPr>
        <w:spacing w:after="0" w:line="328"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Method</w:t>
      </w:r>
    </w:p>
    <w:p>
      <w:pPr>
        <w:spacing w:after="0" w:line="10"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Rate/term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4100" w:space="720"/>
            <w:col w:w="5419"/>
          </w:cols>
          <w:pgMar w:left="220" w:top="281" w:right="1440" w:bottom="1440" w:gutter="0" w:footer="0" w:header="0"/>
          <w:type w:val="continuous"/>
        </w:sectPr>
      </w:pPr>
    </w:p>
    <w:p>
      <w:pPr>
        <w:ind w:left="980"/>
        <w:spacing w:after="0"/>
        <w:rPr>
          <w:sz w:val="20"/>
          <w:szCs w:val="20"/>
          <w:color w:val="auto"/>
        </w:rPr>
      </w:pPr>
      <w:r>
        <w:rPr>
          <w:rFonts w:ascii="Courier New" w:cs="Courier New" w:eastAsia="Courier New" w:hAnsi="Courier New"/>
          <w:sz w:val="15"/>
          <w:szCs w:val="15"/>
          <w:color w:val="auto"/>
        </w:rPr>
        <w:t>Equipment</w:t>
      </w:r>
    </w:p>
    <w:p>
      <w:pPr>
        <w:ind w:left="980"/>
        <w:spacing w:after="0" w:line="237" w:lineRule="auto"/>
        <w:rPr>
          <w:sz w:val="20"/>
          <w:szCs w:val="20"/>
          <w:color w:val="auto"/>
        </w:rPr>
      </w:pPr>
      <w:r>
        <w:rPr>
          <w:rFonts w:ascii="Courier New" w:cs="Courier New" w:eastAsia="Courier New" w:hAnsi="Courier New"/>
          <w:sz w:val="15"/>
          <w:szCs w:val="15"/>
          <w:color w:val="auto"/>
        </w:rPr>
        <w:t>Office furniture</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Automotive equipment</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Courier New" w:cs="Courier New" w:eastAsia="Courier New" w:hAnsi="Courier New"/>
          <w:sz w:val="14"/>
          <w:szCs w:val="14"/>
          <w:color w:val="auto"/>
        </w:rPr>
        <w:t>diminishing balance diminishing balance straight-line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20%</w:t>
      </w:r>
    </w:p>
    <w:p>
      <w:pPr>
        <w:spacing w:after="0" w:line="237" w:lineRule="auto"/>
        <w:rPr>
          <w:sz w:val="20"/>
          <w:szCs w:val="20"/>
          <w:color w:val="auto"/>
        </w:rPr>
      </w:pPr>
      <w:r>
        <w:rPr>
          <w:rFonts w:ascii="Courier New" w:cs="Courier New" w:eastAsia="Courier New" w:hAnsi="Courier New"/>
          <w:sz w:val="15"/>
          <w:szCs w:val="15"/>
          <w:color w:val="auto"/>
        </w:rPr>
        <w:t>20%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to 10 years</w:t>
      </w:r>
    </w:p>
    <w:p>
      <w:pPr>
        <w:spacing w:after="0" w:line="216" w:lineRule="exact"/>
        <w:rPr>
          <w:sz w:val="20"/>
          <w:szCs w:val="20"/>
          <w:color w:val="auto"/>
        </w:rPr>
      </w:pPr>
    </w:p>
    <w:p>
      <w:pPr>
        <w:sectPr>
          <w:pgSz w:w="11900" w:h="16838" w:orient="portrait"/>
          <w:cols w:equalWidth="0" w:num="3">
            <w:col w:w="2720" w:space="180"/>
            <w:col w:w="1660" w:space="180"/>
            <w:col w:w="5499"/>
          </w:cols>
          <w:pgMar w:left="220" w:top="281" w:right="1440" w:bottom="1440" w:gutter="0" w:footer="0" w:header="0"/>
          <w:type w:val="continuous"/>
        </w:sectPr>
      </w:pPr>
    </w:p>
    <w:p>
      <w:pPr>
        <w:spacing w:after="0" w:line="130"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3.</w:t>
        <w:tab/>
        <w:t>CAPITAL ASSETS</w:t>
      </w:r>
    </w:p>
    <w:p>
      <w:pPr>
        <w:sectPr>
          <w:pgSz w:w="11900" w:h="16838" w:orient="portrait"/>
          <w:cols w:equalWidth="0" w:num="1">
            <w:col w:w="10239"/>
          </w:cols>
          <w:pgMar w:left="220" w:top="281" w:right="1440"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1995</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3240"/>
        <w:spacing w:after="0"/>
        <w:tabs>
          <w:tab w:leader="none" w:pos="4460" w:val="left"/>
        </w:tabs>
        <w:rPr>
          <w:sz w:val="20"/>
          <w:szCs w:val="20"/>
          <w:color w:val="auto"/>
        </w:rPr>
      </w:pPr>
      <w:r>
        <w:rPr>
          <w:rFonts w:ascii="Courier New" w:cs="Courier New" w:eastAsia="Courier New" w:hAnsi="Courier New"/>
          <w:sz w:val="14"/>
          <w:szCs w:val="14"/>
          <w:color w:val="auto"/>
        </w:rPr>
        <w:t>Accumulated</w:t>
      </w:r>
      <w:r>
        <w:rPr>
          <w:sz w:val="20"/>
          <w:szCs w:val="20"/>
          <w:color w:val="auto"/>
        </w:rPr>
        <w:tab/>
      </w:r>
      <w:r>
        <w:rPr>
          <w:rFonts w:ascii="Courier New" w:cs="Courier New" w:eastAsia="Courier New" w:hAnsi="Courier New"/>
          <w:sz w:val="14"/>
          <w:szCs w:val="14"/>
          <w:color w:val="auto"/>
        </w:rPr>
        <w:t>Net Book</w:t>
      </w:r>
    </w:p>
    <w:p>
      <w:pPr>
        <w:spacing w:after="0" w:line="3" w:lineRule="exact"/>
        <w:rPr>
          <w:sz w:val="20"/>
          <w:szCs w:val="20"/>
          <w:color w:val="auto"/>
        </w:rPr>
      </w:pPr>
    </w:p>
    <w:p>
      <w:pPr>
        <w:ind w:left="2640"/>
        <w:spacing w:after="0"/>
        <w:tabs>
          <w:tab w:leader="none" w:pos="3220" w:val="left"/>
          <w:tab w:leader="none" w:pos="4540" w:val="left"/>
        </w:tabs>
        <w:rPr>
          <w:sz w:val="20"/>
          <w:szCs w:val="20"/>
          <w:color w:val="auto"/>
        </w:rPr>
      </w:pPr>
      <w:r>
        <w:rPr>
          <w:rFonts w:ascii="Courier New" w:cs="Courier New" w:eastAsia="Courier New" w:hAnsi="Courier New"/>
          <w:sz w:val="15"/>
          <w:szCs w:val="15"/>
          <w:color w:val="auto"/>
        </w:rPr>
        <w:t>Cost</w:t>
        <w:tab/>
        <w:t>Amortization</w:t>
      </w:r>
      <w:r>
        <w:rPr>
          <w:sz w:val="20"/>
          <w:szCs w:val="20"/>
          <w:color w:val="auto"/>
        </w:rPr>
        <w:tab/>
      </w:r>
      <w:r>
        <w:rPr>
          <w:rFonts w:ascii="Courier New" w:cs="Courier New" w:eastAsia="Courier New" w:hAnsi="Courier New"/>
          <w:sz w:val="14"/>
          <w:szCs w:val="14"/>
          <w:color w:val="auto"/>
        </w:rPr>
        <w:t>Value</w:t>
      </w:r>
    </w:p>
    <w:p>
      <w:pPr>
        <w:ind w:left="2540"/>
        <w:spacing w:after="0"/>
        <w:tabs>
          <w:tab w:leader="none" w:pos="3220" w:val="left"/>
          <w:tab w:leader="none" w:pos="446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ind w:left="2720"/>
        <w:spacing w:after="0"/>
        <w:tabs>
          <w:tab w:leader="none" w:pos="3660" w:val="left"/>
          <w:tab w:leader="none" w:pos="47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Net Book</w:t>
      </w:r>
    </w:p>
    <w:p>
      <w:pPr>
        <w:ind w:left="260"/>
        <w:spacing w:after="0" w:line="237" w:lineRule="auto"/>
        <w:rPr>
          <w:sz w:val="20"/>
          <w:szCs w:val="20"/>
          <w:color w:val="auto"/>
        </w:rPr>
      </w:pPr>
      <w:r>
        <w:rPr>
          <w:rFonts w:ascii="Courier New" w:cs="Courier New" w:eastAsia="Courier New" w:hAnsi="Courier New"/>
          <w:sz w:val="15"/>
          <w:szCs w:val="15"/>
          <w:color w:val="auto"/>
        </w:rPr>
        <w:t>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ectPr>
          <w:pgSz w:w="11900" w:h="16838" w:orient="portrait"/>
          <w:cols w:equalWidth="0" w:num="2">
            <w:col w:w="5180" w:space="160"/>
            <w:col w:w="4899"/>
          </w:cols>
          <w:pgMar w:left="220" w:top="281" w:right="1440" w:bottom="1440" w:gutter="0" w:footer="0" w:header="0"/>
          <w:type w:val="continuous"/>
        </w:sectPr>
      </w:pPr>
    </w:p>
    <w:p>
      <w:pPr>
        <w:ind w:left="5340"/>
        <w:spacing w:after="0"/>
        <w:rPr>
          <w:sz w:val="20"/>
          <w:szCs w:val="20"/>
          <w:color w:val="auto"/>
        </w:rPr>
      </w:pPr>
      <w:r>
        <w:rPr>
          <w:rFonts w:ascii="Courier New" w:cs="Courier New" w:eastAsia="Courier New" w:hAnsi="Courier New"/>
          <w:sz w:val="14"/>
          <w:szCs w:val="14"/>
          <w:color w:val="auto"/>
        </w:rPr>
        <w:t>(unaudited)</w:t>
      </w:r>
    </w:p>
    <w:p>
      <w:pPr>
        <w:spacing w:after="0" w:line="178" w:lineRule="exact"/>
        <w:rPr>
          <w:sz w:val="20"/>
          <w:szCs w:val="20"/>
          <w:color w:val="auto"/>
        </w:rPr>
      </w:pPr>
    </w:p>
    <w:p>
      <w:pPr>
        <w:jc w:val="right"/>
        <w:ind w:left="620" w:right="3939"/>
        <w:spacing w:after="0" w:line="236" w:lineRule="auto"/>
        <w:rPr>
          <w:sz w:val="20"/>
          <w:szCs w:val="20"/>
          <w:color w:val="auto"/>
        </w:rPr>
      </w:pPr>
      <w:r>
        <w:rPr>
          <w:rFonts w:ascii="Courier New" w:cs="Courier New" w:eastAsia="Courier New" w:hAnsi="Courier New"/>
          <w:sz w:val="15"/>
          <w:szCs w:val="15"/>
          <w:color w:val="auto"/>
        </w:rPr>
        <w:t>Equipment             56,231        40,104    16,127       23,845 Office furniture      18,358        16,826     1,532        2,126 Automotive equipment   7,089         4,963     2,126        2,042 ----------------------------------------------------------------- 81,678        61,893    19,785       28,013</w:t>
      </w:r>
    </w:p>
    <w:p>
      <w:pPr>
        <w:sectPr>
          <w:pgSz w:w="11900" w:h="16838" w:orient="portrait"/>
          <w:cols w:equalWidth="0" w:num="1">
            <w:col w:w="10239"/>
          </w:cols>
          <w:pgMar w:left="220" w:top="281" w:right="1440" w:bottom="1440" w:gutter="0" w:footer="0" w:header="0"/>
          <w:type w:val="continuous"/>
        </w:sectPr>
      </w:pPr>
    </w:p>
    <w:p>
      <w:pPr>
        <w:spacing w:after="0" w:line="6"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TRANSPORT SANICO LTEE</w:t>
      </w:r>
    </w:p>
    <w:p>
      <w:pPr>
        <w:spacing w:after="0" w:line="237" w:lineRule="auto"/>
        <w:rPr>
          <w:sz w:val="20"/>
          <w:szCs w:val="20"/>
          <w:color w:val="auto"/>
        </w:rPr>
      </w:pPr>
      <w:r>
        <w:rPr>
          <w:rFonts w:ascii="Courier New" w:cs="Courier New" w:eastAsia="Courier New" w:hAnsi="Courier New"/>
          <w:sz w:val="15"/>
          <w:szCs w:val="15"/>
          <w:color w:val="auto"/>
        </w:rPr>
        <w:t>STATEMENT OF CHANGES IN FINANCIAL POSITION</w:t>
      </w:r>
    </w:p>
    <w:p>
      <w:pPr>
        <w:spacing w:after="0" w:line="238" w:lineRule="auto"/>
        <w:rPr>
          <w:sz w:val="20"/>
          <w:szCs w:val="20"/>
          <w:color w:val="auto"/>
        </w:rPr>
      </w:pPr>
      <w:r>
        <w:rPr>
          <w:rFonts w:ascii="Courier New" w:cs="Courier New" w:eastAsia="Courier New" w:hAnsi="Courier New"/>
          <w:sz w:val="15"/>
          <w:szCs w:val="15"/>
          <w:color w:val="auto"/>
        </w:rPr>
        <w:t>YEAR ENDED DECEMBER 31,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60" w:hanging="350"/>
        <w:spacing w:after="0"/>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CAPITAL</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Authorized</w:t>
      </w:r>
    </w:p>
    <w:p>
      <w:pPr>
        <w:ind w:left="620"/>
        <w:spacing w:after="0" w:line="237" w:lineRule="auto"/>
        <w:rPr>
          <w:sz w:val="20"/>
          <w:szCs w:val="20"/>
          <w:color w:val="auto"/>
        </w:rPr>
      </w:pPr>
      <w:r>
        <w:rPr>
          <w:rFonts w:ascii="Courier New" w:cs="Courier New" w:eastAsia="Courier New" w:hAnsi="Courier New"/>
          <w:sz w:val="15"/>
          <w:szCs w:val="15"/>
          <w:color w:val="auto"/>
        </w:rPr>
        <w:t>An unlimited number of preferred shares, non-voting, without par value</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An unlimited number of common shares, without par value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40"/>
        <w:spacing w:after="0"/>
        <w:tabs>
          <w:tab w:leader="none" w:pos="550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ind w:left="4040"/>
        <w:spacing w:after="0" w:line="237" w:lineRule="auto"/>
        <w:rPr>
          <w:sz w:val="20"/>
          <w:szCs w:val="20"/>
          <w:color w:val="auto"/>
        </w:rPr>
      </w:pPr>
      <w:r>
        <w:rPr>
          <w:rFonts w:ascii="Courier New" w:cs="Courier New" w:eastAsia="Courier New" w:hAnsi="Courier New"/>
          <w:sz w:val="15"/>
          <w:szCs w:val="15"/>
          <w:color w:val="auto"/>
        </w:rPr>
        <w:t>---------------------</w:t>
      </w:r>
    </w:p>
    <w:p>
      <w:pPr>
        <w:ind w:left="4120"/>
        <w:spacing w:after="0" w:line="238" w:lineRule="auto"/>
        <w:tabs>
          <w:tab w:leader="none" w:pos="55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3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Issued</w:t>
      </w:r>
    </w:p>
    <w:p>
      <w:pPr>
        <w:ind w:left="800"/>
        <w:spacing w:after="0"/>
        <w:tabs>
          <w:tab w:leader="none" w:pos="1220" w:val="left"/>
          <w:tab w:leader="none" w:pos="4020" w:val="left"/>
          <w:tab w:leader="none" w:pos="5500" w:val="left"/>
        </w:tabs>
        <w:rPr>
          <w:sz w:val="20"/>
          <w:szCs w:val="20"/>
          <w:color w:val="auto"/>
        </w:rPr>
      </w:pPr>
      <w:r>
        <w:rPr>
          <w:rFonts w:ascii="Courier New" w:cs="Courier New" w:eastAsia="Courier New" w:hAnsi="Courier New"/>
          <w:sz w:val="15"/>
          <w:szCs w:val="15"/>
          <w:color w:val="auto"/>
        </w:rPr>
        <w:t>100</w:t>
        <w:tab/>
        <w:t>common shares</w:t>
      </w:r>
      <w:r>
        <w:rPr>
          <w:sz w:val="20"/>
          <w:szCs w:val="20"/>
          <w:color w:val="auto"/>
        </w:rPr>
        <w:tab/>
      </w: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4"/>
          <w:szCs w:val="14"/>
          <w:color w:val="auto"/>
        </w:rPr>
        <w:t>100</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360" w:hanging="350"/>
        <w:spacing w:after="0"/>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2" w:lineRule="exact"/>
        <w:rPr>
          <w:rFonts w:ascii="Courier New" w:cs="Courier New" w:eastAsia="Courier New" w:hAnsi="Courier New"/>
          <w:sz w:val="15"/>
          <w:szCs w:val="15"/>
          <w:color w:val="auto"/>
        </w:rPr>
      </w:pPr>
    </w:p>
    <w:p>
      <w:pPr>
        <w:ind w:left="360" w:right="331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During the year, sales and administrative expenses included management fees for an amount of $1,000,000 (nil in 1994) payable to the parent company.</w:t>
      </w:r>
    </w:p>
    <w:p>
      <w:pPr>
        <w:spacing w:after="0" w:line="200" w:lineRule="exact"/>
        <w:rPr>
          <w:sz w:val="20"/>
          <w:szCs w:val="20"/>
          <w:color w:val="auto"/>
        </w:rPr>
      </w:pPr>
    </w:p>
    <w:p>
      <w:pPr>
        <w:spacing w:after="0" w:line="29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AUDITORS' REPORT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Directors of Les entreprises de rebuts Sanipan Inc.</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have audited the balance sheet of the business of Les entreprises de</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rebuts Sanipan Inc. acquired by USA Waste Services, Inc. as described in Note 1 as at December 31, 1995 and the statements of earnings, retained earnings and changes in financial position for the year then ended. These financial statements are the responsibility of the Company's management. Our responsibility is to express an opinion on these financial statements based on our audit.</w:t>
      </w:r>
    </w:p>
    <w:p>
      <w:pPr>
        <w:spacing w:after="0" w:line="34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in Canada. Those standards require that we plan and perform an audit to obtain reasonable assurance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w:t>
      </w:r>
    </w:p>
    <w:p>
      <w:pPr>
        <w:spacing w:after="0" w:line="334" w:lineRule="exact"/>
        <w:rPr>
          <w:sz w:val="20"/>
          <w:szCs w:val="20"/>
          <w:color w:val="auto"/>
        </w:rPr>
      </w:pPr>
    </w:p>
    <w:p>
      <w:pPr>
        <w:ind w:right="3759"/>
        <w:spacing w:after="0" w:line="236" w:lineRule="auto"/>
        <w:rPr>
          <w:sz w:val="20"/>
          <w:szCs w:val="20"/>
          <w:color w:val="auto"/>
        </w:rPr>
      </w:pPr>
      <w:r>
        <w:rPr>
          <w:rFonts w:ascii="Courier New" w:cs="Courier New" w:eastAsia="Courier New" w:hAnsi="Courier New"/>
          <w:sz w:val="15"/>
          <w:szCs w:val="15"/>
          <w:color w:val="auto"/>
        </w:rPr>
        <w:t>In our opinion, these financial statements present fairly, in all material respects, the financial position of the Company, as described above as at December 31, 1995 and the results of its operations and the changes in its financial position for the year then ended, in accordance with generally accepted accounting principles in Canada.</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Chartered Accountants</w:t>
      </w:r>
    </w:p>
    <w:p>
      <w:pPr>
        <w:spacing w:after="0" w:line="237" w:lineRule="auto"/>
        <w:rPr>
          <w:sz w:val="20"/>
          <w:szCs w:val="20"/>
          <w:color w:val="auto"/>
        </w:rPr>
      </w:pPr>
      <w:r>
        <w:rPr>
          <w:rFonts w:ascii="Courier New" w:cs="Courier New" w:eastAsia="Courier New" w:hAnsi="Courier New"/>
          <w:sz w:val="15"/>
          <w:szCs w:val="15"/>
          <w:color w:val="auto"/>
        </w:rPr>
        <w:t>Montreal, Quebec</w:t>
      </w:r>
    </w:p>
    <w:p>
      <w:pPr>
        <w:spacing w:after="0" w:line="238" w:lineRule="auto"/>
        <w:rPr>
          <w:sz w:val="20"/>
          <w:szCs w:val="20"/>
          <w:color w:val="auto"/>
        </w:rPr>
      </w:pPr>
      <w:r>
        <w:rPr>
          <w:rFonts w:ascii="Courier New" w:cs="Courier New" w:eastAsia="Courier New" w:hAnsi="Courier New"/>
          <w:sz w:val="15"/>
          <w:szCs w:val="15"/>
          <w:color w:val="auto"/>
        </w:rPr>
        <w:t>October 25, 1996</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17</w:t>
      </w:r>
    </w:p>
    <w:p>
      <w:pPr>
        <w:spacing w:after="0" w:line="237" w:lineRule="auto"/>
        <w:rPr>
          <w:sz w:val="20"/>
          <w:szCs w:val="20"/>
          <w:color w:val="auto"/>
        </w:rPr>
      </w:pPr>
      <w:r>
        <w:rPr>
          <w:rFonts w:ascii="Courier New" w:cs="Courier New" w:eastAsia="Courier New" w:hAnsi="Courier New"/>
          <w:sz w:val="15"/>
          <w:szCs w:val="15"/>
          <w:color w:val="auto"/>
        </w:rPr>
        <w:t>LES ENTREPRISES DE REBUTS SANIPAN INC.</w:t>
      </w:r>
    </w:p>
    <w:p>
      <w:pPr>
        <w:spacing w:after="0" w:line="238" w:lineRule="auto"/>
        <w:rPr>
          <w:sz w:val="20"/>
          <w:szCs w:val="20"/>
          <w:color w:val="auto"/>
        </w:rPr>
      </w:pPr>
      <w:r>
        <w:rPr>
          <w:rFonts w:ascii="Courier New" w:cs="Courier New" w:eastAsia="Courier New" w:hAnsi="Courier New"/>
          <w:sz w:val="15"/>
          <w:szCs w:val="15"/>
          <w:color w:val="auto"/>
        </w:rPr>
        <w:t>STATEMENT OF EARNINGS AND RETAINED EARNINGS</w:t>
      </w:r>
    </w:p>
    <w:p>
      <w:pPr>
        <w:spacing w:after="0" w:line="237" w:lineRule="auto"/>
        <w:rPr>
          <w:sz w:val="20"/>
          <w:szCs w:val="20"/>
          <w:color w:val="auto"/>
        </w:rPr>
      </w:pPr>
      <w:r>
        <w:rPr>
          <w:rFonts w:ascii="Courier New" w:cs="Courier New" w:eastAsia="Courier New" w:hAnsi="Courier New"/>
          <w:sz w:val="15"/>
          <w:szCs w:val="15"/>
          <w:color w:val="auto"/>
        </w:rPr>
        <w:t>YEAR ENDED DECEMBER 31, 1995</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820"/>
        <w:spacing w:after="0"/>
        <w:tabs>
          <w:tab w:leader="none" w:pos="628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ind w:left="180" w:hanging="170"/>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9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r>
        <w:rPr>
          <w:rFonts w:ascii="Courier New" w:cs="Courier New" w:eastAsia="Courier New" w:hAnsi="Courier New"/>
          <w:sz w:val="12"/>
          <w:szCs w:val="12"/>
          <w:color w:val="auto"/>
        </w:rPr>
        <w:t>$</w:t>
      </w:r>
    </w:p>
    <w:p>
      <w:pPr>
        <w:ind w:left="59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9,698,011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10,254,600</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7,108,132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6,867,768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2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2,589,879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3,386,832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Sales and administrative expenses</w:t>
            </w:r>
          </w:p>
        </w:tc>
        <w:tc>
          <w:tcPr>
            <w:tcW w:w="2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2,187,376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1,773,221</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Write-down of investment</w:t>
            </w:r>
          </w:p>
        </w:tc>
        <w:tc>
          <w:tcPr>
            <w:tcW w:w="2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1,077,161</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Amortization of capital assets</w:t>
            </w:r>
          </w:p>
        </w:tc>
        <w:tc>
          <w:tcPr>
            <w:tcW w:w="2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825,208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450,645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640"/>
        <w:spacing w:after="0"/>
        <w:tabs>
          <w:tab w:leader="none" w:pos="6120" w:val="left"/>
        </w:tabs>
        <w:rPr>
          <w:sz w:val="20"/>
          <w:szCs w:val="20"/>
          <w:color w:val="auto"/>
        </w:rPr>
      </w:pPr>
      <w:r>
        <w:rPr>
          <w:rFonts w:ascii="Courier New" w:cs="Courier New" w:eastAsia="Courier New" w:hAnsi="Courier New"/>
          <w:sz w:val="15"/>
          <w:szCs w:val="15"/>
          <w:color w:val="auto"/>
        </w:rPr>
        <w:t>4,089,745</w:t>
      </w:r>
      <w:r>
        <w:rPr>
          <w:sz w:val="20"/>
          <w:szCs w:val="20"/>
          <w:color w:val="auto"/>
        </w:rPr>
        <w:tab/>
      </w:r>
      <w:r>
        <w:rPr>
          <w:rFonts w:ascii="Courier New" w:cs="Courier New" w:eastAsia="Courier New" w:hAnsi="Courier New"/>
          <w:sz w:val="15"/>
          <w:szCs w:val="15"/>
          <w:color w:val="auto"/>
        </w:rPr>
        <w:t>2,223,866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Earnings before income taxes</w:t>
            </w:r>
          </w:p>
        </w:tc>
        <w:tc>
          <w:tcPr>
            <w:tcW w:w="2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(1,499,866)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1,162,966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jc w:val="right"/>
              <w:ind w:right="2107"/>
              <w:spacing w:after="0"/>
              <w:rPr>
                <w:sz w:val="20"/>
                <w:szCs w:val="20"/>
                <w:color w:val="auto"/>
              </w:rPr>
            </w:pPr>
            <w:r>
              <w:rPr>
                <w:rFonts w:ascii="Courier New" w:cs="Courier New" w:eastAsia="Courier New" w:hAnsi="Courier New"/>
                <w:sz w:val="15"/>
                <w:szCs w:val="15"/>
                <w:color w:val="auto"/>
                <w:w w:val="96"/>
              </w:rPr>
              <w:t>Income taxes</w:t>
            </w:r>
          </w:p>
        </w:tc>
        <w:tc>
          <w:tcPr>
            <w:tcW w:w="2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24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rPr>
              <w:t>Current recovery</w:t>
            </w:r>
          </w:p>
        </w:tc>
        <w:tc>
          <w:tcPr>
            <w:tcW w:w="2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(258,000)</w:t>
            </w:r>
          </w:p>
        </w:tc>
        <w:tc>
          <w:tcPr>
            <w:tcW w:w="10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4"/>
              </w:rPr>
              <w:t>(13,264)</w:t>
            </w:r>
          </w:p>
        </w:tc>
      </w:tr>
      <w:tr>
        <w:trPr>
          <w:trHeight w:val="168"/>
        </w:trPr>
        <w:tc>
          <w:tcPr>
            <w:tcW w:w="3240" w:type="dxa"/>
            <w:vAlign w:val="bottom"/>
          </w:tcPr>
          <w:p>
            <w:pPr>
              <w:jc w:val="right"/>
              <w:ind w:right="2107"/>
              <w:spacing w:after="0" w:line="168" w:lineRule="exact"/>
              <w:rPr>
                <w:sz w:val="20"/>
                <w:szCs w:val="20"/>
                <w:color w:val="auto"/>
              </w:rPr>
            </w:pPr>
            <w:r>
              <w:rPr>
                <w:rFonts w:ascii="Courier New" w:cs="Courier New" w:eastAsia="Courier New" w:hAnsi="Courier New"/>
                <w:sz w:val="15"/>
                <w:szCs w:val="15"/>
                <w:color w:val="auto"/>
              </w:rPr>
              <w:t>Deferred</w:t>
            </w:r>
          </w:p>
        </w:tc>
        <w:tc>
          <w:tcPr>
            <w:tcW w:w="26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293,000</w:t>
            </w:r>
          </w:p>
        </w:tc>
        <w:tc>
          <w:tcPr>
            <w:tcW w:w="10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442,435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900"/>
        <w:spacing w:after="0"/>
        <w:tabs>
          <w:tab w:leader="none" w:pos="6280" w:val="left"/>
        </w:tabs>
        <w:rPr>
          <w:sz w:val="20"/>
          <w:szCs w:val="20"/>
          <w:color w:val="auto"/>
        </w:rPr>
      </w:pPr>
      <w:r>
        <w:rPr>
          <w:rFonts w:ascii="Courier New" w:cs="Courier New" w:eastAsia="Courier New" w:hAnsi="Courier New"/>
          <w:sz w:val="15"/>
          <w:szCs w:val="15"/>
          <w:color w:val="auto"/>
        </w:rPr>
        <w:t>35,000</w:t>
      </w:r>
      <w:r>
        <w:rPr>
          <w:sz w:val="20"/>
          <w:szCs w:val="20"/>
          <w:color w:val="auto"/>
        </w:rPr>
        <w:tab/>
      </w:r>
      <w:r>
        <w:rPr>
          <w:rFonts w:ascii="Courier New" w:cs="Courier New" w:eastAsia="Courier New" w:hAnsi="Courier New"/>
          <w:sz w:val="15"/>
          <w:szCs w:val="15"/>
          <w:color w:val="auto"/>
        </w:rPr>
        <w:t>429,171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1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(1,534,866)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733,795</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Retained earnings, beginning of year</w:t>
            </w:r>
          </w:p>
        </w:tc>
        <w:tc>
          <w:tcPr>
            <w:tcW w:w="1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3,600,522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2,866,727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RETAINED EARNINGS, END OF YEAR</w:t>
            </w:r>
          </w:p>
        </w:tc>
        <w:tc>
          <w:tcPr>
            <w:tcW w:w="2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2,065,656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3,600,522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18</w:t>
      </w:r>
    </w:p>
    <w:p>
      <w:pPr>
        <w:spacing w:after="0" w:line="237" w:lineRule="auto"/>
        <w:rPr>
          <w:sz w:val="20"/>
          <w:szCs w:val="20"/>
          <w:color w:val="auto"/>
        </w:rPr>
      </w:pPr>
      <w:r>
        <w:rPr>
          <w:rFonts w:ascii="Courier New" w:cs="Courier New" w:eastAsia="Courier New" w:hAnsi="Courier New"/>
          <w:sz w:val="15"/>
          <w:szCs w:val="15"/>
          <w:color w:val="auto"/>
        </w:rPr>
        <w:t>LES ENTREPRISES DE REBUTS SANIPAN INC.</w:t>
      </w:r>
    </w:p>
    <w:p>
      <w:pPr>
        <w:spacing w:after="0" w:line="238" w:lineRule="auto"/>
        <w:rPr>
          <w:sz w:val="20"/>
          <w:szCs w:val="20"/>
          <w:color w:val="auto"/>
        </w:rPr>
      </w:pPr>
      <w:r>
        <w:rPr>
          <w:rFonts w:ascii="Courier New" w:cs="Courier New" w:eastAsia="Courier New" w:hAnsi="Courier New"/>
          <w:sz w:val="15"/>
          <w:szCs w:val="15"/>
          <w:color w:val="auto"/>
        </w:rPr>
        <w:t>BALANCE SHEET</w:t>
      </w:r>
    </w:p>
    <w:p>
      <w:pPr>
        <w:spacing w:after="0" w:line="237" w:lineRule="auto"/>
        <w:rPr>
          <w:sz w:val="20"/>
          <w:szCs w:val="20"/>
          <w:color w:val="auto"/>
        </w:rPr>
      </w:pPr>
      <w:r>
        <w:rPr>
          <w:rFonts w:ascii="Courier New" w:cs="Courier New" w:eastAsia="Courier New" w:hAnsi="Courier New"/>
          <w:sz w:val="15"/>
          <w:szCs w:val="15"/>
          <w:color w:val="auto"/>
        </w:rPr>
        <w:t>AS AT DECEMBER 31, 1995</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080"/>
        <w:spacing w:after="0"/>
        <w:tabs>
          <w:tab w:leader="none" w:pos="628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ind w:left="180" w:hanging="170"/>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51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r>
        <w:rPr>
          <w:rFonts w:ascii="Courier New" w:cs="Courier New" w:eastAsia="Courier New" w:hAnsi="Courier New"/>
          <w:sz w:val="12"/>
          <w:szCs w:val="12"/>
          <w:color w:val="auto"/>
        </w:rPr>
        <w:t>$</w:t>
      </w:r>
    </w:p>
    <w:p>
      <w:pPr>
        <w:ind w:left="60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17,186</w:t>
            </w: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117,595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96,594</w:t>
            </w: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Advances to affiliated companies</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2,350,526</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2,513,706</w:t>
            </w: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Inventories</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26,525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26,526</w:t>
            </w: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Prepaid expenses</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111,617</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19,402</w:t>
            </w: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taxes</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441,594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57,744</w:t>
            </w:r>
          </w:p>
        </w:tc>
      </w:tr>
    </w:tbl>
    <w:p>
      <w:pPr>
        <w:spacing w:after="0" w:line="5" w:lineRule="exact"/>
        <w:rPr>
          <w:sz w:val="20"/>
          <w:szCs w:val="20"/>
          <w:color w:val="auto"/>
        </w:rPr>
      </w:pPr>
    </w:p>
    <w:p>
      <w:pPr>
        <w:ind w:left="180" w:hanging="170"/>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9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3,047,857</w:t>
      </w:r>
      <w:r>
        <w:rPr>
          <w:rFonts w:ascii="Courier New" w:cs="Courier New" w:eastAsia="Courier New" w:hAnsi="Courier New"/>
          <w:sz w:val="14"/>
          <w:szCs w:val="14"/>
          <w:color w:val="auto"/>
        </w:rPr>
        <w:t>2,731,158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Investment, at cost (Note 4)</w:t>
            </w:r>
          </w:p>
        </w:tc>
        <w:tc>
          <w:tcPr>
            <w:tcW w:w="2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1,077,161</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assets (Note 5)</w:t>
            </w:r>
          </w:p>
        </w:tc>
        <w:tc>
          <w:tcPr>
            <w:tcW w:w="2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10,588,894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7,569,276</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2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185,103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820"/>
        <w:spacing w:after="0"/>
        <w:tabs>
          <w:tab w:leader="none" w:pos="6120" w:val="left"/>
        </w:tabs>
        <w:rPr>
          <w:sz w:val="20"/>
          <w:szCs w:val="20"/>
          <w:color w:val="auto"/>
        </w:rPr>
      </w:pPr>
      <w:r>
        <w:rPr>
          <w:rFonts w:ascii="Courier New" w:cs="Courier New" w:eastAsia="Courier New" w:hAnsi="Courier New"/>
          <w:sz w:val="15"/>
          <w:szCs w:val="15"/>
          <w:color w:val="auto"/>
        </w:rPr>
        <w:t>13,636,751</w:t>
      </w:r>
      <w:r>
        <w:rPr>
          <w:sz w:val="20"/>
          <w:szCs w:val="20"/>
          <w:color w:val="auto"/>
        </w:rPr>
        <w:tab/>
      </w:r>
      <w:r>
        <w:rPr>
          <w:rFonts w:ascii="Courier New" w:cs="Courier New" w:eastAsia="Courier New" w:hAnsi="Courier New"/>
          <w:sz w:val="15"/>
          <w:szCs w:val="15"/>
          <w:color w:val="auto"/>
        </w:rPr>
        <w:t>11,562,698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Bank indebtedness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1,300,536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1,220,574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1,226,872</w:t>
            </w: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Advances from affiliated companies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7,755,884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6,095,134</w:t>
            </w:r>
          </w:p>
        </w:tc>
      </w:tr>
    </w:tbl>
    <w:p>
      <w:pPr>
        <w:spacing w:after="0" w:line="5" w:lineRule="exact"/>
        <w:rPr>
          <w:sz w:val="20"/>
          <w:szCs w:val="20"/>
          <w:color w:val="auto"/>
        </w:rPr>
      </w:pPr>
    </w:p>
    <w:p>
      <w:pPr>
        <w:ind w:left="180" w:hanging="170"/>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8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10,276,994</w:t>
      </w:r>
      <w:r>
        <w:rPr>
          <w:rFonts w:ascii="Courier New" w:cs="Courier New" w:eastAsia="Courier New" w:hAnsi="Courier New"/>
          <w:sz w:val="14"/>
          <w:szCs w:val="14"/>
          <w:color w:val="auto"/>
        </w:rPr>
        <w:t>7,322,006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Provision for post-closure costs</w:t>
            </w:r>
          </w:p>
        </w:tc>
        <w:tc>
          <w:tcPr>
            <w:tcW w:w="2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444,000</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2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849,101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639,170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820"/>
        <w:spacing w:after="0"/>
        <w:tabs>
          <w:tab w:leader="none" w:pos="6200" w:val="left"/>
        </w:tabs>
        <w:rPr>
          <w:sz w:val="20"/>
          <w:szCs w:val="20"/>
          <w:color w:val="auto"/>
        </w:rPr>
      </w:pPr>
      <w:r>
        <w:rPr>
          <w:rFonts w:ascii="Courier New" w:cs="Courier New" w:eastAsia="Courier New" w:hAnsi="Courier New"/>
          <w:sz w:val="15"/>
          <w:szCs w:val="15"/>
          <w:color w:val="auto"/>
        </w:rPr>
        <w:t>11,570,095</w:t>
      </w:r>
      <w:r>
        <w:rPr>
          <w:sz w:val="20"/>
          <w:szCs w:val="20"/>
          <w:color w:val="auto"/>
        </w:rPr>
        <w:tab/>
      </w:r>
      <w:r>
        <w:rPr>
          <w:rFonts w:ascii="Courier New" w:cs="Courier New" w:eastAsia="Courier New" w:hAnsi="Courier New"/>
          <w:sz w:val="15"/>
          <w:szCs w:val="15"/>
          <w:color w:val="auto"/>
        </w:rPr>
        <w:t>7,961,176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Share capital (Note 6)</w:t>
            </w:r>
          </w:p>
        </w:tc>
        <w:tc>
          <w:tcPr>
            <w:tcW w:w="2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2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2,065,656</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3,600,522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900"/>
        <w:spacing w:after="0"/>
        <w:tabs>
          <w:tab w:leader="none" w:pos="6200" w:val="left"/>
        </w:tabs>
        <w:rPr>
          <w:sz w:val="20"/>
          <w:szCs w:val="20"/>
          <w:color w:val="auto"/>
        </w:rPr>
      </w:pPr>
      <w:r>
        <w:rPr>
          <w:rFonts w:ascii="Courier New" w:cs="Courier New" w:eastAsia="Courier New" w:hAnsi="Courier New"/>
          <w:sz w:val="15"/>
          <w:szCs w:val="15"/>
          <w:color w:val="auto"/>
        </w:rPr>
        <w:t>2,066,656</w:t>
      </w:r>
      <w:r>
        <w:rPr>
          <w:sz w:val="20"/>
          <w:szCs w:val="20"/>
          <w:color w:val="auto"/>
        </w:rPr>
        <w:tab/>
      </w:r>
      <w:r>
        <w:rPr>
          <w:rFonts w:ascii="Courier New" w:cs="Courier New" w:eastAsia="Courier New" w:hAnsi="Courier New"/>
          <w:sz w:val="15"/>
          <w:szCs w:val="15"/>
          <w:color w:val="auto"/>
        </w:rPr>
        <w:t>3,601,522</w:t>
      </w:r>
    </w:p>
    <w:p>
      <w:pPr>
        <w:spacing w:after="0" w:line="5" w:lineRule="exact"/>
        <w:rPr>
          <w:sz w:val="20"/>
          <w:szCs w:val="20"/>
          <w:color w:val="auto"/>
        </w:rPr>
      </w:pPr>
    </w:p>
    <w:p>
      <w:pPr>
        <w:ind w:left="180" w:hanging="170"/>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8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13,636,751</w:t>
      </w:r>
      <w:r>
        <w:rPr>
          <w:rFonts w:ascii="Courier New" w:cs="Courier New" w:eastAsia="Courier New" w:hAnsi="Courier New"/>
          <w:sz w:val="14"/>
          <w:szCs w:val="14"/>
          <w:color w:val="auto"/>
        </w:rPr>
        <w:t>11,562,698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19</w:t>
      </w:r>
    </w:p>
    <w:p>
      <w:pPr>
        <w:spacing w:after="0" w:line="237" w:lineRule="auto"/>
        <w:rPr>
          <w:sz w:val="20"/>
          <w:szCs w:val="20"/>
          <w:color w:val="auto"/>
        </w:rPr>
      </w:pPr>
      <w:r>
        <w:rPr>
          <w:rFonts w:ascii="Courier New" w:cs="Courier New" w:eastAsia="Courier New" w:hAnsi="Courier New"/>
          <w:sz w:val="15"/>
          <w:szCs w:val="15"/>
          <w:color w:val="auto"/>
        </w:rPr>
        <w:t>LES ENTREPRISES DE REBUTS SANIPAN INC.</w:t>
      </w:r>
    </w:p>
    <w:p>
      <w:pPr>
        <w:spacing w:after="0" w:line="238" w:lineRule="auto"/>
        <w:rPr>
          <w:sz w:val="20"/>
          <w:szCs w:val="20"/>
          <w:color w:val="auto"/>
        </w:rPr>
      </w:pPr>
      <w:r>
        <w:rPr>
          <w:rFonts w:ascii="Courier New" w:cs="Courier New" w:eastAsia="Courier New" w:hAnsi="Courier New"/>
          <w:sz w:val="15"/>
          <w:szCs w:val="15"/>
          <w:color w:val="auto"/>
        </w:rPr>
        <w:t>STATEMENT OF CHANGES IN FINANCIAL POSITION</w:t>
      </w:r>
    </w:p>
    <w:p>
      <w:pPr>
        <w:spacing w:after="0" w:line="237" w:lineRule="auto"/>
        <w:rPr>
          <w:sz w:val="20"/>
          <w:szCs w:val="20"/>
          <w:color w:val="auto"/>
        </w:rPr>
      </w:pPr>
      <w:r>
        <w:rPr>
          <w:rFonts w:ascii="Courier New" w:cs="Courier New" w:eastAsia="Courier New" w:hAnsi="Courier New"/>
          <w:sz w:val="15"/>
          <w:szCs w:val="15"/>
          <w:color w:val="auto"/>
        </w:rPr>
        <w:t>YEAR ENDED DECEMBER 31,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000"/>
        <w:spacing w:after="0"/>
        <w:tabs>
          <w:tab w:leader="none" w:pos="638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ind w:left="180" w:hanging="170"/>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51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r>
        <w:rPr>
          <w:rFonts w:ascii="Courier New" w:cs="Courier New" w:eastAsia="Courier New" w:hAnsi="Courier New"/>
          <w:sz w:val="12"/>
          <w:szCs w:val="12"/>
          <w:color w:val="auto"/>
        </w:rPr>
        <w:t>$</w:t>
      </w:r>
    </w:p>
    <w:p>
      <w:pPr>
        <w:ind w:left="60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7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provided by operations</w:t>
            </w:r>
          </w:p>
        </w:tc>
        <w:tc>
          <w:tcPr>
            <w:tcW w:w="17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earnings</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(1,534,866)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733,795</w:t>
            </w:r>
          </w:p>
        </w:tc>
      </w:tr>
      <w:tr>
        <w:trPr>
          <w:trHeight w:val="168"/>
        </w:trPr>
        <w:tc>
          <w:tcPr>
            <w:tcW w:w="43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Items not affecting cash</w:t>
            </w:r>
          </w:p>
        </w:tc>
        <w:tc>
          <w:tcPr>
            <w:tcW w:w="17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Amortization</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825,208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450,645</w:t>
            </w:r>
          </w:p>
        </w:tc>
      </w:tr>
      <w:tr>
        <w:trPr>
          <w:trHeight w:val="168"/>
        </w:trPr>
        <w:tc>
          <w:tcPr>
            <w:tcW w:w="43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Write-down of investment</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1,077,161</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Post closure costs</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444,000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209,931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367,172</w:t>
            </w:r>
          </w:p>
        </w:tc>
      </w:tr>
      <w:tr>
        <w:trPr>
          <w:trHeight w:val="168"/>
        </w:trPr>
        <w:tc>
          <w:tcPr>
            <w:tcW w:w="43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Gain (loss) on sale of equipment</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19,916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w:t>
            </w:r>
          </w:p>
        </w:tc>
      </w:tr>
    </w:tbl>
    <w:p>
      <w:pPr>
        <w:spacing w:after="0" w:line="5" w:lineRule="exact"/>
        <w:rPr>
          <w:sz w:val="20"/>
          <w:szCs w:val="20"/>
          <w:color w:val="auto"/>
        </w:rPr>
      </w:pPr>
    </w:p>
    <w:p>
      <w:pPr>
        <w:ind w:left="180" w:hanging="170"/>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9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1,041,350</w:t>
      </w:r>
      <w:r>
        <w:rPr>
          <w:rFonts w:ascii="Courier New" w:cs="Courier New" w:eastAsia="Courier New" w:hAnsi="Courier New"/>
          <w:sz w:val="14"/>
          <w:szCs w:val="14"/>
          <w:color w:val="auto"/>
        </w:rPr>
        <w:t>1,551,299</w:t>
      </w:r>
    </w:p>
    <w:p>
      <w:pPr>
        <w:spacing w:after="0" w:line="167"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Changes in non-cash working capital items</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1,320,567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1,224,002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900"/>
        <w:spacing w:after="0"/>
        <w:tabs>
          <w:tab w:leader="none" w:pos="6120" w:val="left"/>
        </w:tabs>
        <w:rPr>
          <w:sz w:val="20"/>
          <w:szCs w:val="20"/>
          <w:color w:val="auto"/>
        </w:rPr>
      </w:pPr>
      <w:r>
        <w:rPr>
          <w:rFonts w:ascii="Courier New" w:cs="Courier New" w:eastAsia="Courier New" w:hAnsi="Courier New"/>
          <w:sz w:val="15"/>
          <w:szCs w:val="15"/>
          <w:color w:val="auto"/>
        </w:rPr>
        <w:t>2,361,917</w:t>
      </w:r>
      <w:r>
        <w:rPr>
          <w:sz w:val="20"/>
          <w:szCs w:val="20"/>
          <w:color w:val="auto"/>
        </w:rPr>
        <w:tab/>
      </w:r>
      <w:r>
        <w:rPr>
          <w:rFonts w:ascii="Courier New" w:cs="Courier New" w:eastAsia="Courier New" w:hAnsi="Courier New"/>
          <w:sz w:val="15"/>
          <w:szCs w:val="15"/>
          <w:color w:val="auto"/>
        </w:rPr>
        <w:t>2,775,301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gridSpan w:val="3"/>
          </w:tcPr>
          <w:p>
            <w:pPr>
              <w:spacing w:after="0"/>
              <w:rPr>
                <w:sz w:val="20"/>
                <w:szCs w:val="20"/>
                <w:color w:val="auto"/>
              </w:rPr>
            </w:pPr>
            <w:r>
              <w:rPr>
                <w:rFonts w:ascii="Courier New" w:cs="Courier New" w:eastAsia="Courier New" w:hAnsi="Courier New"/>
                <w:sz w:val="15"/>
                <w:szCs w:val="15"/>
                <w:color w:val="auto"/>
              </w:rPr>
              <w:t>INVESTING ACTIVITIES</w:t>
            </w:r>
          </w:p>
        </w:tc>
        <w:tc>
          <w:tcPr>
            <w:tcW w:w="1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434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Additions to capital assets</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(3,959,493)</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(2,916,473)</w:t>
            </w:r>
          </w:p>
        </w:tc>
      </w:tr>
      <w:tr>
        <w:trPr>
          <w:trHeight w:val="168"/>
        </w:trPr>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Proceeds</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on</w:t>
            </w:r>
          </w:p>
        </w:tc>
        <w:tc>
          <w:tcPr>
            <w:tcW w:w="2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disposal of capital assets</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94,751</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w:t>
            </w:r>
          </w:p>
        </w:tc>
      </w:tr>
      <w:tr>
        <w:trPr>
          <w:trHeight w:val="168"/>
        </w:trPr>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Decrease</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w:t>
            </w:r>
          </w:p>
        </w:tc>
        <w:tc>
          <w:tcPr>
            <w:tcW w:w="2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outstanding loan from parent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185,103</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22,346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820"/>
        <w:spacing w:after="0"/>
        <w:tabs>
          <w:tab w:leader="none" w:pos="6020" w:val="left"/>
        </w:tabs>
        <w:rPr>
          <w:sz w:val="20"/>
          <w:szCs w:val="20"/>
          <w:color w:val="auto"/>
        </w:rPr>
      </w:pPr>
      <w:r>
        <w:rPr>
          <w:rFonts w:ascii="Courier New" w:cs="Courier New" w:eastAsia="Courier New" w:hAnsi="Courier New"/>
          <w:sz w:val="15"/>
          <w:szCs w:val="15"/>
          <w:color w:val="auto"/>
        </w:rPr>
        <w:t>(3,679,639)</w:t>
        <w:tab/>
        <w:t>(2,893,927)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change in cash</w:t>
            </w:r>
          </w:p>
        </w:tc>
        <w:tc>
          <w:tcPr>
            <w:tcW w:w="2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(1,317,722)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(118,626)</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beginning of year</w:t>
            </w:r>
          </w:p>
        </w:tc>
        <w:tc>
          <w:tcPr>
            <w:tcW w:w="2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17,186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135,812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CASH (BANK INDEBTEDNESS), END OF YEAR</w:t>
            </w:r>
          </w:p>
        </w:tc>
        <w:tc>
          <w:tcPr>
            <w:tcW w:w="2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(1,300,536)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17,186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20</w:t>
      </w:r>
    </w:p>
    <w:p>
      <w:pPr>
        <w:spacing w:after="0" w:line="237" w:lineRule="auto"/>
        <w:rPr>
          <w:sz w:val="20"/>
          <w:szCs w:val="20"/>
          <w:color w:val="auto"/>
        </w:rPr>
      </w:pPr>
      <w:r>
        <w:rPr>
          <w:rFonts w:ascii="Courier New" w:cs="Courier New" w:eastAsia="Courier New" w:hAnsi="Courier New"/>
          <w:sz w:val="15"/>
          <w:szCs w:val="15"/>
          <w:color w:val="auto"/>
        </w:rPr>
        <w:t>LES ENTREPRISES DE REBUTS SANIPAN INC.</w:t>
      </w:r>
    </w:p>
    <w:p>
      <w:pPr>
        <w:spacing w:after="0" w:line="238" w:lineRule="auto"/>
        <w:rPr>
          <w:sz w:val="20"/>
          <w:szCs w:val="20"/>
          <w:color w:val="auto"/>
        </w:rPr>
      </w:pPr>
      <w:r>
        <w:rPr>
          <w:rFonts w:ascii="Courier New" w:cs="Courier New" w:eastAsia="Courier New" w:hAnsi="Courier New"/>
          <w:sz w:val="15"/>
          <w:szCs w:val="15"/>
          <w:color w:val="auto"/>
        </w:rPr>
        <w:t>NOTES TO THE FINANCIAL STATEMENTS</w:t>
      </w:r>
    </w:p>
    <w:p>
      <w:pPr>
        <w:spacing w:after="0" w:line="237" w:lineRule="auto"/>
        <w:rPr>
          <w:sz w:val="20"/>
          <w:szCs w:val="20"/>
          <w:color w:val="auto"/>
        </w:rPr>
      </w:pPr>
      <w:r>
        <w:rPr>
          <w:rFonts w:ascii="Courier New" w:cs="Courier New" w:eastAsia="Courier New" w:hAnsi="Courier New"/>
          <w:sz w:val="15"/>
          <w:szCs w:val="15"/>
          <w:color w:val="auto"/>
        </w:rPr>
        <w:t>YEAR ENDED DECEMBER 31,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440" w:hanging="430"/>
        <w:spacing w:after="0"/>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341" w:lineRule="exact"/>
        <w:rPr>
          <w:rFonts w:ascii="Courier New" w:cs="Courier New" w:eastAsia="Courier New" w:hAnsi="Courier New"/>
          <w:sz w:val="15"/>
          <w:szCs w:val="15"/>
          <w:color w:val="auto"/>
        </w:rPr>
      </w:pPr>
    </w:p>
    <w:p>
      <w:pPr>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statements of Les Entreprises de Rebuts Sanipan Inc. are prepared for the purpose of complying with the rules and regalations of the Securities and Exchange Commission (for inclusion in the current report on form 8K/A of USA Waste Services, Inc.) and reflect the operations of the company with the exclusion of the subsidiaries, Sablix Inc. and 2842-7979 Quebec Inc. since the subsidiaries are not part of the sale agreement to USA Waste Services, Inc.</w:t>
      </w:r>
    </w:p>
    <w:p>
      <w:pPr>
        <w:spacing w:after="0" w:line="33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STATUS AND NATURE OF ACTIVITIES</w:t>
      </w:r>
    </w:p>
    <w:p>
      <w:pPr>
        <w:spacing w:after="0" w:line="172" w:lineRule="exact"/>
        <w:rPr>
          <w:rFonts w:ascii="Courier New" w:cs="Courier New" w:eastAsia="Courier New" w:hAnsi="Courier New"/>
          <w:sz w:val="15"/>
          <w:szCs w:val="15"/>
          <w:color w:val="auto"/>
        </w:rPr>
      </w:pPr>
    </w:p>
    <w:p>
      <w:pPr>
        <w:jc w:val="both"/>
        <w:ind w:left="440" w:right="35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incorporated under the Canada Business Corporations Act. The Company is held 100% by Intersan Inc. and its principal activity is the operation of a landfill site.</w:t>
      </w:r>
    </w:p>
    <w:p>
      <w:pPr>
        <w:spacing w:after="0" w:line="1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POLICIES</w:t>
      </w:r>
    </w:p>
    <w:p>
      <w:pPr>
        <w:spacing w:after="0" w:line="172" w:lineRule="exact"/>
        <w:rPr>
          <w:rFonts w:ascii="Courier New" w:cs="Courier New" w:eastAsia="Courier New" w:hAnsi="Courier New"/>
          <w:sz w:val="15"/>
          <w:szCs w:val="15"/>
          <w:color w:val="auto"/>
        </w:rPr>
      </w:pPr>
    </w:p>
    <w:p>
      <w:pPr>
        <w:ind w:left="44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statements have been prepared in accordance with accounting principles generally accepted in Canada. The significant accounting policies are:</w:t>
      </w:r>
    </w:p>
    <w:p>
      <w:pPr>
        <w:spacing w:after="0" w:line="167"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w:t>
      </w:r>
    </w:p>
    <w:p>
      <w:pPr>
        <w:spacing w:after="0" w:line="172" w:lineRule="exact"/>
        <w:rPr>
          <w:rFonts w:ascii="Courier New" w:cs="Courier New" w:eastAsia="Courier New" w:hAnsi="Courier New"/>
          <w:sz w:val="15"/>
          <w:szCs w:val="15"/>
          <w:color w:val="auto"/>
        </w:rPr>
      </w:pPr>
    </w:p>
    <w:p>
      <w:pPr>
        <w:ind w:left="440" w:right="3939"/>
        <w:spacing w:after="0" w:line="4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investment in the subsidiaries is recorded at acquisition cost. Capital assets</w:t>
      </w:r>
    </w:p>
    <w:p>
      <w:pPr>
        <w:spacing w:after="0" w:line="14" w:lineRule="exact"/>
        <w:rPr>
          <w:sz w:val="20"/>
          <w:szCs w:val="20"/>
          <w:color w:val="auto"/>
        </w:rPr>
      </w:pPr>
    </w:p>
    <w:p>
      <w:pPr>
        <w:ind w:left="440" w:right="3679"/>
        <w:spacing w:after="0" w:line="261" w:lineRule="auto"/>
        <w:rPr>
          <w:sz w:val="20"/>
          <w:szCs w:val="20"/>
          <w:color w:val="auto"/>
        </w:rPr>
      </w:pPr>
      <w:r>
        <w:rPr>
          <w:rFonts w:ascii="Courier New" w:cs="Courier New" w:eastAsia="Courier New" w:hAnsi="Courier New"/>
          <w:sz w:val="14"/>
          <w:szCs w:val="14"/>
          <w:color w:val="auto"/>
        </w:rPr>
        <w:t>Capital assets are reported at cost and amortization is based on their estimated useful life at the following annual rates and terms: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2060" w:type="dxa"/>
            <w:vAlign w:val="bottom"/>
          </w:tcPr>
          <w:p>
            <w:pPr>
              <w:ind w:left="140"/>
              <w:spacing w:after="0"/>
              <w:rPr>
                <w:sz w:val="20"/>
                <w:szCs w:val="20"/>
                <w:color w:val="auto"/>
              </w:rPr>
            </w:pPr>
            <w:r>
              <w:rPr>
                <w:rFonts w:ascii="Courier New" w:cs="Courier New" w:eastAsia="Courier New" w:hAnsi="Courier New"/>
                <w:sz w:val="15"/>
                <w:szCs w:val="15"/>
                <w:color w:val="auto"/>
              </w:rPr>
              <w:t>Method</w:t>
            </w:r>
          </w:p>
        </w:tc>
        <w:tc>
          <w:tcPr>
            <w:tcW w:w="1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Rate/term</w:t>
            </w:r>
          </w:p>
        </w:tc>
      </w:tr>
      <w:tr>
        <w:trPr>
          <w:trHeight w:val="336"/>
        </w:trPr>
        <w:tc>
          <w:tcPr>
            <w:tcW w:w="3280" w:type="dxa"/>
            <w:vAlign w:val="bottom"/>
          </w:tcPr>
          <w:p>
            <w:pPr>
              <w:ind w:left="880"/>
              <w:spacing w:after="0"/>
              <w:rPr>
                <w:sz w:val="20"/>
                <w:szCs w:val="20"/>
                <w:color w:val="auto"/>
              </w:rPr>
            </w:pPr>
            <w:r>
              <w:rPr>
                <w:rFonts w:ascii="Courier New" w:cs="Courier New" w:eastAsia="Courier New" w:hAnsi="Courier New"/>
                <w:sz w:val="15"/>
                <w:szCs w:val="15"/>
                <w:color w:val="auto"/>
              </w:rPr>
              <w:t>Building</w:t>
            </w:r>
          </w:p>
        </w:tc>
        <w:tc>
          <w:tcPr>
            <w:tcW w:w="2060" w:type="dxa"/>
            <w:vAlign w:val="bottom"/>
          </w:tcPr>
          <w:p>
            <w:pPr>
              <w:ind w:left="140"/>
              <w:spacing w:after="0"/>
              <w:rPr>
                <w:sz w:val="20"/>
                <w:szCs w:val="20"/>
                <w:color w:val="auto"/>
              </w:rPr>
            </w:pPr>
            <w:r>
              <w:rPr>
                <w:rFonts w:ascii="Courier New" w:cs="Courier New" w:eastAsia="Courier New" w:hAnsi="Courier New"/>
                <w:sz w:val="15"/>
                <w:szCs w:val="15"/>
                <w:color w:val="auto"/>
              </w:rPr>
              <w:t>declining balance</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5%</w:t>
            </w:r>
          </w:p>
        </w:tc>
        <w:tc>
          <w:tcPr>
            <w:tcW w:w="1080" w:type="dxa"/>
            <w:vAlign w:val="bottom"/>
          </w:tcPr>
          <w:p>
            <w:pPr>
              <w:spacing w:after="0"/>
              <w:rPr>
                <w:sz w:val="24"/>
                <w:szCs w:val="24"/>
                <w:color w:val="auto"/>
              </w:rPr>
            </w:pPr>
          </w:p>
        </w:tc>
      </w:tr>
      <w:tr>
        <w:trPr>
          <w:trHeight w:val="168"/>
        </w:trPr>
        <w:tc>
          <w:tcPr>
            <w:tcW w:w="32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Automotive equipment</w:t>
            </w:r>
          </w:p>
        </w:tc>
        <w:tc>
          <w:tcPr>
            <w:tcW w:w="2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straight-line</w:t>
            </w:r>
          </w:p>
        </w:tc>
        <w:tc>
          <w:tcPr>
            <w:tcW w:w="16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5 to 10 years</w:t>
            </w:r>
          </w:p>
        </w:tc>
      </w:tr>
      <w:tr>
        <w:trPr>
          <w:trHeight w:val="168"/>
        </w:trPr>
        <w:tc>
          <w:tcPr>
            <w:tcW w:w="32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2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declining balance</w:t>
            </w:r>
          </w:p>
        </w:tc>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w:t>
            </w:r>
          </w:p>
        </w:tc>
        <w:tc>
          <w:tcPr>
            <w:tcW w:w="1080" w:type="dxa"/>
            <w:vAlign w:val="bottom"/>
          </w:tcPr>
          <w:p>
            <w:pPr>
              <w:spacing w:after="0"/>
              <w:rPr>
                <w:sz w:val="14"/>
                <w:szCs w:val="14"/>
                <w:color w:val="auto"/>
              </w:rPr>
            </w:pPr>
          </w:p>
        </w:tc>
      </w:tr>
      <w:tr>
        <w:trPr>
          <w:trHeight w:val="168"/>
        </w:trPr>
        <w:tc>
          <w:tcPr>
            <w:tcW w:w="32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Furniture and fixtures</w:t>
            </w:r>
          </w:p>
        </w:tc>
        <w:tc>
          <w:tcPr>
            <w:tcW w:w="2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declining balance</w:t>
            </w:r>
          </w:p>
        </w:tc>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w:t>
            </w:r>
          </w:p>
        </w:tc>
        <w:tc>
          <w:tcPr>
            <w:tcW w:w="1080" w:type="dxa"/>
            <w:vAlign w:val="bottom"/>
          </w:tcPr>
          <w:p>
            <w:pPr>
              <w:spacing w:after="0"/>
              <w:rPr>
                <w:sz w:val="14"/>
                <w:szCs w:val="14"/>
                <w:color w:val="auto"/>
              </w:rPr>
            </w:pPr>
          </w:p>
        </w:tc>
      </w:tr>
      <w:tr>
        <w:trPr>
          <w:trHeight w:val="168"/>
        </w:trPr>
        <w:tc>
          <w:tcPr>
            <w:tcW w:w="32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2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straight-line</w:t>
            </w:r>
          </w:p>
        </w:tc>
        <w:tc>
          <w:tcPr>
            <w:tcW w:w="16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remaining lease</w:t>
            </w:r>
          </w:p>
        </w:tc>
      </w:tr>
      <w:tr>
        <w:trPr>
          <w:trHeight w:val="168"/>
        </w:trPr>
        <w:tc>
          <w:tcPr>
            <w:tcW w:w="3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term</w:t>
            </w:r>
          </w:p>
        </w:tc>
        <w:tc>
          <w:tcPr>
            <w:tcW w:w="1080" w:type="dxa"/>
            <w:vAlign w:val="bottom"/>
          </w:tcPr>
          <w:p>
            <w:pPr>
              <w:spacing w:after="0"/>
              <w:rPr>
                <w:sz w:val="14"/>
                <w:szCs w:val="14"/>
                <w:color w:val="auto"/>
              </w:rPr>
            </w:pPr>
          </w:p>
        </w:tc>
      </w:tr>
      <w:tr>
        <w:trPr>
          <w:trHeight w:val="168"/>
        </w:trPr>
        <w:tc>
          <w:tcPr>
            <w:tcW w:w="32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Landfill site improvements</w:t>
            </w:r>
          </w:p>
        </w:tc>
        <w:tc>
          <w:tcPr>
            <w:tcW w:w="2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landfill utilized</w:t>
            </w:r>
          </w:p>
        </w:tc>
        <w:tc>
          <w:tcPr>
            <w:tcW w:w="16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total capacity</w:t>
            </w:r>
          </w:p>
        </w:tc>
      </w:tr>
      <w:tr>
        <w:trPr>
          <w:trHeight w:val="168"/>
        </w:trPr>
        <w:tc>
          <w:tcPr>
            <w:tcW w:w="32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Computer equipment</w:t>
            </w:r>
          </w:p>
        </w:tc>
        <w:tc>
          <w:tcPr>
            <w:tcW w:w="2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declining balance</w:t>
            </w:r>
          </w:p>
        </w:tc>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w:t>
            </w:r>
          </w:p>
        </w:tc>
        <w:tc>
          <w:tcPr>
            <w:tcW w:w="1080" w:type="dxa"/>
            <w:vAlign w:val="bottom"/>
          </w:tcPr>
          <w:p>
            <w:pPr>
              <w:spacing w:after="0"/>
              <w:rPr>
                <w:sz w:val="14"/>
                <w:szCs w:val="14"/>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4.   INVESTMENT, AT COST</w:t>
            </w:r>
          </w:p>
        </w:tc>
        <w:tc>
          <w:tcPr>
            <w:tcW w:w="2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3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1995</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3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(unaudited)</w:t>
            </w:r>
          </w:p>
        </w:tc>
      </w:tr>
      <w:tr>
        <w:trPr>
          <w:trHeight w:val="336"/>
        </w:trPr>
        <w:tc>
          <w:tcPr>
            <w:tcW w:w="53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Shares of Sablix Inc., wholly-owned subsidiary</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15,000</w:t>
            </w:r>
          </w:p>
        </w:tc>
      </w:tr>
      <w:tr>
        <w:trPr>
          <w:trHeight w:val="168"/>
        </w:trPr>
        <w:tc>
          <w:tcPr>
            <w:tcW w:w="53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6"/>
              </w:rPr>
              <w:t>Shares of 2842-7979 Quebec Inc., wholly-owned subsidiary</w:t>
            </w:r>
          </w:p>
        </w:tc>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1,062,161</w:t>
            </w:r>
          </w:p>
        </w:tc>
      </w:tr>
    </w:tbl>
    <w:p>
      <w:pPr>
        <w:spacing w:after="0" w:line="5" w:lineRule="exact"/>
        <w:rPr>
          <w:sz w:val="20"/>
          <w:szCs w:val="20"/>
          <w:color w:val="auto"/>
        </w:rPr>
      </w:pPr>
    </w:p>
    <w:p>
      <w:pPr>
        <w:ind w:left="180" w:hanging="170"/>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6140" w:hanging="620"/>
        <w:spacing w:after="0" w:line="237" w:lineRule="auto"/>
        <w:tabs>
          <w:tab w:leader="none" w:pos="614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1,077,161</w:t>
      </w:r>
    </w:p>
    <w:p>
      <w:pPr>
        <w:spacing w:after="0" w:line="5"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21</w:t>
      </w:r>
    </w:p>
    <w:p>
      <w:pPr>
        <w:spacing w:after="0" w:line="237" w:lineRule="auto"/>
        <w:rPr>
          <w:sz w:val="20"/>
          <w:szCs w:val="20"/>
          <w:color w:val="auto"/>
        </w:rPr>
      </w:pPr>
      <w:r>
        <w:rPr>
          <w:rFonts w:ascii="Courier New" w:cs="Courier New" w:eastAsia="Courier New" w:hAnsi="Courier New"/>
          <w:sz w:val="15"/>
          <w:szCs w:val="15"/>
          <w:color w:val="auto"/>
        </w:rPr>
        <w:t>LES ENTREPRISES DE REBUTS SANIPAN INC.</w:t>
      </w:r>
    </w:p>
    <w:p>
      <w:pPr>
        <w:spacing w:after="0" w:line="238" w:lineRule="auto"/>
        <w:rPr>
          <w:sz w:val="20"/>
          <w:szCs w:val="20"/>
          <w:color w:val="auto"/>
        </w:rPr>
      </w:pPr>
      <w:r>
        <w:rPr>
          <w:rFonts w:ascii="Courier New" w:cs="Courier New" w:eastAsia="Courier New" w:hAnsi="Courier New"/>
          <w:sz w:val="15"/>
          <w:szCs w:val="15"/>
          <w:color w:val="auto"/>
        </w:rPr>
        <w:t>NOTES TO THE FINANCIAL STATEMENTS</w:t>
      </w:r>
    </w:p>
    <w:p>
      <w:pPr>
        <w:spacing w:after="0" w:line="237" w:lineRule="auto"/>
        <w:rPr>
          <w:sz w:val="20"/>
          <w:szCs w:val="20"/>
          <w:color w:val="auto"/>
        </w:rPr>
      </w:pPr>
      <w:r>
        <w:rPr>
          <w:rFonts w:ascii="Courier New" w:cs="Courier New" w:eastAsia="Courier New" w:hAnsi="Courier New"/>
          <w:sz w:val="15"/>
          <w:szCs w:val="15"/>
          <w:color w:val="auto"/>
        </w:rPr>
        <w:t>YEAR ENDED DECEMBERR 31,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5.</w:t>
        <w:tab/>
        <w:t>CAPITAL ASSETS</w:t>
      </w: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spacing w:after="0"/>
              <w:rPr>
                <w:sz w:val="14"/>
                <w:szCs w:val="14"/>
                <w:color w:val="auto"/>
              </w:rPr>
            </w:pPr>
          </w:p>
        </w:tc>
        <w:tc>
          <w:tcPr>
            <w:tcW w:w="106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4"/>
              </w:rPr>
              <w:t>1994</w:t>
            </w:r>
          </w:p>
        </w:tc>
      </w:tr>
      <w:tr>
        <w:trPr>
          <w:trHeight w:val="168"/>
        </w:trPr>
        <w:tc>
          <w:tcPr>
            <w:tcW w:w="1880" w:type="dxa"/>
            <w:vAlign w:val="bottom"/>
          </w:tcPr>
          <w:p>
            <w:pPr>
              <w:spacing w:after="0"/>
              <w:rPr>
                <w:sz w:val="14"/>
                <w:szCs w:val="14"/>
                <w:color w:val="auto"/>
              </w:rPr>
            </w:pPr>
          </w:p>
        </w:tc>
        <w:tc>
          <w:tcPr>
            <w:tcW w:w="2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4"/>
              </w:rPr>
              <w:t>-------------------------------------</w:t>
            </w:r>
          </w:p>
        </w:tc>
        <w:tc>
          <w:tcPr>
            <w:tcW w:w="960" w:type="dxa"/>
            <w:vAlign w:val="bottom"/>
          </w:tcPr>
          <w:p>
            <w:pPr>
              <w:spacing w:after="0"/>
              <w:rPr>
                <w:sz w:val="14"/>
                <w:szCs w:val="14"/>
                <w:color w:val="auto"/>
              </w:rPr>
            </w:pPr>
          </w:p>
        </w:tc>
        <w:tc>
          <w:tcPr>
            <w:tcW w:w="106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1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Accumulated</w:t>
            </w: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w:t>
            </w: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and</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Book</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Book</w:t>
            </w:r>
          </w:p>
        </w:tc>
      </w:tr>
      <w:tr>
        <w:trPr>
          <w:trHeight w:val="168"/>
        </w:trPr>
        <w:tc>
          <w:tcPr>
            <w:tcW w:w="18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Cost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Value</w:t>
            </w:r>
          </w:p>
        </w:tc>
        <w:tc>
          <w:tcPr>
            <w:tcW w:w="10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3"/>
              </w:rPr>
              <w:t>Value</w:t>
            </w:r>
          </w:p>
        </w:tc>
      </w:tr>
      <w:tr>
        <w:trPr>
          <w:trHeight w:val="168"/>
        </w:trPr>
        <w:tc>
          <w:tcPr>
            <w:tcW w:w="188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1880" w:type="dxa"/>
            <w:vAlign w:val="bottom"/>
          </w:tcPr>
          <w:p>
            <w:pPr>
              <w:spacing w:after="0"/>
              <w:rPr>
                <w:sz w:val="14"/>
                <w:szCs w:val="14"/>
                <w:color w:val="auto"/>
              </w:rPr>
            </w:pPr>
          </w:p>
        </w:tc>
        <w:tc>
          <w:tcPr>
            <w:tcW w:w="1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(unaudited)</w:t>
            </w:r>
          </w:p>
        </w:tc>
      </w:tr>
      <w:tr>
        <w:trPr>
          <w:trHeight w:val="336"/>
        </w:trPr>
        <w:tc>
          <w:tcPr>
            <w:tcW w:w="188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985,075</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985,075</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985,075</w:t>
            </w: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173,575</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47,061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126,514</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132,078</w:t>
            </w: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Automotive equipment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60,278</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3,766</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56,512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12,236</w:t>
            </w: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equipment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2,214,466</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141,663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2,072,803</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272,364</w:t>
            </w: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Landfill site</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improvements</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9,165,664</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1,827,851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7,337,813</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6,154,166</w:t>
            </w: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Computer equipment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16,370</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6,193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10,177</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13,357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2460"/>
        <w:spacing w:after="0"/>
        <w:tabs>
          <w:tab w:leader="none" w:pos="3660" w:val="left"/>
          <w:tab w:leader="none" w:pos="4720" w:val="left"/>
          <w:tab w:leader="none" w:pos="5940" w:val="left"/>
        </w:tabs>
        <w:rPr>
          <w:sz w:val="20"/>
          <w:szCs w:val="20"/>
          <w:color w:val="auto"/>
        </w:rPr>
      </w:pPr>
      <w:r>
        <w:rPr>
          <w:rFonts w:ascii="Courier New" w:cs="Courier New" w:eastAsia="Courier New" w:hAnsi="Courier New"/>
          <w:sz w:val="15"/>
          <w:szCs w:val="15"/>
          <w:color w:val="auto"/>
        </w:rPr>
        <w:t>12,615,428</w:t>
      </w:r>
      <w:r>
        <w:rPr>
          <w:sz w:val="20"/>
          <w:szCs w:val="20"/>
          <w:color w:val="auto"/>
        </w:rPr>
        <w:tab/>
      </w:r>
      <w:r>
        <w:rPr>
          <w:rFonts w:ascii="Courier New" w:cs="Courier New" w:eastAsia="Courier New" w:hAnsi="Courier New"/>
          <w:sz w:val="15"/>
          <w:szCs w:val="15"/>
          <w:color w:val="auto"/>
        </w:rPr>
        <w:t>2,026,534</w:t>
        <w:tab/>
        <w:t>10,588,894</w:t>
      </w:r>
      <w:r>
        <w:rPr>
          <w:sz w:val="20"/>
          <w:szCs w:val="20"/>
          <w:color w:val="auto"/>
        </w:rPr>
        <w:tab/>
      </w:r>
      <w:r>
        <w:rPr>
          <w:rFonts w:ascii="Courier New" w:cs="Courier New" w:eastAsia="Courier New" w:hAnsi="Courier New"/>
          <w:sz w:val="14"/>
          <w:szCs w:val="14"/>
          <w:color w:val="auto"/>
        </w:rPr>
        <w:t>7,569,276</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CAPITAL</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Authorized</w:t>
      </w:r>
    </w:p>
    <w:p>
      <w:pPr>
        <w:spacing w:after="0" w:line="5" w:lineRule="exact"/>
        <w:rPr>
          <w:sz w:val="20"/>
          <w:szCs w:val="20"/>
          <w:color w:val="auto"/>
        </w:rPr>
      </w:pPr>
    </w:p>
    <w:p>
      <w:pPr>
        <w:ind w:left="980" w:right="3399"/>
        <w:spacing w:after="0" w:line="235" w:lineRule="auto"/>
        <w:rPr>
          <w:sz w:val="20"/>
          <w:szCs w:val="20"/>
          <w:color w:val="auto"/>
        </w:rPr>
      </w:pPr>
      <w:r>
        <w:rPr>
          <w:rFonts w:ascii="Courier New" w:cs="Courier New" w:eastAsia="Courier New" w:hAnsi="Courier New"/>
          <w:sz w:val="15"/>
          <w:szCs w:val="15"/>
          <w:color w:val="auto"/>
        </w:rPr>
        <w:t>An unlimited number of preferred shares, non-cumulative dividend at 12%, redeemable by the Company at an amount equal to the paid-up capital, without par value</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An unlimited number of common shares, voting, without par value</w:t>
      </w:r>
    </w:p>
    <w:p>
      <w:pPr>
        <w:spacing w:after="0" w:line="200" w:lineRule="exact"/>
        <w:rPr>
          <w:sz w:val="20"/>
          <w:szCs w:val="20"/>
          <w:color w:val="auto"/>
        </w:rPr>
      </w:pPr>
    </w:p>
    <w:p>
      <w:pPr>
        <w:spacing w:after="0" w:line="303" w:lineRule="exact"/>
        <w:rPr>
          <w:sz w:val="20"/>
          <w:szCs w:val="20"/>
          <w:color w:val="auto"/>
        </w:rPr>
      </w:pPr>
    </w:p>
    <w:p>
      <w:pPr>
        <w:ind w:left="4640"/>
        <w:spacing w:after="0"/>
        <w:tabs>
          <w:tab w:leader="none" w:pos="620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820"/>
        <w:spacing w:after="0"/>
        <w:tabs>
          <w:tab w:leader="none" w:pos="62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596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33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Issued</w:t>
      </w:r>
    </w:p>
    <w:p>
      <w:pPr>
        <w:ind w:left="980"/>
        <w:spacing w:after="0"/>
        <w:tabs>
          <w:tab w:leader="none" w:pos="1480" w:val="left"/>
          <w:tab w:leader="none" w:pos="4620" w:val="left"/>
          <w:tab w:leader="none" w:pos="6200" w:val="left"/>
        </w:tabs>
        <w:rPr>
          <w:sz w:val="20"/>
          <w:szCs w:val="20"/>
          <w:color w:val="auto"/>
        </w:rPr>
      </w:pPr>
      <w:r>
        <w:rPr>
          <w:rFonts w:ascii="Courier New" w:cs="Courier New" w:eastAsia="Courier New" w:hAnsi="Courier New"/>
          <w:sz w:val="15"/>
          <w:szCs w:val="15"/>
          <w:color w:val="auto"/>
        </w:rPr>
        <w:t>100</w:t>
        <w:tab/>
        <w:t>common shares</w:t>
      </w:r>
      <w:r>
        <w:rPr>
          <w:sz w:val="20"/>
          <w:szCs w:val="20"/>
          <w:color w:val="auto"/>
        </w:rPr>
        <w:tab/>
      </w:r>
      <w:r>
        <w:rPr>
          <w:rFonts w:ascii="Courier New" w:cs="Courier New" w:eastAsia="Courier New" w:hAnsi="Courier New"/>
          <w:sz w:val="15"/>
          <w:szCs w:val="15"/>
          <w:color w:val="auto"/>
        </w:rPr>
        <w:t>1,000</w:t>
      </w:r>
      <w:r>
        <w:rPr>
          <w:sz w:val="20"/>
          <w:szCs w:val="20"/>
          <w:color w:val="auto"/>
        </w:rPr>
        <w:tab/>
      </w:r>
      <w:r>
        <w:rPr>
          <w:rFonts w:ascii="Courier New" w:cs="Courier New" w:eastAsia="Courier New" w:hAnsi="Courier New"/>
          <w:sz w:val="14"/>
          <w:szCs w:val="14"/>
          <w:color w:val="auto"/>
        </w:rPr>
        <w:t>1,000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440" w:hanging="430"/>
        <w:spacing w:after="0"/>
        <w:tabs>
          <w:tab w:leader="none" w:pos="4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2" w:lineRule="exact"/>
        <w:rPr>
          <w:rFonts w:ascii="Courier New" w:cs="Courier New" w:eastAsia="Courier New" w:hAnsi="Courier New"/>
          <w:sz w:val="15"/>
          <w:szCs w:val="15"/>
          <w:color w:val="auto"/>
        </w:rPr>
      </w:pPr>
    </w:p>
    <w:p>
      <w:pPr>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year, sales and administrative expenses included management fees for an amount of $640,000 ($1,000,000 in 1994) payable to the parent company.</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22</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Directors of</w:t>
      </w:r>
    </w:p>
    <w:p>
      <w:pPr>
        <w:spacing w:after="0" w:line="237" w:lineRule="auto"/>
        <w:rPr>
          <w:sz w:val="20"/>
          <w:szCs w:val="20"/>
          <w:color w:val="auto"/>
        </w:rPr>
      </w:pPr>
      <w:r>
        <w:rPr>
          <w:rFonts w:ascii="Courier New" w:cs="Courier New" w:eastAsia="Courier New" w:hAnsi="Courier New"/>
          <w:sz w:val="15"/>
          <w:szCs w:val="15"/>
          <w:color w:val="auto"/>
        </w:rPr>
        <w:t>USA Waste Services, Inc.</w:t>
      </w:r>
    </w:p>
    <w:p>
      <w:pPr>
        <w:spacing w:after="0" w:line="342"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We have audited the accompanying historical summary of the net book value of property, plant and equipment of the Combined Ontario and Michigan Operations of the Solid Waste Division of Philip Environmental Inc. for the year ended December 31, 1995. This historical summary is the responsibility of the Company's management. Our responsibility is to express an opinion on the historical summary based on our audit.</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an audit to obtain reasonable assurance whether the historical summary is free of material misstatement. An audit includes examining, on a test basis, evidence supporting the amounts and disclosures in the historical summary. An audit also includes assessing the accounting principles used and significant estimates made by management, as well as evaluating the overall presentation of the historical summary. We believe that our audit provides a reasonable basis for our opinion.</w:t>
      </w:r>
    </w:p>
    <w:p>
      <w:pPr>
        <w:spacing w:after="0" w:line="178"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accompanying historical summary was prepared for the purpose of complying with the rules and regulations of the Securities and Exchange commission (for inclusion in the Current Report on Form 8K/A of USA Waste Services, Inc.) and is not intended to be a complete presentation of the net book value of property, plant and equipment of the Combined Ontario and Michigan Operations of the Solid Waste Division of Philip Environmental Inc.</w:t>
      </w:r>
    </w:p>
    <w:p>
      <w:pPr>
        <w:spacing w:after="0" w:line="166"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In our opinion, the historical summary referred to above presents fairly, in all material respects, the net book value of property, plant and equipment described in Note 1 to the Combined Ontario and Michigan Operations of the Solid Waste Division of Philip Environmental Inc. for the year ended December 31, 1995 in conformity with generally accepted accounting principles.</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Chartered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Mississauga, Ontario</w:t>
      </w:r>
    </w:p>
    <w:p>
      <w:pPr>
        <w:spacing w:after="0" w:line="237" w:lineRule="auto"/>
        <w:rPr>
          <w:sz w:val="20"/>
          <w:szCs w:val="20"/>
          <w:color w:val="auto"/>
        </w:rPr>
      </w:pPr>
      <w:r>
        <w:rPr>
          <w:rFonts w:ascii="Courier New" w:cs="Courier New" w:eastAsia="Courier New" w:hAnsi="Courier New"/>
          <w:sz w:val="15"/>
          <w:szCs w:val="15"/>
          <w:color w:val="auto"/>
        </w:rPr>
        <w:t>November 8, 1996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23</w:t>
      </w:r>
    </w:p>
    <w:p>
      <w:pPr>
        <w:spacing w:after="0" w:line="237" w:lineRule="auto"/>
        <w:rPr>
          <w:sz w:val="20"/>
          <w:szCs w:val="20"/>
          <w:color w:val="auto"/>
        </w:rPr>
      </w:pPr>
      <w:r>
        <w:rPr>
          <w:rFonts w:ascii="Courier New" w:cs="Courier New" w:eastAsia="Courier New" w:hAnsi="Courier New"/>
          <w:sz w:val="15"/>
          <w:szCs w:val="15"/>
          <w:color w:val="auto"/>
        </w:rPr>
        <w:t>COMBINED ONTARIO AND MICHIGAN OPERATIONS OF</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SOLID WASTE DIVISION OF PHILIP ENVIRONMENTAL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HISTORICAL SUMMARY OF THE NET BOOK VALUE OF</w:t>
      </w:r>
    </w:p>
    <w:p>
      <w:pPr>
        <w:spacing w:after="0" w:line="237" w:lineRule="auto"/>
        <w:rPr>
          <w:sz w:val="20"/>
          <w:szCs w:val="20"/>
          <w:color w:val="auto"/>
        </w:rPr>
      </w:pPr>
      <w:r>
        <w:rPr>
          <w:rFonts w:ascii="Courier New" w:cs="Courier New" w:eastAsia="Courier New" w:hAnsi="Courier New"/>
          <w:sz w:val="15"/>
          <w:szCs w:val="15"/>
          <w:color w:val="auto"/>
        </w:rPr>
        <w:t>PROPERTY, PLANT AND EQUIPMENT</w:t>
      </w:r>
    </w:p>
    <w:p>
      <w:pPr>
        <w:spacing w:after="0" w:line="238" w:lineRule="auto"/>
        <w:rPr>
          <w:sz w:val="20"/>
          <w:szCs w:val="20"/>
          <w:color w:val="auto"/>
        </w:rPr>
      </w:pPr>
      <w:r>
        <w:rPr>
          <w:rFonts w:ascii="Courier New" w:cs="Courier New" w:eastAsia="Courier New" w:hAnsi="Courier New"/>
          <w:sz w:val="15"/>
          <w:szCs w:val="15"/>
          <w:color w:val="auto"/>
        </w:rPr>
        <w:t>YEAR ENDED DECEMBER 31, 1995</w:t>
      </w:r>
    </w:p>
    <w:p>
      <w:pPr>
        <w:spacing w:after="0" w:line="237" w:lineRule="auto"/>
        <w:rPr>
          <w:sz w:val="20"/>
          <w:szCs w:val="20"/>
          <w:color w:val="auto"/>
        </w:rPr>
      </w:pPr>
      <w:r>
        <w:rPr>
          <w:rFonts w:ascii="Courier New" w:cs="Courier New" w:eastAsia="Courier New" w:hAnsi="Courier New"/>
          <w:sz w:val="15"/>
          <w:szCs w:val="15"/>
          <w:color w:val="auto"/>
        </w:rPr>
        <w:t>(ALL AMOUNTS ARE EXPRESSED IN '000S OF U.S. DOLLARS)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jc w:val="center"/>
        <w:ind w:left="1500"/>
        <w:spacing w:after="0"/>
        <w:rPr>
          <w:sz w:val="20"/>
          <w:szCs w:val="20"/>
          <w:color w:val="auto"/>
        </w:rPr>
      </w:pPr>
      <w:r>
        <w:rPr>
          <w:rFonts w:ascii="Courier New" w:cs="Courier New" w:eastAsia="Courier New" w:hAnsi="Courier New"/>
          <w:sz w:val="15"/>
          <w:szCs w:val="15"/>
          <w:color w:val="auto"/>
        </w:rPr>
        <w:t>DECEMBER 31,</w:t>
      </w:r>
    </w:p>
    <w:p>
      <w:pPr>
        <w:jc w:val="center"/>
        <w:ind w:left="1500"/>
        <w:spacing w:after="0" w:line="237" w:lineRule="auto"/>
        <w:rPr>
          <w:sz w:val="20"/>
          <w:szCs w:val="20"/>
          <w:color w:val="auto"/>
        </w:rPr>
      </w:pPr>
      <w:r>
        <w:rPr>
          <w:rFonts w:ascii="Courier New" w:cs="Courier New" w:eastAsia="Courier New" w:hAnsi="Courier New"/>
          <w:sz w:val="15"/>
          <w:szCs w:val="15"/>
          <w:color w:val="auto"/>
        </w:rPr>
        <w:t>1995</w:t>
      </w:r>
    </w:p>
    <w:p>
      <w:pPr>
        <w:jc w:val="center"/>
        <w:ind w:left="1500"/>
        <w:spacing w:after="0" w:line="238"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book value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21,480</w:t>
      </w:r>
    </w:p>
    <w:p>
      <w:pPr>
        <w:spacing w:after="0" w:line="173" w:lineRule="exact"/>
        <w:rPr>
          <w:sz w:val="20"/>
          <w:szCs w:val="20"/>
          <w:color w:val="auto"/>
        </w:rPr>
      </w:pPr>
    </w:p>
    <w:p>
      <w:pPr>
        <w:sectPr>
          <w:pgSz w:w="11900" w:h="16838" w:orient="portrait"/>
          <w:cols w:equalWidth="0" w:num="3">
            <w:col w:w="5240" w:space="720"/>
            <w:col w:w="80" w:space="260"/>
            <w:col w:w="39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4"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 Historical Summary of the Net Book Value of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type w:val="continuous"/>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24</w:t>
      </w:r>
    </w:p>
    <w:p>
      <w:pPr>
        <w:spacing w:after="0" w:line="237" w:lineRule="auto"/>
        <w:rPr>
          <w:sz w:val="20"/>
          <w:szCs w:val="20"/>
          <w:color w:val="auto"/>
        </w:rPr>
      </w:pPr>
      <w:r>
        <w:rPr>
          <w:rFonts w:ascii="Courier New" w:cs="Courier New" w:eastAsia="Courier New" w:hAnsi="Courier New"/>
          <w:sz w:val="15"/>
          <w:szCs w:val="15"/>
          <w:color w:val="auto"/>
        </w:rPr>
        <w:t>COMBINED ONTARIO AND MICHIGAN OPERATIONS OF</w:t>
      </w:r>
    </w:p>
    <w:p>
      <w:pPr>
        <w:spacing w:after="0" w:line="238" w:lineRule="auto"/>
        <w:rPr>
          <w:sz w:val="20"/>
          <w:szCs w:val="20"/>
          <w:color w:val="auto"/>
        </w:rPr>
      </w:pPr>
      <w:r>
        <w:rPr>
          <w:rFonts w:ascii="Courier New" w:cs="Courier New" w:eastAsia="Courier New" w:hAnsi="Courier New"/>
          <w:sz w:val="15"/>
          <w:szCs w:val="15"/>
          <w:color w:val="auto"/>
        </w:rPr>
        <w:t>THE SOLID WASTE DIVISION OF PHILIP ENVIRONMENTAL INC.</w:t>
      </w:r>
    </w:p>
    <w:p>
      <w:pPr>
        <w:spacing w:after="0" w:line="237" w:lineRule="auto"/>
        <w:rPr>
          <w:sz w:val="20"/>
          <w:szCs w:val="20"/>
          <w:color w:val="auto"/>
        </w:rPr>
      </w:pPr>
      <w:r>
        <w:rPr>
          <w:rFonts w:ascii="Courier New" w:cs="Courier New" w:eastAsia="Courier New" w:hAnsi="Courier New"/>
          <w:sz w:val="15"/>
          <w:szCs w:val="15"/>
          <w:color w:val="auto"/>
        </w:rPr>
        <w:t>NOTES TO THE HISTORICAL SUMMARY OF THE NET BOOK VALUE OF</w:t>
      </w:r>
    </w:p>
    <w:p>
      <w:pPr>
        <w:spacing w:after="0" w:line="238" w:lineRule="auto"/>
        <w:rPr>
          <w:sz w:val="20"/>
          <w:szCs w:val="20"/>
          <w:color w:val="auto"/>
        </w:rPr>
      </w:pPr>
      <w:r>
        <w:rPr>
          <w:rFonts w:ascii="Courier New" w:cs="Courier New" w:eastAsia="Courier New" w:hAnsi="Courier New"/>
          <w:sz w:val="15"/>
          <w:szCs w:val="15"/>
          <w:color w:val="auto"/>
        </w:rPr>
        <w:t>PROPERTY, PLANT AND EQUIPMENT</w:t>
      </w:r>
    </w:p>
    <w:p>
      <w:pPr>
        <w:spacing w:after="0" w:line="237" w:lineRule="auto"/>
        <w:rPr>
          <w:sz w:val="20"/>
          <w:szCs w:val="20"/>
          <w:color w:val="auto"/>
        </w:rPr>
      </w:pPr>
      <w:r>
        <w:rPr>
          <w:rFonts w:ascii="Courier New" w:cs="Courier New" w:eastAsia="Courier New" w:hAnsi="Courier New"/>
          <w:sz w:val="15"/>
          <w:szCs w:val="15"/>
          <w:color w:val="auto"/>
        </w:rPr>
        <w:t>DECEMBER 31,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left="360" w:right="6199" w:hanging="350"/>
        <w:spacing w:after="0" w:line="465" w:lineRule="auto"/>
        <w:tabs>
          <w:tab w:leader="none" w:pos="3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Basis of presentation</w:t>
      </w:r>
    </w:p>
    <w:p>
      <w:pPr>
        <w:spacing w:after="0" w:line="14" w:lineRule="exact"/>
        <w:rPr>
          <w:rFonts w:ascii="Courier New" w:cs="Courier New" w:eastAsia="Courier New" w:hAnsi="Courier New"/>
          <w:sz w:val="15"/>
          <w:szCs w:val="15"/>
          <w:color w:val="auto"/>
        </w:rPr>
      </w:pPr>
    </w:p>
    <w:p>
      <w:pPr>
        <w:ind w:left="36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Combined Ontario and Michigan Operations of the Solid Waste Division of Philip Environmental Inc. (the "Company") included the assets of the following locations and entities:</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Blackwell Road Landfill</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Brampton Collection/Transfer</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Brantford Collection</w:t>
      </w:r>
    </w:p>
    <w:p>
      <w:pPr>
        <w:ind w:left="360"/>
        <w:spacing w:after="0" w:line="237" w:lineRule="auto"/>
        <w:rPr>
          <w:sz w:val="20"/>
          <w:szCs w:val="20"/>
          <w:color w:val="auto"/>
        </w:rPr>
      </w:pPr>
      <w:r>
        <w:rPr>
          <w:rFonts w:ascii="Courier New" w:cs="Courier New" w:eastAsia="Courier New" w:hAnsi="Courier New"/>
          <w:sz w:val="15"/>
          <w:szCs w:val="15"/>
          <w:color w:val="auto"/>
        </w:rPr>
        <w:t>Gore Landfill</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Hamilton Collection/Transfer</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K &amp; E Waste Resource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MacGregor Road Transfer</w:t>
      </w:r>
    </w:p>
    <w:p>
      <w:pPr>
        <w:spacing w:after="0" w:line="237" w:lineRule="auto"/>
        <w:rPr>
          <w:sz w:val="20"/>
          <w:szCs w:val="20"/>
          <w:color w:val="auto"/>
        </w:rPr>
      </w:pPr>
      <w:r>
        <w:rPr>
          <w:rFonts w:ascii="Courier New" w:cs="Courier New" w:eastAsia="Courier New" w:hAnsi="Courier New"/>
          <w:sz w:val="15"/>
          <w:szCs w:val="15"/>
          <w:color w:val="auto"/>
        </w:rPr>
        <w:t>Michigan Collection</w:t>
      </w:r>
    </w:p>
    <w:p>
      <w:pPr>
        <w:spacing w:after="0" w:line="238" w:lineRule="auto"/>
        <w:rPr>
          <w:sz w:val="20"/>
          <w:szCs w:val="20"/>
          <w:color w:val="auto"/>
        </w:rPr>
      </w:pPr>
      <w:r>
        <w:rPr>
          <w:rFonts w:ascii="Courier New" w:cs="Courier New" w:eastAsia="Courier New" w:hAnsi="Courier New"/>
          <w:sz w:val="15"/>
          <w:szCs w:val="15"/>
          <w:color w:val="auto"/>
        </w:rPr>
        <w:t>Michigan Landfill</w:t>
      </w:r>
    </w:p>
    <w:p>
      <w:pPr>
        <w:spacing w:after="0" w:line="237" w:lineRule="auto"/>
        <w:rPr>
          <w:sz w:val="20"/>
          <w:szCs w:val="20"/>
          <w:color w:val="auto"/>
        </w:rPr>
      </w:pPr>
      <w:r>
        <w:rPr>
          <w:rFonts w:ascii="Courier New" w:cs="Courier New" w:eastAsia="Courier New" w:hAnsi="Courier New"/>
          <w:sz w:val="15"/>
          <w:szCs w:val="15"/>
          <w:color w:val="auto"/>
        </w:rPr>
        <w:t>Michigan Transfer</w:t>
      </w:r>
    </w:p>
    <w:p>
      <w:pPr>
        <w:spacing w:after="0" w:line="238" w:lineRule="auto"/>
        <w:rPr>
          <w:sz w:val="20"/>
          <w:szCs w:val="20"/>
          <w:color w:val="auto"/>
        </w:rPr>
      </w:pPr>
      <w:r>
        <w:rPr>
          <w:rFonts w:ascii="Courier New" w:cs="Courier New" w:eastAsia="Courier New" w:hAnsi="Courier New"/>
          <w:sz w:val="15"/>
          <w:szCs w:val="15"/>
          <w:color w:val="auto"/>
        </w:rPr>
        <w:t>Petrolia Landfill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 Catherines Collection/Transfer</w:t>
      </w:r>
    </w:p>
    <w:p>
      <w:pPr>
        <w:spacing w:after="0" w:line="177" w:lineRule="exact"/>
        <w:rPr>
          <w:sz w:val="20"/>
          <w:szCs w:val="20"/>
          <w:color w:val="auto"/>
        </w:rPr>
      </w:pPr>
    </w:p>
    <w:p>
      <w:pPr>
        <w:sectPr>
          <w:pgSz w:w="11900" w:h="16838" w:orient="portrait"/>
          <w:cols w:equalWidth="0" w:num="2">
            <w:col w:w="3320" w:space="720"/>
            <w:col w:w="6199"/>
          </w:cols>
          <w:pgMar w:left="220" w:top="281" w:right="1440" w:bottom="1440" w:gutter="0" w:footer="0" w:header="0"/>
          <w:type w:val="continuous"/>
        </w:sectPr>
      </w:pPr>
    </w:p>
    <w:p>
      <w:pPr>
        <w:ind w:left="360" w:right="3759"/>
        <w:spacing w:after="0" w:line="234" w:lineRule="auto"/>
        <w:rPr>
          <w:sz w:val="20"/>
          <w:szCs w:val="20"/>
          <w:color w:val="auto"/>
        </w:rPr>
      </w:pPr>
      <w:r>
        <w:rPr>
          <w:rFonts w:ascii="Courier New" w:cs="Courier New" w:eastAsia="Courier New" w:hAnsi="Courier New"/>
          <w:sz w:val="15"/>
          <w:szCs w:val="15"/>
          <w:color w:val="auto"/>
        </w:rPr>
        <w:t>The assets of the Company were acquired by USA Waste Services, Inc. on August 24, 1996.</w:t>
      </w:r>
    </w:p>
    <w:p>
      <w:pPr>
        <w:spacing w:after="0" w:line="173" w:lineRule="exact"/>
        <w:rPr>
          <w:sz w:val="20"/>
          <w:szCs w:val="20"/>
          <w:color w:val="auto"/>
        </w:rPr>
      </w:pPr>
    </w:p>
    <w:p>
      <w:pPr>
        <w:ind w:left="360" w:right="3319"/>
        <w:spacing w:after="0" w:line="235" w:lineRule="auto"/>
        <w:rPr>
          <w:sz w:val="20"/>
          <w:szCs w:val="20"/>
          <w:color w:val="auto"/>
        </w:rPr>
      </w:pPr>
      <w:r>
        <w:rPr>
          <w:rFonts w:ascii="Courier New" w:cs="Courier New" w:eastAsia="Courier New" w:hAnsi="Courier New"/>
          <w:sz w:val="15"/>
          <w:szCs w:val="15"/>
          <w:color w:val="auto"/>
        </w:rPr>
        <w:t>The historical summary of the net book value of property, plant and equipment reflects the assets attributable to the operations of the Company acquired by USA Waste Services, Inc.</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Property, plant and equipment</w:t>
      </w:r>
    </w:p>
    <w:p>
      <w:pPr>
        <w:spacing w:after="0" w:line="173" w:lineRule="exact"/>
        <w:rPr>
          <w:sz w:val="20"/>
          <w:szCs w:val="20"/>
          <w:color w:val="auto"/>
        </w:rPr>
      </w:pPr>
    </w:p>
    <w:p>
      <w:pPr>
        <w:ind w:left="360" w:right="3319"/>
        <w:spacing w:after="0" w:line="236" w:lineRule="auto"/>
        <w:rPr>
          <w:sz w:val="20"/>
          <w:szCs w:val="20"/>
          <w:color w:val="auto"/>
        </w:rPr>
      </w:pPr>
      <w:r>
        <w:rPr>
          <w:rFonts w:ascii="Courier New" w:cs="Courier New" w:eastAsia="Courier New" w:hAnsi="Courier New"/>
          <w:sz w:val="15"/>
          <w:szCs w:val="15"/>
          <w:color w:val="auto"/>
        </w:rPr>
        <w:t>Property, plant and equipment are stated at cost and are depreciated over their estimated useful lives generally on the following basis: buildings 20 to 40 years straight-line; equipment 5% to 30% straight-line. Landfill sites and improvements thereto are recorded at cost and amortized over the life of the landfill site based on the estimated landfill capacity utilized during the year. Operating costs associated with landfill sites are charged to operations as incurred.</w:t>
      </w:r>
    </w:p>
    <w:p>
      <w:pPr>
        <w:spacing w:after="0" w:line="200" w:lineRule="exact"/>
        <w:rPr>
          <w:sz w:val="20"/>
          <w:szCs w:val="20"/>
          <w:color w:val="auto"/>
        </w:rPr>
      </w:pPr>
    </w:p>
    <w:p>
      <w:pPr>
        <w:spacing w:after="0" w:line="30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type w:val="continuous"/>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25</w:t>
      </w:r>
    </w:p>
    <w:p>
      <w:pPr>
        <w:spacing w:after="0" w:line="237" w:lineRule="auto"/>
        <w:rPr>
          <w:sz w:val="20"/>
          <w:szCs w:val="20"/>
          <w:color w:val="auto"/>
        </w:rPr>
      </w:pPr>
      <w:r>
        <w:rPr>
          <w:rFonts w:ascii="Courier New" w:cs="Courier New" w:eastAsia="Courier New" w:hAnsi="Courier New"/>
          <w:sz w:val="15"/>
          <w:szCs w:val="15"/>
          <w:color w:val="auto"/>
        </w:rPr>
        <w:t>REPORT OF INDEPENDENT ACCOUNTANTS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Directors of</w:t>
      </w:r>
    </w:p>
    <w:p>
      <w:pPr>
        <w:spacing w:after="0" w:line="237" w:lineRule="auto"/>
        <w:rPr>
          <w:sz w:val="20"/>
          <w:szCs w:val="20"/>
          <w:color w:val="auto"/>
        </w:rPr>
      </w:pPr>
      <w:r>
        <w:rPr>
          <w:rFonts w:ascii="Courier New" w:cs="Courier New" w:eastAsia="Courier New" w:hAnsi="Courier New"/>
          <w:sz w:val="15"/>
          <w:szCs w:val="15"/>
          <w:color w:val="auto"/>
        </w:rPr>
        <w:t>USA Waste Services, Inc.</w:t>
      </w:r>
    </w:p>
    <w:p>
      <w:pPr>
        <w:spacing w:after="0" w:line="34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have audited the accompanying historical summary of revenues and direct operating expenses of the Combined Ontario and Michigan Operations of the Solid Waste Division of Philip Environmental Inc. for the year ended December 31, 1995. This historical summary is the responsibility of the Company's management. Our responsibility is to express an opinion on the historical summary based on our audit.</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an audit to obtain reasonable assurance whether the historical summary is free of material misstatement. An audit includes examining, on a test basis, evidence supporting the amounts and disclosures in the historical summary. An audit also includes assessing the accounting principles used and significant estimates made by management, as well as evaluating the overall presentation of the historical summary. We believe that our audit provides a reasonable basis for our opinion.</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accompanying historical summary was prepared for the purpose of complying with the rules and regulations of the Securities and Exchange commission (for inclusion in the Current Report on Form 8K/A of USA Waste Services, Inc.) and is not intended to be a complete presentation of the revenues and direct operating expenses of the Combined Ontario and Michigan Operations of the Solid Waste Division of Philip Environmental Inc.</w:t>
      </w:r>
    </w:p>
    <w:p>
      <w:pPr>
        <w:spacing w:after="0" w:line="175"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In our opinion, the historical summary referred to above presents fairly, in all material respects, the revenues and direct operating expenses described in Note 1 to the Combined Ontario and Michigan Operations of the Solid Waste Division of Philip Environmental Inc. for the year ended December 31, 1995 in conformity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Chartered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Mississauga, Ontario</w:t>
      </w:r>
    </w:p>
    <w:p>
      <w:pPr>
        <w:spacing w:after="0" w:line="237" w:lineRule="auto"/>
        <w:rPr>
          <w:sz w:val="20"/>
          <w:szCs w:val="20"/>
          <w:color w:val="auto"/>
        </w:rPr>
      </w:pPr>
      <w:r>
        <w:rPr>
          <w:rFonts w:ascii="Courier New" w:cs="Courier New" w:eastAsia="Courier New" w:hAnsi="Courier New"/>
          <w:sz w:val="15"/>
          <w:szCs w:val="15"/>
          <w:color w:val="auto"/>
        </w:rPr>
        <w:t>November 8, 1996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26</w:t>
      </w:r>
    </w:p>
    <w:p>
      <w:pPr>
        <w:spacing w:after="0" w:line="237" w:lineRule="auto"/>
        <w:rPr>
          <w:sz w:val="20"/>
          <w:szCs w:val="20"/>
          <w:color w:val="auto"/>
        </w:rPr>
      </w:pPr>
      <w:r>
        <w:rPr>
          <w:rFonts w:ascii="Courier New" w:cs="Courier New" w:eastAsia="Courier New" w:hAnsi="Courier New"/>
          <w:sz w:val="15"/>
          <w:szCs w:val="15"/>
          <w:color w:val="auto"/>
        </w:rPr>
        <w:t>COMBINED ONTARIO AND MICHIGAN OPERATIONS OF</w:t>
      </w:r>
    </w:p>
    <w:p>
      <w:pPr>
        <w:spacing w:after="0" w:line="238" w:lineRule="auto"/>
        <w:rPr>
          <w:sz w:val="20"/>
          <w:szCs w:val="20"/>
          <w:color w:val="auto"/>
        </w:rPr>
      </w:pPr>
      <w:r>
        <w:rPr>
          <w:rFonts w:ascii="Courier New" w:cs="Courier New" w:eastAsia="Courier New" w:hAnsi="Courier New"/>
          <w:sz w:val="15"/>
          <w:szCs w:val="15"/>
          <w:color w:val="auto"/>
        </w:rPr>
        <w:t>THE SOLID WASTE DIVISION OF PHILIP ENVIRONMENTAL INC.</w:t>
      </w:r>
    </w:p>
    <w:p>
      <w:pPr>
        <w:spacing w:after="0" w:line="237" w:lineRule="auto"/>
        <w:rPr>
          <w:sz w:val="20"/>
          <w:szCs w:val="20"/>
          <w:color w:val="auto"/>
        </w:rPr>
      </w:pPr>
      <w:r>
        <w:rPr>
          <w:rFonts w:ascii="Courier New" w:cs="Courier New" w:eastAsia="Courier New" w:hAnsi="Courier New"/>
          <w:sz w:val="15"/>
          <w:szCs w:val="15"/>
          <w:color w:val="auto"/>
        </w:rPr>
        <w:t>NOTES TO THE HISTORICAL SUMMARY OF REVENUES AND</w:t>
      </w:r>
    </w:p>
    <w:p>
      <w:pPr>
        <w:spacing w:after="0" w:line="238" w:lineRule="auto"/>
        <w:rPr>
          <w:sz w:val="20"/>
          <w:szCs w:val="20"/>
          <w:color w:val="auto"/>
        </w:rPr>
      </w:pPr>
      <w:r>
        <w:rPr>
          <w:rFonts w:ascii="Courier New" w:cs="Courier New" w:eastAsia="Courier New" w:hAnsi="Courier New"/>
          <w:sz w:val="15"/>
          <w:szCs w:val="15"/>
          <w:color w:val="auto"/>
        </w:rPr>
        <w:t>DIRECT OPERATING EXPENSES</w:t>
      </w:r>
    </w:p>
    <w:p>
      <w:pPr>
        <w:spacing w:after="0" w:line="237" w:lineRule="auto"/>
        <w:rPr>
          <w:sz w:val="20"/>
          <w:szCs w:val="20"/>
          <w:color w:val="auto"/>
        </w:rPr>
      </w:pPr>
      <w:r>
        <w:rPr>
          <w:rFonts w:ascii="Courier New" w:cs="Courier New" w:eastAsia="Courier New" w:hAnsi="Courier New"/>
          <w:sz w:val="15"/>
          <w:szCs w:val="15"/>
          <w:color w:val="auto"/>
        </w:rPr>
        <w:t>DECEMBER 31,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left="360" w:right="6199" w:hanging="350"/>
        <w:spacing w:after="0" w:line="465" w:lineRule="auto"/>
        <w:tabs>
          <w:tab w:leader="none" w:pos="3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Basis of presentation</w:t>
      </w:r>
    </w:p>
    <w:p>
      <w:pPr>
        <w:spacing w:after="0" w:line="14" w:lineRule="exact"/>
        <w:rPr>
          <w:sz w:val="20"/>
          <w:szCs w:val="20"/>
          <w:color w:val="auto"/>
        </w:rPr>
      </w:pPr>
    </w:p>
    <w:p>
      <w:pPr>
        <w:ind w:left="360" w:right="3319"/>
        <w:spacing w:after="0" w:line="235" w:lineRule="auto"/>
        <w:rPr>
          <w:sz w:val="20"/>
          <w:szCs w:val="20"/>
          <w:color w:val="auto"/>
        </w:rPr>
      </w:pPr>
      <w:r>
        <w:rPr>
          <w:rFonts w:ascii="Courier New" w:cs="Courier New" w:eastAsia="Courier New" w:hAnsi="Courier New"/>
          <w:sz w:val="15"/>
          <w:szCs w:val="15"/>
          <w:color w:val="auto"/>
        </w:rPr>
        <w:t>The Combined Ontario and Michigan Operations of the Solid Waste Division of Philip Environmental Inc. (the "Company") includes the operations of the following locations and entities:</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Blackwell Road Landfill</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Brampton Collection/Transfer</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Brantford Collection</w:t>
      </w:r>
    </w:p>
    <w:p>
      <w:pPr>
        <w:ind w:left="360"/>
        <w:spacing w:after="0" w:line="237" w:lineRule="auto"/>
        <w:rPr>
          <w:sz w:val="20"/>
          <w:szCs w:val="20"/>
          <w:color w:val="auto"/>
        </w:rPr>
      </w:pPr>
      <w:r>
        <w:rPr>
          <w:rFonts w:ascii="Courier New" w:cs="Courier New" w:eastAsia="Courier New" w:hAnsi="Courier New"/>
          <w:sz w:val="15"/>
          <w:szCs w:val="15"/>
          <w:color w:val="auto"/>
        </w:rPr>
        <w:t>Gore Landfill</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Hamilton Collection/Transfer</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K &amp; E Waste Resource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MacGregor Road Transfer</w:t>
      </w:r>
    </w:p>
    <w:p>
      <w:pPr>
        <w:spacing w:after="0" w:line="237" w:lineRule="auto"/>
        <w:rPr>
          <w:sz w:val="20"/>
          <w:szCs w:val="20"/>
          <w:color w:val="auto"/>
        </w:rPr>
      </w:pPr>
      <w:r>
        <w:rPr>
          <w:rFonts w:ascii="Courier New" w:cs="Courier New" w:eastAsia="Courier New" w:hAnsi="Courier New"/>
          <w:sz w:val="15"/>
          <w:szCs w:val="15"/>
          <w:color w:val="auto"/>
        </w:rPr>
        <w:t>Michigan Collection</w:t>
      </w:r>
    </w:p>
    <w:p>
      <w:pPr>
        <w:spacing w:after="0" w:line="238" w:lineRule="auto"/>
        <w:rPr>
          <w:sz w:val="20"/>
          <w:szCs w:val="20"/>
          <w:color w:val="auto"/>
        </w:rPr>
      </w:pPr>
      <w:r>
        <w:rPr>
          <w:rFonts w:ascii="Courier New" w:cs="Courier New" w:eastAsia="Courier New" w:hAnsi="Courier New"/>
          <w:sz w:val="15"/>
          <w:szCs w:val="15"/>
          <w:color w:val="auto"/>
        </w:rPr>
        <w:t>Michigan Landfill</w:t>
      </w:r>
    </w:p>
    <w:p>
      <w:pPr>
        <w:spacing w:after="0" w:line="237" w:lineRule="auto"/>
        <w:rPr>
          <w:sz w:val="20"/>
          <w:szCs w:val="20"/>
          <w:color w:val="auto"/>
        </w:rPr>
      </w:pPr>
      <w:r>
        <w:rPr>
          <w:rFonts w:ascii="Courier New" w:cs="Courier New" w:eastAsia="Courier New" w:hAnsi="Courier New"/>
          <w:sz w:val="15"/>
          <w:szCs w:val="15"/>
          <w:color w:val="auto"/>
        </w:rPr>
        <w:t>Michigan Transfer</w:t>
      </w:r>
    </w:p>
    <w:p>
      <w:pPr>
        <w:spacing w:after="0" w:line="238" w:lineRule="auto"/>
        <w:rPr>
          <w:sz w:val="20"/>
          <w:szCs w:val="20"/>
          <w:color w:val="auto"/>
        </w:rPr>
      </w:pPr>
      <w:r>
        <w:rPr>
          <w:rFonts w:ascii="Courier New" w:cs="Courier New" w:eastAsia="Courier New" w:hAnsi="Courier New"/>
          <w:sz w:val="15"/>
          <w:szCs w:val="15"/>
          <w:color w:val="auto"/>
        </w:rPr>
        <w:t>Petrolia Landfill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 Catherines Collection/Transfer</w:t>
      </w:r>
    </w:p>
    <w:p>
      <w:pPr>
        <w:spacing w:after="0" w:line="177" w:lineRule="exact"/>
        <w:rPr>
          <w:sz w:val="20"/>
          <w:szCs w:val="20"/>
          <w:color w:val="auto"/>
        </w:rPr>
      </w:pPr>
    </w:p>
    <w:p>
      <w:pPr>
        <w:sectPr>
          <w:pgSz w:w="11900" w:h="16838" w:orient="portrait"/>
          <w:cols w:equalWidth="0" w:num="2">
            <w:col w:w="3140" w:space="720"/>
            <w:col w:w="6379"/>
          </w:cols>
          <w:pgMar w:left="220" w:top="281" w:right="1440" w:bottom="1440" w:gutter="0" w:footer="0" w:header="0"/>
          <w:type w:val="continuous"/>
        </w:sectPr>
      </w:pPr>
    </w:p>
    <w:p>
      <w:pPr>
        <w:ind w:left="360" w:right="3759"/>
        <w:spacing w:after="0" w:line="234" w:lineRule="auto"/>
        <w:rPr>
          <w:sz w:val="20"/>
          <w:szCs w:val="20"/>
          <w:color w:val="auto"/>
        </w:rPr>
      </w:pPr>
      <w:r>
        <w:rPr>
          <w:rFonts w:ascii="Courier New" w:cs="Courier New" w:eastAsia="Courier New" w:hAnsi="Courier New"/>
          <w:sz w:val="15"/>
          <w:szCs w:val="15"/>
          <w:color w:val="auto"/>
        </w:rPr>
        <w:t>The assets of the Company were acquired by USA Waste Services, Inc. on August 24, 1996.</w:t>
      </w:r>
    </w:p>
    <w:p>
      <w:pPr>
        <w:spacing w:after="0" w:line="173" w:lineRule="exact"/>
        <w:rPr>
          <w:sz w:val="20"/>
          <w:szCs w:val="20"/>
          <w:color w:val="auto"/>
        </w:rPr>
      </w:pPr>
    </w:p>
    <w:p>
      <w:pPr>
        <w:ind w:left="360" w:right="3499"/>
        <w:spacing w:after="0" w:line="235" w:lineRule="auto"/>
        <w:rPr>
          <w:sz w:val="20"/>
          <w:szCs w:val="20"/>
          <w:color w:val="auto"/>
        </w:rPr>
      </w:pPr>
      <w:r>
        <w:rPr>
          <w:rFonts w:ascii="Courier New" w:cs="Courier New" w:eastAsia="Courier New" w:hAnsi="Courier New"/>
          <w:sz w:val="15"/>
          <w:szCs w:val="15"/>
          <w:color w:val="auto"/>
        </w:rPr>
        <w:t>The historical summary of revenues and direct operating expenses reflect the operating revenues and expenses attributable to the operations of the Company acquired by USA Waste Services, Inc.</w:t>
      </w:r>
    </w:p>
    <w:p>
      <w:pPr>
        <w:spacing w:after="0" w:line="174" w:lineRule="exact"/>
        <w:rPr>
          <w:sz w:val="20"/>
          <w:szCs w:val="20"/>
          <w:color w:val="auto"/>
        </w:rPr>
      </w:pPr>
    </w:p>
    <w:p>
      <w:pPr>
        <w:ind w:left="360" w:right="3499"/>
        <w:spacing w:after="0" w:line="235" w:lineRule="auto"/>
        <w:rPr>
          <w:sz w:val="20"/>
          <w:szCs w:val="20"/>
          <w:color w:val="auto"/>
        </w:rPr>
      </w:pPr>
      <w:r>
        <w:rPr>
          <w:rFonts w:ascii="Courier New" w:cs="Courier New" w:eastAsia="Courier New" w:hAnsi="Courier New"/>
          <w:sz w:val="15"/>
          <w:szCs w:val="15"/>
          <w:color w:val="auto"/>
        </w:rPr>
        <w:t>The historical summary of revenues and direct operating expenses excludes management fees, other income, interest expense and income tax expense since these items are not considered comparable to those which will be reflected in future consolidated financial statements.</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Revenues and operating expenses</w:t>
      </w:r>
    </w:p>
    <w:p>
      <w:pPr>
        <w:spacing w:after="0" w:line="173" w:lineRule="exact"/>
        <w:rPr>
          <w:sz w:val="20"/>
          <w:szCs w:val="20"/>
          <w:color w:val="auto"/>
        </w:rPr>
      </w:pPr>
    </w:p>
    <w:p>
      <w:pPr>
        <w:ind w:left="360" w:right="3319"/>
        <w:spacing w:after="0" w:line="235" w:lineRule="auto"/>
        <w:rPr>
          <w:sz w:val="20"/>
          <w:szCs w:val="20"/>
          <w:color w:val="auto"/>
        </w:rPr>
      </w:pPr>
      <w:r>
        <w:rPr>
          <w:rFonts w:ascii="Courier New" w:cs="Courier New" w:eastAsia="Courier New" w:hAnsi="Courier New"/>
          <w:sz w:val="15"/>
          <w:szCs w:val="15"/>
          <w:color w:val="auto"/>
        </w:rPr>
        <w:t>Revenue from solid waste is recognized upon receipt and acceptance of waste material. Treatment, transportation and disposal costs are accrued when the related revenues are recognized.</w:t>
      </w:r>
    </w:p>
    <w:p>
      <w:pPr>
        <w:spacing w:after="0" w:line="174" w:lineRule="exact"/>
        <w:rPr>
          <w:sz w:val="20"/>
          <w:szCs w:val="20"/>
          <w:color w:val="auto"/>
        </w:rPr>
      </w:pPr>
    </w:p>
    <w:p>
      <w:pPr>
        <w:ind w:left="360" w:right="3679"/>
        <w:spacing w:after="0" w:line="258" w:lineRule="auto"/>
        <w:rPr>
          <w:sz w:val="20"/>
          <w:szCs w:val="20"/>
          <w:color w:val="auto"/>
        </w:rPr>
      </w:pPr>
      <w:r>
        <w:rPr>
          <w:rFonts w:ascii="Courier New" w:cs="Courier New" w:eastAsia="Courier New" w:hAnsi="Courier New"/>
          <w:sz w:val="14"/>
          <w:szCs w:val="14"/>
          <w:color w:val="auto"/>
        </w:rPr>
        <w:t>The major components of expenses are cost of hauling and disposal, depreciation, amortization, salaries and related expenses, maintenance, insurance and selling general and administration expenses.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81" w:right="1440" w:bottom="1440" w:gutter="0" w:footer="0" w:header="0"/>
          <w:type w:val="continuous"/>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27</w:t>
      </w:r>
    </w:p>
    <w:p>
      <w:pPr>
        <w:spacing w:after="0" w:line="237" w:lineRule="auto"/>
        <w:rPr>
          <w:sz w:val="20"/>
          <w:szCs w:val="20"/>
          <w:color w:val="auto"/>
        </w:rPr>
      </w:pPr>
      <w:r>
        <w:rPr>
          <w:rFonts w:ascii="Courier New" w:cs="Courier New" w:eastAsia="Courier New" w:hAnsi="Courier New"/>
          <w:sz w:val="15"/>
          <w:szCs w:val="15"/>
          <w:color w:val="auto"/>
        </w:rPr>
        <w:t>COMBINED ONTARIO AND MICHIGAN OPERATIONS OF</w:t>
      </w:r>
    </w:p>
    <w:p>
      <w:pPr>
        <w:spacing w:after="0" w:line="238" w:lineRule="auto"/>
        <w:rPr>
          <w:sz w:val="20"/>
          <w:szCs w:val="20"/>
          <w:color w:val="auto"/>
        </w:rPr>
      </w:pPr>
      <w:r>
        <w:rPr>
          <w:rFonts w:ascii="Courier New" w:cs="Courier New" w:eastAsia="Courier New" w:hAnsi="Courier New"/>
          <w:sz w:val="15"/>
          <w:szCs w:val="15"/>
          <w:color w:val="auto"/>
        </w:rPr>
        <w:t>THE SOLID WASTE DIVISION OF PHILIP ENVIRONMENTAL INC.</w:t>
      </w:r>
    </w:p>
    <w:p>
      <w:pPr>
        <w:spacing w:after="0" w:line="237" w:lineRule="auto"/>
        <w:rPr>
          <w:sz w:val="20"/>
          <w:szCs w:val="20"/>
          <w:color w:val="auto"/>
        </w:rPr>
      </w:pPr>
      <w:r>
        <w:rPr>
          <w:rFonts w:ascii="Courier New" w:cs="Courier New" w:eastAsia="Courier New" w:hAnsi="Courier New"/>
          <w:sz w:val="15"/>
          <w:szCs w:val="15"/>
          <w:color w:val="auto"/>
        </w:rPr>
        <w:t>NOTES TO THE HISTORICAL SUMMARY OF REVENUES AND</w:t>
      </w:r>
    </w:p>
    <w:p>
      <w:pPr>
        <w:spacing w:after="0" w:line="238" w:lineRule="auto"/>
        <w:rPr>
          <w:sz w:val="20"/>
          <w:szCs w:val="20"/>
          <w:color w:val="auto"/>
        </w:rPr>
      </w:pPr>
      <w:r>
        <w:rPr>
          <w:rFonts w:ascii="Courier New" w:cs="Courier New" w:eastAsia="Courier New" w:hAnsi="Courier New"/>
          <w:sz w:val="15"/>
          <w:szCs w:val="15"/>
          <w:color w:val="auto"/>
        </w:rPr>
        <w:t>DIRECT OPERATING EXPENSES</w:t>
      </w:r>
    </w:p>
    <w:p>
      <w:pPr>
        <w:spacing w:after="0" w:line="237" w:lineRule="auto"/>
        <w:rPr>
          <w:sz w:val="20"/>
          <w:szCs w:val="20"/>
          <w:color w:val="auto"/>
        </w:rPr>
      </w:pPr>
      <w:r>
        <w:rPr>
          <w:rFonts w:ascii="Courier New" w:cs="Courier New" w:eastAsia="Courier New" w:hAnsi="Courier New"/>
          <w:sz w:val="15"/>
          <w:szCs w:val="15"/>
          <w:color w:val="auto"/>
        </w:rPr>
        <w:t>DECEMBER 31,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left="360" w:right="5239" w:hanging="350"/>
        <w:spacing w:after="0" w:line="465" w:lineRule="auto"/>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POLICES (CONTINUED) Environmental liability</w:t>
      </w:r>
    </w:p>
    <w:p>
      <w:pPr>
        <w:spacing w:after="0" w:line="14" w:lineRule="exact"/>
        <w:rPr>
          <w:rFonts w:ascii="Courier New" w:cs="Courier New" w:eastAsia="Courier New" w:hAnsi="Courier New"/>
          <w:sz w:val="15"/>
          <w:szCs w:val="15"/>
          <w:color w:val="auto"/>
        </w:rPr>
      </w:pPr>
    </w:p>
    <w:p>
      <w:pPr>
        <w:ind w:left="36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accrues for the estimated costs relating to the closure and post-closure monitoring of its landfill sites as well as remediation costs associated with its transfer and processing facilities. The Company charges earnings with these estimated future costs based on engineering estimates over the fill rate of landfill sites or the expected life of transfer and processing facilities. Amounts required to dispose of waste materials located at the Company's transfer and processing facilities are accrued when received.</w:t>
      </w:r>
    </w:p>
    <w:p>
      <w:pPr>
        <w:spacing w:after="0" w:line="170"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72" w:lineRule="exact"/>
        <w:rPr>
          <w:rFonts w:ascii="Courier New" w:cs="Courier New" w:eastAsia="Courier New" w:hAnsi="Courier New"/>
          <w:sz w:val="15"/>
          <w:szCs w:val="15"/>
          <w:color w:val="auto"/>
        </w:rPr>
      </w:pPr>
    </w:p>
    <w:p>
      <w:pPr>
        <w:ind w:left="36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 are stated at cost and are depreciated over their estimated useful lives generally on the following basis: buildings 20 to 40 years straight-line; equipment 5% to 30% straight-line. Landfill sites and improvements thereto are recorded at cost and amortized over the life of the landfill site based on the estimated landfill capacity utilized during the year. Operating costs associated with landfill sites are charged to operations as incurred.</w:t>
      </w:r>
    </w:p>
    <w:p>
      <w:pPr>
        <w:spacing w:after="0" w:line="337"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2" w:lineRule="exact"/>
        <w:rPr>
          <w:rFonts w:ascii="Courier New" w:cs="Courier New" w:eastAsia="Courier New" w:hAnsi="Courier New"/>
          <w:sz w:val="15"/>
          <w:szCs w:val="15"/>
          <w:color w:val="auto"/>
        </w:rPr>
      </w:pPr>
    </w:p>
    <w:p>
      <w:pPr>
        <w:ind w:left="360"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had revenue of $7,785,000 with other Philip Environmental Inc. operating units during the year ended December 31, 1995.</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8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28</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 of</w:t>
      </w:r>
    </w:p>
    <w:p>
      <w:pPr>
        <w:ind w:left="100"/>
        <w:spacing w:after="0" w:line="237" w:lineRule="auto"/>
        <w:rPr>
          <w:sz w:val="20"/>
          <w:szCs w:val="20"/>
          <w:color w:val="auto"/>
        </w:rPr>
      </w:pPr>
      <w:r>
        <w:rPr>
          <w:rFonts w:ascii="Courier New" w:cs="Courier New" w:eastAsia="Courier New" w:hAnsi="Courier New"/>
          <w:sz w:val="15"/>
          <w:szCs w:val="15"/>
          <w:color w:val="auto"/>
        </w:rPr>
        <w:t>Kasper Brothers, Inc.:</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We have audited the accompanying balance sheet of Kasper Brothers, Inc. as of September 30, 1995 and the related statements of operations and retained earnings and cash flows for the fiscal year then ended. These financial statements are the responsibility of the Company's management. Our responsibility is to express an opinion on these financial statements based on our audit.</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Kasper Brothers, Inc. as of September 30, 1995 and the results of its operations and its cash flows for the fiscal year then ended in conformity with generally accepted accounting principles.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COOPERS &amp; LYBRAND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2400 Eleven Penn Center</w:t>
      </w:r>
    </w:p>
    <w:p>
      <w:pPr>
        <w:spacing w:after="0" w:line="237" w:lineRule="auto"/>
        <w:rPr>
          <w:sz w:val="20"/>
          <w:szCs w:val="20"/>
          <w:color w:val="auto"/>
        </w:rPr>
      </w:pPr>
      <w:r>
        <w:rPr>
          <w:rFonts w:ascii="Courier New" w:cs="Courier New" w:eastAsia="Courier New" w:hAnsi="Courier New"/>
          <w:sz w:val="15"/>
          <w:szCs w:val="15"/>
          <w:color w:val="auto"/>
        </w:rPr>
        <w:t>Philadelphia, Pennsylvania</w:t>
      </w:r>
    </w:p>
    <w:p>
      <w:pPr>
        <w:spacing w:after="0" w:line="238" w:lineRule="auto"/>
        <w:rPr>
          <w:sz w:val="20"/>
          <w:szCs w:val="20"/>
          <w:color w:val="auto"/>
        </w:rPr>
      </w:pPr>
      <w:r>
        <w:rPr>
          <w:rFonts w:ascii="Courier New" w:cs="Courier New" w:eastAsia="Courier New" w:hAnsi="Courier New"/>
          <w:sz w:val="15"/>
          <w:szCs w:val="15"/>
          <w:color w:val="auto"/>
        </w:rPr>
        <w:t>October 15, 1996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29</w:t>
      </w:r>
    </w:p>
    <w:p>
      <w:pPr>
        <w:jc w:val="center"/>
        <w:ind w:right="3319"/>
        <w:spacing w:after="0" w:line="237" w:lineRule="auto"/>
        <w:rPr>
          <w:sz w:val="20"/>
          <w:szCs w:val="20"/>
          <w:color w:val="auto"/>
        </w:rPr>
      </w:pPr>
      <w:r>
        <w:rPr>
          <w:rFonts w:ascii="Courier New" w:cs="Courier New" w:eastAsia="Courier New" w:hAnsi="Courier New"/>
          <w:sz w:val="15"/>
          <w:szCs w:val="15"/>
          <w:color w:val="auto"/>
        </w:rPr>
        <w:t>KASPER BROTHERS, INC.</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BALANCE SHEET</w:t>
      </w:r>
    </w:p>
    <w:p>
      <w:pPr>
        <w:ind w:left="2460"/>
        <w:spacing w:after="0" w:line="237" w:lineRule="auto"/>
        <w:rPr>
          <w:sz w:val="20"/>
          <w:szCs w:val="20"/>
          <w:color w:val="auto"/>
        </w:rPr>
      </w:pPr>
      <w:r>
        <w:rPr>
          <w:rFonts w:ascii="Courier New" w:cs="Courier New" w:eastAsia="Courier New" w:hAnsi="Courier New"/>
          <w:sz w:val="15"/>
          <w:szCs w:val="15"/>
          <w:color w:val="auto"/>
        </w:rPr>
        <w:t>AS OF SEPTEMBER 30, 1995</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ASSETS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36,070</w:t>
            </w:r>
          </w:p>
        </w:tc>
      </w:tr>
      <w:tr>
        <w:trPr>
          <w:trHeight w:val="168"/>
        </w:trPr>
        <w:tc>
          <w:tcPr>
            <w:tcW w:w="6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Accounts receivable (net of allowance for doubtful accounts of $175,000)</w:t>
            </w:r>
          </w:p>
        </w:tc>
        <w:tc>
          <w:tcPr>
            <w:tcW w:w="2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2,079,676</w:t>
            </w:r>
          </w:p>
        </w:tc>
      </w:tr>
      <w:tr>
        <w:trPr>
          <w:trHeight w:val="168"/>
        </w:trPr>
        <w:tc>
          <w:tcPr>
            <w:tcW w:w="6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and other current assets</w:t>
            </w:r>
          </w:p>
        </w:tc>
        <w:tc>
          <w:tcPr>
            <w:tcW w:w="2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212,658</w:t>
            </w:r>
          </w:p>
        </w:tc>
      </w:tr>
      <w:tr>
        <w:trPr>
          <w:trHeight w:val="168"/>
        </w:trPr>
        <w:tc>
          <w:tcPr>
            <w:tcW w:w="6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Bid bonds</w:t>
            </w:r>
          </w:p>
        </w:tc>
        <w:tc>
          <w:tcPr>
            <w:tcW w:w="2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91,419</w:t>
            </w:r>
          </w:p>
        </w:tc>
      </w:tr>
      <w:tr>
        <w:trPr>
          <w:trHeight w:val="168"/>
        </w:trPr>
        <w:tc>
          <w:tcPr>
            <w:tcW w:w="662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20" w:type="dxa"/>
            <w:vAlign w:val="bottom"/>
          </w:tcPr>
          <w:p>
            <w:pPr>
              <w:ind w:left="700"/>
              <w:spacing w:after="0"/>
              <w:rPr>
                <w:sz w:val="20"/>
                <w:szCs w:val="20"/>
                <w:color w:val="auto"/>
              </w:rPr>
            </w:pPr>
            <w:r>
              <w:rPr>
                <w:rFonts w:ascii="Courier New" w:cs="Courier New" w:eastAsia="Courier New" w:hAnsi="Courier New"/>
                <w:sz w:val="15"/>
                <w:szCs w:val="15"/>
                <w:color w:val="auto"/>
              </w:rPr>
              <w:t>Total current assets</w:t>
            </w:r>
          </w:p>
        </w:tc>
        <w:tc>
          <w:tcPr>
            <w:tcW w:w="22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2,419,823</w:t>
            </w:r>
          </w:p>
        </w:tc>
      </w:tr>
      <w:tr>
        <w:trPr>
          <w:trHeight w:val="336"/>
        </w:trPr>
        <w:tc>
          <w:tcPr>
            <w:tcW w:w="662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Transportation equipment</w:t>
            </w:r>
          </w:p>
        </w:tc>
        <w:tc>
          <w:tcPr>
            <w:tcW w:w="2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4,814,516</w:t>
            </w:r>
          </w:p>
        </w:tc>
      </w:tr>
      <w:tr>
        <w:trPr>
          <w:trHeight w:val="168"/>
        </w:trPr>
        <w:tc>
          <w:tcPr>
            <w:tcW w:w="6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Containers and compactors</w:t>
            </w:r>
          </w:p>
        </w:tc>
        <w:tc>
          <w:tcPr>
            <w:tcW w:w="2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3,431,320</w:t>
            </w:r>
          </w:p>
        </w:tc>
      </w:tr>
      <w:tr>
        <w:trPr>
          <w:trHeight w:val="168"/>
        </w:trPr>
        <w:tc>
          <w:tcPr>
            <w:tcW w:w="6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 furniture and equipment</w:t>
            </w:r>
          </w:p>
        </w:tc>
        <w:tc>
          <w:tcPr>
            <w:tcW w:w="2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110,025</w:t>
            </w:r>
          </w:p>
        </w:tc>
      </w:tr>
      <w:tr>
        <w:trPr>
          <w:trHeight w:val="168"/>
        </w:trPr>
        <w:tc>
          <w:tcPr>
            <w:tcW w:w="662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8,355,861</w:t>
            </w:r>
          </w:p>
        </w:tc>
      </w:tr>
      <w:tr>
        <w:trPr>
          <w:trHeight w:val="336"/>
        </w:trPr>
        <w:tc>
          <w:tcPr>
            <w:tcW w:w="6620" w:type="dxa"/>
            <w:vAlign w:val="bottom"/>
          </w:tcPr>
          <w:p>
            <w:pPr>
              <w:spacing w:after="0"/>
              <w:rPr>
                <w:sz w:val="20"/>
                <w:szCs w:val="20"/>
                <w:color w:val="auto"/>
              </w:rPr>
            </w:pPr>
            <w:r>
              <w:rPr>
                <w:rFonts w:ascii="Courier New" w:cs="Courier New" w:eastAsia="Courier New" w:hAnsi="Courier New"/>
                <w:sz w:val="15"/>
                <w:szCs w:val="15"/>
                <w:color w:val="auto"/>
              </w:rPr>
              <w:t>Accumulated depreciation</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(6,628,865)</w:t>
            </w:r>
          </w:p>
        </w:tc>
      </w:tr>
      <w:tr>
        <w:trPr>
          <w:trHeight w:val="168"/>
        </w:trPr>
        <w:tc>
          <w:tcPr>
            <w:tcW w:w="662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20" w:type="dxa"/>
            <w:vAlign w:val="bottom"/>
          </w:tcPr>
          <w:p>
            <w:pPr>
              <w:ind w:left="700"/>
              <w:spacing w:after="0"/>
              <w:rPr>
                <w:sz w:val="20"/>
                <w:szCs w:val="20"/>
                <w:color w:val="auto"/>
              </w:rPr>
            </w:pPr>
            <w:r>
              <w:rPr>
                <w:rFonts w:ascii="Courier New" w:cs="Courier New" w:eastAsia="Courier New" w:hAnsi="Courier New"/>
                <w:sz w:val="15"/>
                <w:szCs w:val="15"/>
                <w:color w:val="auto"/>
              </w:rPr>
              <w:t>Net property and equipment</w:t>
            </w:r>
          </w:p>
        </w:tc>
        <w:tc>
          <w:tcPr>
            <w:tcW w:w="22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1,726,996</w:t>
            </w:r>
          </w:p>
        </w:tc>
      </w:tr>
      <w:tr>
        <w:trPr>
          <w:trHeight w:val="336"/>
        </w:trPr>
        <w:tc>
          <w:tcPr>
            <w:tcW w:w="66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2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27,756</w:t>
            </w:r>
          </w:p>
        </w:tc>
      </w:tr>
      <w:tr>
        <w:trPr>
          <w:trHeight w:val="168"/>
        </w:trPr>
        <w:tc>
          <w:tcPr>
            <w:tcW w:w="662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20" w:type="dxa"/>
            <w:vAlign w:val="bottom"/>
          </w:tcPr>
          <w:p>
            <w:pPr>
              <w:ind w:left="700"/>
              <w:spacing w:after="0"/>
              <w:rPr>
                <w:sz w:val="20"/>
                <w:szCs w:val="20"/>
                <w:color w:val="auto"/>
              </w:rPr>
            </w:pPr>
            <w:r>
              <w:rPr>
                <w:rFonts w:ascii="Courier New" w:cs="Courier New" w:eastAsia="Courier New" w:hAnsi="Courier New"/>
                <w:sz w:val="15"/>
                <w:szCs w:val="15"/>
                <w:color w:val="auto"/>
              </w:rPr>
              <w:t>Total assets</w:t>
            </w:r>
          </w:p>
        </w:tc>
        <w:tc>
          <w:tcPr>
            <w:tcW w:w="11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$ 4,174,575</w:t>
            </w:r>
          </w:p>
        </w:tc>
      </w:tr>
      <w:tr>
        <w:trPr>
          <w:trHeight w:val="168"/>
        </w:trPr>
        <w:tc>
          <w:tcPr>
            <w:tcW w:w="662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20" w:type="dxa"/>
            <w:vAlign w:val="bottom"/>
          </w:tcPr>
          <w:p>
            <w:pPr>
              <w:ind w:left="1840"/>
              <w:spacing w:after="0"/>
              <w:rPr>
                <w:sz w:val="20"/>
                <w:szCs w:val="20"/>
                <w:color w:val="auto"/>
              </w:rPr>
            </w:pPr>
            <w:r>
              <w:rPr>
                <w:rFonts w:ascii="Courier New" w:cs="Courier New" w:eastAsia="Courier New" w:hAnsi="Courier New"/>
                <w:sz w:val="15"/>
                <w:szCs w:val="15"/>
                <w:color w:val="auto"/>
              </w:rPr>
              <w:t>LIABILITIES AND STOCKHOLDERS' EQUITY</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66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2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539,720</w:t>
            </w:r>
          </w:p>
        </w:tc>
      </w:tr>
      <w:tr>
        <w:trPr>
          <w:trHeight w:val="168"/>
        </w:trPr>
        <w:tc>
          <w:tcPr>
            <w:tcW w:w="6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expenses</w:t>
            </w:r>
          </w:p>
        </w:tc>
        <w:tc>
          <w:tcPr>
            <w:tcW w:w="2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249,828</w:t>
            </w:r>
          </w:p>
        </w:tc>
      </w:tr>
      <w:tr>
        <w:trPr>
          <w:trHeight w:val="168"/>
        </w:trPr>
        <w:tc>
          <w:tcPr>
            <w:tcW w:w="6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 corporate taxes payable</w:t>
            </w:r>
          </w:p>
        </w:tc>
        <w:tc>
          <w:tcPr>
            <w:tcW w:w="2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3,000</w:t>
            </w:r>
          </w:p>
        </w:tc>
      </w:tr>
      <w:tr>
        <w:trPr>
          <w:trHeight w:val="168"/>
        </w:trPr>
        <w:tc>
          <w:tcPr>
            <w:tcW w:w="662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20" w:type="dxa"/>
            <w:vAlign w:val="bottom"/>
          </w:tcPr>
          <w:p>
            <w:pPr>
              <w:ind w:left="540"/>
              <w:spacing w:after="0"/>
              <w:rPr>
                <w:sz w:val="20"/>
                <w:szCs w:val="20"/>
                <w:color w:val="auto"/>
              </w:rPr>
            </w:pPr>
            <w:r>
              <w:rPr>
                <w:rFonts w:ascii="Courier New" w:cs="Courier New" w:eastAsia="Courier New" w:hAnsi="Courier New"/>
                <w:sz w:val="15"/>
                <w:szCs w:val="15"/>
                <w:color w:val="auto"/>
              </w:rPr>
              <w:t>Total current liabilities</w:t>
            </w:r>
          </w:p>
        </w:tc>
        <w:tc>
          <w:tcPr>
            <w:tcW w:w="22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792,548</w:t>
            </w:r>
          </w:p>
        </w:tc>
      </w:tr>
      <w:tr>
        <w:trPr>
          <w:trHeight w:val="336"/>
        </w:trPr>
        <w:tc>
          <w:tcPr>
            <w:tcW w:w="6620" w:type="dxa"/>
            <w:vAlign w:val="bottom"/>
          </w:tcPr>
          <w:p>
            <w:pPr>
              <w:spacing w:after="0"/>
              <w:rPr>
                <w:sz w:val="20"/>
                <w:szCs w:val="20"/>
                <w:color w:val="auto"/>
              </w:rPr>
            </w:pPr>
            <w:r>
              <w:rPr>
                <w:rFonts w:ascii="Courier New" w:cs="Courier New" w:eastAsia="Courier New" w:hAnsi="Courier New"/>
                <w:sz w:val="15"/>
                <w:szCs w:val="15"/>
                <w:color w:val="auto"/>
              </w:rPr>
              <w:t>Loans payable - officers</w:t>
            </w:r>
          </w:p>
        </w:tc>
        <w:tc>
          <w:tcPr>
            <w:tcW w:w="22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1,518,968</w:t>
            </w:r>
          </w:p>
        </w:tc>
      </w:tr>
      <w:tr>
        <w:trPr>
          <w:trHeight w:val="168"/>
        </w:trPr>
        <w:tc>
          <w:tcPr>
            <w:tcW w:w="662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20" w:type="dxa"/>
            <w:vAlign w:val="bottom"/>
          </w:tcPr>
          <w:p>
            <w:pPr>
              <w:ind w:left="540"/>
              <w:spacing w:after="0"/>
              <w:rPr>
                <w:sz w:val="20"/>
                <w:szCs w:val="20"/>
                <w:color w:val="auto"/>
              </w:rPr>
            </w:pPr>
            <w:r>
              <w:rPr>
                <w:rFonts w:ascii="Courier New" w:cs="Courier New" w:eastAsia="Courier New" w:hAnsi="Courier New"/>
                <w:sz w:val="15"/>
                <w:szCs w:val="15"/>
                <w:color w:val="auto"/>
              </w:rPr>
              <w:t>Total liabilities</w:t>
            </w:r>
          </w:p>
        </w:tc>
        <w:tc>
          <w:tcPr>
            <w:tcW w:w="22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2,311,516</w:t>
            </w:r>
          </w:p>
        </w:tc>
      </w:tr>
      <w:tr>
        <w:trPr>
          <w:trHeight w:val="336"/>
        </w:trPr>
        <w:tc>
          <w:tcPr>
            <w:tcW w:w="66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 $.1 stated value, 10,000 shares authorized,</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6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issued and outstanding</w:t>
            </w:r>
          </w:p>
        </w:tc>
        <w:tc>
          <w:tcPr>
            <w:tcW w:w="2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6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2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1,862,059</w:t>
            </w:r>
          </w:p>
        </w:tc>
      </w:tr>
      <w:tr>
        <w:trPr>
          <w:trHeight w:val="168"/>
        </w:trPr>
        <w:tc>
          <w:tcPr>
            <w:tcW w:w="662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20" w:type="dxa"/>
            <w:vAlign w:val="bottom"/>
          </w:tcPr>
          <w:p>
            <w:pPr>
              <w:ind w:left="540"/>
              <w:spacing w:after="0"/>
              <w:rPr>
                <w:sz w:val="20"/>
                <w:szCs w:val="20"/>
                <w:color w:val="auto"/>
              </w:rPr>
            </w:pPr>
            <w:r>
              <w:rPr>
                <w:rFonts w:ascii="Courier New" w:cs="Courier New" w:eastAsia="Courier New" w:hAnsi="Courier New"/>
                <w:sz w:val="15"/>
                <w:szCs w:val="15"/>
                <w:color w:val="auto"/>
              </w:rPr>
              <w:t>Total stockholders' equity</w:t>
            </w:r>
          </w:p>
        </w:tc>
        <w:tc>
          <w:tcPr>
            <w:tcW w:w="22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1,863,059</w:t>
            </w:r>
          </w:p>
        </w:tc>
      </w:tr>
      <w:tr>
        <w:trPr>
          <w:trHeight w:val="168"/>
        </w:trPr>
        <w:tc>
          <w:tcPr>
            <w:tcW w:w="662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20" w:type="dxa"/>
            <w:vAlign w:val="bottom"/>
          </w:tcPr>
          <w:p>
            <w:pPr>
              <w:ind w:left="54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1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$ 4,174,575</w:t>
            </w:r>
          </w:p>
        </w:tc>
      </w:tr>
      <w:tr>
        <w:trPr>
          <w:trHeight w:val="168"/>
        </w:trPr>
        <w:tc>
          <w:tcPr>
            <w:tcW w:w="662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30</w:t>
      </w:r>
    </w:p>
    <w:p>
      <w:pPr>
        <w:jc w:val="center"/>
        <w:ind w:right="3319"/>
        <w:spacing w:after="0" w:line="237" w:lineRule="auto"/>
        <w:rPr>
          <w:sz w:val="20"/>
          <w:szCs w:val="20"/>
          <w:color w:val="auto"/>
        </w:rPr>
      </w:pPr>
      <w:r>
        <w:rPr>
          <w:rFonts w:ascii="Courier New" w:cs="Courier New" w:eastAsia="Courier New" w:hAnsi="Courier New"/>
          <w:sz w:val="15"/>
          <w:szCs w:val="15"/>
          <w:color w:val="auto"/>
        </w:rPr>
        <w:t>KASPER BROTHERS, INC.</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STATEMENT OF OPERATIONS AND RETAINED EARNINGS</w:t>
      </w:r>
    </w:p>
    <w:p>
      <w:pPr>
        <w:jc w:val="center"/>
        <w:ind w:right="3319"/>
        <w:spacing w:after="0" w:line="237" w:lineRule="auto"/>
        <w:rPr>
          <w:sz w:val="20"/>
          <w:szCs w:val="20"/>
          <w:color w:val="auto"/>
        </w:rPr>
      </w:pPr>
      <w:r>
        <w:rPr>
          <w:rFonts w:ascii="Courier New" w:cs="Courier New" w:eastAsia="Courier New" w:hAnsi="Courier New"/>
          <w:sz w:val="15"/>
          <w:szCs w:val="15"/>
          <w:color w:val="auto"/>
        </w:rPr>
        <w:t>FOR THE YEAR ENDED SEPTEMBER 30, 1995</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$ 13,524,467</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360" w:type="dxa"/>
            <w:vAlign w:val="bottom"/>
          </w:tcPr>
          <w:p>
            <w:pPr>
              <w:spacing w:after="0"/>
              <w:rPr>
                <w:sz w:val="24"/>
                <w:szCs w:val="24"/>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w:t>
            </w: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8,410,654</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4,577,392</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w:t>
            </w: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845,923</w:t>
            </w:r>
          </w:p>
        </w:tc>
      </w:tr>
      <w:tr>
        <w:trPr>
          <w:trHeight w:val="168"/>
        </w:trPr>
        <w:tc>
          <w:tcPr>
            <w:tcW w:w="4640" w:type="dxa"/>
            <w:vAlign w:val="bottom"/>
          </w:tcPr>
          <w:p>
            <w:pPr>
              <w:spacing w:after="0"/>
              <w:rPr>
                <w:sz w:val="14"/>
                <w:szCs w:val="14"/>
                <w:color w:val="auto"/>
              </w:rPr>
            </w:pP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4"/>
                <w:szCs w:val="24"/>
                <w:color w:val="auto"/>
              </w:rPr>
            </w:pPr>
          </w:p>
        </w:tc>
        <w:tc>
          <w:tcPr>
            <w:tcW w:w="2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13,833,969</w:t>
            </w:r>
          </w:p>
        </w:tc>
      </w:tr>
      <w:tr>
        <w:trPr>
          <w:trHeight w:val="168"/>
        </w:trPr>
        <w:tc>
          <w:tcPr>
            <w:tcW w:w="4640" w:type="dxa"/>
            <w:vAlign w:val="bottom"/>
          </w:tcPr>
          <w:p>
            <w:pPr>
              <w:spacing w:after="0"/>
              <w:rPr>
                <w:sz w:val="14"/>
                <w:szCs w:val="14"/>
                <w:color w:val="auto"/>
              </w:rPr>
            </w:pP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Loss from operations</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(309,502)</w:t>
            </w:r>
          </w:p>
        </w:tc>
      </w:tr>
      <w:tr>
        <w:trPr>
          <w:trHeight w:val="168"/>
        </w:trPr>
        <w:tc>
          <w:tcPr>
            <w:tcW w:w="4640" w:type="dxa"/>
            <w:vAlign w:val="bottom"/>
          </w:tcPr>
          <w:p>
            <w:pPr>
              <w:spacing w:after="0"/>
              <w:rPr>
                <w:sz w:val="14"/>
                <w:szCs w:val="14"/>
                <w:color w:val="auto"/>
              </w:rPr>
            </w:pP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360" w:type="dxa"/>
            <w:vAlign w:val="bottom"/>
          </w:tcPr>
          <w:p>
            <w:pPr>
              <w:spacing w:after="0"/>
              <w:rPr>
                <w:sz w:val="24"/>
                <w:szCs w:val="24"/>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 net</w:t>
            </w:r>
          </w:p>
        </w:tc>
        <w:tc>
          <w:tcPr>
            <w:tcW w:w="2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(116,203)</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Gain on sale of assets</w:t>
            </w: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2,806</w:t>
            </w:r>
          </w:p>
        </w:tc>
      </w:tr>
      <w:tr>
        <w:trPr>
          <w:trHeight w:val="168"/>
        </w:trPr>
        <w:tc>
          <w:tcPr>
            <w:tcW w:w="4640" w:type="dxa"/>
            <w:vAlign w:val="bottom"/>
          </w:tcPr>
          <w:p>
            <w:pPr>
              <w:spacing w:after="0"/>
              <w:rPr>
                <w:sz w:val="14"/>
                <w:szCs w:val="14"/>
                <w:color w:val="auto"/>
              </w:rPr>
            </w:pP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(113,397)</w:t>
            </w:r>
          </w:p>
        </w:tc>
      </w:tr>
      <w:tr>
        <w:trPr>
          <w:trHeight w:val="168"/>
        </w:trPr>
        <w:tc>
          <w:tcPr>
            <w:tcW w:w="4640" w:type="dxa"/>
            <w:vAlign w:val="bottom"/>
          </w:tcPr>
          <w:p>
            <w:pPr>
              <w:spacing w:after="0"/>
              <w:rPr>
                <w:sz w:val="14"/>
                <w:szCs w:val="14"/>
                <w:color w:val="auto"/>
              </w:rPr>
            </w:pP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ind w:left="540"/>
              <w:spacing w:after="0"/>
              <w:rPr>
                <w:sz w:val="20"/>
                <w:szCs w:val="20"/>
                <w:color w:val="auto"/>
              </w:rPr>
            </w:pPr>
            <w:r>
              <w:rPr>
                <w:rFonts w:ascii="Courier New" w:cs="Courier New" w:eastAsia="Courier New" w:hAnsi="Courier New"/>
                <w:sz w:val="15"/>
                <w:szCs w:val="15"/>
                <w:color w:val="auto"/>
              </w:rPr>
              <w:t>Loss before taxes</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(422,899)</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Provision for state taxes</w:t>
            </w:r>
          </w:p>
        </w:tc>
        <w:tc>
          <w:tcPr>
            <w:tcW w:w="2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4,000</w:t>
            </w:r>
          </w:p>
        </w:tc>
      </w:tr>
      <w:tr>
        <w:trPr>
          <w:trHeight w:val="168"/>
        </w:trPr>
        <w:tc>
          <w:tcPr>
            <w:tcW w:w="4640" w:type="dxa"/>
            <w:vAlign w:val="bottom"/>
          </w:tcPr>
          <w:p>
            <w:pPr>
              <w:spacing w:after="0"/>
              <w:rPr>
                <w:sz w:val="14"/>
                <w:szCs w:val="14"/>
                <w:color w:val="auto"/>
              </w:rPr>
            </w:pP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ind w:left="540"/>
              <w:spacing w:after="0"/>
              <w:rPr>
                <w:sz w:val="20"/>
                <w:szCs w:val="20"/>
                <w:color w:val="auto"/>
              </w:rPr>
            </w:pPr>
            <w:r>
              <w:rPr>
                <w:rFonts w:ascii="Courier New" w:cs="Courier New" w:eastAsia="Courier New" w:hAnsi="Courier New"/>
                <w:sz w:val="15"/>
                <w:szCs w:val="15"/>
                <w:color w:val="auto"/>
              </w:rPr>
              <w:t>Net loss</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(426,899)</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Retained earnings at September 30, 1994</w:t>
            </w:r>
          </w:p>
        </w:tc>
        <w:tc>
          <w:tcPr>
            <w:tcW w:w="2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2,288,958</w:t>
            </w:r>
          </w:p>
        </w:tc>
      </w:tr>
      <w:tr>
        <w:trPr>
          <w:trHeight w:val="168"/>
        </w:trPr>
        <w:tc>
          <w:tcPr>
            <w:tcW w:w="4640" w:type="dxa"/>
            <w:vAlign w:val="bottom"/>
          </w:tcPr>
          <w:p>
            <w:pPr>
              <w:spacing w:after="0"/>
              <w:rPr>
                <w:sz w:val="14"/>
                <w:szCs w:val="14"/>
                <w:color w:val="auto"/>
              </w:rPr>
            </w:pP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Retained earnings at September 30, 1995</w:t>
            </w:r>
          </w:p>
        </w:tc>
        <w:tc>
          <w:tcPr>
            <w:tcW w:w="2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1,862,059</w:t>
            </w:r>
          </w:p>
        </w:tc>
      </w:tr>
    </w:tbl>
    <w:p>
      <w:pPr>
        <w:ind w:left="586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31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7"/>
              </w:rPr>
              <w:t>KASPER BROTHERS, INC.</w:t>
            </w:r>
          </w:p>
        </w:tc>
        <w:tc>
          <w:tcPr>
            <w:tcW w:w="1400" w:type="dxa"/>
            <w:vAlign w:val="bottom"/>
          </w:tcPr>
          <w:p>
            <w:pPr>
              <w:spacing w:after="0"/>
              <w:rPr>
                <w:sz w:val="14"/>
                <w:szCs w:val="14"/>
                <w:color w:val="auto"/>
              </w:rPr>
            </w:pPr>
          </w:p>
        </w:tc>
      </w:tr>
      <w:tr>
        <w:trPr>
          <w:trHeight w:val="336"/>
        </w:trPr>
        <w:tc>
          <w:tcPr>
            <w:tcW w:w="5600" w:type="dxa"/>
            <w:vAlign w:val="bottom"/>
          </w:tcPr>
          <w:p>
            <w:pPr>
              <w:jc w:val="center"/>
              <w:ind w:left="1267"/>
              <w:spacing w:after="0"/>
              <w:rPr>
                <w:sz w:val="20"/>
                <w:szCs w:val="20"/>
                <w:color w:val="auto"/>
              </w:rPr>
            </w:pPr>
            <w:r>
              <w:rPr>
                <w:rFonts w:ascii="Courier New" w:cs="Courier New" w:eastAsia="Courier New" w:hAnsi="Courier New"/>
                <w:sz w:val="15"/>
                <w:szCs w:val="15"/>
                <w:color w:val="auto"/>
                <w:w w:val="97"/>
              </w:rPr>
              <w:t>STATEMENT OF CASH FLOWS</w:t>
            </w:r>
          </w:p>
        </w:tc>
        <w:tc>
          <w:tcPr>
            <w:tcW w:w="1400" w:type="dxa"/>
            <w:vAlign w:val="bottom"/>
          </w:tcPr>
          <w:p>
            <w:pPr>
              <w:spacing w:after="0"/>
              <w:rPr>
                <w:sz w:val="24"/>
                <w:szCs w:val="24"/>
                <w:color w:val="auto"/>
              </w:rPr>
            </w:pPr>
          </w:p>
        </w:tc>
      </w:tr>
      <w:tr>
        <w:trPr>
          <w:trHeight w:val="168"/>
        </w:trPr>
        <w:tc>
          <w:tcPr>
            <w:tcW w:w="5600" w:type="dxa"/>
            <w:vAlign w:val="bottom"/>
          </w:tcPr>
          <w:p>
            <w:pPr>
              <w:jc w:val="center"/>
              <w:ind w:left="1247"/>
              <w:spacing w:after="0" w:line="168" w:lineRule="exact"/>
              <w:rPr>
                <w:sz w:val="20"/>
                <w:szCs w:val="20"/>
                <w:color w:val="auto"/>
              </w:rPr>
            </w:pPr>
            <w:r>
              <w:rPr>
                <w:rFonts w:ascii="Courier New" w:cs="Courier New" w:eastAsia="Courier New" w:hAnsi="Courier New"/>
                <w:sz w:val="15"/>
                <w:szCs w:val="15"/>
                <w:color w:val="auto"/>
                <w:w w:val="97"/>
              </w:rPr>
              <w:t>FOR THE YEAR ENDED SEPTEMBER 30, 1995</w:t>
            </w:r>
          </w:p>
        </w:tc>
        <w:tc>
          <w:tcPr>
            <w:tcW w:w="1400" w:type="dxa"/>
            <w:vAlign w:val="bottom"/>
          </w:tcPr>
          <w:p>
            <w:pPr>
              <w:spacing w:after="0"/>
              <w:rPr>
                <w:sz w:val="14"/>
                <w:szCs w:val="14"/>
                <w:color w:val="auto"/>
              </w:rPr>
            </w:pPr>
          </w:p>
        </w:tc>
      </w:tr>
      <w:tr>
        <w:trPr>
          <w:trHeight w:val="673"/>
        </w:trPr>
        <w:tc>
          <w:tcPr>
            <w:tcW w:w="56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400" w:type="dxa"/>
            <w:vAlign w:val="bottom"/>
          </w:tcPr>
          <w:p>
            <w:pPr>
              <w:spacing w:after="0"/>
              <w:rPr>
                <w:sz w:val="24"/>
                <w:szCs w:val="24"/>
                <w:color w:val="auto"/>
              </w:rPr>
            </w:pP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loss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$(426,899)</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net (loss) to</w:t>
            </w:r>
          </w:p>
        </w:tc>
        <w:tc>
          <w:tcPr>
            <w:tcW w:w="140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400" w:type="dxa"/>
            <w:vAlign w:val="bottom"/>
          </w:tcPr>
          <w:p>
            <w:pPr>
              <w:spacing w:after="0"/>
              <w:rPr>
                <w:sz w:val="14"/>
                <w:szCs w:val="14"/>
                <w:color w:val="auto"/>
              </w:rPr>
            </w:pPr>
          </w:p>
        </w:tc>
      </w:tr>
      <w:tr>
        <w:trPr>
          <w:trHeight w:val="168"/>
        </w:trPr>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845,923</w:t>
            </w:r>
          </w:p>
        </w:tc>
      </w:tr>
      <w:tr>
        <w:trPr>
          <w:trHeight w:val="168"/>
        </w:trPr>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Gain on sale of assets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(2,806)</w:t>
            </w:r>
          </w:p>
        </w:tc>
      </w:tr>
      <w:tr>
        <w:trPr>
          <w:trHeight w:val="168"/>
        </w:trPr>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Provision for bad debts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428,743</w:t>
            </w:r>
          </w:p>
        </w:tc>
      </w:tr>
      <w:tr>
        <w:trPr>
          <w:trHeight w:val="168"/>
        </w:trPr>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1400" w:type="dxa"/>
            <w:vAlign w:val="bottom"/>
          </w:tcPr>
          <w:p>
            <w:pPr>
              <w:spacing w:after="0"/>
              <w:rPr>
                <w:sz w:val="14"/>
                <w:szCs w:val="14"/>
                <w:color w:val="auto"/>
              </w:rPr>
            </w:pPr>
          </w:p>
        </w:tc>
      </w:tr>
      <w:tr>
        <w:trPr>
          <w:trHeight w:val="168"/>
        </w:trPr>
        <w:tc>
          <w:tcPr>
            <w:tcW w:w="5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(Increase) in accounts receivable</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(352,697)</w:t>
            </w:r>
          </w:p>
        </w:tc>
      </w:tr>
      <w:tr>
        <w:trPr>
          <w:trHeight w:val="168"/>
        </w:trPr>
        <w:tc>
          <w:tcPr>
            <w:tcW w:w="5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Decrease in prepaid and other current assets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1,813</w:t>
            </w:r>
          </w:p>
        </w:tc>
      </w:tr>
      <w:tr>
        <w:trPr>
          <w:trHeight w:val="168"/>
        </w:trPr>
        <w:tc>
          <w:tcPr>
            <w:tcW w:w="5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Decrease in bid bonds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1,450</w:t>
            </w:r>
          </w:p>
        </w:tc>
      </w:tr>
      <w:tr>
        <w:trPr>
          <w:trHeight w:val="168"/>
        </w:trPr>
        <w:tc>
          <w:tcPr>
            <w:tcW w:w="5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Decrease in other assets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5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Increase in accrued expenses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22,725</w:t>
            </w:r>
          </w:p>
        </w:tc>
      </w:tr>
      <w:tr>
        <w:trPr>
          <w:trHeight w:val="168"/>
        </w:trPr>
        <w:tc>
          <w:tcPr>
            <w:tcW w:w="5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Increase in corporate taxes payable</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3,000</w:t>
            </w:r>
          </w:p>
        </w:tc>
      </w:tr>
      <w:tr>
        <w:trPr>
          <w:trHeight w:val="168"/>
        </w:trPr>
        <w:tc>
          <w:tcPr>
            <w:tcW w:w="5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Increase in accounts payable</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465,322</w:t>
            </w:r>
          </w:p>
        </w:tc>
      </w:tr>
      <w:tr>
        <w:trPr>
          <w:trHeight w:val="168"/>
        </w:trPr>
        <w:tc>
          <w:tcPr>
            <w:tcW w:w="560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ind w:left="88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986,707</w:t>
            </w:r>
          </w:p>
        </w:tc>
      </w:tr>
      <w:tr>
        <w:trPr>
          <w:trHeight w:val="168"/>
        </w:trPr>
        <w:tc>
          <w:tcPr>
            <w:tcW w:w="560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400" w:type="dxa"/>
            <w:vAlign w:val="bottom"/>
          </w:tcPr>
          <w:p>
            <w:pPr>
              <w:spacing w:after="0"/>
              <w:rPr>
                <w:sz w:val="24"/>
                <w:szCs w:val="24"/>
                <w:color w:val="auto"/>
              </w:rPr>
            </w:pP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 of property and equipment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(820,073)</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sale of property and equipment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8,293</w:t>
            </w:r>
          </w:p>
        </w:tc>
      </w:tr>
      <w:tr>
        <w:trPr>
          <w:trHeight w:val="168"/>
        </w:trPr>
        <w:tc>
          <w:tcPr>
            <w:tcW w:w="560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ind w:left="880"/>
              <w:spacing w:after="0"/>
              <w:rPr>
                <w:sz w:val="20"/>
                <w:szCs w:val="20"/>
                <w:color w:val="auto"/>
              </w:rPr>
            </w:pPr>
            <w:r>
              <w:rPr>
                <w:rFonts w:ascii="Courier New" w:cs="Courier New" w:eastAsia="Courier New" w:hAnsi="Courier New"/>
                <w:sz w:val="15"/>
                <w:szCs w:val="15"/>
                <w:color w:val="auto"/>
              </w:rPr>
              <w:t>Net cash used in investing activities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(811,780)</w:t>
            </w:r>
          </w:p>
        </w:tc>
      </w:tr>
      <w:tr>
        <w:trPr>
          <w:trHeight w:val="168"/>
        </w:trPr>
        <w:tc>
          <w:tcPr>
            <w:tcW w:w="560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400" w:type="dxa"/>
            <w:vAlign w:val="bottom"/>
          </w:tcPr>
          <w:p>
            <w:pPr>
              <w:spacing w:after="0"/>
              <w:rPr>
                <w:sz w:val="24"/>
                <w:szCs w:val="24"/>
                <w:color w:val="auto"/>
              </w:rPr>
            </w:pP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Officer loan repayments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(619,832)</w:t>
            </w:r>
          </w:p>
        </w:tc>
      </w:tr>
      <w:tr>
        <w:trPr>
          <w:trHeight w:val="168"/>
        </w:trPr>
        <w:tc>
          <w:tcPr>
            <w:tcW w:w="560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ind w:left="880"/>
              <w:spacing w:after="0"/>
              <w:rPr>
                <w:sz w:val="20"/>
                <w:szCs w:val="20"/>
                <w:color w:val="auto"/>
              </w:rPr>
            </w:pPr>
            <w:r>
              <w:rPr>
                <w:rFonts w:ascii="Courier New" w:cs="Courier New" w:eastAsia="Courier New" w:hAnsi="Courier New"/>
                <w:sz w:val="15"/>
                <w:szCs w:val="15"/>
                <w:color w:val="auto"/>
              </w:rPr>
              <w:t>Net cash used in financing activities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(619,832)</w:t>
            </w:r>
          </w:p>
        </w:tc>
      </w:tr>
      <w:tr>
        <w:trPr>
          <w:trHeight w:val="168"/>
        </w:trPr>
        <w:tc>
          <w:tcPr>
            <w:tcW w:w="560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Net decrease in cash and cash equivalents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(444,905)</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year</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480,975</w:t>
            </w:r>
          </w:p>
        </w:tc>
      </w:tr>
      <w:tr>
        <w:trPr>
          <w:trHeight w:val="168"/>
        </w:trPr>
        <w:tc>
          <w:tcPr>
            <w:tcW w:w="560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year</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36,070</w:t>
            </w:r>
          </w:p>
        </w:tc>
      </w:tr>
      <w:tr>
        <w:trPr>
          <w:trHeight w:val="168"/>
        </w:trPr>
        <w:tc>
          <w:tcPr>
            <w:tcW w:w="560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Interest expense paid</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$ 128,500</w:t>
            </w:r>
          </w:p>
        </w:tc>
      </w:tr>
      <w:tr>
        <w:trPr>
          <w:trHeight w:val="168"/>
        </w:trPr>
        <w:tc>
          <w:tcPr>
            <w:tcW w:w="560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28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32</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KASPER BROTHERS, INC.</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NOTES TO FINANCIAL STATEMENTS</w:t>
      </w:r>
    </w:p>
    <w:p>
      <w:pPr>
        <w:spacing w:after="0" w:line="166" w:lineRule="exact"/>
        <w:rPr>
          <w:sz w:val="20"/>
          <w:szCs w:val="20"/>
          <w:color w:val="auto"/>
        </w:rPr>
      </w:pPr>
    </w:p>
    <w:p>
      <w:pPr>
        <w:ind w:left="440" w:hanging="430"/>
        <w:spacing w:after="0"/>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OPERATIONS:</w:t>
      </w:r>
    </w:p>
    <w:p>
      <w:pPr>
        <w:spacing w:after="0" w:line="172" w:lineRule="exact"/>
        <w:rPr>
          <w:rFonts w:ascii="Courier New" w:cs="Courier New" w:eastAsia="Courier New" w:hAnsi="Courier New"/>
          <w:sz w:val="15"/>
          <w:szCs w:val="15"/>
          <w:color w:val="auto"/>
        </w:rPr>
      </w:pPr>
    </w:p>
    <w:p>
      <w:pPr>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Kasper Brothers, Inc., a Pennsylvania Subchapter S Corporation, was incorporated October 1, 1992. The Company is in the business of collection, transportation and disposal of residential, commercial and industrial wastes and recyclables. Kasper Brothers, Inc. currently services the Philadelphia and New Jersey area.</w:t>
      </w:r>
    </w:p>
    <w:p>
      <w:pPr>
        <w:spacing w:after="0" w:line="1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73" w:lineRule="exact"/>
        <w:rPr>
          <w:sz w:val="20"/>
          <w:szCs w:val="20"/>
          <w:color w:val="auto"/>
        </w:rPr>
      </w:pPr>
    </w:p>
    <w:p>
      <w:pPr>
        <w:ind w:left="440" w:right="3679"/>
        <w:spacing w:after="0" w:line="234" w:lineRule="auto"/>
        <w:rPr>
          <w:sz w:val="20"/>
          <w:szCs w:val="20"/>
          <w:color w:val="auto"/>
        </w:rPr>
      </w:pPr>
      <w:r>
        <w:rPr>
          <w:rFonts w:ascii="Courier New" w:cs="Courier New" w:eastAsia="Courier New" w:hAnsi="Courier New"/>
          <w:sz w:val="15"/>
          <w:szCs w:val="15"/>
          <w:color w:val="auto"/>
        </w:rPr>
        <w:t>The significant accounting policies utilized in the preparation of the financial statements are as follows:</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left="440" w:right="3679"/>
        <w:spacing w:after="0" w:line="261" w:lineRule="auto"/>
        <w:rPr>
          <w:sz w:val="20"/>
          <w:szCs w:val="20"/>
          <w:color w:val="auto"/>
        </w:rPr>
      </w:pPr>
      <w:r>
        <w:rPr>
          <w:rFonts w:ascii="Courier New" w:cs="Courier New" w:eastAsia="Courier New" w:hAnsi="Courier New"/>
          <w:sz w:val="14"/>
          <w:szCs w:val="14"/>
          <w:color w:val="auto"/>
        </w:rPr>
        <w:t>The Company considers all highly liquid investments with a maturity of three months or less at the time of purchase to be cash equivalents.</w:t>
      </w:r>
    </w:p>
    <w:p>
      <w:pPr>
        <w:spacing w:after="0" w:line="15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left="440" w:right="3319"/>
        <w:spacing w:after="0" w:line="255" w:lineRule="auto"/>
        <w:rPr>
          <w:sz w:val="20"/>
          <w:szCs w:val="20"/>
          <w:color w:val="auto"/>
        </w:rPr>
      </w:pPr>
      <w:r>
        <w:rPr>
          <w:rFonts w:ascii="Courier New" w:cs="Courier New" w:eastAsia="Courier New" w:hAnsi="Courier New"/>
          <w:sz w:val="14"/>
          <w:szCs w:val="14"/>
          <w:color w:val="auto"/>
        </w:rPr>
        <w:t>Property and equipment are recorded at cost. Depreciation is computed using accelerated methods over the estimated useful lives of the assets, ranging from 5-7 years. Renewals and betterments that extend the economic useful lives of the related assets are capitalized. When property is retired or otherwise disposed of, the cost of the property and the related accumulated depreciation are removed from the accounts and any resulting gains or losses are reflected in current operations. Expenditures for maintenance and repairs are charged to expense as incurred.</w:t>
      </w:r>
    </w:p>
    <w:p>
      <w:pPr>
        <w:spacing w:after="0" w:line="15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BID BONDS:</w:t>
      </w:r>
    </w:p>
    <w:p>
      <w:pPr>
        <w:spacing w:after="0" w:line="173" w:lineRule="exact"/>
        <w:rPr>
          <w:sz w:val="20"/>
          <w:szCs w:val="20"/>
          <w:color w:val="auto"/>
        </w:rPr>
      </w:pPr>
    </w:p>
    <w:p>
      <w:pPr>
        <w:ind w:left="440" w:right="3319"/>
        <w:spacing w:after="0" w:line="235" w:lineRule="auto"/>
        <w:rPr>
          <w:sz w:val="20"/>
          <w:szCs w:val="20"/>
          <w:color w:val="auto"/>
        </w:rPr>
      </w:pPr>
      <w:r>
        <w:rPr>
          <w:rFonts w:ascii="Courier New" w:cs="Courier New" w:eastAsia="Courier New" w:hAnsi="Courier New"/>
          <w:sz w:val="15"/>
          <w:szCs w:val="15"/>
          <w:color w:val="auto"/>
        </w:rPr>
        <w:t>The Company is required to place deposits with high credit quality financial institutions at the inception of certain contracts. The deposits are held in certificates of deposits with Mellon Bank.</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has outstanding letters of credit aggregating $39,500.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281" w:right="1440" w:bottom="1440" w:gutter="0" w:footer="0" w:header="0"/>
        </w:sectPr>
      </w:pPr>
    </w:p>
    <w:bookmarkStart w:id="33" w:name="page34"/>
    <w:bookmarkEnd w:id="33"/>
    <w:p>
      <w:pPr>
        <w:ind w:left="270"/>
        <w:spacing w:after="0"/>
        <w:rPr>
          <w:sz w:val="20"/>
          <w:szCs w:val="20"/>
          <w:color w:val="auto"/>
        </w:rPr>
      </w:pPr>
      <w:r>
        <w:rPr>
          <w:rFonts w:ascii="Courier New" w:cs="Courier New" w:eastAsia="Courier New" w:hAnsi="Courier New"/>
          <w:sz w:val="15"/>
          <w:szCs w:val="15"/>
          <w:color w:val="auto"/>
        </w:rPr>
        <w:t>33</w:t>
      </w:r>
    </w:p>
    <w:p>
      <w:pPr>
        <w:ind w:left="1750"/>
        <w:spacing w:after="0" w:line="237" w:lineRule="auto"/>
        <w:rPr>
          <w:sz w:val="20"/>
          <w:szCs w:val="20"/>
          <w:color w:val="auto"/>
        </w:rPr>
      </w:pPr>
      <w:r>
        <w:rPr>
          <w:rFonts w:ascii="Courier New" w:cs="Courier New" w:eastAsia="Courier New" w:hAnsi="Courier New"/>
          <w:sz w:val="15"/>
          <w:szCs w:val="15"/>
          <w:color w:val="auto"/>
        </w:rPr>
        <w:t>NOTES TO FINANCIAL STATEMENTS, CONTINUED</w:t>
      </w:r>
    </w:p>
    <w:p>
      <w:pPr>
        <w:spacing w:after="0" w:line="167" w:lineRule="exact"/>
        <w:rPr>
          <w:sz w:val="20"/>
          <w:szCs w:val="20"/>
          <w:color w:val="auto"/>
        </w:rPr>
      </w:pPr>
    </w:p>
    <w:p>
      <w:pPr>
        <w:ind w:left="430" w:hanging="430"/>
        <w:spacing w:after="0"/>
        <w:tabs>
          <w:tab w:leader="none" w:pos="43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w:t>
      </w:r>
    </w:p>
    <w:p>
      <w:pPr>
        <w:spacing w:after="0" w:line="166" w:lineRule="exact"/>
        <w:rPr>
          <w:sz w:val="20"/>
          <w:szCs w:val="20"/>
          <w:color w:val="auto"/>
        </w:rPr>
      </w:pPr>
    </w:p>
    <w:p>
      <w:pPr>
        <w:ind w:left="690"/>
        <w:spacing w:after="0"/>
        <w:rPr>
          <w:sz w:val="20"/>
          <w:szCs w:val="20"/>
          <w:color w:val="auto"/>
        </w:rPr>
      </w:pPr>
      <w:r>
        <w:rPr>
          <w:rFonts w:ascii="Courier New" w:cs="Courier New" w:eastAsia="Courier New" w:hAnsi="Courier New"/>
          <w:sz w:val="15"/>
          <w:szCs w:val="15"/>
          <w:color w:val="auto"/>
        </w:rPr>
        <w:t>CONCENTRATION OF CREDIT RISK:</w:t>
      </w:r>
    </w:p>
    <w:p>
      <w:pPr>
        <w:spacing w:after="0" w:line="173" w:lineRule="exact"/>
        <w:rPr>
          <w:sz w:val="20"/>
          <w:szCs w:val="20"/>
          <w:color w:val="auto"/>
        </w:rPr>
      </w:pPr>
    </w:p>
    <w:p>
      <w:pPr>
        <w:ind w:left="430" w:right="3499"/>
        <w:spacing w:after="0" w:line="236" w:lineRule="auto"/>
        <w:rPr>
          <w:sz w:val="20"/>
          <w:szCs w:val="20"/>
          <w:color w:val="auto"/>
        </w:rPr>
      </w:pPr>
      <w:r>
        <w:rPr>
          <w:rFonts w:ascii="Courier New" w:cs="Courier New" w:eastAsia="Courier New" w:hAnsi="Courier New"/>
          <w:sz w:val="15"/>
          <w:szCs w:val="15"/>
          <w:color w:val="auto"/>
        </w:rPr>
        <w:t>The Company encounters, in the normal course of business, exposure to concentrations of credit risk with respect to trade receivables. Concentrations of credit risk with respect to trade receivables are limited due to the Company's large customer base. Ongoing credit evaluations of customers' financial condition are performed and, generally, no collateral is required. The Company maintains reserves for potential credit losses and such losses have not exceeded management's expectations.</w:t>
      </w:r>
    </w:p>
    <w:p>
      <w:pPr>
        <w:spacing w:after="0" w:line="171" w:lineRule="exact"/>
        <w:rPr>
          <w:sz w:val="20"/>
          <w:szCs w:val="20"/>
          <w:color w:val="auto"/>
        </w:rPr>
      </w:pPr>
    </w:p>
    <w:p>
      <w:pPr>
        <w:ind w:left="690"/>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left="430" w:right="3319"/>
        <w:spacing w:after="0" w:line="23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disclosures of contingent assets and liabilities at the financial statement date and the reported amounts of revenues during the reporting period. Actual results could differ from those estimates.</w:t>
      </w:r>
    </w:p>
    <w:p>
      <w:pPr>
        <w:spacing w:after="0" w:line="168" w:lineRule="exact"/>
        <w:rPr>
          <w:sz w:val="20"/>
          <w:szCs w:val="20"/>
          <w:color w:val="auto"/>
        </w:rPr>
      </w:pPr>
    </w:p>
    <w:p>
      <w:pPr>
        <w:ind w:left="690"/>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left="430" w:right="3399"/>
        <w:spacing w:after="0" w:line="236" w:lineRule="auto"/>
        <w:rPr>
          <w:sz w:val="20"/>
          <w:szCs w:val="20"/>
          <w:color w:val="auto"/>
        </w:rPr>
      </w:pPr>
      <w:r>
        <w:rPr>
          <w:rFonts w:ascii="Courier New" w:cs="Courier New" w:eastAsia="Courier New" w:hAnsi="Courier New"/>
          <w:sz w:val="15"/>
          <w:szCs w:val="15"/>
          <w:color w:val="auto"/>
        </w:rPr>
        <w:t>The Company has elected to be taxed under the provisions of Subchapter S of the Internal Revenue Code. Under such election, the Company's federal taxable income or loss are passed through to the individual shareholders. Therefore, no provision or liability for federal income tax has been included in these financial statements. The Company also elected Subchapter S status for state income tax purposes in Pennsylvania and New Jersey.</w:t>
      </w:r>
    </w:p>
    <w:p>
      <w:pPr>
        <w:spacing w:after="0" w:line="169" w:lineRule="exact"/>
        <w:rPr>
          <w:sz w:val="20"/>
          <w:szCs w:val="20"/>
          <w:color w:val="auto"/>
        </w:rPr>
      </w:pPr>
    </w:p>
    <w:p>
      <w:pPr>
        <w:ind w:left="430" w:hanging="430"/>
        <w:spacing w:after="0"/>
        <w:tabs>
          <w:tab w:leader="none" w:pos="43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PLAN:</w:t>
      </w:r>
    </w:p>
    <w:p>
      <w:pPr>
        <w:spacing w:after="0" w:line="172" w:lineRule="exact"/>
        <w:rPr>
          <w:rFonts w:ascii="Courier New" w:cs="Courier New" w:eastAsia="Courier New" w:hAnsi="Courier New"/>
          <w:sz w:val="15"/>
          <w:szCs w:val="15"/>
          <w:color w:val="auto"/>
        </w:rPr>
      </w:pPr>
    </w:p>
    <w:p>
      <w:pPr>
        <w:ind w:left="430" w:right="34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 profit sharing plan covering eligible employees. The Plan requires a two year waiting period for an employee to become eligible, and provides 100% immediate vesting. Company contributions are determined as a percentage of each eligible employee's salary. The contribution for the year ended September 30, 1995 was $222,618.</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29"/>
          </w:cols>
          <w:pgMar w:left="230" w:top="281" w:right="1440" w:bottom="1440" w:gutter="0" w:footer="0" w:header="0"/>
        </w:sectPr>
      </w:pPr>
    </w:p>
    <w:bookmarkStart w:id="34" w:name="page35"/>
    <w:bookmarkEnd w:id="34"/>
    <w:p>
      <w:pPr>
        <w:ind w:left="270"/>
        <w:spacing w:after="0"/>
        <w:rPr>
          <w:sz w:val="20"/>
          <w:szCs w:val="20"/>
          <w:color w:val="auto"/>
        </w:rPr>
      </w:pPr>
      <w:r>
        <w:rPr>
          <w:rFonts w:ascii="Courier New" w:cs="Courier New" w:eastAsia="Courier New" w:hAnsi="Courier New"/>
          <w:sz w:val="15"/>
          <w:szCs w:val="15"/>
          <w:color w:val="auto"/>
        </w:rPr>
        <w:t>34</w:t>
      </w:r>
    </w:p>
    <w:p>
      <w:pPr>
        <w:ind w:left="1750"/>
        <w:spacing w:after="0" w:line="237" w:lineRule="auto"/>
        <w:rPr>
          <w:sz w:val="20"/>
          <w:szCs w:val="20"/>
          <w:color w:val="auto"/>
        </w:rPr>
      </w:pPr>
      <w:r>
        <w:rPr>
          <w:rFonts w:ascii="Courier New" w:cs="Courier New" w:eastAsia="Courier New" w:hAnsi="Courier New"/>
          <w:sz w:val="15"/>
          <w:szCs w:val="15"/>
          <w:color w:val="auto"/>
        </w:rPr>
        <w:t>NOTES TO FINANCIAL STATEMENTS, CONTINUED</w:t>
      </w:r>
    </w:p>
    <w:p>
      <w:pPr>
        <w:spacing w:after="0" w:line="167" w:lineRule="exact"/>
        <w:rPr>
          <w:sz w:val="20"/>
          <w:szCs w:val="20"/>
          <w:color w:val="auto"/>
        </w:rPr>
      </w:pPr>
    </w:p>
    <w:p>
      <w:pPr>
        <w:ind w:left="430" w:hanging="430"/>
        <w:spacing w:after="0"/>
        <w:tabs>
          <w:tab w:leader="none" w:pos="43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2" w:lineRule="exact"/>
        <w:rPr>
          <w:rFonts w:ascii="Courier New" w:cs="Courier New" w:eastAsia="Courier New" w:hAnsi="Courier New"/>
          <w:sz w:val="15"/>
          <w:szCs w:val="15"/>
          <w:color w:val="auto"/>
        </w:rPr>
      </w:pPr>
    </w:p>
    <w:p>
      <w:pPr>
        <w:ind w:left="43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has outstanding uncollateralized loans to corporate officers Francis Kasprzak and John Kasprzak. The total loan balance at September 30, 1995 is $1,518,968. There are no specific repayment terms, but interest is paid at an annual rate of 9% on the outstanding balance. Interest expense incurred in connection with these loans was $128,500 for the year ended September 30, 1995.</w:t>
      </w:r>
    </w:p>
    <w:p>
      <w:pPr>
        <w:spacing w:after="0" w:line="174" w:lineRule="exact"/>
        <w:rPr>
          <w:rFonts w:ascii="Courier New" w:cs="Courier New" w:eastAsia="Courier New" w:hAnsi="Courier New"/>
          <w:sz w:val="15"/>
          <w:szCs w:val="15"/>
          <w:color w:val="auto"/>
        </w:rPr>
      </w:pPr>
    </w:p>
    <w:p>
      <w:pPr>
        <w:ind w:left="430" w:right="357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rents office space in Pennsylvania from the Betsy Ross Partnership, a related partnership. The partners are Francis Kasprzak, John Kasprzak, and Michael Kasper, who are the shareholders of Kasper Brothers, Inc. The lease is renewed annually. Rent expense for the year ended September 30, 1995 was $135,000.</w:t>
      </w:r>
    </w:p>
    <w:p>
      <w:pPr>
        <w:spacing w:after="0" w:line="167"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w:t>
      </w:r>
    </w:p>
    <w:p>
      <w:pPr>
        <w:spacing w:after="0" w:line="172" w:lineRule="exact"/>
        <w:rPr>
          <w:rFonts w:ascii="Courier New" w:cs="Courier New" w:eastAsia="Courier New" w:hAnsi="Courier New"/>
          <w:sz w:val="15"/>
          <w:szCs w:val="15"/>
          <w:color w:val="auto"/>
        </w:rPr>
      </w:pPr>
    </w:p>
    <w:p>
      <w:pPr>
        <w:ind w:left="43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1996, all of the assets of Kasper Brothers, Inc. were acquired by USA Waste Services Inc. The total purchase price was $10,676,000. In addition to the purchase of all assets, the Company entered into a contract not to compete and several employment contracts in the amounts of $450,000 and $600,000, respectively.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9"/>
          </w:cols>
          <w:pgMar w:left="230" w:top="28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35</w:t>
      </w:r>
    </w:p>
    <w:p>
      <w:pPr>
        <w:ind w:left="2200"/>
        <w:spacing w:after="0" w:line="237" w:lineRule="auto"/>
        <w:rPr>
          <w:sz w:val="20"/>
          <w:szCs w:val="20"/>
          <w:color w:val="auto"/>
        </w:rPr>
      </w:pPr>
      <w:r>
        <w:rPr>
          <w:rFonts w:ascii="Courier New" w:cs="Courier New" w:eastAsia="Courier New" w:hAnsi="Courier New"/>
          <w:sz w:val="15"/>
          <w:szCs w:val="15"/>
          <w:color w:val="auto"/>
        </w:rPr>
        <w:t>REPORT OF INDEPENDENT AUDITORS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Arnoni Group of Companies</w:t>
      </w:r>
    </w:p>
    <w:p>
      <w:pPr>
        <w:spacing w:after="0" w:line="237" w:lineRule="auto"/>
        <w:rPr>
          <w:sz w:val="20"/>
          <w:szCs w:val="20"/>
          <w:color w:val="auto"/>
        </w:rPr>
      </w:pPr>
      <w:r>
        <w:rPr>
          <w:rFonts w:ascii="Courier New" w:cs="Courier New" w:eastAsia="Courier New" w:hAnsi="Courier New"/>
          <w:sz w:val="15"/>
          <w:szCs w:val="15"/>
          <w:color w:val="auto"/>
        </w:rPr>
        <w:t>Pittsburgh, Pennsylvania</w:t>
      </w:r>
    </w:p>
    <w:p>
      <w:pPr>
        <w:spacing w:after="0" w:line="173"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We have audited the accompanying combined balance sheet of The Arnoni Group of Companies (consisting of The Arnoni Group, Inc., M.C. Arnoni Company, South Hills Disposal Company, Cochran Mill Associates, Inc. and Arnoni Family Partnership) as of December 31, 1995, and the related combined statement of income and retained earnings and combined statement of cash flows for year then ended. These combined financial statements are the responsibility of the Group's management. Our responsibility is to express an opinion on these combined financial statements based on our audits.</w:t>
      </w:r>
    </w:p>
    <w:p>
      <w:pPr>
        <w:spacing w:after="0" w:line="177"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In our opinion, the combined financial statements referred to above present fairly, in all material respects, the financial position of The Arnoni Group of Companies as of December 31, 1995, and the results of their operations and their cash flows for the year then ended in conformity with generally accepted accounting principles.</w:t>
      </w:r>
    </w:p>
    <w:p>
      <w:pPr>
        <w:spacing w:after="0" w:line="167" w:lineRule="exact"/>
        <w:rPr>
          <w:sz w:val="20"/>
          <w:szCs w:val="20"/>
          <w:color w:val="auto"/>
        </w:rPr>
      </w:pPr>
    </w:p>
    <w:p>
      <w:pPr>
        <w:ind w:left="3500"/>
        <w:spacing w:after="0"/>
        <w:tabs>
          <w:tab w:leader="none" w:pos="3920" w:val="left"/>
        </w:tabs>
        <w:rPr>
          <w:sz w:val="20"/>
          <w:szCs w:val="20"/>
          <w:color w:val="auto"/>
        </w:rPr>
      </w:pPr>
      <w:r>
        <w:rPr>
          <w:rFonts w:ascii="Courier New" w:cs="Courier New" w:eastAsia="Courier New" w:hAnsi="Courier New"/>
          <w:sz w:val="15"/>
          <w:szCs w:val="15"/>
          <w:color w:val="auto"/>
        </w:rPr>
        <w:t>/s/</w:t>
        <w:tab/>
        <w:t>KAPLAN SIPOS &amp; ASSOCIATES</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KAPLAN SIPOS &amp; ASSOCIATES</w:t>
      </w:r>
    </w:p>
    <w:p>
      <w:pPr>
        <w:ind w:left="3500"/>
        <w:spacing w:after="0" w:line="237" w:lineRule="auto"/>
        <w:rPr>
          <w:sz w:val="20"/>
          <w:szCs w:val="20"/>
          <w:color w:val="auto"/>
        </w:rPr>
      </w:pPr>
      <w:r>
        <w:rPr>
          <w:rFonts w:ascii="Courier New" w:cs="Courier New" w:eastAsia="Courier New" w:hAnsi="Courier New"/>
          <w:sz w:val="15"/>
          <w:szCs w:val="15"/>
          <w:color w:val="auto"/>
        </w:rPr>
        <w:t>CERTIFIED PUBLIC ACCOUNTANTS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Pittsburgh, Pennsylvania</w:t>
      </w:r>
    </w:p>
    <w:p>
      <w:pPr>
        <w:spacing w:after="0" w:line="237" w:lineRule="auto"/>
        <w:rPr>
          <w:sz w:val="20"/>
          <w:szCs w:val="20"/>
          <w:color w:val="auto"/>
        </w:rPr>
      </w:pPr>
      <w:r>
        <w:rPr>
          <w:rFonts w:ascii="Courier New" w:cs="Courier New" w:eastAsia="Courier New" w:hAnsi="Courier New"/>
          <w:sz w:val="15"/>
          <w:szCs w:val="15"/>
          <w:color w:val="auto"/>
        </w:rPr>
        <w:t>March 11, 1996</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28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36</w:t>
      </w:r>
    </w:p>
    <w:tbl>
      <w:tblPr>
        <w:tblLayout w:type="fixed"/>
        <w:tblInd w:w="0" w:type="dxa"/>
        <w:tblCellMar>
          <w:top w:w="0" w:type="dxa"/>
          <w:left w:w="0" w:type="dxa"/>
          <w:bottom w:w="0" w:type="dxa"/>
          <w:right w:w="0" w:type="dxa"/>
        </w:tblCellMar>
      </w:tblPr>
      <w:tr>
        <w:trPr>
          <w:trHeight w:val="168"/>
        </w:trPr>
        <w:tc>
          <w:tcPr>
            <w:tcW w:w="538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THE ARNONI GROUP OF COMPANIES</w:t>
            </w:r>
          </w:p>
        </w:tc>
        <w:tc>
          <w:tcPr>
            <w:tcW w:w="1620" w:type="dxa"/>
            <w:vAlign w:val="bottom"/>
          </w:tcPr>
          <w:p>
            <w:pPr>
              <w:spacing w:after="0"/>
              <w:rPr>
                <w:sz w:val="14"/>
                <w:szCs w:val="14"/>
                <w:color w:val="auto"/>
              </w:rPr>
            </w:pPr>
          </w:p>
        </w:tc>
      </w:tr>
      <w:tr>
        <w:trPr>
          <w:trHeight w:val="168"/>
        </w:trPr>
        <w:tc>
          <w:tcPr>
            <w:tcW w:w="5380" w:type="dxa"/>
            <w:vAlign w:val="bottom"/>
          </w:tcPr>
          <w:p>
            <w:pPr>
              <w:ind w:left="2540"/>
              <w:spacing w:after="0" w:line="168" w:lineRule="exact"/>
              <w:rPr>
                <w:sz w:val="20"/>
                <w:szCs w:val="20"/>
                <w:color w:val="auto"/>
              </w:rPr>
            </w:pPr>
            <w:r>
              <w:rPr>
                <w:rFonts w:ascii="Courier New" w:cs="Courier New" w:eastAsia="Courier New" w:hAnsi="Courier New"/>
                <w:sz w:val="15"/>
                <w:szCs w:val="15"/>
                <w:color w:val="auto"/>
              </w:rPr>
              <w:t>COMBINED BALANCE SHEET</w:t>
            </w:r>
          </w:p>
        </w:tc>
        <w:tc>
          <w:tcPr>
            <w:tcW w:w="1620" w:type="dxa"/>
            <w:vAlign w:val="bottom"/>
          </w:tcPr>
          <w:p>
            <w:pPr>
              <w:spacing w:after="0"/>
              <w:rPr>
                <w:sz w:val="14"/>
                <w:szCs w:val="14"/>
                <w:color w:val="auto"/>
              </w:rPr>
            </w:pPr>
          </w:p>
        </w:tc>
      </w:tr>
      <w:tr>
        <w:trPr>
          <w:trHeight w:val="168"/>
        </w:trPr>
        <w:tc>
          <w:tcPr>
            <w:tcW w:w="538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DECEMBER 31, 1995</w:t>
            </w:r>
          </w:p>
        </w:tc>
        <w:tc>
          <w:tcPr>
            <w:tcW w:w="1620" w:type="dxa"/>
            <w:vAlign w:val="bottom"/>
          </w:tcPr>
          <w:p>
            <w:pPr>
              <w:spacing w:after="0"/>
              <w:rPr>
                <w:sz w:val="14"/>
                <w:szCs w:val="14"/>
                <w:color w:val="auto"/>
              </w:rPr>
            </w:pPr>
          </w:p>
        </w:tc>
      </w:tr>
      <w:tr>
        <w:trPr>
          <w:trHeight w:val="336"/>
        </w:trPr>
        <w:tc>
          <w:tcPr>
            <w:tcW w:w="5380" w:type="dxa"/>
            <w:vAlign w:val="bottom"/>
          </w:tcPr>
          <w:p>
            <w:pPr>
              <w:ind w:left="3240"/>
              <w:spacing w:after="0"/>
              <w:rPr>
                <w:sz w:val="20"/>
                <w:szCs w:val="20"/>
                <w:color w:val="auto"/>
              </w:rPr>
            </w:pPr>
            <w:r>
              <w:rPr>
                <w:rFonts w:ascii="Courier New" w:cs="Courier New" w:eastAsia="Courier New" w:hAnsi="Courier New"/>
                <w:sz w:val="15"/>
                <w:szCs w:val="15"/>
                <w:color w:val="auto"/>
              </w:rPr>
              <w:t>ASSETS</w:t>
            </w:r>
          </w:p>
        </w:tc>
        <w:tc>
          <w:tcPr>
            <w:tcW w:w="1620" w:type="dxa"/>
            <w:vAlign w:val="bottom"/>
          </w:tcPr>
          <w:p>
            <w:pPr>
              <w:spacing w:after="0"/>
              <w:rPr>
                <w:sz w:val="24"/>
                <w:szCs w:val="24"/>
                <w:color w:val="auto"/>
              </w:rPr>
            </w:pPr>
          </w:p>
        </w:tc>
      </w:tr>
      <w:tr>
        <w:trPr>
          <w:trHeight w:val="673"/>
        </w:trPr>
        <w:tc>
          <w:tcPr>
            <w:tcW w:w="5380" w:type="dxa"/>
            <w:vAlign w:val="bottom"/>
          </w:tcPr>
          <w:p>
            <w:pPr>
              <w:ind w:left="360"/>
              <w:spacing w:after="0"/>
              <w:rPr>
                <w:sz w:val="20"/>
                <w:szCs w:val="20"/>
                <w:color w:val="auto"/>
              </w:rPr>
            </w:pPr>
            <w:r>
              <w:rPr>
                <w:rFonts w:ascii="Courier New" w:cs="Courier New" w:eastAsia="Courier New" w:hAnsi="Courier New"/>
                <w:sz w:val="15"/>
                <w:szCs w:val="15"/>
                <w:color w:val="auto"/>
              </w:rPr>
              <w:t>Current Assets:</w:t>
            </w:r>
          </w:p>
        </w:tc>
        <w:tc>
          <w:tcPr>
            <w:tcW w:w="1620" w:type="dxa"/>
            <w:vAlign w:val="bottom"/>
          </w:tcPr>
          <w:p>
            <w:pPr>
              <w:spacing w:after="0"/>
              <w:rPr>
                <w:sz w:val="24"/>
                <w:szCs w:val="24"/>
                <w:color w:val="auto"/>
              </w:rPr>
            </w:pP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$ 1,408,179</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 - Trade</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1,244,742</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Portion of Assets</w:t>
            </w:r>
          </w:p>
        </w:tc>
        <w:tc>
          <w:tcPr>
            <w:tcW w:w="162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Limited as to Use</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365,525</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Expenses and</w:t>
            </w:r>
          </w:p>
        </w:tc>
        <w:tc>
          <w:tcPr>
            <w:tcW w:w="162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744,412</w:t>
            </w:r>
          </w:p>
        </w:tc>
      </w:tr>
      <w:tr>
        <w:trPr>
          <w:trHeight w:val="168"/>
        </w:trPr>
        <w:tc>
          <w:tcPr>
            <w:tcW w:w="538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ind w:left="540"/>
              <w:spacing w:after="0"/>
              <w:rPr>
                <w:sz w:val="20"/>
                <w:szCs w:val="20"/>
                <w:color w:val="auto"/>
              </w:rPr>
            </w:pPr>
            <w:r>
              <w:rPr>
                <w:rFonts w:ascii="Courier New" w:cs="Courier New" w:eastAsia="Courier New" w:hAnsi="Courier New"/>
                <w:sz w:val="15"/>
                <w:szCs w:val="15"/>
                <w:color w:val="auto"/>
              </w:rPr>
              <w:t>Total Current Assets</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3,762,858</w:t>
            </w:r>
          </w:p>
        </w:tc>
      </w:tr>
      <w:tr>
        <w:trPr>
          <w:trHeight w:val="168"/>
        </w:trPr>
        <w:tc>
          <w:tcPr>
            <w:tcW w:w="538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15,262,655</w:t>
            </w:r>
          </w:p>
        </w:tc>
      </w:tr>
      <w:tr>
        <w:trPr>
          <w:trHeight w:val="168"/>
        </w:trPr>
        <w:tc>
          <w:tcPr>
            <w:tcW w:w="538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ind w:left="360"/>
              <w:spacing w:after="0"/>
              <w:rPr>
                <w:sz w:val="20"/>
                <w:szCs w:val="20"/>
                <w:color w:val="auto"/>
              </w:rPr>
            </w:pPr>
            <w:r>
              <w:rPr>
                <w:rFonts w:ascii="Courier New" w:cs="Courier New" w:eastAsia="Courier New" w:hAnsi="Courier New"/>
                <w:sz w:val="15"/>
                <w:szCs w:val="15"/>
                <w:color w:val="auto"/>
              </w:rPr>
              <w:t>Other Assets:</w:t>
            </w:r>
          </w:p>
        </w:tc>
        <w:tc>
          <w:tcPr>
            <w:tcW w:w="1620" w:type="dxa"/>
            <w:vAlign w:val="bottom"/>
          </w:tcPr>
          <w:p>
            <w:pPr>
              <w:spacing w:after="0"/>
              <w:rPr>
                <w:sz w:val="24"/>
                <w:szCs w:val="24"/>
                <w:color w:val="auto"/>
              </w:rPr>
            </w:pP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Long-Term Investments</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430,080</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Escrow Funds</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1,993,149</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 Limited as to Use</w:t>
            </w:r>
          </w:p>
        </w:tc>
        <w:tc>
          <w:tcPr>
            <w:tcW w:w="162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Under Indenture of Trust</w:t>
            </w:r>
          </w:p>
        </w:tc>
        <w:tc>
          <w:tcPr>
            <w:tcW w:w="162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Held by Trustee</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1,700,000</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Assets</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103,776</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Non-Current Assets</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2,121,981</w:t>
            </w:r>
          </w:p>
        </w:tc>
      </w:tr>
      <w:tr>
        <w:trPr>
          <w:trHeight w:val="168"/>
        </w:trPr>
        <w:tc>
          <w:tcPr>
            <w:tcW w:w="538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rPr>
              <w:t>Total Other Assets</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6,348,986</w:t>
            </w:r>
          </w:p>
        </w:tc>
      </w:tr>
      <w:tr>
        <w:trPr>
          <w:trHeight w:val="168"/>
        </w:trPr>
        <w:tc>
          <w:tcPr>
            <w:tcW w:w="538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ind w:left="360"/>
              <w:spacing w:after="0"/>
              <w:rPr>
                <w:sz w:val="20"/>
                <w:szCs w:val="20"/>
                <w:color w:val="auto"/>
              </w:rPr>
            </w:pPr>
            <w:r>
              <w:rPr>
                <w:rFonts w:ascii="Courier New" w:cs="Courier New" w:eastAsia="Courier New" w:hAnsi="Courier New"/>
                <w:sz w:val="15"/>
                <w:szCs w:val="15"/>
                <w:color w:val="auto"/>
              </w:rPr>
              <w:t>Total Assets</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$25,374,499</w:t>
            </w:r>
          </w:p>
        </w:tc>
      </w:tr>
      <w:tr>
        <w:trPr>
          <w:trHeight w:val="168"/>
        </w:trPr>
        <w:tc>
          <w:tcPr>
            <w:tcW w:w="538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28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37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ind w:left="2200"/>
              <w:spacing w:after="0"/>
              <w:rPr>
                <w:sz w:val="20"/>
                <w:szCs w:val="20"/>
                <w:color w:val="auto"/>
              </w:rPr>
            </w:pPr>
            <w:r>
              <w:rPr>
                <w:rFonts w:ascii="Courier New" w:cs="Courier New" w:eastAsia="Courier New" w:hAnsi="Courier New"/>
                <w:sz w:val="15"/>
                <w:szCs w:val="15"/>
                <w:color w:val="auto"/>
              </w:rPr>
              <w:t>THE ARNONI GROUP OF COMPANIES</w:t>
            </w:r>
          </w:p>
        </w:tc>
        <w:tc>
          <w:tcPr>
            <w:tcW w:w="1620" w:type="dxa"/>
            <w:vAlign w:val="bottom"/>
          </w:tcPr>
          <w:p>
            <w:pPr>
              <w:spacing w:after="0"/>
              <w:rPr>
                <w:sz w:val="14"/>
                <w:szCs w:val="14"/>
                <w:color w:val="auto"/>
              </w:rPr>
            </w:pPr>
          </w:p>
        </w:tc>
      </w:tr>
      <w:tr>
        <w:trPr>
          <w:trHeight w:val="336"/>
        </w:trPr>
        <w:tc>
          <w:tcPr>
            <w:tcW w:w="5380" w:type="dxa"/>
            <w:vAlign w:val="bottom"/>
          </w:tcPr>
          <w:p>
            <w:pPr>
              <w:ind w:left="2540"/>
              <w:spacing w:after="0"/>
              <w:rPr>
                <w:sz w:val="20"/>
                <w:szCs w:val="20"/>
                <w:color w:val="auto"/>
              </w:rPr>
            </w:pPr>
            <w:r>
              <w:rPr>
                <w:rFonts w:ascii="Courier New" w:cs="Courier New" w:eastAsia="Courier New" w:hAnsi="Courier New"/>
                <w:sz w:val="15"/>
                <w:szCs w:val="15"/>
                <w:color w:val="auto"/>
              </w:rPr>
              <w:t>COMBINED BALANCE SHEET</w:t>
            </w:r>
          </w:p>
        </w:tc>
        <w:tc>
          <w:tcPr>
            <w:tcW w:w="1620" w:type="dxa"/>
            <w:vAlign w:val="bottom"/>
          </w:tcPr>
          <w:p>
            <w:pPr>
              <w:spacing w:after="0"/>
              <w:rPr>
                <w:sz w:val="24"/>
                <w:szCs w:val="24"/>
                <w:color w:val="auto"/>
              </w:rPr>
            </w:pPr>
          </w:p>
        </w:tc>
      </w:tr>
      <w:tr>
        <w:trPr>
          <w:trHeight w:val="168"/>
        </w:trPr>
        <w:tc>
          <w:tcPr>
            <w:tcW w:w="538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DECEMBER 31, 1995</w:t>
            </w:r>
          </w:p>
        </w:tc>
        <w:tc>
          <w:tcPr>
            <w:tcW w:w="1620" w:type="dxa"/>
            <w:vAlign w:val="bottom"/>
          </w:tcPr>
          <w:p>
            <w:pPr>
              <w:spacing w:after="0"/>
              <w:rPr>
                <w:sz w:val="14"/>
                <w:szCs w:val="14"/>
                <w:color w:val="auto"/>
              </w:rPr>
            </w:pPr>
          </w:p>
        </w:tc>
      </w:tr>
      <w:tr>
        <w:trPr>
          <w:trHeight w:val="336"/>
        </w:trPr>
        <w:tc>
          <w:tcPr>
            <w:tcW w:w="5380" w:type="dxa"/>
            <w:vAlign w:val="bottom"/>
          </w:tcPr>
          <w:p>
            <w:pPr>
              <w:ind w:left="2540"/>
              <w:spacing w:after="0"/>
              <w:rPr>
                <w:sz w:val="20"/>
                <w:szCs w:val="20"/>
                <w:color w:val="auto"/>
              </w:rPr>
            </w:pPr>
            <w:r>
              <w:rPr>
                <w:rFonts w:ascii="Courier New" w:cs="Courier New" w:eastAsia="Courier New" w:hAnsi="Courier New"/>
                <w:sz w:val="15"/>
                <w:szCs w:val="15"/>
                <w:color w:val="auto"/>
              </w:rPr>
              <w:t>LIABILITIES AND EQUITY</w:t>
            </w:r>
          </w:p>
        </w:tc>
        <w:tc>
          <w:tcPr>
            <w:tcW w:w="1620" w:type="dxa"/>
            <w:vAlign w:val="bottom"/>
          </w:tcPr>
          <w:p>
            <w:pPr>
              <w:spacing w:after="0"/>
              <w:rPr>
                <w:sz w:val="24"/>
                <w:szCs w:val="24"/>
                <w:color w:val="auto"/>
              </w:rPr>
            </w:pPr>
          </w:p>
        </w:tc>
      </w:tr>
      <w:tr>
        <w:trPr>
          <w:trHeight w:val="673"/>
        </w:trPr>
        <w:tc>
          <w:tcPr>
            <w:tcW w:w="5380" w:type="dxa"/>
            <w:vAlign w:val="bottom"/>
          </w:tcPr>
          <w:p>
            <w:pPr>
              <w:ind w:left="1060"/>
              <w:spacing w:after="0"/>
              <w:rPr>
                <w:sz w:val="20"/>
                <w:szCs w:val="20"/>
                <w:color w:val="auto"/>
              </w:rPr>
            </w:pPr>
            <w:r>
              <w:rPr>
                <w:rFonts w:ascii="Courier New" w:cs="Courier New" w:eastAsia="Courier New" w:hAnsi="Courier New"/>
                <w:sz w:val="15"/>
                <w:szCs w:val="15"/>
                <w:color w:val="auto"/>
              </w:rPr>
              <w:t>Current Liabilities:</w:t>
            </w:r>
          </w:p>
        </w:tc>
        <w:tc>
          <w:tcPr>
            <w:tcW w:w="1620" w:type="dxa"/>
            <w:vAlign w:val="bottom"/>
          </w:tcPr>
          <w:p>
            <w:pPr>
              <w:spacing w:after="0"/>
              <w:rPr>
                <w:sz w:val="24"/>
                <w:szCs w:val="24"/>
                <w:color w:val="auto"/>
              </w:rPr>
            </w:pP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Accounts Payable - Trade</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   497,918</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1,642,706</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Unearned Revenue</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678,294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Landfill Closure Costs</w:t>
            </w: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801,446</w:t>
            </w:r>
          </w:p>
        </w:tc>
      </w:tr>
      <w:tr>
        <w:trPr>
          <w:trHeight w:val="168"/>
        </w:trPr>
        <w:tc>
          <w:tcPr>
            <w:tcW w:w="538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ind w:left="1060"/>
              <w:spacing w:after="0"/>
              <w:rPr>
                <w:sz w:val="20"/>
                <w:szCs w:val="20"/>
                <w:color w:val="auto"/>
              </w:rPr>
            </w:pPr>
            <w:r>
              <w:rPr>
                <w:rFonts w:ascii="Courier New" w:cs="Courier New" w:eastAsia="Courier New" w:hAnsi="Courier New"/>
                <w:sz w:val="15"/>
                <w:szCs w:val="15"/>
                <w:color w:val="auto"/>
              </w:rPr>
              <w:t>Total Current Liabilities</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3,620,364</w:t>
            </w:r>
          </w:p>
        </w:tc>
      </w:tr>
      <w:tr>
        <w:trPr>
          <w:trHeight w:val="336"/>
        </w:trPr>
        <w:tc>
          <w:tcPr>
            <w:tcW w:w="5380" w:type="dxa"/>
            <w:vAlign w:val="bottom"/>
          </w:tcPr>
          <w:p>
            <w:pPr>
              <w:ind w:left="1060"/>
              <w:spacing w:after="0"/>
              <w:rPr>
                <w:sz w:val="20"/>
                <w:szCs w:val="20"/>
                <w:color w:val="auto"/>
              </w:rPr>
            </w:pPr>
            <w:r>
              <w:rPr>
                <w:rFonts w:ascii="Courier New" w:cs="Courier New" w:eastAsia="Courier New" w:hAnsi="Courier New"/>
                <w:sz w:val="15"/>
                <w:szCs w:val="15"/>
                <w:color w:val="auto"/>
              </w:rPr>
              <w:t>Long-Term Liabilities:</w:t>
            </w:r>
          </w:p>
        </w:tc>
        <w:tc>
          <w:tcPr>
            <w:tcW w:w="1620" w:type="dxa"/>
            <w:vAlign w:val="bottom"/>
          </w:tcPr>
          <w:p>
            <w:pPr>
              <w:spacing w:after="0"/>
              <w:rPr>
                <w:sz w:val="24"/>
                <w:szCs w:val="24"/>
                <w:color w:val="auto"/>
              </w:rPr>
            </w:pP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Unearned Revenue</w:t>
            </w:r>
          </w:p>
        </w:tc>
        <w:tc>
          <w:tcPr>
            <w:tcW w:w="1620" w:type="dxa"/>
            <w:vAlign w:val="bottom"/>
          </w:tcPr>
          <w:p>
            <w:pPr>
              <w:spacing w:after="0"/>
              <w:rPr>
                <w:sz w:val="24"/>
                <w:szCs w:val="24"/>
                <w:color w:val="auto"/>
              </w:rPr>
            </w:pP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of Current Portion</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117,207</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Landfill Closure Costs,</w:t>
            </w:r>
          </w:p>
        </w:tc>
        <w:tc>
          <w:tcPr>
            <w:tcW w:w="1620" w:type="dxa"/>
            <w:vAlign w:val="bottom"/>
          </w:tcPr>
          <w:p>
            <w:pPr>
              <w:spacing w:after="0"/>
              <w:rPr>
                <w:sz w:val="14"/>
                <w:szCs w:val="14"/>
                <w:color w:val="auto"/>
              </w:rPr>
            </w:pP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of Current Portion</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4,131,241</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Net of Current</w:t>
            </w:r>
          </w:p>
        </w:tc>
        <w:tc>
          <w:tcPr>
            <w:tcW w:w="1620" w:type="dxa"/>
            <w:vAlign w:val="bottom"/>
          </w:tcPr>
          <w:p>
            <w:pPr>
              <w:spacing w:after="0"/>
              <w:rPr>
                <w:sz w:val="14"/>
                <w:szCs w:val="14"/>
                <w:color w:val="auto"/>
              </w:rPr>
            </w:pP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Portion</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15,118,426</w:t>
            </w:r>
          </w:p>
        </w:tc>
      </w:tr>
      <w:tr>
        <w:trPr>
          <w:trHeight w:val="168"/>
        </w:trPr>
        <w:tc>
          <w:tcPr>
            <w:tcW w:w="538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ind w:left="1060"/>
              <w:spacing w:after="0"/>
              <w:rPr>
                <w:sz w:val="20"/>
                <w:szCs w:val="20"/>
                <w:color w:val="auto"/>
              </w:rPr>
            </w:pPr>
            <w:r>
              <w:rPr>
                <w:rFonts w:ascii="Courier New" w:cs="Courier New" w:eastAsia="Courier New" w:hAnsi="Courier New"/>
                <w:sz w:val="15"/>
                <w:szCs w:val="15"/>
                <w:color w:val="auto"/>
              </w:rPr>
              <w:t>Total Liabilities</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22,987,238</w:t>
            </w:r>
          </w:p>
        </w:tc>
      </w:tr>
      <w:tr>
        <w:trPr>
          <w:trHeight w:val="168"/>
        </w:trPr>
        <w:tc>
          <w:tcPr>
            <w:tcW w:w="538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1,292</w:t>
            </w:r>
          </w:p>
        </w:tc>
      </w:tr>
      <w:tr>
        <w:trPr>
          <w:trHeight w:val="168"/>
        </w:trPr>
        <w:tc>
          <w:tcPr>
            <w:tcW w:w="538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ind w:left="1060"/>
              <w:spacing w:after="0"/>
              <w:rPr>
                <w:sz w:val="20"/>
                <w:szCs w:val="20"/>
                <w:color w:val="auto"/>
              </w:rPr>
            </w:pPr>
            <w:r>
              <w:rPr>
                <w:rFonts w:ascii="Courier New" w:cs="Courier New" w:eastAsia="Courier New" w:hAnsi="Courier New"/>
                <w:sz w:val="15"/>
                <w:szCs w:val="15"/>
                <w:color w:val="auto"/>
              </w:rPr>
              <w:t>Equity:</w:t>
            </w:r>
          </w:p>
        </w:tc>
        <w:tc>
          <w:tcPr>
            <w:tcW w:w="1620" w:type="dxa"/>
            <w:vAlign w:val="bottom"/>
          </w:tcPr>
          <w:p>
            <w:pPr>
              <w:spacing w:after="0"/>
              <w:rPr>
                <w:sz w:val="24"/>
                <w:szCs w:val="24"/>
                <w:color w:val="auto"/>
              </w:rPr>
            </w:pP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Contributed Capital</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308,511</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2,077,458</w:t>
            </w:r>
          </w:p>
        </w:tc>
      </w:tr>
      <w:tr>
        <w:trPr>
          <w:trHeight w:val="168"/>
        </w:trPr>
        <w:tc>
          <w:tcPr>
            <w:tcW w:w="538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ind w:left="1060"/>
              <w:spacing w:after="0"/>
              <w:rPr>
                <w:sz w:val="20"/>
                <w:szCs w:val="20"/>
                <w:color w:val="auto"/>
              </w:rPr>
            </w:pPr>
            <w:r>
              <w:rPr>
                <w:rFonts w:ascii="Courier New" w:cs="Courier New" w:eastAsia="Courier New" w:hAnsi="Courier New"/>
                <w:sz w:val="15"/>
                <w:szCs w:val="15"/>
                <w:color w:val="auto"/>
              </w:rPr>
              <w:t>Total Equity</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2,385,969</w:t>
            </w:r>
          </w:p>
        </w:tc>
      </w:tr>
      <w:tr>
        <w:trPr>
          <w:trHeight w:val="168"/>
        </w:trPr>
        <w:tc>
          <w:tcPr>
            <w:tcW w:w="538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ind w:left="1060"/>
              <w:spacing w:after="0"/>
              <w:rPr>
                <w:sz w:val="20"/>
                <w:szCs w:val="20"/>
                <w:color w:val="auto"/>
              </w:rPr>
            </w:pPr>
            <w:r>
              <w:rPr>
                <w:rFonts w:ascii="Courier New" w:cs="Courier New" w:eastAsia="Courier New" w:hAnsi="Courier New"/>
                <w:sz w:val="15"/>
                <w:szCs w:val="15"/>
                <w:color w:val="auto"/>
              </w:rPr>
              <w:t>Total Liabilities and Equity</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$25,374,499</w:t>
            </w:r>
          </w:p>
        </w:tc>
      </w:tr>
      <w:tr>
        <w:trPr>
          <w:trHeight w:val="168"/>
        </w:trPr>
        <w:tc>
          <w:tcPr>
            <w:tcW w:w="538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28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38</w:t>
      </w:r>
    </w:p>
    <w:tbl>
      <w:tblPr>
        <w:tblLayout w:type="fixed"/>
        <w:tblInd w:w="0" w:type="dxa"/>
        <w:tblCellMar>
          <w:top w:w="0" w:type="dxa"/>
          <w:left w:w="0" w:type="dxa"/>
          <w:bottom w:w="0" w:type="dxa"/>
          <w:right w:w="0" w:type="dxa"/>
        </w:tblCellMar>
      </w:tblPr>
      <w:tr>
        <w:trPr>
          <w:trHeight w:val="168"/>
        </w:trPr>
        <w:tc>
          <w:tcPr>
            <w:tcW w:w="574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THE ARNONI GROUP OF COMPANIES</w:t>
            </w:r>
          </w:p>
        </w:tc>
        <w:tc>
          <w:tcPr>
            <w:tcW w:w="1260" w:type="dxa"/>
            <w:vAlign w:val="bottom"/>
          </w:tcPr>
          <w:p>
            <w:pPr>
              <w:spacing w:after="0"/>
              <w:rPr>
                <w:sz w:val="14"/>
                <w:szCs w:val="14"/>
                <w:color w:val="auto"/>
              </w:rPr>
            </w:pPr>
          </w:p>
        </w:tc>
      </w:tr>
      <w:tr>
        <w:trPr>
          <w:trHeight w:val="336"/>
        </w:trPr>
        <w:tc>
          <w:tcPr>
            <w:tcW w:w="5740" w:type="dxa"/>
            <w:vAlign w:val="bottom"/>
          </w:tcPr>
          <w:p>
            <w:pPr>
              <w:ind w:left="1240"/>
              <w:spacing w:after="0"/>
              <w:rPr>
                <w:sz w:val="20"/>
                <w:szCs w:val="20"/>
                <w:color w:val="auto"/>
              </w:rPr>
            </w:pPr>
            <w:r>
              <w:rPr>
                <w:rFonts w:ascii="Courier New" w:cs="Courier New" w:eastAsia="Courier New" w:hAnsi="Courier New"/>
                <w:sz w:val="15"/>
                <w:szCs w:val="15"/>
                <w:color w:val="auto"/>
                <w:w w:val="99"/>
              </w:rPr>
              <w:t>COMBINED STATEMENT OF INCOME AND RETAINED EARNINGS</w:t>
            </w:r>
          </w:p>
        </w:tc>
        <w:tc>
          <w:tcPr>
            <w:tcW w:w="1260" w:type="dxa"/>
            <w:vAlign w:val="bottom"/>
          </w:tcPr>
          <w:p>
            <w:pPr>
              <w:spacing w:after="0"/>
              <w:rPr>
                <w:sz w:val="24"/>
                <w:szCs w:val="24"/>
                <w:color w:val="auto"/>
              </w:rPr>
            </w:pPr>
          </w:p>
        </w:tc>
      </w:tr>
      <w:tr>
        <w:trPr>
          <w:trHeight w:val="168"/>
        </w:trPr>
        <w:tc>
          <w:tcPr>
            <w:tcW w:w="574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rPr>
              <w:t>FOR THE YEAR ENDED DECEMBER 31, 1995</w:t>
            </w:r>
          </w:p>
        </w:tc>
        <w:tc>
          <w:tcPr>
            <w:tcW w:w="1260" w:type="dxa"/>
            <w:vAlign w:val="bottom"/>
          </w:tcPr>
          <w:p>
            <w:pPr>
              <w:spacing w:after="0"/>
              <w:rPr>
                <w:sz w:val="14"/>
                <w:szCs w:val="14"/>
                <w:color w:val="auto"/>
              </w:rPr>
            </w:pPr>
          </w:p>
        </w:tc>
      </w:tr>
      <w:tr>
        <w:trPr>
          <w:trHeight w:val="673"/>
        </w:trPr>
        <w:tc>
          <w:tcPr>
            <w:tcW w:w="5740" w:type="dxa"/>
            <w:vAlign w:val="bottom"/>
          </w:tcPr>
          <w:p>
            <w:pPr>
              <w:spacing w:after="0"/>
              <w:rPr>
                <w:sz w:val="20"/>
                <w:szCs w:val="20"/>
                <w:color w:val="auto"/>
              </w:rPr>
            </w:pPr>
            <w:r>
              <w:rPr>
                <w:rFonts w:ascii="Courier New" w:cs="Courier New" w:eastAsia="Courier New" w:hAnsi="Courier New"/>
                <w:sz w:val="15"/>
                <w:szCs w:val="15"/>
                <w:color w:val="auto"/>
              </w:rPr>
              <w:t>Disposal Fees</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$ 13,541,456</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Operating Income</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92,828</w:t>
            </w:r>
          </w:p>
        </w:tc>
      </w:tr>
      <w:tr>
        <w:trPr>
          <w:trHeight w:val="168"/>
        </w:trPr>
        <w:tc>
          <w:tcPr>
            <w:tcW w:w="574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4"/>
                <w:szCs w:val="2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13,634,284</w:t>
            </w:r>
          </w:p>
        </w:tc>
      </w:tr>
      <w:tr>
        <w:trPr>
          <w:trHeight w:val="168"/>
        </w:trPr>
        <w:tc>
          <w:tcPr>
            <w:tcW w:w="574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7,255,263</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1,816,204</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Depletion and Amortization</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3,169,601</w:t>
            </w:r>
          </w:p>
        </w:tc>
      </w:tr>
      <w:tr>
        <w:trPr>
          <w:trHeight w:val="168"/>
        </w:trPr>
        <w:tc>
          <w:tcPr>
            <w:tcW w:w="574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4"/>
                <w:szCs w:val="2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12,241,068</w:t>
            </w:r>
          </w:p>
        </w:tc>
      </w:tr>
      <w:tr>
        <w:trPr>
          <w:trHeight w:val="168"/>
        </w:trPr>
        <w:tc>
          <w:tcPr>
            <w:tcW w:w="574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ind w:left="1060"/>
              <w:spacing w:after="0"/>
              <w:rPr>
                <w:sz w:val="20"/>
                <w:szCs w:val="20"/>
                <w:color w:val="auto"/>
              </w:rPr>
            </w:pPr>
            <w:r>
              <w:rPr>
                <w:rFonts w:ascii="Courier New" w:cs="Courier New" w:eastAsia="Courier New" w:hAnsi="Courier New"/>
                <w:sz w:val="15"/>
                <w:szCs w:val="15"/>
                <w:color w:val="auto"/>
              </w:rPr>
              <w:t>Income From Operations</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1,393,216</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(1,658,743)</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and Expenses</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367,754</w:t>
            </w:r>
          </w:p>
        </w:tc>
      </w:tr>
      <w:tr>
        <w:trPr>
          <w:trHeight w:val="168"/>
        </w:trPr>
        <w:tc>
          <w:tcPr>
            <w:tcW w:w="574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Net Income (Loss) Before</w:t>
            </w:r>
          </w:p>
        </w:tc>
        <w:tc>
          <w:tcPr>
            <w:tcW w:w="1260" w:type="dxa"/>
            <w:vAlign w:val="bottom"/>
          </w:tcPr>
          <w:p>
            <w:pPr>
              <w:spacing w:after="0"/>
              <w:rPr>
                <w:sz w:val="14"/>
                <w:szCs w:val="14"/>
                <w:color w:val="auto"/>
              </w:rPr>
            </w:pPr>
          </w:p>
        </w:tc>
      </w:tr>
      <w:tr>
        <w:trPr>
          <w:trHeight w:val="168"/>
        </w:trPr>
        <w:tc>
          <w:tcPr>
            <w:tcW w:w="57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102,227</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4,139</w:t>
            </w:r>
          </w:p>
        </w:tc>
      </w:tr>
      <w:tr>
        <w:trPr>
          <w:trHeight w:val="168"/>
        </w:trPr>
        <w:tc>
          <w:tcPr>
            <w:tcW w:w="574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ind w:left="1060"/>
              <w:spacing w:after="0"/>
              <w:rPr>
                <w:sz w:val="20"/>
                <w:szCs w:val="20"/>
                <w:color w:val="auto"/>
              </w:rPr>
            </w:pPr>
            <w:r>
              <w:rPr>
                <w:rFonts w:ascii="Courier New" w:cs="Courier New" w:eastAsia="Courier New" w:hAnsi="Courier New"/>
                <w:sz w:val="15"/>
                <w:szCs w:val="15"/>
                <w:color w:val="auto"/>
              </w:rPr>
              <w:t>Net Income (Loss)</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106,366</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Retained Earnings - Beginning</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2,126,537</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Dividends</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(155,445)</w:t>
            </w:r>
          </w:p>
        </w:tc>
      </w:tr>
      <w:tr>
        <w:trPr>
          <w:trHeight w:val="168"/>
        </w:trPr>
        <w:tc>
          <w:tcPr>
            <w:tcW w:w="574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Retained Earnings - Ending</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2,077,458</w:t>
            </w:r>
          </w:p>
        </w:tc>
      </w:tr>
      <w:tr>
        <w:trPr>
          <w:trHeight w:val="168"/>
        </w:trPr>
        <w:tc>
          <w:tcPr>
            <w:tcW w:w="574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28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39</w:t>
      </w:r>
    </w:p>
    <w:tbl>
      <w:tblPr>
        <w:tblLayout w:type="fixed"/>
        <w:tblInd w:w="0" w:type="dxa"/>
        <w:tblCellMar>
          <w:top w:w="0" w:type="dxa"/>
          <w:left w:w="0" w:type="dxa"/>
          <w:bottom w:w="0" w:type="dxa"/>
          <w:right w:w="0" w:type="dxa"/>
        </w:tblCellMar>
      </w:tblPr>
      <w:tr>
        <w:trPr>
          <w:trHeight w:val="168"/>
        </w:trPr>
        <w:tc>
          <w:tcPr>
            <w:tcW w:w="55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THE ARNONI GROUP OF COMPANIES</w:t>
            </w:r>
          </w:p>
        </w:tc>
        <w:tc>
          <w:tcPr>
            <w:tcW w:w="1480" w:type="dxa"/>
            <w:vAlign w:val="bottom"/>
          </w:tcPr>
          <w:p>
            <w:pPr>
              <w:spacing w:after="0"/>
              <w:rPr>
                <w:sz w:val="14"/>
                <w:szCs w:val="14"/>
                <w:color w:val="auto"/>
              </w:rPr>
            </w:pPr>
          </w:p>
        </w:tc>
      </w:tr>
      <w:tr>
        <w:trPr>
          <w:trHeight w:val="336"/>
        </w:trPr>
        <w:tc>
          <w:tcPr>
            <w:tcW w:w="5520" w:type="dxa"/>
            <w:vAlign w:val="bottom"/>
          </w:tcPr>
          <w:p>
            <w:pPr>
              <w:ind w:left="2100"/>
              <w:spacing w:after="0"/>
              <w:rPr>
                <w:sz w:val="20"/>
                <w:szCs w:val="20"/>
                <w:color w:val="auto"/>
              </w:rPr>
            </w:pPr>
            <w:r>
              <w:rPr>
                <w:rFonts w:ascii="Courier New" w:cs="Courier New" w:eastAsia="Courier New" w:hAnsi="Courier New"/>
                <w:sz w:val="15"/>
                <w:szCs w:val="15"/>
                <w:color w:val="auto"/>
              </w:rPr>
              <w:t>COMBINED STATEMENT OF CASH FLOWS</w:t>
            </w:r>
          </w:p>
        </w:tc>
        <w:tc>
          <w:tcPr>
            <w:tcW w:w="1480" w:type="dxa"/>
            <w:vAlign w:val="bottom"/>
          </w:tcPr>
          <w:p>
            <w:pPr>
              <w:spacing w:after="0"/>
              <w:rPr>
                <w:sz w:val="24"/>
                <w:szCs w:val="24"/>
                <w:color w:val="auto"/>
              </w:rPr>
            </w:pPr>
          </w:p>
        </w:tc>
      </w:tr>
      <w:tr>
        <w:trPr>
          <w:trHeight w:val="168"/>
        </w:trPr>
        <w:tc>
          <w:tcPr>
            <w:tcW w:w="552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rPr>
              <w:t>FOR THE YEAR ENDED DECEMBER 31, 1995</w:t>
            </w:r>
          </w:p>
        </w:tc>
        <w:tc>
          <w:tcPr>
            <w:tcW w:w="1480" w:type="dxa"/>
            <w:vAlign w:val="bottom"/>
          </w:tcPr>
          <w:p>
            <w:pPr>
              <w:spacing w:after="0"/>
              <w:rPr>
                <w:sz w:val="14"/>
                <w:szCs w:val="14"/>
                <w:color w:val="auto"/>
              </w:rPr>
            </w:pPr>
          </w:p>
        </w:tc>
      </w:tr>
      <w:tr>
        <w:trPr>
          <w:trHeight w:val="673"/>
        </w:trPr>
        <w:tc>
          <w:tcPr>
            <w:tcW w:w="55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480" w:type="dxa"/>
            <w:vAlign w:val="bottom"/>
          </w:tcPr>
          <w:p>
            <w:pPr>
              <w:spacing w:after="0"/>
              <w:rPr>
                <w:sz w:val="24"/>
                <w:szCs w:val="24"/>
                <w:color w:val="auto"/>
              </w:rPr>
            </w:pP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106,366</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Noncash Items Included in</w:t>
            </w:r>
          </w:p>
        </w:tc>
        <w:tc>
          <w:tcPr>
            <w:tcW w:w="1480" w:type="dxa"/>
            <w:vAlign w:val="bottom"/>
          </w:tcPr>
          <w:p>
            <w:pPr>
              <w:spacing w:after="0"/>
              <w:rPr>
                <w:sz w:val="14"/>
                <w:szCs w:val="14"/>
                <w:color w:val="auto"/>
              </w:rPr>
            </w:pPr>
          </w:p>
        </w:tc>
      </w:tr>
      <w:tr>
        <w:trPr>
          <w:trHeight w:val="168"/>
        </w:trPr>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Income:</w:t>
            </w:r>
          </w:p>
        </w:tc>
        <w:tc>
          <w:tcPr>
            <w:tcW w:w="1480" w:type="dxa"/>
            <w:vAlign w:val="bottom"/>
          </w:tcPr>
          <w:p>
            <w:pPr>
              <w:spacing w:after="0"/>
              <w:rPr>
                <w:sz w:val="14"/>
                <w:szCs w:val="1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 Depletion and Amortization</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3,342,053</w:t>
            </w: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Minority Interest in the Group</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(4,138)</w:t>
            </w: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Gain on Assets</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(20,638)</w:t>
            </w: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Changes In:</w:t>
            </w:r>
          </w:p>
        </w:tc>
        <w:tc>
          <w:tcPr>
            <w:tcW w:w="1480" w:type="dxa"/>
            <w:vAlign w:val="bottom"/>
          </w:tcPr>
          <w:p>
            <w:pPr>
              <w:spacing w:after="0"/>
              <w:rPr>
                <w:sz w:val="14"/>
                <w:szCs w:val="14"/>
                <w:color w:val="auto"/>
              </w:rPr>
            </w:pP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Accounts Receivable - Trade</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236,725</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1480" w:type="dxa"/>
            <w:vAlign w:val="bottom"/>
          </w:tcPr>
          <w:p>
            <w:pPr>
              <w:spacing w:after="0"/>
              <w:rPr>
                <w:sz w:val="14"/>
                <w:szCs w:val="14"/>
                <w:color w:val="auto"/>
              </w:rPr>
            </w:pPr>
          </w:p>
        </w:tc>
      </w:tr>
      <w:tr>
        <w:trPr>
          <w:trHeight w:val="168"/>
        </w:trPr>
        <w:tc>
          <w:tcPr>
            <w:tcW w:w="55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Current Assets</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(30,717)</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Escrow Funds</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(217,158)</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Intangible Assets</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(750)</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Non-Current Assets</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225,470</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Accounts Payable - Trade</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156,109</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Accrued Landfill Closure Costs</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36,508</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(122,548)</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Unearned Revenue</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(526,067)</w:t>
            </w:r>
          </w:p>
        </w:tc>
      </w:tr>
      <w:tr>
        <w:trPr>
          <w:trHeight w:val="168"/>
        </w:trPr>
        <w:tc>
          <w:tcPr>
            <w:tcW w:w="552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NET CASH FLOWS FROM</w:t>
            </w:r>
          </w:p>
        </w:tc>
        <w:tc>
          <w:tcPr>
            <w:tcW w:w="1480" w:type="dxa"/>
            <w:vAlign w:val="bottom"/>
          </w:tcPr>
          <w:p>
            <w:pPr>
              <w:spacing w:after="0"/>
              <w:rPr>
                <w:sz w:val="14"/>
                <w:szCs w:val="14"/>
                <w:color w:val="auto"/>
              </w:rPr>
            </w:pPr>
          </w:p>
        </w:tc>
      </w:tr>
      <w:tr>
        <w:trPr>
          <w:trHeight w:val="168"/>
        </w:trPr>
        <w:tc>
          <w:tcPr>
            <w:tcW w:w="55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3,181,215</w:t>
            </w:r>
          </w:p>
        </w:tc>
      </w:tr>
      <w:tr>
        <w:trPr>
          <w:trHeight w:val="168"/>
        </w:trPr>
        <w:tc>
          <w:tcPr>
            <w:tcW w:w="552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1480" w:type="dxa"/>
            <w:vAlign w:val="bottom"/>
          </w:tcPr>
          <w:p>
            <w:pPr>
              <w:spacing w:after="0"/>
              <w:rPr>
                <w:sz w:val="14"/>
                <w:szCs w:val="14"/>
                <w:color w:val="auto"/>
              </w:rPr>
            </w:pP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Net Investing of Assets Held in Trust</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32,280</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Sale of Equipment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44,500</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 Equipment Acquired</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(2,782,985)</w:t>
            </w:r>
          </w:p>
        </w:tc>
      </w:tr>
      <w:tr>
        <w:trPr>
          <w:trHeight w:val="168"/>
        </w:trPr>
        <w:tc>
          <w:tcPr>
            <w:tcW w:w="552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NET CASH FLOWS FROM</w:t>
            </w:r>
          </w:p>
        </w:tc>
        <w:tc>
          <w:tcPr>
            <w:tcW w:w="1480" w:type="dxa"/>
            <w:vAlign w:val="bottom"/>
          </w:tcPr>
          <w:p>
            <w:pPr>
              <w:spacing w:after="0"/>
              <w:rPr>
                <w:sz w:val="14"/>
                <w:szCs w:val="14"/>
                <w:color w:val="auto"/>
              </w:rPr>
            </w:pPr>
          </w:p>
        </w:tc>
      </w:tr>
      <w:tr>
        <w:trPr>
          <w:trHeight w:val="168"/>
        </w:trPr>
        <w:tc>
          <w:tcPr>
            <w:tcW w:w="55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(2,706,205)</w:t>
            </w:r>
          </w:p>
        </w:tc>
      </w:tr>
      <w:tr>
        <w:trPr>
          <w:trHeight w:val="168"/>
        </w:trPr>
        <w:tc>
          <w:tcPr>
            <w:tcW w:w="552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1480" w:type="dxa"/>
            <w:vAlign w:val="bottom"/>
          </w:tcPr>
          <w:p>
            <w:pPr>
              <w:spacing w:after="0"/>
              <w:rPr>
                <w:sz w:val="14"/>
                <w:szCs w:val="14"/>
                <w:color w:val="auto"/>
              </w:rPr>
            </w:pP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Proceeds From Issuance of Long-Term Debt</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1,099,880</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Principal Payments on Long-Term Debt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(1,403,878)</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Paid</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(155,445)</w:t>
            </w:r>
          </w:p>
        </w:tc>
      </w:tr>
      <w:tr>
        <w:trPr>
          <w:trHeight w:val="168"/>
        </w:trPr>
        <w:tc>
          <w:tcPr>
            <w:tcW w:w="552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NET CASH FLOWS FROM</w:t>
            </w:r>
          </w:p>
        </w:tc>
        <w:tc>
          <w:tcPr>
            <w:tcW w:w="1480" w:type="dxa"/>
            <w:vAlign w:val="bottom"/>
          </w:tcPr>
          <w:p>
            <w:pPr>
              <w:spacing w:after="0"/>
              <w:rPr>
                <w:sz w:val="14"/>
                <w:szCs w:val="14"/>
                <w:color w:val="auto"/>
              </w:rPr>
            </w:pPr>
          </w:p>
        </w:tc>
      </w:tr>
      <w:tr>
        <w:trPr>
          <w:trHeight w:val="168"/>
        </w:trPr>
        <w:tc>
          <w:tcPr>
            <w:tcW w:w="55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(459,443)</w:t>
            </w:r>
          </w:p>
        </w:tc>
      </w:tr>
      <w:tr>
        <w:trPr>
          <w:trHeight w:val="168"/>
        </w:trPr>
        <w:tc>
          <w:tcPr>
            <w:tcW w:w="552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in Cash and Cash Equivalents</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15,567</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Cash and Cash Equivalents - Beginning</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1,392,612</w:t>
            </w:r>
          </w:p>
        </w:tc>
      </w:tr>
      <w:tr>
        <w:trPr>
          <w:trHeight w:val="168"/>
        </w:trPr>
        <w:tc>
          <w:tcPr>
            <w:tcW w:w="552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Cash and Cash Equivalents - Ending</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$ 1,408,179</w:t>
            </w:r>
          </w:p>
        </w:tc>
      </w:tr>
      <w:tr>
        <w:trPr>
          <w:trHeight w:val="168"/>
        </w:trPr>
        <w:tc>
          <w:tcPr>
            <w:tcW w:w="552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28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40</w:t>
      </w:r>
    </w:p>
    <w:p>
      <w:pPr>
        <w:ind w:left="2200"/>
        <w:spacing w:after="0" w:line="237" w:lineRule="auto"/>
        <w:rPr>
          <w:sz w:val="20"/>
          <w:szCs w:val="20"/>
          <w:color w:val="auto"/>
        </w:rPr>
      </w:pPr>
      <w:r>
        <w:rPr>
          <w:rFonts w:ascii="Courier New" w:cs="Courier New" w:eastAsia="Courier New" w:hAnsi="Courier New"/>
          <w:sz w:val="15"/>
          <w:szCs w:val="15"/>
          <w:color w:val="auto"/>
        </w:rPr>
        <w:t>THE ARNONI GROUP OF COMPANIES</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COMBINED STATEMENT OF CASH FLOWS</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FOR THE YEAR ENDED DECEMBER 31, 1995</w:t>
      </w:r>
    </w:p>
    <w:p>
      <w:pPr>
        <w:spacing w:after="0" w:line="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Disclosure of Cash Flow Information: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Paid During the Year For:</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Interest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$1,670,443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5500" w:space="720"/>
            <w:col w:w="4019"/>
          </w:cols>
          <w:pgMar w:left="220" w:top="281" w:right="1440" w:bottom="144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Income Taxes</w:t>
      </w:r>
    </w:p>
    <w:p>
      <w:pPr>
        <w:spacing w:after="0" w:line="20" w:lineRule="exact"/>
        <w:rPr>
          <w:sz w:val="20"/>
          <w:szCs w:val="20"/>
          <w:color w:val="auto"/>
        </w:rPr>
      </w:pPr>
      <w:r>
        <w:rPr>
          <w:sz w:val="20"/>
          <w:szCs w:val="20"/>
          <w:color w:val="auto"/>
        </w:rPr>
        <w:br w:type="column"/>
      </w:r>
    </w:p>
    <w:p>
      <w:pPr>
        <w:spacing w:after="0"/>
        <w:tabs>
          <w:tab w:leader="none" w:pos="5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5500" w:space="720"/>
            <w:col w:w="401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Supplemental Schedule of Noncash Investing and Financing Activities:</w:t>
      </w:r>
    </w:p>
    <w:p>
      <w:pPr>
        <w:sectPr>
          <w:pgSz w:w="11900" w:h="16838" w:orient="portrait"/>
          <w:cols w:equalWidth="0" w:num="1">
            <w:col w:w="10239"/>
          </w:cols>
          <w:pgMar w:left="220" w:top="281" w:right="1440" w:bottom="1440" w:gutter="0" w:footer="0" w:header="0"/>
          <w:type w:val="continuous"/>
        </w:sectPr>
      </w:pP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Refinancing of Long-Term Debt Obligations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150,296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500" w:space="720"/>
            <w:col w:w="4019"/>
          </w:cols>
          <w:pgMar w:left="220" w:top="281" w:right="1440" w:bottom="1440" w:gutter="0" w:footer="0" w:header="0"/>
          <w:type w:val="continuous"/>
        </w:sectPr>
      </w:pPr>
    </w:p>
    <w:p>
      <w:pPr>
        <w:spacing w:after="0" w:line="146"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281" w:right="1440" w:bottom="1440" w:gutter="0" w:footer="0" w:header="0"/>
          <w:type w:val="continuous"/>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41</w:t>
      </w:r>
    </w:p>
    <w:p>
      <w:pPr>
        <w:ind w:left="2200"/>
        <w:spacing w:after="0" w:line="237" w:lineRule="auto"/>
        <w:rPr>
          <w:sz w:val="20"/>
          <w:szCs w:val="20"/>
          <w:color w:val="auto"/>
        </w:rPr>
      </w:pPr>
      <w:r>
        <w:rPr>
          <w:rFonts w:ascii="Courier New" w:cs="Courier New" w:eastAsia="Courier New" w:hAnsi="Courier New"/>
          <w:sz w:val="15"/>
          <w:szCs w:val="15"/>
          <w:color w:val="auto"/>
        </w:rPr>
        <w:t>THE ARNONI GROUP OF COMPANIES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COMBINED FINANCIAL STATEMENTS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DECEMBER 31, 1995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 - SUMMARY OF SIGNIFICANT ACCOUNTING POLICIES</w:t>
      </w:r>
    </w:p>
    <w:p>
      <w:pPr>
        <w:spacing w:after="0" w:line="173" w:lineRule="exact"/>
        <w:rPr>
          <w:sz w:val="20"/>
          <w:szCs w:val="20"/>
          <w:color w:val="auto"/>
        </w:rPr>
      </w:pPr>
    </w:p>
    <w:p>
      <w:pPr>
        <w:ind w:right="3499" w:firstLine="612"/>
        <w:spacing w:after="0" w:line="236" w:lineRule="auto"/>
        <w:rPr>
          <w:sz w:val="20"/>
          <w:szCs w:val="20"/>
          <w:color w:val="auto"/>
        </w:rPr>
      </w:pPr>
      <w:r>
        <w:rPr>
          <w:rFonts w:ascii="Courier New" w:cs="Courier New" w:eastAsia="Courier New" w:hAnsi="Courier New"/>
          <w:sz w:val="15"/>
          <w:szCs w:val="15"/>
          <w:color w:val="auto"/>
        </w:rPr>
        <w:t>The combined financial statements of The Arnoni Group of Companies are presented on the accrual basis of accounting and are prepared in conformity with generally accepted accounting principles. In order to facilitate the understanding of the data included in the financial statements, summarized below are the more significant accounting policies:</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Organization</w:t>
      </w:r>
    </w:p>
    <w:p>
      <w:pPr>
        <w:spacing w:after="0" w:line="173" w:lineRule="exact"/>
        <w:rPr>
          <w:sz w:val="20"/>
          <w:szCs w:val="20"/>
          <w:color w:val="auto"/>
        </w:rPr>
      </w:pPr>
    </w:p>
    <w:p>
      <w:pPr>
        <w:ind w:right="3759" w:firstLine="612"/>
        <w:spacing w:after="0" w:line="236" w:lineRule="auto"/>
        <w:rPr>
          <w:sz w:val="20"/>
          <w:szCs w:val="20"/>
          <w:color w:val="auto"/>
        </w:rPr>
      </w:pPr>
      <w:r>
        <w:rPr>
          <w:rFonts w:ascii="Courier New" w:cs="Courier New" w:eastAsia="Courier New" w:hAnsi="Courier New"/>
          <w:sz w:val="15"/>
          <w:szCs w:val="15"/>
          <w:color w:val="auto"/>
        </w:rPr>
        <w:t>The Arnoni Group of Companies (the Group) encompasses five commonly controlled companies operating in the non-hazardous solid waste disposal industry. Included in the Group are The Arnoni Group, Inc., M.C. Arnoni Company, South Hills Disposal Company, Cochran Mill Associates, Inc., and Arnoni Family Partnership.</w:t>
      </w:r>
    </w:p>
    <w:p>
      <w:pPr>
        <w:spacing w:after="0" w:line="174" w:lineRule="exact"/>
        <w:rPr>
          <w:sz w:val="20"/>
          <w:szCs w:val="20"/>
          <w:color w:val="auto"/>
        </w:rPr>
      </w:pPr>
    </w:p>
    <w:p>
      <w:pPr>
        <w:ind w:left="1240" w:right="3319" w:hanging="618"/>
        <w:spacing w:after="0" w:line="235" w:lineRule="auto"/>
        <w:tabs>
          <w:tab w:leader="none" w:pos="12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Arnoni Group, Inc. was incorporated on December 23, 1991 and was organized under the laws of the Commonwealth of Pennsylvania. The Company provides management and administrative services to its affiliated companies.</w:t>
      </w:r>
    </w:p>
    <w:p>
      <w:pPr>
        <w:spacing w:after="0" w:line="175" w:lineRule="exact"/>
        <w:rPr>
          <w:rFonts w:ascii="Courier New" w:cs="Courier New" w:eastAsia="Courier New" w:hAnsi="Courier New"/>
          <w:sz w:val="15"/>
          <w:szCs w:val="15"/>
          <w:color w:val="auto"/>
        </w:rPr>
      </w:pPr>
    </w:p>
    <w:p>
      <w:pPr>
        <w:ind w:left="1240" w:right="3319" w:hanging="618"/>
        <w:spacing w:after="0" w:line="235" w:lineRule="auto"/>
        <w:tabs>
          <w:tab w:leader="none" w:pos="12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M.C. Arnoni Company was formed on December 9, 1960 and was organized under the laws of the Commonwealth of Pennsylvania. The Company is a landfill owner/operator with facilities in Allegheny and Washington Counties, Pennsylvania.</w:t>
      </w:r>
    </w:p>
    <w:p>
      <w:pPr>
        <w:spacing w:after="0" w:line="175" w:lineRule="exact"/>
        <w:rPr>
          <w:rFonts w:ascii="Courier New" w:cs="Courier New" w:eastAsia="Courier New" w:hAnsi="Courier New"/>
          <w:sz w:val="15"/>
          <w:szCs w:val="15"/>
          <w:color w:val="auto"/>
        </w:rPr>
      </w:pPr>
    </w:p>
    <w:p>
      <w:pPr>
        <w:ind w:left="1240" w:right="3319" w:hanging="618"/>
        <w:spacing w:after="0" w:line="256" w:lineRule="auto"/>
        <w:tabs>
          <w:tab w:leader="none" w:pos="12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South Hills Disposal Company was formed on July 18, 1949 and was organized under the laws of the Commonwealth of Pennsylvania. The Company provides residential and commercial waste collection services to the metropolitan Pittsburgh, Pennsylvania area.</w:t>
      </w:r>
    </w:p>
    <w:p>
      <w:pPr>
        <w:spacing w:after="0" w:line="164" w:lineRule="exact"/>
        <w:rPr>
          <w:rFonts w:ascii="Courier New" w:cs="Courier New" w:eastAsia="Courier New" w:hAnsi="Courier New"/>
          <w:sz w:val="14"/>
          <w:szCs w:val="14"/>
          <w:color w:val="auto"/>
        </w:rPr>
      </w:pPr>
    </w:p>
    <w:p>
      <w:pPr>
        <w:ind w:left="1240" w:right="3319" w:hanging="618"/>
        <w:spacing w:after="0" w:line="258" w:lineRule="auto"/>
        <w:tabs>
          <w:tab w:leader="none" w:pos="12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Cochran Mill Associates, Inc. was incorporated on January 25, 1991 and was organized under the laws of the Commonwealth of Pennsylvania. The Company provides other waste industry services.</w:t>
      </w:r>
    </w:p>
    <w:p>
      <w:pPr>
        <w:spacing w:after="0" w:line="161" w:lineRule="exact"/>
        <w:rPr>
          <w:rFonts w:ascii="Courier New" w:cs="Courier New" w:eastAsia="Courier New" w:hAnsi="Courier New"/>
          <w:sz w:val="14"/>
          <w:szCs w:val="14"/>
          <w:color w:val="auto"/>
        </w:rPr>
      </w:pPr>
    </w:p>
    <w:p>
      <w:pPr>
        <w:ind w:left="1240" w:right="3399" w:hanging="618"/>
        <w:spacing w:after="0" w:line="258" w:lineRule="auto"/>
        <w:tabs>
          <w:tab w:leader="none" w:pos="12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Arnoni Family Partnership was organized as a general partnership under the Pennsylvania Uniform Partnership Act. The Partnership participates in real estate and other investment activities.</w:t>
      </w:r>
    </w:p>
    <w:p>
      <w:pPr>
        <w:spacing w:after="0" w:line="15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Principles of Combination</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combined 1995 financial statements of the Group include the financial position, results of operations and cash flows of The Arnoni Group, Inc., M.C. Arnoni Company, South Hills Disposal Company Cochran Mill Associates, Inc., and Arnoni Family Partnership. All significant intercompany accounts and transactions have been eliminated.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28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42</w:t>
      </w:r>
    </w:p>
    <w:p>
      <w:pPr>
        <w:ind w:left="2200"/>
        <w:spacing w:after="0" w:line="237" w:lineRule="auto"/>
        <w:rPr>
          <w:sz w:val="20"/>
          <w:szCs w:val="20"/>
          <w:color w:val="auto"/>
        </w:rPr>
      </w:pPr>
      <w:r>
        <w:rPr>
          <w:rFonts w:ascii="Courier New" w:cs="Courier New" w:eastAsia="Courier New" w:hAnsi="Courier New"/>
          <w:sz w:val="15"/>
          <w:szCs w:val="15"/>
          <w:color w:val="auto"/>
        </w:rPr>
        <w:t>THE ARNONI GROUP OF COMPANIES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COMBINED FINANCIAL STATEMENTS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DECEMBER 31, 1995</w:t>
      </w:r>
    </w:p>
    <w:p>
      <w:pPr>
        <w:jc w:val="center"/>
        <w:ind w:right="331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 - SUMMARY OF SIGNIFICANT ACCOUNTING POLICIES (CONTINUED)</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Estimates Used By Management</w:t>
      </w:r>
    </w:p>
    <w:p>
      <w:pPr>
        <w:spacing w:after="0" w:line="173" w:lineRule="exact"/>
        <w:rPr>
          <w:sz w:val="20"/>
          <w:szCs w:val="20"/>
          <w:color w:val="auto"/>
        </w:rPr>
      </w:pPr>
    </w:p>
    <w:p>
      <w:pPr>
        <w:ind w:right="3319" w:firstLine="612"/>
        <w:spacing w:after="0" w:line="256" w:lineRule="auto"/>
        <w:rPr>
          <w:sz w:val="20"/>
          <w:szCs w:val="20"/>
          <w:color w:val="auto"/>
        </w:rPr>
      </w:pPr>
      <w:r>
        <w:rPr>
          <w:rFonts w:ascii="Courier New" w:cs="Courier New" w:eastAsia="Courier New" w:hAnsi="Courier New"/>
          <w:sz w:val="14"/>
          <w:szCs w:val="14"/>
          <w:color w:val="auto"/>
        </w:rPr>
        <w:t>Management uses estimates and assumptions in preparing financial statements in accordance with generally accepted accounting principles. Those estimates and assumptions affect the reported amount of assets and liabilities, the disclosure of contingent assets and liabilities, and the reported revenues and expenses. Actual results could vary from the estimates that were used.</w:t>
      </w:r>
    </w:p>
    <w:p>
      <w:pPr>
        <w:spacing w:after="0" w:line="15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679" w:firstLine="612"/>
        <w:spacing w:after="0" w:line="234" w:lineRule="auto"/>
        <w:rPr>
          <w:sz w:val="20"/>
          <w:szCs w:val="20"/>
          <w:color w:val="auto"/>
        </w:rPr>
      </w:pPr>
      <w:r>
        <w:rPr>
          <w:rFonts w:ascii="Courier New" w:cs="Courier New" w:eastAsia="Courier New" w:hAnsi="Courier New"/>
          <w:sz w:val="15"/>
          <w:szCs w:val="15"/>
          <w:color w:val="auto"/>
        </w:rPr>
        <w:t>The Group recognizes revenue at the time waste disposal services are provided.</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Amortization</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Intangible assets include goodwill, organization costs, acquired contracts, non-compete covenants and other fees. Intangible assets are presented net of accumulated amortization of $223,730 and $467,309 in 1995 and 1994, respectively. Amortization expense charged to operations in 1995 and 1994 was $33,660 and $110,032, respectively.</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Depreciation</w:t>
      </w:r>
    </w:p>
    <w:p>
      <w:pPr>
        <w:spacing w:after="0" w:line="173"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The cost of property, equipment and leasehold improvements is depreciated over the estimated useful lives of the related assets. Depreciation is computed on the straight-line and accelerated methods for financial reporting purposes and accelerated methods allowed under the Internal Revenue Code for income tax purposes.</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Depletion</w:t>
      </w:r>
    </w:p>
    <w:p>
      <w:pPr>
        <w:spacing w:after="0" w:line="173" w:lineRule="exact"/>
        <w:rPr>
          <w:sz w:val="20"/>
          <w:szCs w:val="20"/>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Landfill and landfill improvement costs, which have been incurred or estimated for the development of the entire permitted site, including engineering and professional costs associated with landfill construction, are depleted based upon total units of airspace filled during the year in relation to estimated total permitted airspace capacity. Land held for future development, outside of the currently permitted area, is excluded from depletion.</w:t>
      </w:r>
    </w:p>
    <w:p>
      <w:pPr>
        <w:spacing w:after="0" w:line="169"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Cash Flows</w:t>
      </w:r>
    </w:p>
    <w:p>
      <w:pPr>
        <w:spacing w:after="0" w:line="173" w:lineRule="exact"/>
        <w:rPr>
          <w:sz w:val="20"/>
          <w:szCs w:val="20"/>
          <w:color w:val="auto"/>
        </w:rPr>
      </w:pPr>
    </w:p>
    <w:p>
      <w:pPr>
        <w:ind w:right="3759" w:firstLine="612"/>
        <w:spacing w:after="0" w:line="235" w:lineRule="auto"/>
        <w:rPr>
          <w:sz w:val="20"/>
          <w:szCs w:val="20"/>
          <w:color w:val="auto"/>
        </w:rPr>
      </w:pPr>
      <w:r>
        <w:rPr>
          <w:rFonts w:ascii="Courier New" w:cs="Courier New" w:eastAsia="Courier New" w:hAnsi="Courier New"/>
          <w:sz w:val="15"/>
          <w:szCs w:val="15"/>
          <w:color w:val="auto"/>
        </w:rPr>
        <w:t>The Group considers all short-term unrestricted investments with an original maturity of three months or less to be cash equivalents for the statement of cash flows.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281"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43</w:t>
      </w:r>
    </w:p>
    <w:p>
      <w:pPr>
        <w:ind w:left="2200"/>
        <w:spacing w:after="0" w:line="237" w:lineRule="auto"/>
        <w:rPr>
          <w:sz w:val="20"/>
          <w:szCs w:val="20"/>
          <w:color w:val="auto"/>
        </w:rPr>
      </w:pPr>
      <w:r>
        <w:rPr>
          <w:rFonts w:ascii="Courier New" w:cs="Courier New" w:eastAsia="Courier New" w:hAnsi="Courier New"/>
          <w:sz w:val="15"/>
          <w:szCs w:val="15"/>
          <w:color w:val="auto"/>
        </w:rPr>
        <w:t>THE ARNONI GROUP OF COMPANIES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COMBINED FINANCIAL STATEMENTS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DECEMBER 31, 1995</w:t>
      </w:r>
    </w:p>
    <w:p>
      <w:pPr>
        <w:jc w:val="center"/>
        <w:ind w:right="331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 - SUMMARY OF SIGNIFICANT ACCOUNTING POLICIES (CONTINUED)</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319" w:firstLine="612"/>
        <w:spacing w:after="0" w:line="256" w:lineRule="auto"/>
        <w:rPr>
          <w:sz w:val="20"/>
          <w:szCs w:val="20"/>
          <w:color w:val="auto"/>
        </w:rPr>
      </w:pPr>
      <w:r>
        <w:rPr>
          <w:rFonts w:ascii="Courier New" w:cs="Courier New" w:eastAsia="Courier New" w:hAnsi="Courier New"/>
          <w:sz w:val="14"/>
          <w:szCs w:val="14"/>
          <w:color w:val="auto"/>
        </w:rPr>
        <w:t>M.C. Arnoni Company, South Hills Disposal Company, The Arnoni Group, Inc. and Cochran Mill Associates, Inc. have elected treatment as small business corporations (S Corporations) for federal and state income taxation purposes. This election relieves the Companies of most federal and state income tax liability, with income being taxable directly to the stockholders.</w:t>
      </w:r>
    </w:p>
    <w:p>
      <w:pPr>
        <w:spacing w:after="0" w:line="163" w:lineRule="exact"/>
        <w:rPr>
          <w:sz w:val="20"/>
          <w:szCs w:val="20"/>
          <w:color w:val="auto"/>
        </w:rPr>
      </w:pPr>
    </w:p>
    <w:p>
      <w:pPr>
        <w:ind w:right="3939" w:firstLine="612"/>
        <w:spacing w:after="0" w:line="234" w:lineRule="auto"/>
        <w:rPr>
          <w:sz w:val="20"/>
          <w:szCs w:val="20"/>
          <w:color w:val="auto"/>
        </w:rPr>
      </w:pPr>
      <w:r>
        <w:rPr>
          <w:rFonts w:ascii="Courier New" w:cs="Courier New" w:eastAsia="Courier New" w:hAnsi="Courier New"/>
          <w:sz w:val="15"/>
          <w:szCs w:val="15"/>
          <w:color w:val="auto"/>
        </w:rPr>
        <w:t>M.C. Arnoni Company and South Hills Disposal Company organized as Pennsylvania business trusts effective February 28, 1993.</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Bad Debts on Accounts Receivable</w:t>
      </w:r>
    </w:p>
    <w:p>
      <w:pPr>
        <w:spacing w:after="0" w:line="173" w:lineRule="exact"/>
        <w:rPr>
          <w:sz w:val="20"/>
          <w:szCs w:val="20"/>
          <w:color w:val="auto"/>
        </w:rPr>
      </w:pPr>
    </w:p>
    <w:p>
      <w:pPr>
        <w:ind w:right="3399" w:firstLine="612"/>
        <w:spacing w:after="0" w:line="234" w:lineRule="auto"/>
        <w:rPr>
          <w:sz w:val="20"/>
          <w:szCs w:val="20"/>
          <w:color w:val="auto"/>
        </w:rPr>
      </w:pPr>
      <w:r>
        <w:rPr>
          <w:rFonts w:ascii="Courier New" w:cs="Courier New" w:eastAsia="Courier New" w:hAnsi="Courier New"/>
          <w:sz w:val="15"/>
          <w:szCs w:val="15"/>
          <w:color w:val="auto"/>
        </w:rPr>
        <w:t>The Group uses the direct write-off method of recognizing bad debts, as such amounts are normally not significant.</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Concentration of Credit Risk</w:t>
      </w:r>
    </w:p>
    <w:p>
      <w:pPr>
        <w:spacing w:after="0" w:line="173" w:lineRule="exact"/>
        <w:rPr>
          <w:sz w:val="20"/>
          <w:szCs w:val="20"/>
          <w:color w:val="auto"/>
        </w:rPr>
      </w:pPr>
    </w:p>
    <w:p>
      <w:pPr>
        <w:ind w:right="3399" w:firstLine="612"/>
        <w:spacing w:after="0" w:line="235" w:lineRule="auto"/>
        <w:rPr>
          <w:sz w:val="20"/>
          <w:szCs w:val="20"/>
          <w:color w:val="auto"/>
        </w:rPr>
      </w:pPr>
      <w:r>
        <w:rPr>
          <w:rFonts w:ascii="Courier New" w:cs="Courier New" w:eastAsia="Courier New" w:hAnsi="Courier New"/>
          <w:sz w:val="15"/>
          <w:szCs w:val="15"/>
          <w:color w:val="auto"/>
        </w:rPr>
        <w:t>The Group grants credit to its customers, substantially all of whom are either; a) located in the Pittsburgh, Pennsylvania metropolitan area or b) involved with the waste industry.</w:t>
      </w:r>
    </w:p>
    <w:p>
      <w:pPr>
        <w:spacing w:after="0" w:line="174" w:lineRule="exact"/>
        <w:rPr>
          <w:sz w:val="20"/>
          <w:szCs w:val="20"/>
          <w:color w:val="auto"/>
        </w:rPr>
      </w:pPr>
    </w:p>
    <w:p>
      <w:pPr>
        <w:ind w:right="3499" w:firstLine="612"/>
        <w:spacing w:after="0" w:line="235" w:lineRule="auto"/>
        <w:rPr>
          <w:sz w:val="20"/>
          <w:szCs w:val="20"/>
          <w:color w:val="auto"/>
        </w:rPr>
      </w:pPr>
      <w:r>
        <w:rPr>
          <w:rFonts w:ascii="Courier New" w:cs="Courier New" w:eastAsia="Courier New" w:hAnsi="Courier New"/>
          <w:sz w:val="15"/>
          <w:szCs w:val="15"/>
          <w:color w:val="auto"/>
        </w:rPr>
        <w:t>The Group maintains balances on deposit with financial institutions at times, such balances exceed the maximum amount of coverage provided by the institutions' insurance programs.</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Landfill Expansion Project Costs</w:t>
      </w:r>
    </w:p>
    <w:p>
      <w:pPr>
        <w:spacing w:after="0" w:line="173" w:lineRule="exact"/>
        <w:rPr>
          <w:sz w:val="20"/>
          <w:szCs w:val="20"/>
          <w:color w:val="auto"/>
        </w:rPr>
      </w:pPr>
    </w:p>
    <w:p>
      <w:pPr>
        <w:ind w:right="3319" w:firstLine="612"/>
        <w:spacing w:after="0" w:line="258" w:lineRule="auto"/>
        <w:rPr>
          <w:sz w:val="20"/>
          <w:szCs w:val="20"/>
          <w:color w:val="auto"/>
        </w:rPr>
      </w:pPr>
      <w:r>
        <w:rPr>
          <w:rFonts w:ascii="Courier New" w:cs="Courier New" w:eastAsia="Courier New" w:hAnsi="Courier New"/>
          <w:sz w:val="14"/>
          <w:szCs w:val="14"/>
          <w:color w:val="auto"/>
        </w:rPr>
        <w:t>In connection with landfill expansion plans, the Group incurs engineering, construction and professional costs. Costs associated with successful expansion applications are capitalized as part of the landfill site.</w:t>
      </w:r>
    </w:p>
    <w:p>
      <w:pPr>
        <w:spacing w:after="0" w:line="15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Accrued Landfill costs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Group records landfill closure liabilities based upon estimates provided by the Group's internal engineers. The expense of closure activities is recognized ratably over the useful life of the landfill, based upon total units of airspace filled during the year. The portion of the recognized closure liability that is allocable to unutilized sections of the landfill has been recorded as a deferred charge. The deferred charge will be amortized to expense, ratably, as related portions of the landfill are utilized. Management anticipates that in 1996 landfill permit modifications will be submitted by the Group and if approved, significant changes in the landfill closure estimate calculations may result.</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281"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44</w:t>
      </w:r>
    </w:p>
    <w:p>
      <w:pPr>
        <w:ind w:left="2200"/>
        <w:spacing w:after="0" w:line="237" w:lineRule="auto"/>
        <w:rPr>
          <w:sz w:val="20"/>
          <w:szCs w:val="20"/>
          <w:color w:val="auto"/>
        </w:rPr>
      </w:pPr>
      <w:r>
        <w:rPr>
          <w:rFonts w:ascii="Courier New" w:cs="Courier New" w:eastAsia="Courier New" w:hAnsi="Courier New"/>
          <w:sz w:val="15"/>
          <w:szCs w:val="15"/>
          <w:color w:val="auto"/>
        </w:rPr>
        <w:t>THE ARNONI GROUP OF COMPANIES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COMBINED FINANCIAL STATEMENTS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DECEMBER 31, 1995</w:t>
      </w:r>
    </w:p>
    <w:p>
      <w:pPr>
        <w:jc w:val="center"/>
        <w:ind w:right="331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 - SUMMARY OF SIGNIFICANT ACCOUNTING POLICIES (CONTINUED)</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Escrow Funds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Pennsylvania Department of Environmental Resources requires landfill operators to post bonds in order to operate in Pennsylvania. In addition, there are collateral bond requirements for landfill expansion and closure obligations. The Group has satisfied such requirements by delivering letters of credit backed by marketable securities.</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Long-Term Investments</w:t>
      </w:r>
    </w:p>
    <w:p>
      <w:pPr>
        <w:spacing w:after="0" w:line="173" w:lineRule="exact"/>
        <w:rPr>
          <w:sz w:val="20"/>
          <w:szCs w:val="20"/>
          <w:color w:val="auto"/>
        </w:rPr>
      </w:pPr>
    </w:p>
    <w:p>
      <w:pPr>
        <w:ind w:right="3319" w:firstLine="612"/>
        <w:spacing w:after="0" w:line="261" w:lineRule="auto"/>
        <w:rPr>
          <w:sz w:val="20"/>
          <w:szCs w:val="20"/>
          <w:color w:val="auto"/>
        </w:rPr>
      </w:pPr>
      <w:r>
        <w:rPr>
          <w:rFonts w:ascii="Courier New" w:cs="Courier New" w:eastAsia="Courier New" w:hAnsi="Courier New"/>
          <w:sz w:val="14"/>
          <w:szCs w:val="14"/>
          <w:color w:val="auto"/>
        </w:rPr>
        <w:t>The Group's long-term investments include investments in certain real estate and equity securities recorded at cost, which approximate market values.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B - PROPERTY, PLANT AND EQUIPMENT</w:t>
      </w:r>
    </w:p>
    <w:p>
      <w:pPr>
        <w:spacing w:after="0" w:line="173" w:lineRule="exact"/>
        <w:rPr>
          <w:sz w:val="20"/>
          <w:szCs w:val="20"/>
          <w:color w:val="auto"/>
        </w:rPr>
      </w:pPr>
    </w:p>
    <w:p>
      <w:pPr>
        <w:ind w:right="3499" w:firstLine="612"/>
        <w:spacing w:after="0" w:line="234" w:lineRule="auto"/>
        <w:rPr>
          <w:sz w:val="20"/>
          <w:szCs w:val="20"/>
          <w:color w:val="auto"/>
        </w:rPr>
      </w:pPr>
      <w:r>
        <w:rPr>
          <w:rFonts w:ascii="Courier New" w:cs="Courier New" w:eastAsia="Courier New" w:hAnsi="Courier New"/>
          <w:sz w:val="15"/>
          <w:szCs w:val="15"/>
          <w:color w:val="auto"/>
        </w:rPr>
        <w:t>The following is a summary of property, plant and equipment - at cost, less accumulated depreciation:</w:t>
      </w: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Landfill</w:t>
            </w:r>
          </w:p>
        </w:tc>
        <w:tc>
          <w:tcPr>
            <w:tcW w:w="2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$ 18,897,540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Land</w:t>
            </w:r>
          </w:p>
        </w:tc>
        <w:tc>
          <w:tcPr>
            <w:tcW w:w="2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296,096</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Land Improvements</w:t>
            </w:r>
          </w:p>
        </w:tc>
        <w:tc>
          <w:tcPr>
            <w:tcW w:w="2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101,468</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w:t>
            </w:r>
          </w:p>
        </w:tc>
        <w:tc>
          <w:tcPr>
            <w:tcW w:w="2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720,152</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Office Furniture and Equipment</w:t>
            </w:r>
          </w:p>
        </w:tc>
        <w:tc>
          <w:tcPr>
            <w:tcW w:w="2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219,593</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2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4,739,980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Transportation Equipment</w:t>
            </w:r>
          </w:p>
        </w:tc>
        <w:tc>
          <w:tcPr>
            <w:tcW w:w="2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4,415,796</w:t>
            </w:r>
          </w:p>
        </w:tc>
      </w:tr>
      <w:tr>
        <w:trPr>
          <w:trHeight w:val="168"/>
        </w:trPr>
        <w:tc>
          <w:tcPr>
            <w:tcW w:w="4040" w:type="dxa"/>
            <w:vAlign w:val="bottom"/>
          </w:tcPr>
          <w:p>
            <w:pPr>
              <w:spacing w:after="0"/>
              <w:rPr>
                <w:sz w:val="14"/>
                <w:szCs w:val="14"/>
                <w:color w:val="auto"/>
              </w:rPr>
            </w:pPr>
          </w:p>
        </w:tc>
        <w:tc>
          <w:tcPr>
            <w:tcW w:w="2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2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29,390,625</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Depletion</w:t>
            </w:r>
          </w:p>
        </w:tc>
        <w:tc>
          <w:tcPr>
            <w:tcW w:w="2520" w:type="dxa"/>
            <w:vAlign w:val="bottom"/>
          </w:tcPr>
          <w:p>
            <w:pPr>
              <w:spacing w:after="0"/>
              <w:rPr>
                <w:sz w:val="14"/>
                <w:szCs w:val="14"/>
                <w:color w:val="auto"/>
              </w:rPr>
            </w:pPr>
          </w:p>
        </w:tc>
      </w:tr>
      <w:tr>
        <w:trPr>
          <w:trHeight w:val="168"/>
        </w:trPr>
        <w:tc>
          <w:tcPr>
            <w:tcW w:w="4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and Depreciation</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(14,127,970)</w:t>
            </w:r>
          </w:p>
        </w:tc>
      </w:tr>
      <w:tr>
        <w:trPr>
          <w:trHeight w:val="168"/>
        </w:trPr>
        <w:tc>
          <w:tcPr>
            <w:tcW w:w="4040" w:type="dxa"/>
            <w:vAlign w:val="bottom"/>
          </w:tcPr>
          <w:p>
            <w:pPr>
              <w:spacing w:after="0"/>
              <w:rPr>
                <w:sz w:val="14"/>
                <w:szCs w:val="14"/>
                <w:color w:val="auto"/>
              </w:rPr>
            </w:pPr>
          </w:p>
        </w:tc>
        <w:tc>
          <w:tcPr>
            <w:tcW w:w="2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5860"/>
        <w:spacing w:after="0"/>
        <w:rPr>
          <w:sz w:val="20"/>
          <w:szCs w:val="20"/>
          <w:color w:val="auto"/>
        </w:rPr>
      </w:pPr>
      <w:r>
        <w:rPr>
          <w:rFonts w:ascii="Courier New" w:cs="Courier New" w:eastAsia="Courier New" w:hAnsi="Courier New"/>
          <w:sz w:val="15"/>
          <w:szCs w:val="15"/>
          <w:color w:val="auto"/>
        </w:rPr>
        <w:t>$ 15,262,655</w:t>
      </w:r>
    </w:p>
    <w:p>
      <w:pPr>
        <w:ind w:left="586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399" w:firstLine="612"/>
        <w:spacing w:after="0" w:line="235" w:lineRule="auto"/>
        <w:rPr>
          <w:sz w:val="20"/>
          <w:szCs w:val="20"/>
          <w:color w:val="auto"/>
        </w:rPr>
      </w:pPr>
      <w:r>
        <w:rPr>
          <w:rFonts w:ascii="Courier New" w:cs="Courier New" w:eastAsia="Courier New" w:hAnsi="Courier New"/>
          <w:sz w:val="15"/>
          <w:szCs w:val="15"/>
          <w:color w:val="auto"/>
        </w:rPr>
        <w:t>Depletion and depreciation expense charged to operations was $3,135,941 in 1995. Depreciation charges capitalized as part of the landfill site construction amounted to $172,452 in 1995.</w:t>
      </w:r>
    </w:p>
    <w:p>
      <w:pPr>
        <w:spacing w:after="0" w:line="174" w:lineRule="exact"/>
        <w:rPr>
          <w:sz w:val="20"/>
          <w:szCs w:val="20"/>
          <w:color w:val="auto"/>
        </w:rPr>
      </w:pPr>
    </w:p>
    <w:p>
      <w:pPr>
        <w:ind w:right="3759" w:firstLine="612"/>
        <w:spacing w:after="0" w:line="234" w:lineRule="auto"/>
        <w:rPr>
          <w:sz w:val="20"/>
          <w:szCs w:val="20"/>
          <w:color w:val="auto"/>
        </w:rPr>
      </w:pPr>
      <w:r>
        <w:rPr>
          <w:rFonts w:ascii="Courier New" w:cs="Courier New" w:eastAsia="Courier New" w:hAnsi="Courier New"/>
          <w:sz w:val="15"/>
          <w:szCs w:val="15"/>
          <w:color w:val="auto"/>
        </w:rPr>
        <w:t>Various pieces of machinery and equipment are pledged as collateral for loans.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281"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45</w:t>
      </w:r>
    </w:p>
    <w:p>
      <w:pPr>
        <w:ind w:left="2200"/>
        <w:spacing w:after="0" w:line="237" w:lineRule="auto"/>
        <w:rPr>
          <w:sz w:val="20"/>
          <w:szCs w:val="20"/>
          <w:color w:val="auto"/>
        </w:rPr>
      </w:pPr>
      <w:r>
        <w:rPr>
          <w:rFonts w:ascii="Courier New" w:cs="Courier New" w:eastAsia="Courier New" w:hAnsi="Courier New"/>
          <w:sz w:val="15"/>
          <w:szCs w:val="15"/>
          <w:color w:val="auto"/>
        </w:rPr>
        <w:t>THE ARNONI GROUP OF COMPANIES</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COMBINED FINANCIAL STATEMENTS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DECEMBER 31, 1995</w:t>
      </w:r>
    </w:p>
    <w:p>
      <w:pPr>
        <w:jc w:val="center"/>
        <w:ind w:right="331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C - ASSETS LIMITED AS TO USE</w:t>
      </w:r>
    </w:p>
    <w:p>
      <w:pPr>
        <w:spacing w:after="0" w:line="173" w:lineRule="exact"/>
        <w:rPr>
          <w:sz w:val="20"/>
          <w:szCs w:val="20"/>
          <w:color w:val="auto"/>
        </w:rPr>
      </w:pPr>
    </w:p>
    <w:p>
      <w:pPr>
        <w:ind w:right="3499" w:firstLine="612"/>
        <w:spacing w:after="0" w:line="235" w:lineRule="auto"/>
        <w:rPr>
          <w:sz w:val="20"/>
          <w:szCs w:val="20"/>
          <w:color w:val="auto"/>
        </w:rPr>
      </w:pPr>
      <w:r>
        <w:rPr>
          <w:rFonts w:ascii="Courier New" w:cs="Courier New" w:eastAsia="Courier New" w:hAnsi="Courier New"/>
          <w:sz w:val="15"/>
          <w:szCs w:val="15"/>
          <w:color w:val="auto"/>
        </w:rPr>
        <w:t>Pursuant to the terms of the agreement to finance the construction of its landfill expansion, the following funds are held in trust at December 31, 1995:</w:t>
      </w:r>
    </w:p>
    <w:p>
      <w:pPr>
        <w:spacing w:after="0" w:line="200" w:lineRule="exact"/>
        <w:rPr>
          <w:sz w:val="20"/>
          <w:szCs w:val="20"/>
          <w:color w:val="auto"/>
        </w:rPr>
      </w:pPr>
    </w:p>
    <w:p>
      <w:pPr>
        <w:spacing w:after="0" w:line="30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Debt Service Reserve Fund</w:t>
            </w:r>
          </w:p>
        </w:tc>
        <w:tc>
          <w:tcPr>
            <w:tcW w:w="2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$ 1,743,836</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Debt Service Fund</w:t>
            </w: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218,860</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Fund</w:t>
            </w: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93,621</w:t>
            </w:r>
          </w:p>
        </w:tc>
      </w:tr>
      <w:tr>
        <w:trPr>
          <w:trHeight w:val="168"/>
        </w:trPr>
        <w:tc>
          <w:tcPr>
            <w:tcW w:w="3940" w:type="dxa"/>
            <w:vAlign w:val="bottom"/>
          </w:tcPr>
          <w:p>
            <w:pPr>
              <w:spacing w:after="0"/>
              <w:rPr>
                <w:sz w:val="14"/>
                <w:szCs w:val="14"/>
                <w:color w:val="auto"/>
              </w:rPr>
            </w:pP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2,056,317</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Interest Receivable</w:t>
            </w: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9,208</w:t>
            </w:r>
          </w:p>
        </w:tc>
      </w:tr>
      <w:tr>
        <w:trPr>
          <w:trHeight w:val="168"/>
        </w:trPr>
        <w:tc>
          <w:tcPr>
            <w:tcW w:w="3940" w:type="dxa"/>
            <w:vAlign w:val="bottom"/>
          </w:tcPr>
          <w:p>
            <w:pPr>
              <w:spacing w:after="0"/>
              <w:rPr>
                <w:sz w:val="14"/>
                <w:szCs w:val="14"/>
                <w:color w:val="auto"/>
              </w:rPr>
            </w:pP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2,065,525</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Assets to be Used</w:t>
            </w:r>
          </w:p>
        </w:tc>
        <w:tc>
          <w:tcPr>
            <w:tcW w:w="2620" w:type="dxa"/>
            <w:vAlign w:val="bottom"/>
          </w:tcPr>
          <w:p>
            <w:pPr>
              <w:spacing w:after="0"/>
              <w:rPr>
                <w:sz w:val="14"/>
                <w:szCs w:val="14"/>
                <w:color w:val="auto"/>
              </w:rPr>
            </w:pPr>
          </w:p>
        </w:tc>
      </w:tr>
      <w:tr>
        <w:trPr>
          <w:trHeight w:val="168"/>
        </w:trPr>
        <w:tc>
          <w:tcPr>
            <w:tcW w:w="3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Within One Year</w:t>
            </w:r>
          </w:p>
        </w:tc>
        <w:tc>
          <w:tcPr>
            <w:tcW w:w="2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(365,525)</w:t>
            </w:r>
          </w:p>
        </w:tc>
      </w:tr>
      <w:tr>
        <w:trPr>
          <w:trHeight w:val="168"/>
        </w:trPr>
        <w:tc>
          <w:tcPr>
            <w:tcW w:w="3940" w:type="dxa"/>
            <w:vAlign w:val="bottom"/>
          </w:tcPr>
          <w:p>
            <w:pPr>
              <w:spacing w:after="0"/>
              <w:rPr>
                <w:sz w:val="14"/>
                <w:szCs w:val="14"/>
                <w:color w:val="auto"/>
              </w:rPr>
            </w:pP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$ 1,700,000</w:t>
            </w:r>
          </w:p>
        </w:tc>
      </w:tr>
      <w:tr>
        <w:trPr>
          <w:trHeight w:val="168"/>
        </w:trPr>
        <w:tc>
          <w:tcPr>
            <w:tcW w:w="3940" w:type="dxa"/>
            <w:vAlign w:val="bottom"/>
          </w:tcPr>
          <w:p>
            <w:pPr>
              <w:spacing w:after="0"/>
              <w:rPr>
                <w:sz w:val="14"/>
                <w:szCs w:val="14"/>
                <w:color w:val="auto"/>
              </w:rPr>
            </w:pP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firstLine="612"/>
        <w:spacing w:after="0" w:line="234" w:lineRule="auto"/>
        <w:rPr>
          <w:sz w:val="20"/>
          <w:szCs w:val="20"/>
          <w:color w:val="auto"/>
        </w:rPr>
      </w:pPr>
      <w:r>
        <w:rPr>
          <w:rFonts w:ascii="Courier New" w:cs="Courier New" w:eastAsia="Courier New" w:hAnsi="Courier New"/>
          <w:sz w:val="15"/>
          <w:szCs w:val="15"/>
          <w:color w:val="auto"/>
        </w:rPr>
        <w:t>The funds held by trustee consist of the following securities which are valued at cost at December 31, 1995:</w:t>
      </w: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U.S. Treasury Notes</w:t>
            </w:r>
          </w:p>
        </w:tc>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rPr>
              <w:t>$1,688,578</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Money Market Investments</w:t>
            </w:r>
          </w:p>
        </w:tc>
        <w:tc>
          <w:tcPr>
            <w:tcW w:w="2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367,739</w:t>
            </w:r>
          </w:p>
        </w:tc>
      </w:tr>
      <w:tr>
        <w:trPr>
          <w:trHeight w:val="168"/>
        </w:trPr>
        <w:tc>
          <w:tcPr>
            <w:tcW w:w="3900" w:type="dxa"/>
            <w:vAlign w:val="bottom"/>
          </w:tcPr>
          <w:p>
            <w:pPr>
              <w:spacing w:after="0"/>
              <w:rPr>
                <w:sz w:val="14"/>
                <w:szCs w:val="14"/>
                <w:color w:val="auto"/>
              </w:rPr>
            </w:pPr>
          </w:p>
        </w:tc>
        <w:tc>
          <w:tcPr>
            <w:tcW w:w="2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rPr>
                <w:sz w:val="14"/>
                <w:szCs w:val="14"/>
                <w:color w:val="auto"/>
              </w:rPr>
            </w:pPr>
          </w:p>
        </w:tc>
        <w:tc>
          <w:tcPr>
            <w:tcW w:w="2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2,056,317</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Interest Receivable</w:t>
            </w:r>
          </w:p>
        </w:tc>
        <w:tc>
          <w:tcPr>
            <w:tcW w:w="2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9,208</w:t>
            </w:r>
          </w:p>
        </w:tc>
      </w:tr>
      <w:tr>
        <w:trPr>
          <w:trHeight w:val="168"/>
        </w:trPr>
        <w:tc>
          <w:tcPr>
            <w:tcW w:w="3900" w:type="dxa"/>
            <w:vAlign w:val="bottom"/>
          </w:tcPr>
          <w:p>
            <w:pPr>
              <w:spacing w:after="0"/>
              <w:rPr>
                <w:sz w:val="14"/>
                <w:szCs w:val="14"/>
                <w:color w:val="auto"/>
              </w:rPr>
            </w:pPr>
          </w:p>
        </w:tc>
        <w:tc>
          <w:tcPr>
            <w:tcW w:w="2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5860"/>
        <w:spacing w:after="0"/>
        <w:rPr>
          <w:sz w:val="20"/>
          <w:szCs w:val="20"/>
          <w:color w:val="auto"/>
        </w:rPr>
      </w:pPr>
      <w:r>
        <w:rPr>
          <w:rFonts w:ascii="Courier New" w:cs="Courier New" w:eastAsia="Courier New" w:hAnsi="Courier New"/>
          <w:sz w:val="15"/>
          <w:szCs w:val="15"/>
          <w:color w:val="auto"/>
        </w:rPr>
        <w:t>$2,065,525</w:t>
      </w:r>
    </w:p>
    <w:p>
      <w:pPr>
        <w:ind w:left="586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jc w:val="both"/>
        <w:ind w:right="3499" w:firstLine="612"/>
        <w:spacing w:after="0" w:line="234" w:lineRule="auto"/>
        <w:rPr>
          <w:sz w:val="20"/>
          <w:szCs w:val="20"/>
          <w:color w:val="auto"/>
        </w:rPr>
      </w:pPr>
      <w:r>
        <w:rPr>
          <w:rFonts w:ascii="Courier New" w:cs="Courier New" w:eastAsia="Courier New" w:hAnsi="Courier New"/>
          <w:sz w:val="15"/>
          <w:szCs w:val="15"/>
          <w:color w:val="auto"/>
        </w:rPr>
        <w:t>The fair market value of the trusteed funds approximates $2,085,793 at December 31, 1995.</w:t>
      </w:r>
    </w:p>
    <w:p>
      <w:pPr>
        <w:spacing w:after="0" w:line="173" w:lineRule="exact"/>
        <w:rPr>
          <w:sz w:val="20"/>
          <w:szCs w:val="20"/>
          <w:color w:val="auto"/>
        </w:rPr>
      </w:pPr>
    </w:p>
    <w:p>
      <w:pPr>
        <w:ind w:right="3319" w:firstLine="612"/>
        <w:spacing w:after="0" w:line="255" w:lineRule="auto"/>
        <w:rPr>
          <w:sz w:val="20"/>
          <w:szCs w:val="20"/>
          <w:color w:val="auto"/>
        </w:rPr>
      </w:pPr>
      <w:r>
        <w:rPr>
          <w:rFonts w:ascii="Courier New" w:cs="Courier New" w:eastAsia="Courier New" w:hAnsi="Courier New"/>
          <w:sz w:val="14"/>
          <w:szCs w:val="14"/>
          <w:color w:val="auto"/>
        </w:rPr>
        <w:t>The trusteed funds were created pursuant to an indenture of trust upon the issuance of Industrial Revenue Bonds to finance the construction of the Group's landfill expansion. The funds were established to; a) provide a vehicle for the payment of the principal and interest on the Group's debt obligation arising from the bond issuance, b) provide a vehicle for the disbursement of funds related to the construction of landfill expansion facilities, c) accumulate and disburse funds for the Group's operations and maintenance and d) accumulate and disburse funds for arbitrage rebate requirements.</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281"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46</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THE ARNONI GROUP OF COMPANIES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COMBINED FINANCIAL STATEMENTS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DECEMBER 31, 1995</w:t>
      </w:r>
    </w:p>
    <w:p>
      <w:pPr>
        <w:jc w:val="center"/>
        <w:ind w:right="331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D- BORROWED FUNDS</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Following is a summary of borrowed funds at December 31, 1995:</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Industrial Revenue Bonds</w:t>
      </w:r>
    </w:p>
    <w:p>
      <w:pPr>
        <w:spacing w:after="0" w:line="237" w:lineRule="auto"/>
        <w:rPr>
          <w:sz w:val="20"/>
          <w:szCs w:val="20"/>
          <w:color w:val="auto"/>
        </w:rPr>
      </w:pPr>
      <w:r>
        <w:rPr>
          <w:rFonts w:ascii="Courier New" w:cs="Courier New" w:eastAsia="Courier New" w:hAnsi="Courier New"/>
          <w:sz w:val="15"/>
          <w:szCs w:val="15"/>
          <w:color w:val="auto"/>
        </w:rPr>
        <w:t>Description: Installment Debt</w:t>
      </w:r>
    </w:p>
    <w:p>
      <w:pPr>
        <w:spacing w:after="0" w:line="238" w:lineRule="auto"/>
        <w:rPr>
          <w:sz w:val="20"/>
          <w:szCs w:val="20"/>
          <w:color w:val="auto"/>
        </w:rPr>
      </w:pPr>
      <w:r>
        <w:rPr>
          <w:rFonts w:ascii="Courier New" w:cs="Courier New" w:eastAsia="Courier New" w:hAnsi="Courier New"/>
          <w:sz w:val="15"/>
          <w:szCs w:val="15"/>
          <w:color w:val="auto"/>
        </w:rPr>
        <w:t>Maturity Date: November 1, 2006</w:t>
      </w:r>
    </w:p>
    <w:p>
      <w:pPr>
        <w:spacing w:after="0" w:line="237" w:lineRule="auto"/>
        <w:rPr>
          <w:sz w:val="20"/>
          <w:szCs w:val="20"/>
          <w:color w:val="auto"/>
        </w:rPr>
      </w:pPr>
      <w:r>
        <w:rPr>
          <w:rFonts w:ascii="Courier New" w:cs="Courier New" w:eastAsia="Courier New" w:hAnsi="Courier New"/>
          <w:sz w:val="15"/>
          <w:szCs w:val="15"/>
          <w:color w:val="auto"/>
        </w:rPr>
        <w:t>Interest Rate: Applicable Bond</w:t>
      </w:r>
    </w:p>
    <w:p>
      <w:pPr>
        <w:ind w:left="440"/>
        <w:spacing w:after="0" w:line="238" w:lineRule="auto"/>
        <w:rPr>
          <w:sz w:val="20"/>
          <w:szCs w:val="20"/>
          <w:color w:val="auto"/>
        </w:rPr>
      </w:pPr>
      <w:r>
        <w:rPr>
          <w:rFonts w:ascii="Courier New" w:cs="Courier New" w:eastAsia="Courier New" w:hAnsi="Courier New"/>
          <w:sz w:val="15"/>
          <w:szCs w:val="15"/>
          <w:color w:val="auto"/>
        </w:rPr>
        <w:t>Rate at Issue Date</w:t>
      </w:r>
    </w:p>
    <w:p>
      <w:pPr>
        <w:spacing w:after="0" w:line="237" w:lineRule="auto"/>
        <w:rPr>
          <w:sz w:val="20"/>
          <w:szCs w:val="20"/>
          <w:color w:val="auto"/>
        </w:rPr>
      </w:pPr>
      <w:r>
        <w:rPr>
          <w:rFonts w:ascii="Courier New" w:cs="Courier New" w:eastAsia="Courier New" w:hAnsi="Courier New"/>
          <w:sz w:val="15"/>
          <w:szCs w:val="15"/>
          <w:color w:val="auto"/>
        </w:rPr>
        <w:t>Secured By: First mortgage on</w:t>
      </w:r>
    </w:p>
    <w:p>
      <w:pPr>
        <w:ind w:left="440"/>
        <w:spacing w:after="0" w:line="238" w:lineRule="auto"/>
        <w:rPr>
          <w:sz w:val="20"/>
          <w:szCs w:val="20"/>
          <w:color w:val="auto"/>
        </w:rPr>
      </w:pPr>
      <w:r>
        <w:rPr>
          <w:rFonts w:ascii="Courier New" w:cs="Courier New" w:eastAsia="Courier New" w:hAnsi="Courier New"/>
          <w:sz w:val="15"/>
          <w:szCs w:val="15"/>
          <w:color w:val="auto"/>
        </w:rPr>
        <w:t>landfill facilities and security</w:t>
      </w:r>
    </w:p>
    <w:p>
      <w:pPr>
        <w:ind w:left="440"/>
        <w:spacing w:after="0" w:line="237" w:lineRule="auto"/>
        <w:rPr>
          <w:sz w:val="20"/>
          <w:szCs w:val="20"/>
          <w:color w:val="auto"/>
        </w:rPr>
      </w:pPr>
      <w:r>
        <w:rPr>
          <w:rFonts w:ascii="Courier New" w:cs="Courier New" w:eastAsia="Courier New" w:hAnsi="Courier New"/>
          <w:sz w:val="15"/>
          <w:szCs w:val="15"/>
          <w:color w:val="auto"/>
        </w:rPr>
        <w:t>interest in unexpended funds</w:t>
      </w:r>
    </w:p>
    <w:p>
      <w:pPr>
        <w:spacing w:after="0" w:line="238" w:lineRule="auto"/>
        <w:rPr>
          <w:sz w:val="20"/>
          <w:szCs w:val="20"/>
          <w:color w:val="auto"/>
        </w:rPr>
      </w:pPr>
      <w:r>
        <w:rPr>
          <w:rFonts w:ascii="Courier New" w:cs="Courier New" w:eastAsia="Courier New" w:hAnsi="Courier New"/>
          <w:sz w:val="15"/>
          <w:szCs w:val="15"/>
          <w:color w:val="auto"/>
        </w:rPr>
        <w:t>Repayment Terms: Annual principal</w:t>
      </w:r>
    </w:p>
    <w:p>
      <w:pPr>
        <w:ind w:left="440"/>
        <w:spacing w:after="0" w:line="238" w:lineRule="auto"/>
        <w:rPr>
          <w:sz w:val="20"/>
          <w:szCs w:val="20"/>
          <w:color w:val="auto"/>
        </w:rPr>
      </w:pPr>
      <w:r>
        <w:rPr>
          <w:rFonts w:ascii="Courier New" w:cs="Courier New" w:eastAsia="Courier New" w:hAnsi="Courier New"/>
          <w:sz w:val="15"/>
          <w:szCs w:val="15"/>
          <w:color w:val="auto"/>
        </w:rPr>
        <w:t>payments due and payable each November 1,</w:t>
      </w:r>
    </w:p>
    <w:p>
      <w:pPr>
        <w:ind w:left="440"/>
        <w:spacing w:after="0" w:line="237" w:lineRule="auto"/>
        <w:rPr>
          <w:sz w:val="20"/>
          <w:szCs w:val="20"/>
          <w:color w:val="auto"/>
        </w:rPr>
      </w:pPr>
      <w:r>
        <w:rPr>
          <w:rFonts w:ascii="Courier New" w:cs="Courier New" w:eastAsia="Courier New" w:hAnsi="Courier New"/>
          <w:sz w:val="15"/>
          <w:szCs w:val="15"/>
          <w:color w:val="auto"/>
        </w:rPr>
        <w:t>ranging from $790,000 in 1996 to</w:t>
      </w:r>
    </w:p>
    <w:p>
      <w:pPr>
        <w:ind w:left="440"/>
        <w:spacing w:after="0" w:line="238" w:lineRule="auto"/>
        <w:rPr>
          <w:sz w:val="20"/>
          <w:szCs w:val="20"/>
          <w:color w:val="auto"/>
        </w:rPr>
      </w:pPr>
      <w:r>
        <w:rPr>
          <w:rFonts w:ascii="Courier New" w:cs="Courier New" w:eastAsia="Courier New" w:hAnsi="Courier New"/>
          <w:sz w:val="15"/>
          <w:szCs w:val="15"/>
          <w:color w:val="auto"/>
        </w:rPr>
        <w:t>$2,010,000 in 2006 plus interest</w:t>
      </w:r>
    </w:p>
    <w:tbl>
      <w:tblPr>
        <w:tblLayout w:type="fixed"/>
        <w:tblInd w:w="0" w:type="dxa"/>
        <w:tblCellMar>
          <w:top w:w="0" w:type="dxa"/>
          <w:left w:w="0" w:type="dxa"/>
          <w:bottom w:w="0" w:type="dxa"/>
          <w:right w:w="0" w:type="dxa"/>
        </w:tblCellMar>
      </w:tblP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Covenants: Provisions of the loan</w:t>
            </w:r>
          </w:p>
        </w:tc>
        <w:tc>
          <w:tcPr>
            <w:tcW w:w="366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agreement require the Group to</w:t>
            </w:r>
          </w:p>
        </w:tc>
        <w:tc>
          <w:tcPr>
            <w:tcW w:w="366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maintain certain debt covenants</w:t>
            </w:r>
          </w:p>
        </w:tc>
        <w:tc>
          <w:tcPr>
            <w:tcW w:w="3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$14,480,000</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Notes Payable - Various</w:t>
            </w:r>
          </w:p>
        </w:tc>
        <w:tc>
          <w:tcPr>
            <w:tcW w:w="366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 21 Installment Loans</w:t>
            </w:r>
          </w:p>
        </w:tc>
        <w:tc>
          <w:tcPr>
            <w:tcW w:w="36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Maturity Date: Various dates</w:t>
            </w:r>
          </w:p>
        </w:tc>
        <w:tc>
          <w:tcPr>
            <w:tcW w:w="366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ranging from October, 1996 to</w:t>
            </w:r>
          </w:p>
        </w:tc>
        <w:tc>
          <w:tcPr>
            <w:tcW w:w="366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January, 2001</w:t>
            </w:r>
          </w:p>
        </w:tc>
        <w:tc>
          <w:tcPr>
            <w:tcW w:w="36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Rate: Rates vary from</w:t>
            </w:r>
          </w:p>
        </w:tc>
        <w:tc>
          <w:tcPr>
            <w:tcW w:w="366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6.96% to 9.80%</w:t>
            </w:r>
          </w:p>
        </w:tc>
        <w:tc>
          <w:tcPr>
            <w:tcW w:w="36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Secured By: Equipment</w:t>
            </w:r>
          </w:p>
        </w:tc>
        <w:tc>
          <w:tcPr>
            <w:tcW w:w="36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Repayment Term: Monthly principal</w:t>
            </w:r>
          </w:p>
        </w:tc>
        <w:tc>
          <w:tcPr>
            <w:tcW w:w="366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and interest payments of $79,917</w:t>
            </w:r>
          </w:p>
        </w:tc>
        <w:tc>
          <w:tcPr>
            <w:tcW w:w="3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2,031,729</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Mortgages Payable</w:t>
            </w:r>
          </w:p>
        </w:tc>
        <w:tc>
          <w:tcPr>
            <w:tcW w:w="366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 2 Installment Loans</w:t>
            </w:r>
          </w:p>
        </w:tc>
        <w:tc>
          <w:tcPr>
            <w:tcW w:w="36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Maturity Date: Various dates</w:t>
            </w:r>
          </w:p>
        </w:tc>
        <w:tc>
          <w:tcPr>
            <w:tcW w:w="366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ranging from October, 1997 to</w:t>
            </w:r>
          </w:p>
        </w:tc>
        <w:tc>
          <w:tcPr>
            <w:tcW w:w="366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February, 2001</w:t>
            </w:r>
          </w:p>
        </w:tc>
        <w:tc>
          <w:tcPr>
            <w:tcW w:w="36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Rate: Rates vary from</w:t>
            </w:r>
          </w:p>
        </w:tc>
        <w:tc>
          <w:tcPr>
            <w:tcW w:w="366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8.5% to 9%</w:t>
            </w:r>
          </w:p>
        </w:tc>
        <w:tc>
          <w:tcPr>
            <w:tcW w:w="36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Secured By: Property</w:t>
            </w:r>
          </w:p>
        </w:tc>
        <w:tc>
          <w:tcPr>
            <w:tcW w:w="36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Repayment Terms: Monthly principal</w:t>
            </w:r>
          </w:p>
        </w:tc>
        <w:tc>
          <w:tcPr>
            <w:tcW w:w="366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interest Payments of $1,936</w:t>
            </w:r>
          </w:p>
        </w:tc>
        <w:tc>
          <w:tcPr>
            <w:tcW w:w="3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68,875</w:t>
            </w:r>
          </w:p>
        </w:tc>
      </w:tr>
      <w:tr>
        <w:trPr>
          <w:trHeight w:val="168"/>
        </w:trPr>
        <w:tc>
          <w:tcPr>
            <w:tcW w:w="3340" w:type="dxa"/>
            <w:vAlign w:val="bottom"/>
          </w:tcPr>
          <w:p>
            <w:pPr>
              <w:spacing w:after="0"/>
              <w:rPr>
                <w:sz w:val="14"/>
                <w:szCs w:val="14"/>
                <w:color w:val="auto"/>
              </w:rPr>
            </w:pPr>
          </w:p>
        </w:tc>
        <w:tc>
          <w:tcPr>
            <w:tcW w:w="3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ind w:left="440"/>
              <w:spacing w:after="0"/>
              <w:rPr>
                <w:sz w:val="20"/>
                <w:szCs w:val="20"/>
                <w:color w:val="auto"/>
              </w:rPr>
            </w:pPr>
            <w:r>
              <w:rPr>
                <w:rFonts w:ascii="Courier New" w:cs="Courier New" w:eastAsia="Courier New" w:hAnsi="Courier New"/>
                <w:sz w:val="15"/>
                <w:szCs w:val="15"/>
                <w:color w:val="auto"/>
              </w:rPr>
              <w:t>Subtotal</w:t>
            </w:r>
          </w:p>
        </w:tc>
        <w:tc>
          <w:tcPr>
            <w:tcW w:w="3660" w:type="dxa"/>
            <w:vAlign w:val="bottom"/>
          </w:tcPr>
          <w:p>
            <w:pPr>
              <w:jc w:val="right"/>
              <w:spacing w:after="0"/>
              <w:rPr>
                <w:sz w:val="20"/>
                <w:szCs w:val="20"/>
                <w:color w:val="auto"/>
              </w:rPr>
            </w:pPr>
            <w:r>
              <w:rPr>
                <w:rFonts w:ascii="Courier New" w:cs="Courier New" w:eastAsia="Courier New" w:hAnsi="Courier New"/>
                <w:sz w:val="15"/>
                <w:szCs w:val="15"/>
                <w:color w:val="auto"/>
              </w:rPr>
              <w:t>$16,580,604</w:t>
            </w:r>
          </w:p>
        </w:tc>
      </w:tr>
      <w:tr>
        <w:trPr>
          <w:trHeight w:val="168"/>
        </w:trPr>
        <w:tc>
          <w:tcPr>
            <w:tcW w:w="3340" w:type="dxa"/>
            <w:vAlign w:val="bottom"/>
          </w:tcPr>
          <w:p>
            <w:pPr>
              <w:spacing w:after="0"/>
              <w:rPr>
                <w:sz w:val="14"/>
                <w:szCs w:val="14"/>
                <w:color w:val="auto"/>
              </w:rPr>
            </w:pPr>
          </w:p>
        </w:tc>
        <w:tc>
          <w:tcPr>
            <w:tcW w:w="3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3340" w:type="dxa"/>
            <w:vAlign w:val="bottom"/>
          </w:tcPr>
          <w:p>
            <w:pPr>
              <w:spacing w:after="0"/>
              <w:rPr>
                <w:sz w:val="24"/>
                <w:szCs w:val="24"/>
                <w:color w:val="auto"/>
              </w:rPr>
            </w:pPr>
          </w:p>
        </w:tc>
        <w:tc>
          <w:tcPr>
            <w:tcW w:w="3660" w:type="dxa"/>
            <w:vAlign w:val="bottom"/>
          </w:tcPr>
          <w:p>
            <w:pPr>
              <w:jc w:val="right"/>
              <w:ind w:right="3327"/>
              <w:spacing w:after="0"/>
              <w:rPr>
                <w:sz w:val="20"/>
                <w:szCs w:val="20"/>
                <w:color w:val="auto"/>
              </w:rPr>
            </w:pPr>
            <w:r>
              <w:rPr>
                <w:rFonts w:ascii="Courier New" w:cs="Courier New" w:eastAsia="Courier New" w:hAnsi="Courier New"/>
                <w:sz w:val="15"/>
                <w:szCs w:val="15"/>
                <w:color w:val="auto"/>
              </w:rPr>
              <w:t>46</w:t>
            </w:r>
          </w:p>
        </w:tc>
      </w:tr>
    </w:tbl>
    <w:p>
      <w:pPr>
        <w:sectPr>
          <w:pgSz w:w="11900" w:h="16838" w:orient="portrait"/>
          <w:cols w:equalWidth="0" w:num="1">
            <w:col w:w="10239"/>
          </w:cols>
          <w:pgMar w:left="220" w:top="28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47</w:t>
      </w:r>
    </w:p>
    <w:tbl>
      <w:tblPr>
        <w:tblLayout w:type="fixed"/>
        <w:tblInd w:w="0" w:type="dxa"/>
        <w:tblCellMar>
          <w:top w:w="0" w:type="dxa"/>
          <w:left w:w="0" w:type="dxa"/>
          <w:bottom w:w="0" w:type="dxa"/>
          <w:right w:w="0" w:type="dxa"/>
        </w:tblCellMar>
      </w:tblPr>
      <w:tr>
        <w:trPr>
          <w:trHeight w:val="168"/>
        </w:trPr>
        <w:tc>
          <w:tcPr>
            <w:tcW w:w="5600" w:type="dxa"/>
            <w:vAlign w:val="bottom"/>
          </w:tcPr>
          <w:p>
            <w:pPr>
              <w:jc w:val="center"/>
              <w:ind w:left="1267"/>
              <w:spacing w:after="0" w:line="168" w:lineRule="exact"/>
              <w:rPr>
                <w:sz w:val="20"/>
                <w:szCs w:val="20"/>
                <w:color w:val="auto"/>
              </w:rPr>
            </w:pPr>
            <w:r>
              <w:rPr>
                <w:rFonts w:ascii="Courier New" w:cs="Courier New" w:eastAsia="Courier New" w:hAnsi="Courier New"/>
                <w:sz w:val="15"/>
                <w:szCs w:val="15"/>
                <w:color w:val="auto"/>
                <w:w w:val="97"/>
              </w:rPr>
              <w:t>THE ARNONI GROUP OF COMPANIES</w:t>
            </w:r>
          </w:p>
        </w:tc>
        <w:tc>
          <w:tcPr>
            <w:tcW w:w="1400" w:type="dxa"/>
            <w:vAlign w:val="bottom"/>
          </w:tcPr>
          <w:p>
            <w:pPr>
              <w:spacing w:after="0"/>
              <w:rPr>
                <w:sz w:val="14"/>
                <w:szCs w:val="14"/>
                <w:color w:val="auto"/>
              </w:rPr>
            </w:pPr>
          </w:p>
        </w:tc>
      </w:tr>
      <w:tr>
        <w:trPr>
          <w:trHeight w:val="336"/>
        </w:trPr>
        <w:tc>
          <w:tcPr>
            <w:tcW w:w="5600" w:type="dxa"/>
            <w:vAlign w:val="bottom"/>
          </w:tcPr>
          <w:p>
            <w:pPr>
              <w:ind w:left="1840"/>
              <w:spacing w:after="0"/>
              <w:rPr>
                <w:sz w:val="20"/>
                <w:szCs w:val="20"/>
                <w:color w:val="auto"/>
              </w:rPr>
            </w:pPr>
            <w:r>
              <w:rPr>
                <w:rFonts w:ascii="Courier New" w:cs="Courier New" w:eastAsia="Courier New" w:hAnsi="Courier New"/>
                <w:sz w:val="15"/>
                <w:szCs w:val="15"/>
                <w:color w:val="auto"/>
              </w:rPr>
              <w:t>NOTES TO COMBINED FINANCIAL STATEMENTS</w:t>
            </w:r>
          </w:p>
        </w:tc>
        <w:tc>
          <w:tcPr>
            <w:tcW w:w="1400" w:type="dxa"/>
            <w:vAlign w:val="bottom"/>
          </w:tcPr>
          <w:p>
            <w:pPr>
              <w:spacing w:after="0"/>
              <w:rPr>
                <w:sz w:val="24"/>
                <w:szCs w:val="24"/>
                <w:color w:val="auto"/>
              </w:rPr>
            </w:pPr>
          </w:p>
        </w:tc>
      </w:tr>
      <w:tr>
        <w:trPr>
          <w:trHeight w:val="168"/>
        </w:trPr>
        <w:tc>
          <w:tcPr>
            <w:tcW w:w="5600" w:type="dxa"/>
            <w:vAlign w:val="bottom"/>
          </w:tcPr>
          <w:p>
            <w:pPr>
              <w:jc w:val="center"/>
              <w:ind w:left="1247"/>
              <w:spacing w:after="0" w:line="168" w:lineRule="exact"/>
              <w:rPr>
                <w:sz w:val="20"/>
                <w:szCs w:val="20"/>
                <w:color w:val="auto"/>
              </w:rPr>
            </w:pPr>
            <w:r>
              <w:rPr>
                <w:rFonts w:ascii="Courier New" w:cs="Courier New" w:eastAsia="Courier New" w:hAnsi="Courier New"/>
                <w:sz w:val="15"/>
                <w:szCs w:val="15"/>
                <w:color w:val="auto"/>
                <w:w w:val="96"/>
              </w:rPr>
              <w:t>DECEMBER 31, 1995</w:t>
            </w:r>
          </w:p>
        </w:tc>
        <w:tc>
          <w:tcPr>
            <w:tcW w:w="1400" w:type="dxa"/>
            <w:vAlign w:val="bottom"/>
          </w:tcPr>
          <w:p>
            <w:pPr>
              <w:spacing w:after="0"/>
              <w:rPr>
                <w:sz w:val="14"/>
                <w:szCs w:val="14"/>
                <w:color w:val="auto"/>
              </w:rPr>
            </w:pPr>
          </w:p>
        </w:tc>
      </w:tr>
      <w:tr>
        <w:trPr>
          <w:trHeight w:val="168"/>
        </w:trPr>
        <w:tc>
          <w:tcPr>
            <w:tcW w:w="5600" w:type="dxa"/>
            <w:vAlign w:val="bottom"/>
          </w:tcPr>
          <w:p>
            <w:pPr>
              <w:jc w:val="center"/>
              <w:ind w:left="1247"/>
              <w:spacing w:after="0" w:line="168" w:lineRule="exact"/>
              <w:rPr>
                <w:sz w:val="20"/>
                <w:szCs w:val="20"/>
                <w:color w:val="auto"/>
              </w:rPr>
            </w:pPr>
            <w:r>
              <w:rPr>
                <w:rFonts w:ascii="Courier New" w:cs="Courier New" w:eastAsia="Courier New" w:hAnsi="Courier New"/>
                <w:sz w:val="15"/>
                <w:szCs w:val="15"/>
                <w:color w:val="auto"/>
                <w:w w:val="96"/>
              </w:rPr>
              <w:t>(CONTINUED)</w:t>
            </w:r>
          </w:p>
        </w:tc>
        <w:tc>
          <w:tcPr>
            <w:tcW w:w="1400" w:type="dxa"/>
            <w:vAlign w:val="bottom"/>
          </w:tcPr>
          <w:p>
            <w:pPr>
              <w:spacing w:after="0"/>
              <w:rPr>
                <w:sz w:val="14"/>
                <w:szCs w:val="14"/>
                <w:color w:val="auto"/>
              </w:rPr>
            </w:pP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NOTE D - BORROWED FUNDS (CONTINUED)</w:t>
            </w:r>
          </w:p>
        </w:tc>
        <w:tc>
          <w:tcPr>
            <w:tcW w:w="1400" w:type="dxa"/>
            <w:vAlign w:val="bottom"/>
          </w:tcPr>
          <w:p>
            <w:pPr>
              <w:spacing w:after="0"/>
              <w:rPr>
                <w:sz w:val="24"/>
                <w:szCs w:val="24"/>
                <w:color w:val="auto"/>
              </w:rPr>
            </w:pPr>
          </w:p>
        </w:tc>
      </w:tr>
      <w:tr>
        <w:trPr>
          <w:trHeight w:val="673"/>
        </w:trPr>
        <w:tc>
          <w:tcPr>
            <w:tcW w:w="5600" w:type="dxa"/>
            <w:vAlign w:val="bottom"/>
          </w:tcPr>
          <w:p>
            <w:pPr>
              <w:spacing w:after="0"/>
              <w:rPr>
                <w:sz w:val="20"/>
                <w:szCs w:val="20"/>
                <w:color w:val="auto"/>
              </w:rPr>
            </w:pPr>
            <w:r>
              <w:rPr>
                <w:rFonts w:ascii="Courier New" w:cs="Courier New" w:eastAsia="Courier New" w:hAnsi="Courier New"/>
                <w:sz w:val="15"/>
                <w:szCs w:val="15"/>
                <w:color w:val="auto"/>
              </w:rPr>
              <w:t>Balance Forward</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$16,580,604</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Note Payable - Individual</w:t>
            </w:r>
          </w:p>
        </w:tc>
        <w:tc>
          <w:tcPr>
            <w:tcW w:w="1400" w:type="dxa"/>
            <w:vAlign w:val="bottom"/>
          </w:tcPr>
          <w:p>
            <w:pPr>
              <w:spacing w:after="0"/>
              <w:rPr>
                <w:sz w:val="24"/>
                <w:szCs w:val="24"/>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 Installment Loan</w:t>
            </w:r>
          </w:p>
        </w:tc>
        <w:tc>
          <w:tcPr>
            <w:tcW w:w="1400" w:type="dxa"/>
            <w:vAlign w:val="bottom"/>
          </w:tcPr>
          <w:p>
            <w:pPr>
              <w:spacing w:after="0"/>
              <w:rPr>
                <w:sz w:val="14"/>
                <w:szCs w:val="14"/>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Maturity Date: January, 1999</w:t>
            </w:r>
          </w:p>
        </w:tc>
        <w:tc>
          <w:tcPr>
            <w:tcW w:w="1400" w:type="dxa"/>
            <w:vAlign w:val="bottom"/>
          </w:tcPr>
          <w:p>
            <w:pPr>
              <w:spacing w:after="0"/>
              <w:rPr>
                <w:sz w:val="14"/>
                <w:szCs w:val="14"/>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Rate: 8%</w:t>
            </w:r>
          </w:p>
        </w:tc>
        <w:tc>
          <w:tcPr>
            <w:tcW w:w="1400" w:type="dxa"/>
            <w:vAlign w:val="bottom"/>
          </w:tcPr>
          <w:p>
            <w:pPr>
              <w:spacing w:after="0"/>
              <w:rPr>
                <w:sz w:val="14"/>
                <w:szCs w:val="14"/>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Secured By: Real and Personal Property</w:t>
            </w:r>
          </w:p>
        </w:tc>
        <w:tc>
          <w:tcPr>
            <w:tcW w:w="1400" w:type="dxa"/>
            <w:vAlign w:val="bottom"/>
          </w:tcPr>
          <w:p>
            <w:pPr>
              <w:spacing w:after="0"/>
              <w:rPr>
                <w:sz w:val="14"/>
                <w:szCs w:val="14"/>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Repayment Terms: Monthly principal</w:t>
            </w:r>
          </w:p>
        </w:tc>
        <w:tc>
          <w:tcPr>
            <w:tcW w:w="1400" w:type="dxa"/>
            <w:vAlign w:val="bottom"/>
          </w:tcPr>
          <w:p>
            <w:pPr>
              <w:spacing w:after="0"/>
              <w:rPr>
                <w:sz w:val="14"/>
                <w:szCs w:val="14"/>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and interest payments of $5,455</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180,528</w:t>
            </w:r>
          </w:p>
        </w:tc>
      </w:tr>
      <w:tr>
        <w:trPr>
          <w:trHeight w:val="168"/>
        </w:trPr>
        <w:tc>
          <w:tcPr>
            <w:tcW w:w="560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$16,761,132</w:t>
            </w:r>
          </w:p>
        </w:tc>
      </w:tr>
      <w:tr>
        <w:trPr>
          <w:trHeight w:val="168"/>
        </w:trPr>
        <w:tc>
          <w:tcPr>
            <w:tcW w:w="560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ind w:left="440"/>
              <w:spacing w:after="0"/>
              <w:rPr>
                <w:sz w:val="20"/>
                <w:szCs w:val="20"/>
                <w:color w:val="auto"/>
              </w:rPr>
            </w:pPr>
            <w:r>
              <w:rPr>
                <w:rFonts w:ascii="Courier New" w:cs="Courier New" w:eastAsia="Courier New" w:hAnsi="Courier New"/>
                <w:sz w:val="15"/>
                <w:szCs w:val="15"/>
                <w:color w:val="auto"/>
              </w:rPr>
              <w:t>Current Portion</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$ 1,642,706</w:t>
            </w:r>
          </w:p>
        </w:tc>
      </w:tr>
      <w:tr>
        <w:trPr>
          <w:trHeight w:val="168"/>
        </w:trPr>
        <w:tc>
          <w:tcPr>
            <w:tcW w:w="5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Portion</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15,118,426</w:t>
            </w:r>
          </w:p>
        </w:tc>
      </w:tr>
      <w:tr>
        <w:trPr>
          <w:trHeight w:val="168"/>
        </w:trPr>
        <w:tc>
          <w:tcPr>
            <w:tcW w:w="560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$16,761,132</w:t>
      </w:r>
    </w:p>
    <w:p>
      <w:pPr>
        <w:jc w:val="right"/>
        <w:ind w:right="3239"/>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679" w:firstLine="612"/>
        <w:spacing w:after="0" w:line="234" w:lineRule="auto"/>
        <w:rPr>
          <w:sz w:val="20"/>
          <w:szCs w:val="20"/>
          <w:color w:val="auto"/>
        </w:rPr>
      </w:pPr>
      <w:r>
        <w:rPr>
          <w:rFonts w:ascii="Courier New" w:cs="Courier New" w:eastAsia="Courier New" w:hAnsi="Courier New"/>
          <w:sz w:val="15"/>
          <w:szCs w:val="15"/>
          <w:color w:val="auto"/>
        </w:rPr>
        <w:t>Following are maturities of long term debt for each of the next five year and in the aggregate:</w:t>
      </w:r>
    </w:p>
    <w:p>
      <w:pPr>
        <w:spacing w:after="0" w:line="200" w:lineRule="exact"/>
        <w:rPr>
          <w:sz w:val="20"/>
          <w:szCs w:val="20"/>
          <w:color w:val="auto"/>
        </w:rPr>
      </w:pPr>
    </w:p>
    <w:p>
      <w:pPr>
        <w:spacing w:after="0" w:line="30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$1,642,706</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1,556,801</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1,418,764</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1,241,895</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1,225,882</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9,675,084</w:t>
            </w:r>
          </w:p>
        </w:tc>
      </w:tr>
      <w:tr>
        <w:trPr>
          <w:trHeight w:val="168"/>
        </w:trPr>
        <w:tc>
          <w:tcPr>
            <w:tcW w:w="2980" w:type="dxa"/>
            <w:vAlign w:val="bottom"/>
          </w:tcPr>
          <w:p>
            <w:pPr>
              <w:spacing w:after="0"/>
              <w:rPr>
                <w:sz w:val="14"/>
                <w:szCs w:val="14"/>
                <w:color w:val="auto"/>
              </w:rPr>
            </w:pPr>
          </w:p>
        </w:tc>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rPr>
                <w:sz w:val="14"/>
                <w:szCs w:val="14"/>
                <w:color w:val="auto"/>
              </w:rPr>
            </w:pPr>
          </w:p>
        </w:tc>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$16,761,132</w:t>
            </w:r>
          </w:p>
        </w:tc>
      </w:tr>
      <w:tr>
        <w:trPr>
          <w:trHeight w:val="168"/>
        </w:trPr>
        <w:tc>
          <w:tcPr>
            <w:tcW w:w="2980" w:type="dxa"/>
            <w:vAlign w:val="bottom"/>
          </w:tcPr>
          <w:p>
            <w:pPr>
              <w:spacing w:after="0"/>
              <w:rPr>
                <w:sz w:val="14"/>
                <w:szCs w:val="14"/>
                <w:color w:val="auto"/>
              </w:rPr>
            </w:pPr>
          </w:p>
        </w:tc>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499" w:firstLine="612"/>
        <w:spacing w:after="0" w:line="261" w:lineRule="auto"/>
        <w:rPr>
          <w:sz w:val="20"/>
          <w:szCs w:val="20"/>
          <w:color w:val="auto"/>
        </w:rPr>
      </w:pPr>
      <w:r>
        <w:rPr>
          <w:rFonts w:ascii="Courier New" w:cs="Courier New" w:eastAsia="Courier New" w:hAnsi="Courier New"/>
          <w:sz w:val="14"/>
          <w:szCs w:val="14"/>
          <w:color w:val="auto"/>
        </w:rPr>
        <w:t>At December 31, 1995, the Group had total bank commitments of $500,000 on a line of credit, of which $500,000 was available at December 31, 1995.</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28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48</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THE ARNONI GROUP OF COMPANIES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COMBINED FINANCIAL STATEMENTS</w:t>
      </w:r>
    </w:p>
    <w:p>
      <w:pPr>
        <w:jc w:val="center"/>
        <w:ind w:right="3299"/>
        <w:spacing w:after="0" w:line="237" w:lineRule="auto"/>
        <w:rPr>
          <w:sz w:val="20"/>
          <w:szCs w:val="20"/>
          <w:color w:val="auto"/>
        </w:rPr>
      </w:pPr>
      <w:r>
        <w:rPr>
          <w:rFonts w:ascii="Courier New" w:cs="Courier New" w:eastAsia="Courier New" w:hAnsi="Courier New"/>
          <w:sz w:val="15"/>
          <w:szCs w:val="15"/>
          <w:color w:val="auto"/>
        </w:rPr>
        <w:t>DECEMBER 31, 1995</w:t>
      </w:r>
    </w:p>
    <w:p>
      <w:pPr>
        <w:jc w:val="center"/>
        <w:ind w:right="329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E - LANDFILL CLOSURE LIABILITIES</w:t>
      </w:r>
    </w:p>
    <w:p>
      <w:pPr>
        <w:spacing w:after="0" w:line="173" w:lineRule="exact"/>
        <w:rPr>
          <w:sz w:val="20"/>
          <w:szCs w:val="20"/>
          <w:color w:val="auto"/>
        </w:rPr>
      </w:pPr>
    </w:p>
    <w:p>
      <w:pPr>
        <w:ind w:right="3399" w:firstLine="612"/>
        <w:spacing w:after="0" w:line="255" w:lineRule="auto"/>
        <w:rPr>
          <w:sz w:val="20"/>
          <w:szCs w:val="20"/>
          <w:color w:val="auto"/>
        </w:rPr>
      </w:pPr>
      <w:r>
        <w:rPr>
          <w:rFonts w:ascii="Courier New" w:cs="Courier New" w:eastAsia="Courier New" w:hAnsi="Courier New"/>
          <w:sz w:val="14"/>
          <w:szCs w:val="14"/>
          <w:color w:val="auto"/>
        </w:rPr>
        <w:t>Landfill closure activities involve monitoring and maintaining the landfill for a twenty year period subsequent to closing of the landfill. Based upon estimates by the Group's internal engineers, the total anticipated and accrued landfill closure costs as of December 31, 1995 amounted to $4,131,241. Closure obligations which are required to be satisfied within one year are classified as a current liability in the financial statements.</w:t>
      </w:r>
    </w:p>
    <w:p>
      <w:pPr>
        <w:spacing w:after="0" w:line="166" w:lineRule="exact"/>
        <w:rPr>
          <w:sz w:val="20"/>
          <w:szCs w:val="20"/>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The portion of the recognized closure liability that is allocable to unutilized sections of the landfill has been recorded as a deferred charge and included in other assets. This deferred charge amounted to $2,475,600 at December 31, 1995. The portion of the deferred charge that is expected to be recognized within one year is classified as a current asset in the financial statements.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F - PENSION PLAN</w:t>
      </w:r>
    </w:p>
    <w:p>
      <w:pPr>
        <w:spacing w:after="0" w:line="173" w:lineRule="exact"/>
        <w:rPr>
          <w:sz w:val="20"/>
          <w:szCs w:val="20"/>
          <w:color w:val="auto"/>
        </w:rPr>
      </w:pPr>
    </w:p>
    <w:p>
      <w:pPr>
        <w:ind w:right="3399" w:firstLine="612"/>
        <w:spacing w:after="0" w:line="256" w:lineRule="auto"/>
        <w:rPr>
          <w:sz w:val="20"/>
          <w:szCs w:val="20"/>
          <w:color w:val="auto"/>
        </w:rPr>
      </w:pPr>
      <w:r>
        <w:rPr>
          <w:rFonts w:ascii="Courier New" w:cs="Courier New" w:eastAsia="Courier New" w:hAnsi="Courier New"/>
          <w:sz w:val="14"/>
          <w:szCs w:val="14"/>
          <w:color w:val="auto"/>
        </w:rPr>
        <w:t>The Group maintains a defined contribution pension plan that covers all employees that meet the eligibility requirements. Pension costs are determined at the discretion of the Board of Directors, and are accrued and funded on a current basis. Also, the Group makes union pension contributions for employees working under union arrangements. Pension costs amounted to $49,896 in 1995.</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G - CONTRIBUTED CAPITAL</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The following summarizes the Group's capitalization as of December 31,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Arnoni Group, Inc. - Common Stock; No Par Value,</w:t>
      </w:r>
    </w:p>
    <w:p>
      <w:pPr>
        <w:ind w:left="1840"/>
        <w:spacing w:after="0" w:line="237" w:lineRule="auto"/>
        <w:rPr>
          <w:sz w:val="20"/>
          <w:szCs w:val="20"/>
          <w:color w:val="auto"/>
        </w:rPr>
      </w:pPr>
      <w:r>
        <w:rPr>
          <w:rFonts w:ascii="Courier New" w:cs="Courier New" w:eastAsia="Courier New" w:hAnsi="Courier New"/>
          <w:sz w:val="15"/>
          <w:szCs w:val="15"/>
          <w:color w:val="auto"/>
        </w:rPr>
        <w:t>10,000 Shares Authorized, Issued and outstanding.</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Arnoni Family Partnership - Partners' Capital</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M.C. Arnoni Company - Trust Units; No Par Value,</w:t>
      </w:r>
    </w:p>
    <w:p>
      <w:pPr>
        <w:ind w:left="1840"/>
        <w:spacing w:after="0" w:line="237" w:lineRule="auto"/>
        <w:rPr>
          <w:sz w:val="20"/>
          <w:szCs w:val="20"/>
          <w:color w:val="auto"/>
        </w:rPr>
      </w:pPr>
      <w:r>
        <w:rPr>
          <w:rFonts w:ascii="Courier New" w:cs="Courier New" w:eastAsia="Courier New" w:hAnsi="Courier New"/>
          <w:sz w:val="15"/>
          <w:szCs w:val="15"/>
          <w:color w:val="auto"/>
        </w:rPr>
        <w:t>1,000 Shares Authorized, 530 Shares Issued and</w:t>
      </w:r>
    </w:p>
    <w:p>
      <w:pPr>
        <w:ind w:left="1840"/>
        <w:spacing w:after="0" w:line="238" w:lineRule="auto"/>
        <w:rPr>
          <w:sz w:val="20"/>
          <w:szCs w:val="20"/>
          <w:color w:val="auto"/>
        </w:rPr>
      </w:pPr>
      <w:r>
        <w:rPr>
          <w:rFonts w:ascii="Courier New" w:cs="Courier New" w:eastAsia="Courier New" w:hAnsi="Courier New"/>
          <w:sz w:val="15"/>
          <w:szCs w:val="15"/>
          <w:color w:val="auto"/>
        </w:rPr>
        <w:t>Outstanding.</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South Hills Disposal Company - Trust Units; No Par Value,</w:t>
      </w:r>
    </w:p>
    <w:p>
      <w:pPr>
        <w:jc w:val="right"/>
        <w:ind w:right="3399"/>
        <w:spacing w:after="0" w:line="237" w:lineRule="auto"/>
        <w:rPr>
          <w:sz w:val="20"/>
          <w:szCs w:val="20"/>
          <w:color w:val="auto"/>
        </w:rPr>
      </w:pPr>
      <w:r>
        <w:rPr>
          <w:rFonts w:ascii="Courier New" w:cs="Courier New" w:eastAsia="Courier New" w:hAnsi="Courier New"/>
          <w:sz w:val="15"/>
          <w:szCs w:val="15"/>
          <w:color w:val="auto"/>
        </w:rPr>
        <w:t>500 Shares Authorized, 100 Shares Issued and Outstanding.</w:t>
      </w:r>
    </w:p>
    <w:p>
      <w:pPr>
        <w:spacing w:after="0" w:line="173" w:lineRule="exact"/>
        <w:rPr>
          <w:sz w:val="20"/>
          <w:szCs w:val="20"/>
          <w:color w:val="auto"/>
        </w:rPr>
      </w:pPr>
    </w:p>
    <w:p>
      <w:pPr>
        <w:ind w:left="1840" w:right="3839" w:hanging="611"/>
        <w:spacing w:after="0" w:line="261" w:lineRule="auto"/>
        <w:rPr>
          <w:sz w:val="20"/>
          <w:szCs w:val="20"/>
          <w:color w:val="auto"/>
        </w:rPr>
      </w:pPr>
      <w:r>
        <w:rPr>
          <w:rFonts w:ascii="Courier New" w:cs="Courier New" w:eastAsia="Courier New" w:hAnsi="Courier New"/>
          <w:sz w:val="14"/>
          <w:szCs w:val="14"/>
          <w:color w:val="auto"/>
        </w:rPr>
        <w:t>Cochran Mill Associates, Inc. - Common Stock; $1 Par Value, 5,000 Shares Authorized, Issued and Outstanding.</w:t>
      </w:r>
    </w:p>
    <w:p>
      <w:pPr>
        <w:spacing w:after="0" w:line="200" w:lineRule="exact"/>
        <w:rPr>
          <w:sz w:val="20"/>
          <w:szCs w:val="20"/>
          <w:color w:val="auto"/>
        </w:rPr>
      </w:pPr>
    </w:p>
    <w:p>
      <w:pPr>
        <w:spacing w:after="0" w:line="29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281"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49</w:t>
      </w:r>
    </w:p>
    <w:p>
      <w:pPr>
        <w:ind w:left="2200"/>
        <w:spacing w:after="0" w:line="237" w:lineRule="auto"/>
        <w:rPr>
          <w:sz w:val="20"/>
          <w:szCs w:val="20"/>
          <w:color w:val="auto"/>
        </w:rPr>
      </w:pPr>
      <w:r>
        <w:rPr>
          <w:rFonts w:ascii="Courier New" w:cs="Courier New" w:eastAsia="Courier New" w:hAnsi="Courier New"/>
          <w:sz w:val="15"/>
          <w:szCs w:val="15"/>
          <w:color w:val="auto"/>
        </w:rPr>
        <w:t>THE ARNONI GROUP OF COMPANIES</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COMBINED FINANCIAL STATEMENTS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DECEMBER 31, 1995</w:t>
      </w:r>
    </w:p>
    <w:p>
      <w:pPr>
        <w:jc w:val="center"/>
        <w:ind w:right="331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H - COMMITMENTS AND CONTINGENCIES</w:t>
      </w:r>
    </w:p>
    <w:p>
      <w:pPr>
        <w:spacing w:after="0" w:line="173"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In the normal Course of business, the Group makes commitments to complete contracts at specified rates and dates. Further, the Group has entered into an agreement to lease a portion of it's landfill property for landfill gas commercial processing; as well as a disposal agreement with a customer that commits up to approximately fifteen percent (15%) of daily landfill capacity through December, 1997.</w:t>
      </w:r>
    </w:p>
    <w:p>
      <w:pPr>
        <w:spacing w:after="0" w:line="175"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The Group is committed to provide collateral bonding to the Pennsylvania Department of Environmental Resources to satisfy the Department's requirements. The Group has pledged as security for three (3) letters of credit issued to the Department, securities having a cost which approximates fair market value of $1,983,995 as collateral.</w:t>
      </w:r>
    </w:p>
    <w:p>
      <w:pPr>
        <w:spacing w:after="0" w:line="174" w:lineRule="exact"/>
        <w:rPr>
          <w:sz w:val="20"/>
          <w:szCs w:val="20"/>
          <w:color w:val="auto"/>
        </w:rPr>
      </w:pPr>
    </w:p>
    <w:p>
      <w:pPr>
        <w:jc w:val="both"/>
        <w:ind w:right="3319" w:firstLine="612"/>
        <w:spacing w:after="0" w:line="235" w:lineRule="auto"/>
        <w:rPr>
          <w:sz w:val="20"/>
          <w:szCs w:val="20"/>
          <w:color w:val="auto"/>
        </w:rPr>
      </w:pPr>
      <w:r>
        <w:rPr>
          <w:rFonts w:ascii="Courier New" w:cs="Courier New" w:eastAsia="Courier New" w:hAnsi="Courier New"/>
          <w:sz w:val="15"/>
          <w:szCs w:val="15"/>
          <w:color w:val="auto"/>
        </w:rPr>
        <w:t>The Group has been named as defendant in various legal actions arising out of the normal conduct of its business. In the opinion of management, based on the advice of legal counsel, the suits are without merit; management intends to vigorously defend its position.</w:t>
      </w:r>
    </w:p>
    <w:p>
      <w:pPr>
        <w:spacing w:after="0" w:line="175" w:lineRule="exact"/>
        <w:rPr>
          <w:sz w:val="20"/>
          <w:szCs w:val="20"/>
          <w:color w:val="auto"/>
        </w:rPr>
      </w:pPr>
    </w:p>
    <w:p>
      <w:pPr>
        <w:ind w:right="3319" w:firstLine="612"/>
        <w:spacing w:after="0" w:line="235" w:lineRule="auto"/>
        <w:rPr>
          <w:sz w:val="20"/>
          <w:szCs w:val="20"/>
          <w:color w:val="auto"/>
        </w:rPr>
      </w:pPr>
      <w:r>
        <w:rPr>
          <w:rFonts w:ascii="Courier New" w:cs="Courier New" w:eastAsia="Courier New" w:hAnsi="Courier New"/>
          <w:sz w:val="15"/>
          <w:szCs w:val="15"/>
          <w:color w:val="auto"/>
        </w:rPr>
        <w:t>The Group carries a wide range of insurance coverage for the protection of the Group's assets and operations, including environmental impairment insurance. However, in the event uninsured losses occur, the Group's net income and financial position could be materially affected.</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281"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50</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Independent Auditors' Report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w:t>
      </w:r>
    </w:p>
    <w:p>
      <w:pPr>
        <w:spacing w:after="0" w:line="237" w:lineRule="auto"/>
        <w:rPr>
          <w:sz w:val="20"/>
          <w:szCs w:val="20"/>
          <w:color w:val="auto"/>
        </w:rPr>
      </w:pPr>
      <w:r>
        <w:rPr>
          <w:rFonts w:ascii="Courier New" w:cs="Courier New" w:eastAsia="Courier New" w:hAnsi="Courier New"/>
          <w:sz w:val="15"/>
          <w:szCs w:val="15"/>
          <w:color w:val="auto"/>
        </w:rPr>
        <w:t>Jennings Environmental Services, Inc.</w:t>
      </w:r>
    </w:p>
    <w:p>
      <w:pPr>
        <w:spacing w:after="0" w:line="238" w:lineRule="auto"/>
        <w:rPr>
          <w:sz w:val="20"/>
          <w:szCs w:val="20"/>
          <w:color w:val="auto"/>
        </w:rPr>
      </w:pPr>
      <w:r>
        <w:rPr>
          <w:rFonts w:ascii="Courier New" w:cs="Courier New" w:eastAsia="Courier New" w:hAnsi="Courier New"/>
          <w:sz w:val="15"/>
          <w:szCs w:val="15"/>
          <w:color w:val="auto"/>
        </w:rPr>
        <w:t>Altamonte Springs, Florida</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have audited the accompanying balance sheet of Jennings Environmental Services, Inc. (an S corporation) as of December 31, 1995 and the related statements, of income and changes in stockholders' equity and the statement of cash flows for the year then ended. These financial statements are the responsibility of the Company's management. Our responsibility is to express an opinion on these financial statements based on our audit.</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financial statements are free from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8"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Jennings Environmental Services, Inc. as of December 31, 1995, and the results of its operations and its cash flows for the year then ended in conformity with generally accepted accounting principles.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BLAKE, KUEHLER, BABIONE &amp; POOL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Orlando, Florida</w:t>
      </w:r>
    </w:p>
    <w:p>
      <w:pPr>
        <w:spacing w:after="0" w:line="237" w:lineRule="auto"/>
        <w:rPr>
          <w:sz w:val="20"/>
          <w:szCs w:val="20"/>
          <w:color w:val="auto"/>
        </w:rPr>
      </w:pPr>
      <w:r>
        <w:rPr>
          <w:rFonts w:ascii="Courier New" w:cs="Courier New" w:eastAsia="Courier New" w:hAnsi="Courier New"/>
          <w:sz w:val="15"/>
          <w:szCs w:val="15"/>
          <w:color w:val="auto"/>
        </w:rPr>
        <w:t>March 18, 1996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28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51</w:t>
      </w:r>
    </w:p>
    <w:p>
      <w:pPr>
        <w:jc w:val="center"/>
        <w:ind w:right="3319"/>
        <w:spacing w:after="0" w:line="237" w:lineRule="auto"/>
        <w:rPr>
          <w:sz w:val="20"/>
          <w:szCs w:val="20"/>
          <w:color w:val="auto"/>
        </w:rPr>
      </w:pPr>
      <w:r>
        <w:rPr>
          <w:rFonts w:ascii="Courier New" w:cs="Courier New" w:eastAsia="Courier New" w:hAnsi="Courier New"/>
          <w:sz w:val="15"/>
          <w:szCs w:val="15"/>
          <w:color w:val="auto"/>
        </w:rPr>
        <w:t>JENNINGS ENVIRONMENTAL SERVICES, INC.</w:t>
      </w:r>
    </w:p>
    <w:p>
      <w:pPr>
        <w:jc w:val="center"/>
        <w:ind w:right="3319"/>
        <w:spacing w:after="0" w:line="238" w:lineRule="auto"/>
        <w:rPr>
          <w:sz w:val="20"/>
          <w:szCs w:val="20"/>
          <w:color w:val="auto"/>
        </w:rPr>
      </w:pPr>
      <w:r>
        <w:rPr>
          <w:rFonts w:ascii="Courier New" w:cs="Courier New" w:eastAsia="Courier New" w:hAnsi="Courier New"/>
          <w:sz w:val="15"/>
          <w:szCs w:val="15"/>
          <w:color w:val="auto"/>
        </w:rPr>
        <w:t>Balance Sheet</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December 31, 1995</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ind w:left="3240"/>
              <w:spacing w:after="0"/>
              <w:rPr>
                <w:sz w:val="20"/>
                <w:szCs w:val="20"/>
                <w:color w:val="auto"/>
              </w:rPr>
            </w:pPr>
            <w:r>
              <w:rPr>
                <w:rFonts w:ascii="Courier New" w:cs="Courier New" w:eastAsia="Courier New" w:hAnsi="Courier New"/>
                <w:sz w:val="15"/>
                <w:szCs w:val="15"/>
                <w:color w:val="auto"/>
              </w:rPr>
              <w:t>ASSETS</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480" w:type="dxa"/>
            <w:vAlign w:val="bottom"/>
          </w:tcPr>
          <w:p>
            <w:pPr>
              <w:ind w:left="324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118,740</w:t>
            </w: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470,869</w:t>
            </w: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Employee advances</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2,145</w:t>
            </w: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Prepaid expenses</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14,209</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605,963</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60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2,105,356</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Deposits</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8,763</w:t>
            </w: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Bonds</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4,500</w:t>
            </w: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Loan costs, net</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8,980</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other assets</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22,243</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ind w:left="700"/>
              <w:spacing w:after="0"/>
              <w:rPr>
                <w:sz w:val="20"/>
                <w:szCs w:val="20"/>
                <w:color w:val="auto"/>
              </w:rPr>
            </w:pPr>
            <w:r>
              <w:rPr>
                <w:rFonts w:ascii="Courier New" w:cs="Courier New" w:eastAsia="Courier New" w:hAnsi="Courier New"/>
                <w:sz w:val="15"/>
                <w:szCs w:val="15"/>
                <w:color w:val="auto"/>
              </w:rPr>
              <w:t>Total assets</w:t>
            </w:r>
          </w:p>
        </w:tc>
        <w:tc>
          <w:tcPr>
            <w:tcW w:w="15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$ 2,733,562</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ind w:left="1840"/>
              <w:spacing w:after="0"/>
              <w:rPr>
                <w:sz w:val="20"/>
                <w:szCs w:val="20"/>
                <w:color w:val="auto"/>
              </w:rPr>
            </w:pPr>
            <w:r>
              <w:rPr>
                <w:rFonts w:ascii="Courier New" w:cs="Courier New" w:eastAsia="Courier New" w:hAnsi="Courier New"/>
                <w:sz w:val="15"/>
                <w:szCs w:val="15"/>
                <w:color w:val="auto"/>
              </w:rPr>
              <w:t>LIABILITIES AND STOCKHOLDERS' EQUITY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48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payable</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179,252</w:t>
            </w: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Line of credit</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150,000</w:t>
            </w: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payables</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45,926</w:t>
            </w: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Loans from stockholder</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175,000</w:t>
            </w: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536,419</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1,086,597</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debt</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1,015,368</w:t>
            </w: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Loans from stockholder</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long-term liabilities</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1,015,368</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2,101,965</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79,970</w:t>
            </w: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605,930</w:t>
            </w: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Retained earnings (deficit)</w:t>
            </w:r>
          </w:p>
        </w:tc>
        <w:tc>
          <w:tcPr>
            <w:tcW w:w="6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(54,303)</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631,597</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ind w:left="700"/>
              <w:spacing w:after="0"/>
              <w:rPr>
                <w:sz w:val="20"/>
                <w:szCs w:val="20"/>
                <w:color w:val="auto"/>
              </w:rPr>
            </w:pPr>
            <w:r>
              <w:rPr>
                <w:rFonts w:ascii="Courier New" w:cs="Courier New" w:eastAsia="Courier New" w:hAnsi="Courier New"/>
                <w:sz w:val="15"/>
                <w:szCs w:val="15"/>
                <w:color w:val="auto"/>
              </w:rPr>
              <w:t>Total liabilities and</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4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$ 2,733,562</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281"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52</w:t>
      </w:r>
    </w:p>
    <w:p>
      <w:pPr>
        <w:jc w:val="center"/>
        <w:ind w:right="3319"/>
        <w:spacing w:after="0" w:line="237" w:lineRule="auto"/>
        <w:rPr>
          <w:sz w:val="20"/>
          <w:szCs w:val="20"/>
          <w:color w:val="auto"/>
        </w:rPr>
      </w:pPr>
      <w:r>
        <w:rPr>
          <w:rFonts w:ascii="Courier New" w:cs="Courier New" w:eastAsia="Courier New" w:hAnsi="Courier New"/>
          <w:sz w:val="15"/>
          <w:szCs w:val="15"/>
          <w:color w:val="auto"/>
        </w:rPr>
        <w:t>JENNINGS ENVIRONMENTAL SERVICES, INC.</w:t>
      </w:r>
    </w:p>
    <w:p>
      <w:pPr>
        <w:jc w:val="center"/>
        <w:ind w:right="3319"/>
        <w:spacing w:after="0" w:line="238" w:lineRule="auto"/>
        <w:rPr>
          <w:sz w:val="20"/>
          <w:szCs w:val="20"/>
          <w:color w:val="auto"/>
        </w:rPr>
      </w:pPr>
      <w:r>
        <w:rPr>
          <w:rFonts w:ascii="Courier New" w:cs="Courier New" w:eastAsia="Courier New" w:hAnsi="Courier New"/>
          <w:sz w:val="15"/>
          <w:szCs w:val="15"/>
          <w:color w:val="auto"/>
        </w:rPr>
        <w:t>Statement of Income</w:t>
      </w:r>
    </w:p>
    <w:tbl>
      <w:tblPr>
        <w:tblLayout w:type="fixed"/>
        <w:tblInd w:w="0" w:type="dxa"/>
        <w:tblCellMar>
          <w:top w:w="0" w:type="dxa"/>
          <w:left w:w="0" w:type="dxa"/>
          <w:bottom w:w="0" w:type="dxa"/>
          <w:right w:w="0" w:type="dxa"/>
        </w:tblCellMar>
      </w:tblPr>
      <w:tr>
        <w:trPr>
          <w:trHeight w:val="168"/>
        </w:trPr>
        <w:tc>
          <w:tcPr>
            <w:tcW w:w="552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rPr>
              <w:t>For the year ended December 31, 1995</w:t>
            </w:r>
          </w:p>
        </w:tc>
        <w:tc>
          <w:tcPr>
            <w:tcW w:w="1480" w:type="dxa"/>
            <w:vAlign w:val="bottom"/>
          </w:tcPr>
          <w:p>
            <w:pPr>
              <w:spacing w:after="0"/>
              <w:rPr>
                <w:sz w:val="14"/>
                <w:szCs w:val="14"/>
                <w:color w:val="auto"/>
              </w:rPr>
            </w:pPr>
          </w:p>
        </w:tc>
      </w:tr>
      <w:tr>
        <w:trPr>
          <w:trHeight w:val="673"/>
        </w:trPr>
        <w:tc>
          <w:tcPr>
            <w:tcW w:w="55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480" w:type="dxa"/>
            <w:vAlign w:val="bottom"/>
          </w:tcPr>
          <w:p>
            <w:pPr>
              <w:spacing w:after="0"/>
              <w:rPr>
                <w:sz w:val="24"/>
                <w:szCs w:val="2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Gross revenues</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$ 4,598,237</w:t>
            </w: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Less disposal and franchise fees</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1,408,126</w:t>
            </w:r>
          </w:p>
        </w:tc>
      </w:tr>
      <w:tr>
        <w:trPr>
          <w:trHeight w:val="168"/>
        </w:trPr>
        <w:tc>
          <w:tcPr>
            <w:tcW w:w="552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ind w:left="700"/>
              <w:spacing w:after="0"/>
              <w:rPr>
                <w:sz w:val="20"/>
                <w:szCs w:val="20"/>
                <w:color w:val="auto"/>
              </w:rPr>
            </w:pPr>
            <w:r>
              <w:rPr>
                <w:rFonts w:ascii="Courier New" w:cs="Courier New" w:eastAsia="Courier New" w:hAnsi="Courier New"/>
                <w:sz w:val="15"/>
                <w:szCs w:val="15"/>
                <w:color w:val="auto"/>
              </w:rPr>
              <w:t>Net revenues</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3,190,111</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1,806,381</w:t>
            </w:r>
          </w:p>
        </w:tc>
      </w:tr>
      <w:tr>
        <w:trPr>
          <w:trHeight w:val="168"/>
        </w:trPr>
        <w:tc>
          <w:tcPr>
            <w:tcW w:w="552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ind w:left="700"/>
              <w:spacing w:after="0"/>
              <w:rPr>
                <w:sz w:val="20"/>
                <w:szCs w:val="20"/>
                <w:color w:val="auto"/>
              </w:rPr>
            </w:pPr>
            <w:r>
              <w:rPr>
                <w:rFonts w:ascii="Courier New" w:cs="Courier New" w:eastAsia="Courier New" w:hAnsi="Courier New"/>
                <w:sz w:val="15"/>
                <w:szCs w:val="15"/>
                <w:color w:val="auto"/>
              </w:rPr>
              <w:t>Income from operations</w:t>
            </w:r>
          </w:p>
        </w:tc>
        <w:tc>
          <w:tcPr>
            <w:tcW w:w="1480" w:type="dxa"/>
            <w:vAlign w:val="bottom"/>
          </w:tcPr>
          <w:p>
            <w:pPr>
              <w:spacing w:after="0"/>
              <w:rPr>
                <w:sz w:val="24"/>
                <w:szCs w:val="24"/>
                <w:color w:val="auto"/>
              </w:rPr>
            </w:pPr>
          </w:p>
        </w:tc>
      </w:tr>
      <w:tr>
        <w:trPr>
          <w:trHeight w:val="168"/>
        </w:trPr>
        <w:tc>
          <w:tcPr>
            <w:tcW w:w="55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before depreciation</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1,383,730</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(649,959)</w:t>
            </w:r>
          </w:p>
        </w:tc>
      </w:tr>
      <w:tr>
        <w:trPr>
          <w:trHeight w:val="168"/>
        </w:trPr>
        <w:tc>
          <w:tcPr>
            <w:tcW w:w="552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ind w:left="700"/>
              <w:spacing w:after="0"/>
              <w:rPr>
                <w:sz w:val="20"/>
                <w:szCs w:val="20"/>
                <w:color w:val="auto"/>
              </w:rPr>
            </w:pPr>
            <w:r>
              <w:rPr>
                <w:rFonts w:ascii="Courier New" w:cs="Courier New" w:eastAsia="Courier New" w:hAnsi="Courier New"/>
                <w:sz w:val="15"/>
                <w:szCs w:val="15"/>
                <w:color w:val="auto"/>
              </w:rPr>
              <w:t>Income from operations</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733,771</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(179,775)</w:t>
            </w:r>
          </w:p>
        </w:tc>
      </w:tr>
      <w:tr>
        <w:trPr>
          <w:trHeight w:val="168"/>
        </w:trPr>
        <w:tc>
          <w:tcPr>
            <w:tcW w:w="552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ind w:left="700"/>
              <w:spacing w:after="0"/>
              <w:rPr>
                <w:sz w:val="20"/>
                <w:szCs w:val="20"/>
                <w:color w:val="auto"/>
              </w:rPr>
            </w:pPr>
            <w:r>
              <w:rPr>
                <w:rFonts w:ascii="Courier New" w:cs="Courier New" w:eastAsia="Courier New" w:hAnsi="Courier New"/>
                <w:sz w:val="15"/>
                <w:szCs w:val="15"/>
                <w:color w:val="auto"/>
              </w:rPr>
              <w:t>Net income</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553,996</w:t>
            </w:r>
          </w:p>
        </w:tc>
      </w:tr>
      <w:tr>
        <w:trPr>
          <w:trHeight w:val="168"/>
        </w:trPr>
        <w:tc>
          <w:tcPr>
            <w:tcW w:w="552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28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53</w:t>
      </w:r>
    </w:p>
    <w:p>
      <w:pPr>
        <w:ind w:left="1840"/>
        <w:spacing w:after="0" w:line="237" w:lineRule="auto"/>
        <w:rPr>
          <w:sz w:val="20"/>
          <w:szCs w:val="20"/>
          <w:color w:val="auto"/>
        </w:rPr>
      </w:pPr>
      <w:r>
        <w:rPr>
          <w:rFonts w:ascii="Courier New" w:cs="Courier New" w:eastAsia="Courier New" w:hAnsi="Courier New"/>
          <w:sz w:val="15"/>
          <w:szCs w:val="15"/>
          <w:color w:val="auto"/>
        </w:rPr>
        <w:t>JENNINGS ENVIRONMENTAL SERVICES, INC.</w:t>
      </w:r>
    </w:p>
    <w:p>
      <w:pPr>
        <w:ind w:left="1580"/>
        <w:spacing w:after="0" w:line="238" w:lineRule="auto"/>
        <w:rPr>
          <w:sz w:val="20"/>
          <w:szCs w:val="20"/>
          <w:color w:val="auto"/>
        </w:rPr>
      </w:pPr>
      <w:r>
        <w:rPr>
          <w:rFonts w:ascii="Courier New" w:cs="Courier New" w:eastAsia="Courier New" w:hAnsi="Courier New"/>
          <w:sz w:val="15"/>
          <w:szCs w:val="15"/>
          <w:color w:val="auto"/>
        </w:rPr>
        <w:t>Statement of Changes in Stockholders' Equity</w:t>
      </w:r>
    </w:p>
    <w:p>
      <w:pPr>
        <w:ind w:left="1940"/>
        <w:spacing w:after="0" w:line="237" w:lineRule="auto"/>
        <w:rPr>
          <w:sz w:val="20"/>
          <w:szCs w:val="20"/>
          <w:color w:val="auto"/>
        </w:rPr>
      </w:pPr>
      <w:r>
        <w:rPr>
          <w:rFonts w:ascii="Courier New" w:cs="Courier New" w:eastAsia="Courier New" w:hAnsi="Courier New"/>
          <w:sz w:val="15"/>
          <w:szCs w:val="15"/>
          <w:color w:val="auto"/>
        </w:rPr>
        <w:t>For the year ended December 31, 1995</w:t>
      </w:r>
    </w:p>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Common Stock</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par value, 1,000,000 shares authorized,</w:t>
      </w:r>
    </w:p>
    <w:p>
      <w:pPr>
        <w:ind w:left="440"/>
        <w:spacing w:after="0" w:line="237" w:lineRule="auto"/>
        <w:rPr>
          <w:sz w:val="20"/>
          <w:szCs w:val="20"/>
          <w:color w:val="auto"/>
        </w:rPr>
      </w:pPr>
      <w:r>
        <w:rPr>
          <w:rFonts w:ascii="Courier New" w:cs="Courier New" w:eastAsia="Courier New" w:hAnsi="Courier New"/>
          <w:sz w:val="15"/>
          <w:szCs w:val="15"/>
          <w:color w:val="auto"/>
        </w:rPr>
        <w:t>799,700 shares issued and outstanding at</w:t>
      </w:r>
    </w:p>
    <w:p>
      <w:pPr>
        <w:ind w:left="440"/>
        <w:spacing w:after="0" w:line="238" w:lineRule="auto"/>
        <w:rPr>
          <w:sz w:val="20"/>
          <w:szCs w:val="20"/>
          <w:color w:val="auto"/>
        </w:rPr>
      </w:pPr>
      <w:r>
        <w:rPr>
          <w:rFonts w:ascii="Courier New" w:cs="Courier New" w:eastAsia="Courier New" w:hAnsi="Courier New"/>
          <w:sz w:val="15"/>
          <w:szCs w:val="15"/>
          <w:color w:val="auto"/>
        </w:rPr>
        <w:t>December 31, 1995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20"/>
                <w:szCs w:val="20"/>
                <w:color w:val="auto"/>
              </w:rPr>
            </w:pPr>
            <w:r>
              <w:rPr>
                <w:rFonts w:ascii="Courier New" w:cs="Courier New" w:eastAsia="Courier New" w:hAnsi="Courier New"/>
                <w:sz w:val="15"/>
                <w:szCs w:val="15"/>
                <w:color w:val="auto"/>
              </w:rPr>
              <w:t>Balance beginning of year</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79,528</w:t>
            </w: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Shares issued during the year</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442</w:t>
            </w:r>
          </w:p>
        </w:tc>
      </w:tr>
      <w:tr>
        <w:trPr>
          <w:trHeight w:val="168"/>
        </w:trPr>
        <w:tc>
          <w:tcPr>
            <w:tcW w:w="5380" w:type="dxa"/>
            <w:vAlign w:val="bottom"/>
          </w:tcPr>
          <w:p>
            <w:pPr>
              <w:spacing w:after="0"/>
              <w:rPr>
                <w:sz w:val="14"/>
                <w:szCs w:val="14"/>
                <w:color w:val="auto"/>
              </w:rPr>
            </w:pP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Balance end of year</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79,970</w:t>
            </w:r>
          </w:p>
        </w:tc>
      </w:tr>
      <w:tr>
        <w:trPr>
          <w:trHeight w:val="168"/>
        </w:trPr>
        <w:tc>
          <w:tcPr>
            <w:tcW w:w="5380" w:type="dxa"/>
            <w:vAlign w:val="bottom"/>
          </w:tcPr>
          <w:p>
            <w:pPr>
              <w:spacing w:after="0"/>
              <w:rPr>
                <w:sz w:val="14"/>
                <w:szCs w:val="14"/>
                <w:color w:val="auto"/>
              </w:rPr>
            </w:pP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ind w:left="2380"/>
              <w:spacing w:after="0"/>
              <w:rPr>
                <w:sz w:val="20"/>
                <w:szCs w:val="20"/>
                <w:color w:val="auto"/>
              </w:rPr>
            </w:pPr>
            <w:r>
              <w:rPr>
                <w:rFonts w:ascii="Courier New" w:cs="Courier New" w:eastAsia="Courier New" w:hAnsi="Courier New"/>
                <w:sz w:val="15"/>
                <w:szCs w:val="15"/>
                <w:color w:val="auto"/>
              </w:rPr>
              <w:t>Additional Paid-in Capital</w:t>
            </w:r>
          </w:p>
        </w:tc>
        <w:tc>
          <w:tcPr>
            <w:tcW w:w="1620" w:type="dxa"/>
            <w:vAlign w:val="bottom"/>
          </w:tcPr>
          <w:p>
            <w:pPr>
              <w:spacing w:after="0"/>
              <w:rPr>
                <w:sz w:val="24"/>
                <w:szCs w:val="24"/>
                <w:color w:val="auto"/>
              </w:rPr>
            </w:pPr>
          </w:p>
        </w:tc>
      </w:tr>
      <w:tr>
        <w:trPr>
          <w:trHeight w:val="168"/>
        </w:trPr>
        <w:tc>
          <w:tcPr>
            <w:tcW w:w="5380" w:type="dxa"/>
            <w:vAlign w:val="bottom"/>
          </w:tcPr>
          <w:p>
            <w:pPr>
              <w:ind w:left="238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Balance beginning of year</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$ 534,972</w:t>
            </w: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Shares issued during the year</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70,958</w:t>
            </w:r>
          </w:p>
        </w:tc>
      </w:tr>
      <w:tr>
        <w:trPr>
          <w:trHeight w:val="168"/>
        </w:trPr>
        <w:tc>
          <w:tcPr>
            <w:tcW w:w="5380" w:type="dxa"/>
            <w:vAlign w:val="bottom"/>
          </w:tcPr>
          <w:p>
            <w:pPr>
              <w:spacing w:after="0"/>
              <w:rPr>
                <w:sz w:val="14"/>
                <w:szCs w:val="14"/>
                <w:color w:val="auto"/>
              </w:rPr>
            </w:pP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 end of year</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$ 605,930</w:t>
            </w:r>
          </w:p>
        </w:tc>
      </w:tr>
      <w:tr>
        <w:trPr>
          <w:trHeight w:val="168"/>
        </w:trPr>
        <w:tc>
          <w:tcPr>
            <w:tcW w:w="5380" w:type="dxa"/>
            <w:vAlign w:val="bottom"/>
          </w:tcPr>
          <w:p>
            <w:pPr>
              <w:spacing w:after="0"/>
              <w:rPr>
                <w:sz w:val="14"/>
                <w:szCs w:val="14"/>
                <w:color w:val="auto"/>
              </w:rPr>
            </w:pP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ind w:left="2380"/>
              <w:spacing w:after="0"/>
              <w:rPr>
                <w:sz w:val="20"/>
                <w:szCs w:val="20"/>
                <w:color w:val="auto"/>
              </w:rPr>
            </w:pPr>
            <w:r>
              <w:rPr>
                <w:rFonts w:ascii="Courier New" w:cs="Courier New" w:eastAsia="Courier New" w:hAnsi="Courier New"/>
                <w:sz w:val="15"/>
                <w:szCs w:val="15"/>
                <w:color w:val="auto"/>
              </w:rPr>
              <w:t>Retained Earnings Deficit</w:t>
            </w:r>
          </w:p>
        </w:tc>
        <w:tc>
          <w:tcPr>
            <w:tcW w:w="1620" w:type="dxa"/>
            <w:vAlign w:val="bottom"/>
          </w:tcPr>
          <w:p>
            <w:pPr>
              <w:spacing w:after="0"/>
              <w:rPr>
                <w:sz w:val="24"/>
                <w:szCs w:val="24"/>
                <w:color w:val="auto"/>
              </w:rPr>
            </w:pPr>
          </w:p>
        </w:tc>
      </w:tr>
      <w:tr>
        <w:trPr>
          <w:trHeight w:val="168"/>
        </w:trPr>
        <w:tc>
          <w:tcPr>
            <w:tcW w:w="5380" w:type="dxa"/>
            <w:vAlign w:val="bottom"/>
          </w:tcPr>
          <w:p>
            <w:pPr>
              <w:ind w:left="238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Balance beginning of year,</w:t>
            </w:r>
          </w:p>
        </w:tc>
        <w:tc>
          <w:tcPr>
            <w:tcW w:w="1620" w:type="dxa"/>
            <w:vAlign w:val="bottom"/>
          </w:tcPr>
          <w:p>
            <w:pPr>
              <w:spacing w:after="0"/>
              <w:rPr>
                <w:sz w:val="24"/>
                <w:szCs w:val="24"/>
                <w:color w:val="auto"/>
              </w:rPr>
            </w:pP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as previously reported</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$(720,799)</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Adjustment for understatement of</w:t>
            </w:r>
          </w:p>
        </w:tc>
        <w:tc>
          <w:tcPr>
            <w:tcW w:w="1620" w:type="dxa"/>
            <w:vAlign w:val="bottom"/>
          </w:tcPr>
          <w:p>
            <w:pPr>
              <w:spacing w:after="0"/>
              <w:rPr>
                <w:sz w:val="24"/>
                <w:szCs w:val="24"/>
                <w:color w:val="auto"/>
              </w:rPr>
            </w:pP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112,500</w:t>
            </w:r>
          </w:p>
        </w:tc>
      </w:tr>
      <w:tr>
        <w:trPr>
          <w:trHeight w:val="168"/>
        </w:trPr>
        <w:tc>
          <w:tcPr>
            <w:tcW w:w="5380" w:type="dxa"/>
            <w:vAlign w:val="bottom"/>
          </w:tcPr>
          <w:p>
            <w:pPr>
              <w:spacing w:after="0"/>
              <w:rPr>
                <w:sz w:val="14"/>
                <w:szCs w:val="14"/>
                <w:color w:val="auto"/>
              </w:rPr>
            </w:pP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Balance beginning of year,</w:t>
            </w:r>
          </w:p>
        </w:tc>
        <w:tc>
          <w:tcPr>
            <w:tcW w:w="1620" w:type="dxa"/>
            <w:vAlign w:val="bottom"/>
          </w:tcPr>
          <w:p>
            <w:pPr>
              <w:spacing w:after="0"/>
              <w:rPr>
                <w:sz w:val="24"/>
                <w:szCs w:val="24"/>
                <w:color w:val="auto"/>
              </w:rPr>
            </w:pP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as restated</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(608,299)</w:t>
            </w:r>
          </w:p>
        </w:tc>
      </w:tr>
      <w:tr>
        <w:trPr>
          <w:trHeight w:val="168"/>
        </w:trPr>
        <w:tc>
          <w:tcPr>
            <w:tcW w:w="5380" w:type="dxa"/>
            <w:vAlign w:val="bottom"/>
          </w:tcPr>
          <w:p>
            <w:pPr>
              <w:spacing w:after="0"/>
              <w:rPr>
                <w:sz w:val="14"/>
                <w:szCs w:val="14"/>
                <w:color w:val="auto"/>
              </w:rPr>
            </w:pP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553,996</w:t>
            </w:r>
          </w:p>
        </w:tc>
      </w:tr>
      <w:tr>
        <w:trPr>
          <w:trHeight w:val="168"/>
        </w:trPr>
        <w:tc>
          <w:tcPr>
            <w:tcW w:w="5380" w:type="dxa"/>
            <w:vAlign w:val="bottom"/>
          </w:tcPr>
          <w:p>
            <w:pPr>
              <w:spacing w:after="0"/>
              <w:rPr>
                <w:sz w:val="14"/>
                <w:szCs w:val="14"/>
                <w:color w:val="auto"/>
              </w:rPr>
            </w:pP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ind w:left="440"/>
              <w:spacing w:after="0"/>
              <w:rPr>
                <w:sz w:val="20"/>
                <w:szCs w:val="20"/>
                <w:color w:val="auto"/>
              </w:rPr>
            </w:pPr>
            <w:r>
              <w:rPr>
                <w:rFonts w:ascii="Courier New" w:cs="Courier New" w:eastAsia="Courier New" w:hAnsi="Courier New"/>
                <w:sz w:val="15"/>
                <w:szCs w:val="15"/>
                <w:color w:val="auto"/>
              </w:rPr>
              <w:t>Balance end of year</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 (54,303)</w:t>
            </w:r>
          </w:p>
        </w:tc>
      </w:tr>
      <w:tr>
        <w:trPr>
          <w:trHeight w:val="168"/>
        </w:trPr>
        <w:tc>
          <w:tcPr>
            <w:tcW w:w="5380" w:type="dxa"/>
            <w:vAlign w:val="bottom"/>
          </w:tcPr>
          <w:p>
            <w:pPr>
              <w:spacing w:after="0"/>
              <w:rPr>
                <w:sz w:val="14"/>
                <w:szCs w:val="14"/>
                <w:color w:val="auto"/>
              </w:rPr>
            </w:pP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281"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54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JENNINGS ENVIRONMENTAL SERVICES, INC.</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20" w:type="dxa"/>
            <w:vAlign w:val="bottom"/>
          </w:tcPr>
          <w:p>
            <w:pPr>
              <w:ind w:left="2460"/>
              <w:spacing w:after="0" w:line="168" w:lineRule="exact"/>
              <w:rPr>
                <w:sz w:val="20"/>
                <w:szCs w:val="20"/>
                <w:color w:val="auto"/>
              </w:rPr>
            </w:pPr>
            <w:r>
              <w:rPr>
                <w:rFonts w:ascii="Courier New" w:cs="Courier New" w:eastAsia="Courier New" w:hAnsi="Courier New"/>
                <w:sz w:val="15"/>
                <w:szCs w:val="15"/>
                <w:color w:val="auto"/>
              </w:rPr>
              <w:t>Statement of Cash Flows</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For the year ended December 31, 1995</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3"/>
        </w:trPr>
        <w:tc>
          <w:tcPr>
            <w:tcW w:w="55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552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553,996</w:t>
            </w:r>
          </w:p>
        </w:tc>
      </w:tr>
      <w:tr>
        <w:trPr>
          <w:trHeight w:val="168"/>
        </w:trPr>
        <w:tc>
          <w:tcPr>
            <w:tcW w:w="5520" w:type="dxa"/>
            <w:vAlign w:val="bottom"/>
          </w:tcPr>
          <w:p>
            <w:pPr>
              <w:spacing w:after="0"/>
              <w:rPr>
                <w:sz w:val="14"/>
                <w:szCs w:val="14"/>
                <w:color w:val="auto"/>
              </w:rPr>
            </w:pP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ind w:left="440"/>
              <w:spacing w:after="0"/>
              <w:rPr>
                <w:sz w:val="20"/>
                <w:szCs w:val="20"/>
                <w:color w:val="auto"/>
              </w:rPr>
            </w:pPr>
            <w:r>
              <w:rPr>
                <w:rFonts w:ascii="Courier New" w:cs="Courier New" w:eastAsia="Courier New" w:hAnsi="Courier New"/>
                <w:sz w:val="15"/>
                <w:szCs w:val="15"/>
                <w:color w:val="auto"/>
              </w:rPr>
              <w:t>Adjustments to reconcile net income (loss)</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 net cash provided by operating activities:</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651,295</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Allowance for doubtful accounts</w:t>
            </w: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decrease in accounts receivable</w:t>
            </w: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(164,441)</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decrease in employee advances</w:t>
            </w: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(1,145)</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decrease in prepaid expenses</w:t>
            </w: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(14,209)</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decrease in other assets</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(decrease) in accounts payable</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22,367</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(decrease) in other payables</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44,972</w:t>
            </w:r>
          </w:p>
        </w:tc>
      </w:tr>
      <w:tr>
        <w:trPr>
          <w:trHeight w:val="168"/>
        </w:trPr>
        <w:tc>
          <w:tcPr>
            <w:tcW w:w="5520" w:type="dxa"/>
            <w:vAlign w:val="bottom"/>
          </w:tcPr>
          <w:p>
            <w:pPr>
              <w:spacing w:after="0"/>
              <w:rPr>
                <w:sz w:val="14"/>
                <w:szCs w:val="14"/>
                <w:color w:val="auto"/>
              </w:rPr>
            </w:pP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adjustments</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528,839</w:t>
            </w:r>
          </w:p>
        </w:tc>
      </w:tr>
      <w:tr>
        <w:trPr>
          <w:trHeight w:val="168"/>
        </w:trPr>
        <w:tc>
          <w:tcPr>
            <w:tcW w:w="5520" w:type="dxa"/>
            <w:vAlign w:val="bottom"/>
          </w:tcPr>
          <w:p>
            <w:pPr>
              <w:spacing w:after="0"/>
              <w:rPr>
                <w:sz w:val="14"/>
                <w:szCs w:val="14"/>
                <w:color w:val="auto"/>
              </w:rPr>
            </w:pP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ind w:left="1060"/>
              <w:spacing w:after="0"/>
              <w:rPr>
                <w:sz w:val="20"/>
                <w:szCs w:val="20"/>
                <w:color w:val="auto"/>
              </w:rPr>
            </w:pPr>
            <w:r>
              <w:rPr>
                <w:rFonts w:ascii="Courier New" w:cs="Courier New" w:eastAsia="Courier New" w:hAnsi="Courier New"/>
                <w:sz w:val="15"/>
                <w:szCs w:val="15"/>
                <w:color w:val="auto"/>
              </w:rPr>
              <w:t>Net cash provided by</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5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1,082,835</w:t>
            </w:r>
          </w:p>
        </w:tc>
      </w:tr>
      <w:tr>
        <w:trPr>
          <w:trHeight w:val="168"/>
        </w:trPr>
        <w:tc>
          <w:tcPr>
            <w:tcW w:w="5520" w:type="dxa"/>
            <w:vAlign w:val="bottom"/>
          </w:tcPr>
          <w:p>
            <w:pPr>
              <w:spacing w:after="0"/>
              <w:rPr>
                <w:sz w:val="14"/>
                <w:szCs w:val="14"/>
                <w:color w:val="auto"/>
              </w:rPr>
            </w:pP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5520" w:type="dxa"/>
            <w:vAlign w:val="bottom"/>
          </w:tcPr>
          <w:p>
            <w:pPr>
              <w:ind w:left="440"/>
              <w:spacing w:after="0"/>
              <w:rPr>
                <w:sz w:val="20"/>
                <w:szCs w:val="20"/>
                <w:color w:val="auto"/>
              </w:rPr>
            </w:pPr>
            <w:r>
              <w:rPr>
                <w:rFonts w:ascii="Courier New" w:cs="Courier New" w:eastAsia="Courier New" w:hAnsi="Courier New"/>
                <w:sz w:val="15"/>
                <w:szCs w:val="15"/>
                <w:color w:val="auto"/>
              </w:rPr>
              <w:t>Cash payments for the purchase of property</w:t>
            </w: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(516,491)</w:t>
            </w:r>
          </w:p>
        </w:tc>
      </w:tr>
      <w:tr>
        <w:trPr>
          <w:trHeight w:val="168"/>
        </w:trPr>
        <w:tc>
          <w:tcPr>
            <w:tcW w:w="5520" w:type="dxa"/>
            <w:vAlign w:val="bottom"/>
          </w:tcPr>
          <w:p>
            <w:pPr>
              <w:spacing w:after="0"/>
              <w:rPr>
                <w:sz w:val="14"/>
                <w:szCs w:val="14"/>
                <w:color w:val="auto"/>
              </w:rPr>
            </w:pP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Net cash used by investing activities</w:t>
            </w: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(516,491)</w:t>
            </w:r>
          </w:p>
        </w:tc>
      </w:tr>
      <w:tr>
        <w:trPr>
          <w:trHeight w:val="168"/>
        </w:trPr>
        <w:tc>
          <w:tcPr>
            <w:tcW w:w="5520" w:type="dxa"/>
            <w:vAlign w:val="bottom"/>
          </w:tcPr>
          <w:p>
            <w:pPr>
              <w:spacing w:after="0"/>
              <w:rPr>
                <w:sz w:val="14"/>
                <w:szCs w:val="14"/>
                <w:color w:val="auto"/>
              </w:rPr>
            </w:pP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5520" w:type="dxa"/>
            <w:vAlign w:val="bottom"/>
          </w:tcPr>
          <w:p>
            <w:pPr>
              <w:ind w:left="440"/>
              <w:spacing w:after="0"/>
              <w:rPr>
                <w:sz w:val="20"/>
                <w:szCs w:val="20"/>
                <w:color w:val="auto"/>
              </w:rPr>
            </w:pPr>
            <w:r>
              <w:rPr>
                <w:rFonts w:ascii="Courier New" w:cs="Courier New" w:eastAsia="Courier New" w:hAnsi="Courier New"/>
                <w:sz w:val="15"/>
                <w:szCs w:val="15"/>
                <w:color w:val="auto"/>
              </w:rPr>
              <w:t>Net borrowing (repayment) on stockholder loan</w:t>
            </w: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payments for loan costs</w:t>
            </w: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(7,414)</w:t>
            </w: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issuance of common stock</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23,800</w:t>
            </w: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Repayment on line of credit</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Principal payments on long-term debt</w:t>
            </w: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(450,197)</w:t>
            </w:r>
          </w:p>
        </w:tc>
      </w:tr>
      <w:tr>
        <w:trPr>
          <w:trHeight w:val="168"/>
        </w:trPr>
        <w:tc>
          <w:tcPr>
            <w:tcW w:w="5520" w:type="dxa"/>
            <w:vAlign w:val="bottom"/>
          </w:tcPr>
          <w:p>
            <w:pPr>
              <w:spacing w:after="0"/>
              <w:rPr>
                <w:sz w:val="14"/>
                <w:szCs w:val="14"/>
                <w:color w:val="auto"/>
              </w:rPr>
            </w:pP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Net cash provided (used) by</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(458,811)</w:t>
            </w:r>
          </w:p>
        </w:tc>
      </w:tr>
      <w:tr>
        <w:trPr>
          <w:trHeight w:val="168"/>
        </w:trPr>
        <w:tc>
          <w:tcPr>
            <w:tcW w:w="5520" w:type="dxa"/>
            <w:vAlign w:val="bottom"/>
          </w:tcPr>
          <w:p>
            <w:pPr>
              <w:spacing w:after="0"/>
              <w:rPr>
                <w:sz w:val="14"/>
                <w:szCs w:val="14"/>
                <w:color w:val="auto"/>
              </w:rPr>
            </w:pP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Net increase in cash and equivalents</w:t>
            </w:r>
          </w:p>
        </w:tc>
        <w:tc>
          <w:tcPr>
            <w:tcW w:w="56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107,533</w:t>
            </w:r>
          </w:p>
        </w:tc>
      </w:tr>
      <w:tr>
        <w:trPr>
          <w:trHeight w:val="336"/>
        </w:trPr>
        <w:tc>
          <w:tcPr>
            <w:tcW w:w="5520" w:type="dxa"/>
            <w:vAlign w:val="bottom"/>
          </w:tcPr>
          <w:p>
            <w:pPr>
              <w:ind w:left="440"/>
              <w:spacing w:after="0"/>
              <w:rPr>
                <w:sz w:val="20"/>
                <w:szCs w:val="20"/>
                <w:color w:val="auto"/>
              </w:rPr>
            </w:pPr>
            <w:r>
              <w:rPr>
                <w:rFonts w:ascii="Courier New" w:cs="Courier New" w:eastAsia="Courier New" w:hAnsi="Courier New"/>
                <w:sz w:val="15"/>
                <w:szCs w:val="15"/>
                <w:color w:val="auto"/>
              </w:rPr>
              <w:t>Cash and equivalents, beginning of year</w:t>
            </w:r>
          </w:p>
        </w:tc>
        <w:tc>
          <w:tcPr>
            <w:tcW w:w="56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11,207</w:t>
            </w:r>
          </w:p>
        </w:tc>
      </w:tr>
      <w:tr>
        <w:trPr>
          <w:trHeight w:val="168"/>
        </w:trPr>
        <w:tc>
          <w:tcPr>
            <w:tcW w:w="5520" w:type="dxa"/>
            <w:vAlign w:val="bottom"/>
          </w:tcPr>
          <w:p>
            <w:pPr>
              <w:spacing w:after="0"/>
              <w:rPr>
                <w:sz w:val="14"/>
                <w:szCs w:val="14"/>
                <w:color w:val="auto"/>
              </w:rPr>
            </w:pP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ind w:left="440"/>
              <w:spacing w:after="0"/>
              <w:rPr>
                <w:sz w:val="20"/>
                <w:szCs w:val="20"/>
                <w:color w:val="auto"/>
              </w:rPr>
            </w:pPr>
            <w:r>
              <w:rPr>
                <w:rFonts w:ascii="Courier New" w:cs="Courier New" w:eastAsia="Courier New" w:hAnsi="Courier New"/>
                <w:sz w:val="15"/>
                <w:szCs w:val="15"/>
                <w:color w:val="auto"/>
              </w:rPr>
              <w:t>Cash and equivalents, end of year</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118,740</w:t>
            </w:r>
          </w:p>
        </w:tc>
      </w:tr>
      <w:tr>
        <w:trPr>
          <w:trHeight w:val="168"/>
        </w:trPr>
        <w:tc>
          <w:tcPr>
            <w:tcW w:w="5520" w:type="dxa"/>
            <w:vAlign w:val="bottom"/>
          </w:tcPr>
          <w:p>
            <w:pPr>
              <w:spacing w:after="0"/>
              <w:rPr>
                <w:sz w:val="14"/>
                <w:szCs w:val="14"/>
                <w:color w:val="auto"/>
              </w:rPr>
            </w:pP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281"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55</w:t>
      </w:r>
    </w:p>
    <w:tbl>
      <w:tblPr>
        <w:tblLayout w:type="fixed"/>
        <w:tblInd w:w="0" w:type="dxa"/>
        <w:tblCellMar>
          <w:top w:w="0" w:type="dxa"/>
          <w:left w:w="0" w:type="dxa"/>
          <w:bottom w:w="0" w:type="dxa"/>
          <w:right w:w="0" w:type="dxa"/>
        </w:tblCellMar>
      </w:tblPr>
      <w:tr>
        <w:trPr>
          <w:trHeight w:val="168"/>
        </w:trPr>
        <w:tc>
          <w:tcPr>
            <w:tcW w:w="5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JENNINGS ENVIRONMENTAL SERVICES, INC.</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Statements of Cash Flows (Continued)</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52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December 31, 1995</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841"/>
        </w:trPr>
        <w:tc>
          <w:tcPr>
            <w:tcW w:w="5520" w:type="dxa"/>
            <w:vAlign w:val="bottom"/>
          </w:tcPr>
          <w:p>
            <w:pPr>
              <w:spacing w:after="0"/>
              <w:rPr>
                <w:sz w:val="20"/>
                <w:szCs w:val="20"/>
                <w:color w:val="auto"/>
              </w:rPr>
            </w:pPr>
            <w:r>
              <w:rPr>
                <w:rFonts w:ascii="Courier New" w:cs="Courier New" w:eastAsia="Courier New" w:hAnsi="Courier New"/>
                <w:sz w:val="15"/>
                <w:szCs w:val="15"/>
                <w:color w:val="auto"/>
              </w:rPr>
              <w:t>Supplemental disclosures for cash flow information:</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5520" w:type="dxa"/>
            <w:vAlign w:val="bottom"/>
          </w:tcPr>
          <w:p>
            <w:pPr>
              <w:ind w:left="440"/>
              <w:spacing w:after="0"/>
              <w:rPr>
                <w:sz w:val="20"/>
                <w:szCs w:val="20"/>
                <w:color w:val="auto"/>
              </w:rPr>
            </w:pPr>
            <w:r>
              <w:rPr>
                <w:rFonts w:ascii="Courier New" w:cs="Courier New" w:eastAsia="Courier New" w:hAnsi="Courier New"/>
                <w:sz w:val="15"/>
                <w:szCs w:val="15"/>
                <w:color w:val="auto"/>
              </w:rPr>
              <w:t>Cash paid during the year for:</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5520" w:type="dxa"/>
            <w:vAlign w:val="bottom"/>
          </w:tcPr>
          <w:p>
            <w:pPr>
              <w:ind w:left="700"/>
              <w:spacing w:after="0"/>
              <w:rPr>
                <w:sz w:val="20"/>
                <w:szCs w:val="20"/>
                <w:color w:val="auto"/>
              </w:rPr>
            </w:pPr>
            <w:r>
              <w:rPr>
                <w:rFonts w:ascii="Courier New" w:cs="Courier New" w:eastAsia="Courier New" w:hAnsi="Courier New"/>
                <w:sz w:val="15"/>
                <w:szCs w:val="15"/>
                <w:color w:val="auto"/>
              </w:rPr>
              <w:t>Interest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158,441</w:t>
            </w:r>
          </w:p>
        </w:tc>
      </w:tr>
      <w:tr>
        <w:trPr>
          <w:trHeight w:val="168"/>
        </w:trPr>
        <w:tc>
          <w:tcPr>
            <w:tcW w:w="5520" w:type="dxa"/>
            <w:vAlign w:val="bottom"/>
          </w:tcPr>
          <w:p>
            <w:pPr>
              <w:spacing w:after="0"/>
              <w:rPr>
                <w:sz w:val="14"/>
                <w:szCs w:val="14"/>
                <w:color w:val="auto"/>
              </w:rPr>
            </w:pP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Schedule of noncash investing and financing activities:</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5520" w:type="dxa"/>
            <w:vAlign w:val="bottom"/>
          </w:tcPr>
          <w:p>
            <w:pPr>
              <w:ind w:left="440"/>
              <w:spacing w:after="0"/>
              <w:rPr>
                <w:sz w:val="20"/>
                <w:szCs w:val="20"/>
                <w:color w:val="auto"/>
              </w:rPr>
            </w:pPr>
            <w:r>
              <w:rPr>
                <w:rFonts w:ascii="Courier New" w:cs="Courier New" w:eastAsia="Courier New" w:hAnsi="Courier New"/>
                <w:sz w:val="15"/>
                <w:szCs w:val="15"/>
                <w:color w:val="auto"/>
              </w:rPr>
              <w:t>Acquisition of property and equipment:</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5520" w:type="dxa"/>
            <w:vAlign w:val="bottom"/>
          </w:tcPr>
          <w:p>
            <w:pPr>
              <w:ind w:left="700"/>
              <w:spacing w:after="0"/>
              <w:rPr>
                <w:sz w:val="20"/>
                <w:szCs w:val="20"/>
                <w:color w:val="auto"/>
              </w:rPr>
            </w:pPr>
            <w:r>
              <w:rPr>
                <w:rFonts w:ascii="Courier New" w:cs="Courier New" w:eastAsia="Courier New" w:hAnsi="Courier New"/>
                <w:sz w:val="15"/>
                <w:szCs w:val="15"/>
                <w:color w:val="auto"/>
              </w:rPr>
              <w:t>Cost of property and equipment acquired</w:t>
            </w:r>
          </w:p>
        </w:tc>
        <w:tc>
          <w:tcPr>
            <w:tcW w:w="14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$ 1,171,693</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Capital stock issued</w:t>
            </w:r>
          </w:p>
        </w:tc>
        <w:tc>
          <w:tcPr>
            <w:tcW w:w="6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(46,600)</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Long-term debt incurred</w:t>
            </w:r>
          </w:p>
        </w:tc>
        <w:tc>
          <w:tcPr>
            <w:tcW w:w="6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(608,602)</w:t>
            </w:r>
          </w:p>
        </w:tc>
      </w:tr>
      <w:tr>
        <w:trPr>
          <w:trHeight w:val="168"/>
        </w:trPr>
        <w:tc>
          <w:tcPr>
            <w:tcW w:w="5520" w:type="dxa"/>
            <w:vAlign w:val="bottom"/>
          </w:tcPr>
          <w:p>
            <w:pPr>
              <w:spacing w:after="0"/>
              <w:rPr>
                <w:sz w:val="14"/>
                <w:szCs w:val="14"/>
                <w:color w:val="auto"/>
              </w:rPr>
            </w:pP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Cash paid to acquire property and equipment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516,491</w:t>
            </w:r>
          </w:p>
        </w:tc>
      </w:tr>
      <w:tr>
        <w:trPr>
          <w:trHeight w:val="168"/>
        </w:trPr>
        <w:tc>
          <w:tcPr>
            <w:tcW w:w="5520" w:type="dxa"/>
            <w:vAlign w:val="bottom"/>
          </w:tcPr>
          <w:p>
            <w:pPr>
              <w:spacing w:after="0"/>
              <w:rPr>
                <w:sz w:val="14"/>
                <w:szCs w:val="14"/>
                <w:color w:val="auto"/>
              </w:rPr>
            </w:pP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281"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56</w:t>
      </w:r>
    </w:p>
    <w:p>
      <w:pPr>
        <w:jc w:val="center"/>
        <w:ind w:right="3319"/>
        <w:spacing w:after="0" w:line="237" w:lineRule="auto"/>
        <w:rPr>
          <w:sz w:val="20"/>
          <w:szCs w:val="20"/>
          <w:color w:val="auto"/>
        </w:rPr>
      </w:pPr>
      <w:r>
        <w:rPr>
          <w:rFonts w:ascii="Courier New" w:cs="Courier New" w:eastAsia="Courier New" w:hAnsi="Courier New"/>
          <w:sz w:val="15"/>
          <w:szCs w:val="15"/>
          <w:color w:val="auto"/>
        </w:rPr>
        <w:t>JENNINGS ENVIRONMENTAL SERVICES, INC.</w:t>
      </w:r>
    </w:p>
    <w:p>
      <w:pPr>
        <w:jc w:val="center"/>
        <w:ind w:right="3319"/>
        <w:spacing w:after="0" w:line="238" w:lineRule="auto"/>
        <w:rPr>
          <w:sz w:val="20"/>
          <w:szCs w:val="20"/>
          <w:color w:val="auto"/>
        </w:rPr>
      </w:pPr>
      <w:r>
        <w:rPr>
          <w:rFonts w:ascii="Courier New" w:cs="Courier New" w:eastAsia="Courier New" w:hAnsi="Courier New"/>
          <w:sz w:val="15"/>
          <w:szCs w:val="15"/>
          <w:color w:val="auto"/>
        </w:rPr>
        <w:t>Notes to Financial Statements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December 31, 1995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SUMMARY OF SIGNIFICANT ACCOUNTING POLICIES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Nature of the Business</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The Company is a full service environmental services firm, collecting and transporting waste and recyclable materials to designated sites for reuse or disposal. The Company's operations are in the Central Florida area.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579"/>
        <w:spacing w:after="0" w:line="258" w:lineRule="auto"/>
        <w:rPr>
          <w:sz w:val="20"/>
          <w:szCs w:val="20"/>
          <w:color w:val="auto"/>
        </w:rPr>
      </w:pPr>
      <w:r>
        <w:rPr>
          <w:rFonts w:ascii="Courier New" w:cs="Courier New" w:eastAsia="Courier New" w:hAnsi="Courier New"/>
          <w:sz w:val="14"/>
          <w:szCs w:val="14"/>
          <w:color w:val="auto"/>
        </w:rPr>
        <w:t>The Company recognizes income from recycling and refuse collection as it is earned. Prebilled amounts are not recorded until the Company performs the service. Revenue from material resale is recognized when materials are sold.</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Receivable</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uses the reserve method for uncollectible accounts. The allowance for doubtful accounts was $10,000 as of December 31, 1995. Bad debt expense for the year ended December 31, 1995 was $22,292. Customers are primarily commercial and industrial building owners and contractors in the Central Florida area. In the normal course of business, the Company extends unsecured credit to its customers.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Property and equipment is recorded at cost. Property and equipment is depreciated over the lives established by the Modified Accelerated Cost Recovery System (MACRS), which are shorter than the estimated useful lives that would have been used under generally accepted accounting principles. This variance caused by using MACRS is not considered material. The estimated useful lives of the property and equipment range from five to seven years.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For the purpose of the statements of cash flows, the Company considers all highly liquid investments purchased with a maturity of three months or less to be cash equivalents.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changed its tax status from nontaxable to taxable effective January 1, 1996. After that date, the financial statements will provide for the income tax effect of earnings reported in the statements, including taxes currently due and taxes deferred as different accounting methods are used for financial and income tax reporting.</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281"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57</w:t>
      </w:r>
    </w:p>
    <w:p>
      <w:pPr>
        <w:jc w:val="center"/>
        <w:ind w:right="3319"/>
        <w:spacing w:after="0" w:line="237" w:lineRule="auto"/>
        <w:rPr>
          <w:sz w:val="20"/>
          <w:szCs w:val="20"/>
          <w:color w:val="auto"/>
        </w:rPr>
      </w:pPr>
      <w:r>
        <w:rPr>
          <w:rFonts w:ascii="Courier New" w:cs="Courier New" w:eastAsia="Courier New" w:hAnsi="Courier New"/>
          <w:sz w:val="15"/>
          <w:szCs w:val="15"/>
          <w:color w:val="auto"/>
        </w:rPr>
        <w:t>JENNINGS ENVIRONMENTAL SERVICES, INC.</w:t>
      </w:r>
    </w:p>
    <w:p>
      <w:pPr>
        <w:jc w:val="center"/>
        <w:ind w:right="3319"/>
        <w:spacing w:after="0" w:line="238" w:lineRule="auto"/>
        <w:rPr>
          <w:sz w:val="20"/>
          <w:szCs w:val="20"/>
          <w:color w:val="auto"/>
        </w:rPr>
      </w:pPr>
      <w:r>
        <w:rPr>
          <w:rFonts w:ascii="Courier New" w:cs="Courier New" w:eastAsia="Courier New" w:hAnsi="Courier New"/>
          <w:sz w:val="15"/>
          <w:szCs w:val="15"/>
          <w:color w:val="auto"/>
        </w:rPr>
        <w:t>Notes to Financial Statements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December 31, 1995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SUMMARY OF SIGNIFICANT ACCOUNTING POLICIES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 (Continued)</w:t>
      </w:r>
    </w:p>
    <w:p>
      <w:pPr>
        <w:spacing w:after="0" w:line="173" w:lineRule="exact"/>
        <w:rPr>
          <w:sz w:val="20"/>
          <w:szCs w:val="20"/>
          <w:color w:val="auto"/>
        </w:rPr>
      </w:pPr>
    </w:p>
    <w:p>
      <w:pPr>
        <w:ind w:right="3679"/>
        <w:spacing w:after="0" w:line="258" w:lineRule="auto"/>
        <w:rPr>
          <w:sz w:val="20"/>
          <w:szCs w:val="20"/>
          <w:color w:val="auto"/>
        </w:rPr>
      </w:pPr>
      <w:r>
        <w:rPr>
          <w:rFonts w:ascii="Courier New" w:cs="Courier New" w:eastAsia="Courier New" w:hAnsi="Courier New"/>
          <w:sz w:val="14"/>
          <w:szCs w:val="14"/>
          <w:color w:val="auto"/>
        </w:rPr>
        <w:t>Prior to the change in tax status, the Company did not record an income tax provision as income and losses were reported directly by the stockholders under provisions of Subchapter S of the Internal Revenue Code.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 Costs</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Loan closing costs. are amortized on a straight-line basis over the life of the loan.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 of Risk</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Company's cash funds are located in a single-financial institution. The amounts on deposit at December 31, 1995 exceeded the $100,000 federally insured limit.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Management has made a number of estimates and assumptions relating to the reporting of assets and liabilities and the disclosure of contingent assets and liabilities to prepare these financial statements in conformity with generally accepted accounting principles. Actual results could differ from those estimates.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PROPERTY AND EQUIPMENT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 at December 31, 1995 consists of:</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Vehicles</w:t>
            </w:r>
          </w:p>
        </w:tc>
        <w:tc>
          <w:tcPr>
            <w:tcW w:w="2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$ 1,907,748</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Roll-off containers</w:t>
            </w:r>
          </w:p>
        </w:tc>
        <w:tc>
          <w:tcPr>
            <w:tcW w:w="2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1,550,596</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Non roll-off containers</w:t>
            </w:r>
          </w:p>
        </w:tc>
        <w:tc>
          <w:tcPr>
            <w:tcW w:w="2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189,959</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and fixtures</w:t>
            </w:r>
          </w:p>
        </w:tc>
        <w:tc>
          <w:tcPr>
            <w:tcW w:w="2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24,959</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w:t>
            </w:r>
          </w:p>
        </w:tc>
        <w:tc>
          <w:tcPr>
            <w:tcW w:w="2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20,516</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Computers and software</w:t>
            </w:r>
          </w:p>
        </w:tc>
        <w:tc>
          <w:tcPr>
            <w:tcW w:w="2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9,130</w:t>
            </w:r>
          </w:p>
        </w:tc>
      </w:tr>
      <w:tr>
        <w:trPr>
          <w:trHeight w:val="168"/>
        </w:trPr>
        <w:tc>
          <w:tcPr>
            <w:tcW w:w="4120" w:type="dxa"/>
            <w:vAlign w:val="bottom"/>
          </w:tcPr>
          <w:p>
            <w:pPr>
              <w:spacing w:after="0"/>
              <w:rPr>
                <w:sz w:val="14"/>
                <w:szCs w:val="14"/>
                <w:color w:val="auto"/>
              </w:rPr>
            </w:pPr>
          </w:p>
        </w:tc>
        <w:tc>
          <w:tcPr>
            <w:tcW w:w="2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2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3,702,908</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depreciation</w:t>
            </w:r>
          </w:p>
        </w:tc>
        <w:tc>
          <w:tcPr>
            <w:tcW w:w="2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(1,597,552)</w:t>
            </w:r>
          </w:p>
        </w:tc>
      </w:tr>
      <w:tr>
        <w:trPr>
          <w:trHeight w:val="168"/>
        </w:trPr>
        <w:tc>
          <w:tcPr>
            <w:tcW w:w="4120" w:type="dxa"/>
            <w:vAlign w:val="bottom"/>
          </w:tcPr>
          <w:p>
            <w:pPr>
              <w:spacing w:after="0"/>
              <w:rPr>
                <w:sz w:val="14"/>
                <w:szCs w:val="14"/>
                <w:color w:val="auto"/>
              </w:rPr>
            </w:pPr>
          </w:p>
        </w:tc>
        <w:tc>
          <w:tcPr>
            <w:tcW w:w="2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property and equipment</w:t>
            </w:r>
          </w:p>
        </w:tc>
        <w:tc>
          <w:tcPr>
            <w:tcW w:w="2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$ 2,105,356</w:t>
            </w:r>
          </w:p>
        </w:tc>
      </w:tr>
      <w:tr>
        <w:trPr>
          <w:trHeight w:val="168"/>
        </w:trPr>
        <w:tc>
          <w:tcPr>
            <w:tcW w:w="4120" w:type="dxa"/>
            <w:vAlign w:val="bottom"/>
          </w:tcPr>
          <w:p>
            <w:pPr>
              <w:spacing w:after="0"/>
              <w:rPr>
                <w:sz w:val="14"/>
                <w:szCs w:val="14"/>
                <w:color w:val="auto"/>
              </w:rPr>
            </w:pPr>
          </w:p>
        </w:tc>
        <w:tc>
          <w:tcPr>
            <w:tcW w:w="2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281"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58</w:t>
      </w:r>
    </w:p>
    <w:p>
      <w:pPr>
        <w:jc w:val="center"/>
        <w:ind w:right="3319"/>
        <w:spacing w:after="0" w:line="237" w:lineRule="auto"/>
        <w:rPr>
          <w:sz w:val="20"/>
          <w:szCs w:val="20"/>
          <w:color w:val="auto"/>
        </w:rPr>
      </w:pPr>
      <w:r>
        <w:rPr>
          <w:rFonts w:ascii="Courier New" w:cs="Courier New" w:eastAsia="Courier New" w:hAnsi="Courier New"/>
          <w:sz w:val="15"/>
          <w:szCs w:val="15"/>
          <w:color w:val="auto"/>
        </w:rPr>
        <w:t>JENNINGS ENVIRONMENTAL SERVICES, INC.</w:t>
      </w:r>
    </w:p>
    <w:p>
      <w:pPr>
        <w:jc w:val="center"/>
        <w:ind w:right="3319"/>
        <w:spacing w:after="0" w:line="238" w:lineRule="auto"/>
        <w:rPr>
          <w:sz w:val="20"/>
          <w:szCs w:val="20"/>
          <w:color w:val="auto"/>
        </w:rPr>
      </w:pPr>
      <w:r>
        <w:rPr>
          <w:rFonts w:ascii="Courier New" w:cs="Courier New" w:eastAsia="Courier New" w:hAnsi="Courier New"/>
          <w:sz w:val="15"/>
          <w:szCs w:val="15"/>
          <w:color w:val="auto"/>
        </w:rPr>
        <w:t>Notes to Financial Statements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December 31, 1995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LINE OF CREDIT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has available a $300,000 line of credit, which is due on demand and matures October 31, 2000. Interest is payable monthly at the bank's prime lending rate. The total outstanding balance was $150,000 as of December 31, 1995. The line of credit is collateralized by certain equipment and is also personally guaranteed by the principal stockholder.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LONG-TERM DEBT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 consists of the following at December 31, 1995:</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8.25% installment notes payable to</w:t>
      </w:r>
    </w:p>
    <w:p>
      <w:pPr>
        <w:spacing w:after="0" w:line="237" w:lineRule="auto"/>
        <w:rPr>
          <w:sz w:val="20"/>
          <w:szCs w:val="20"/>
          <w:color w:val="auto"/>
        </w:rPr>
      </w:pPr>
      <w:r>
        <w:rPr>
          <w:rFonts w:ascii="Courier New" w:cs="Courier New" w:eastAsia="Courier New" w:hAnsi="Courier New"/>
          <w:sz w:val="15"/>
          <w:szCs w:val="15"/>
          <w:color w:val="auto"/>
        </w:rPr>
        <w:t>a bank in monthly installments including</w:t>
      </w:r>
    </w:p>
    <w:p>
      <w:pPr>
        <w:spacing w:after="0" w:line="238" w:lineRule="auto"/>
        <w:rPr>
          <w:sz w:val="20"/>
          <w:szCs w:val="20"/>
          <w:color w:val="auto"/>
        </w:rPr>
      </w:pPr>
      <w:r>
        <w:rPr>
          <w:rFonts w:ascii="Courier New" w:cs="Courier New" w:eastAsia="Courier New" w:hAnsi="Courier New"/>
          <w:sz w:val="15"/>
          <w:szCs w:val="15"/>
          <w:color w:val="auto"/>
        </w:rPr>
        <w:t>principal and interest, maturing</w:t>
      </w:r>
    </w:p>
    <w:p>
      <w:pPr>
        <w:spacing w:after="0" w:line="237" w:lineRule="auto"/>
        <w:rPr>
          <w:sz w:val="20"/>
          <w:szCs w:val="20"/>
          <w:color w:val="auto"/>
        </w:rPr>
      </w:pPr>
      <w:r>
        <w:rPr>
          <w:rFonts w:ascii="Courier New" w:cs="Courier New" w:eastAsia="Courier New" w:hAnsi="Courier New"/>
          <w:sz w:val="15"/>
          <w:szCs w:val="15"/>
          <w:color w:val="auto"/>
        </w:rPr>
        <w:t>October 2000 as follows (see note</w:t>
      </w:r>
    </w:p>
    <w:p>
      <w:pPr>
        <w:spacing w:after="0" w:line="238" w:lineRule="auto"/>
        <w:rPr>
          <w:sz w:val="20"/>
          <w:szCs w:val="20"/>
          <w:color w:val="auto"/>
        </w:rPr>
      </w:pPr>
      <w:r>
        <w:rPr>
          <w:rFonts w:ascii="Courier New" w:cs="Courier New" w:eastAsia="Courier New" w:hAnsi="Courier New"/>
          <w:sz w:val="15"/>
          <w:szCs w:val="15"/>
          <w:color w:val="auto"/>
        </w:rPr>
        <w:t>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20"/>
                <w:szCs w:val="20"/>
                <w:color w:val="auto"/>
              </w:rPr>
            </w:pPr>
            <w:r>
              <w:rPr>
                <w:rFonts w:ascii="Courier New" w:cs="Courier New" w:eastAsia="Courier New" w:hAnsi="Courier New"/>
                <w:sz w:val="15"/>
                <w:szCs w:val="15"/>
                <w:color w:val="auto"/>
              </w:rPr>
              <w:t>Monthly installment of $24,205</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$730,847</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Monthly installment of $4,320</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206,046</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Monthly installment of $1,975</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94,137</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9.75% installment note payable to a bank</w:t>
            </w:r>
          </w:p>
        </w:tc>
        <w:tc>
          <w:tcPr>
            <w:tcW w:w="2040" w:type="dxa"/>
            <w:vAlign w:val="bottom"/>
          </w:tcPr>
          <w:p>
            <w:pPr>
              <w:spacing w:after="0"/>
              <w:rPr>
                <w:sz w:val="24"/>
                <w:szCs w:val="2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in monthly installments of $15,622</w:t>
            </w:r>
          </w:p>
        </w:tc>
        <w:tc>
          <w:tcPr>
            <w:tcW w:w="2040" w:type="dxa"/>
            <w:vAlign w:val="bottom"/>
          </w:tcPr>
          <w:p>
            <w:pPr>
              <w:spacing w:after="0"/>
              <w:rPr>
                <w:sz w:val="14"/>
                <w:szCs w:val="1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including principal and interest, secured</w:t>
            </w:r>
          </w:p>
        </w:tc>
        <w:tc>
          <w:tcPr>
            <w:tcW w:w="2040" w:type="dxa"/>
            <w:vAlign w:val="bottom"/>
          </w:tcPr>
          <w:p>
            <w:pPr>
              <w:spacing w:after="0"/>
              <w:rPr>
                <w:sz w:val="14"/>
                <w:szCs w:val="1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by transportation equipment, maturing</w:t>
            </w:r>
          </w:p>
        </w:tc>
        <w:tc>
          <w:tcPr>
            <w:tcW w:w="2040" w:type="dxa"/>
            <w:vAlign w:val="bottom"/>
          </w:tcPr>
          <w:p>
            <w:pPr>
              <w:spacing w:after="0"/>
              <w:rPr>
                <w:sz w:val="14"/>
                <w:szCs w:val="1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February 1998, refinanced in 1995</w:t>
            </w:r>
          </w:p>
        </w:tc>
        <w:tc>
          <w:tcPr>
            <w:tcW w:w="2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8.25% installment note payable to a bank</w:t>
            </w:r>
          </w:p>
        </w:tc>
        <w:tc>
          <w:tcPr>
            <w:tcW w:w="2040" w:type="dxa"/>
            <w:vAlign w:val="bottom"/>
          </w:tcPr>
          <w:p>
            <w:pPr>
              <w:spacing w:after="0"/>
              <w:rPr>
                <w:sz w:val="24"/>
                <w:szCs w:val="2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in monthly installments of $2,920</w:t>
            </w:r>
          </w:p>
        </w:tc>
        <w:tc>
          <w:tcPr>
            <w:tcW w:w="2040" w:type="dxa"/>
            <w:vAlign w:val="bottom"/>
          </w:tcPr>
          <w:p>
            <w:pPr>
              <w:spacing w:after="0"/>
              <w:rPr>
                <w:sz w:val="14"/>
                <w:szCs w:val="1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including principal and interest, secured</w:t>
            </w:r>
          </w:p>
        </w:tc>
        <w:tc>
          <w:tcPr>
            <w:tcW w:w="2040" w:type="dxa"/>
            <w:vAlign w:val="bottom"/>
          </w:tcPr>
          <w:p>
            <w:pPr>
              <w:spacing w:after="0"/>
              <w:rPr>
                <w:sz w:val="14"/>
                <w:szCs w:val="1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by transportation equipment, maturing</w:t>
            </w:r>
          </w:p>
        </w:tc>
        <w:tc>
          <w:tcPr>
            <w:tcW w:w="2040" w:type="dxa"/>
            <w:vAlign w:val="bottom"/>
          </w:tcPr>
          <w:p>
            <w:pPr>
              <w:spacing w:after="0"/>
              <w:rPr>
                <w:sz w:val="14"/>
                <w:szCs w:val="1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May 1999, refinanced in 1995</w:t>
            </w:r>
          </w:p>
        </w:tc>
        <w:tc>
          <w:tcPr>
            <w:tcW w:w="2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6.18% installment note payable to GMAC</w:t>
            </w:r>
          </w:p>
        </w:tc>
        <w:tc>
          <w:tcPr>
            <w:tcW w:w="2040" w:type="dxa"/>
            <w:vAlign w:val="bottom"/>
          </w:tcPr>
          <w:p>
            <w:pPr>
              <w:spacing w:after="0"/>
              <w:rPr>
                <w:sz w:val="24"/>
                <w:szCs w:val="2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in monthly installments of $380</w:t>
            </w:r>
          </w:p>
        </w:tc>
        <w:tc>
          <w:tcPr>
            <w:tcW w:w="2040" w:type="dxa"/>
            <w:vAlign w:val="bottom"/>
          </w:tcPr>
          <w:p>
            <w:pPr>
              <w:spacing w:after="0"/>
              <w:rPr>
                <w:sz w:val="14"/>
                <w:szCs w:val="1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including principal and interest, secured</w:t>
            </w:r>
          </w:p>
        </w:tc>
        <w:tc>
          <w:tcPr>
            <w:tcW w:w="2040" w:type="dxa"/>
            <w:vAlign w:val="bottom"/>
          </w:tcPr>
          <w:p>
            <w:pPr>
              <w:spacing w:after="0"/>
              <w:rPr>
                <w:sz w:val="14"/>
                <w:szCs w:val="1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by transportation equipment, maturing</w:t>
            </w:r>
          </w:p>
        </w:tc>
        <w:tc>
          <w:tcPr>
            <w:tcW w:w="2040" w:type="dxa"/>
            <w:vAlign w:val="bottom"/>
          </w:tcPr>
          <w:p>
            <w:pPr>
              <w:spacing w:after="0"/>
              <w:rPr>
                <w:sz w:val="14"/>
                <w:szCs w:val="1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August 1996, paid off in 1995</w:t>
            </w:r>
          </w:p>
        </w:tc>
        <w:tc>
          <w:tcPr>
            <w:tcW w:w="2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841"/>
        </w:trPr>
        <w:tc>
          <w:tcPr>
            <w:tcW w:w="4960" w:type="dxa"/>
            <w:vAlign w:val="bottom"/>
          </w:tcPr>
          <w:p>
            <w:pPr>
              <w:ind w:left="3420"/>
              <w:spacing w:after="0"/>
              <w:rPr>
                <w:sz w:val="20"/>
                <w:szCs w:val="20"/>
                <w:color w:val="auto"/>
              </w:rPr>
            </w:pPr>
            <w:r>
              <w:rPr>
                <w:rFonts w:ascii="Courier New" w:cs="Courier New" w:eastAsia="Courier New" w:hAnsi="Courier New"/>
                <w:sz w:val="15"/>
                <w:szCs w:val="15"/>
                <w:color w:val="auto"/>
              </w:rPr>
              <w:t>58</w:t>
            </w:r>
          </w:p>
        </w:tc>
        <w:tc>
          <w:tcPr>
            <w:tcW w:w="204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5"/>
          <w:szCs w:val="15"/>
          <w:color w:val="auto"/>
        </w:rPr>
        <w:t>59</w:t>
      </w:r>
    </w:p>
    <w:tbl>
      <w:tblPr>
        <w:tblLayout w:type="fixed"/>
        <w:tblInd w:w="0" w:type="dxa"/>
        <w:tblCellMar>
          <w:top w:w="0" w:type="dxa"/>
          <w:left w:w="0" w:type="dxa"/>
          <w:bottom w:w="0" w:type="dxa"/>
          <w:right w:w="0" w:type="dxa"/>
        </w:tblCellMar>
      </w:tblPr>
      <w:tr>
        <w:trPr>
          <w:trHeight w:val="168"/>
        </w:trPr>
        <w:tc>
          <w:tcPr>
            <w:tcW w:w="840" w:type="dxa"/>
            <w:vAlign w:val="bottom"/>
          </w:tcPr>
          <w:p>
            <w:pPr>
              <w:spacing w:after="0"/>
              <w:rPr>
                <w:sz w:val="14"/>
                <w:szCs w:val="14"/>
                <w:color w:val="auto"/>
              </w:rPr>
            </w:pPr>
          </w:p>
        </w:tc>
        <w:tc>
          <w:tcPr>
            <w:tcW w:w="468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JENNING ENVIRONMENTAL SERVICES, INC.</w:t>
            </w:r>
          </w:p>
        </w:tc>
        <w:tc>
          <w:tcPr>
            <w:tcW w:w="148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468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rPr>
              <w:t>Notes to Financial Statements</w:t>
            </w:r>
          </w:p>
        </w:tc>
        <w:tc>
          <w:tcPr>
            <w:tcW w:w="148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4680" w:type="dxa"/>
            <w:vAlign w:val="bottom"/>
          </w:tcPr>
          <w:p>
            <w:pPr>
              <w:ind w:left="1880"/>
              <w:spacing w:after="0" w:line="168" w:lineRule="exact"/>
              <w:rPr>
                <w:sz w:val="20"/>
                <w:szCs w:val="20"/>
                <w:color w:val="auto"/>
              </w:rPr>
            </w:pPr>
            <w:r>
              <w:rPr>
                <w:rFonts w:ascii="Courier New" w:cs="Courier New" w:eastAsia="Courier New" w:hAnsi="Courier New"/>
                <w:sz w:val="15"/>
                <w:szCs w:val="15"/>
                <w:color w:val="auto"/>
              </w:rPr>
              <w:t>December 31, 1995</w:t>
            </w:r>
          </w:p>
        </w:tc>
        <w:tc>
          <w:tcPr>
            <w:tcW w:w="1480" w:type="dxa"/>
            <w:vAlign w:val="bottom"/>
          </w:tcPr>
          <w:p>
            <w:pPr>
              <w:spacing w:after="0"/>
              <w:rPr>
                <w:sz w:val="14"/>
                <w:szCs w:val="14"/>
                <w:color w:val="auto"/>
              </w:rPr>
            </w:pP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NOTE 4 --</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LONG-TERM DEBT (Continued)</w:t>
            </w:r>
          </w:p>
        </w:tc>
        <w:tc>
          <w:tcPr>
            <w:tcW w:w="1480" w:type="dxa"/>
            <w:vAlign w:val="bottom"/>
          </w:tcPr>
          <w:p>
            <w:pPr>
              <w:spacing w:after="0"/>
              <w:rPr>
                <w:sz w:val="24"/>
                <w:szCs w:val="24"/>
                <w:color w:val="auto"/>
              </w:rPr>
            </w:pPr>
          </w:p>
        </w:tc>
      </w:tr>
      <w:tr>
        <w:trPr>
          <w:trHeight w:val="673"/>
        </w:trPr>
        <w:tc>
          <w:tcPr>
            <w:tcW w:w="5520" w:type="dxa"/>
            <w:vAlign w:val="bottom"/>
            <w:gridSpan w:val="2"/>
          </w:tcPr>
          <w:p>
            <w:pPr>
              <w:spacing w:after="0"/>
              <w:rPr>
                <w:sz w:val="20"/>
                <w:szCs w:val="20"/>
                <w:color w:val="auto"/>
              </w:rPr>
            </w:pPr>
            <w:r>
              <w:rPr>
                <w:rFonts w:ascii="Courier New" w:cs="Courier New" w:eastAsia="Courier New" w:hAnsi="Courier New"/>
                <w:sz w:val="15"/>
                <w:szCs w:val="15"/>
                <w:color w:val="auto"/>
              </w:rPr>
              <w:t>10.50% installment note payable in</w:t>
            </w:r>
          </w:p>
        </w:tc>
        <w:tc>
          <w:tcPr>
            <w:tcW w:w="1480" w:type="dxa"/>
            <w:vAlign w:val="bottom"/>
          </w:tcPr>
          <w:p>
            <w:pPr>
              <w:spacing w:after="0"/>
              <w:rPr>
                <w:sz w:val="24"/>
                <w:szCs w:val="24"/>
                <w:color w:val="auto"/>
              </w:rPr>
            </w:pP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monthly installments of $1,492 including</w:t>
            </w:r>
          </w:p>
        </w:tc>
        <w:tc>
          <w:tcPr>
            <w:tcW w:w="148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principal</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interest, secured by</w:t>
            </w:r>
          </w:p>
        </w:tc>
        <w:tc>
          <w:tcPr>
            <w:tcW w:w="1480" w:type="dxa"/>
            <w:vAlign w:val="bottom"/>
          </w:tcPr>
          <w:p>
            <w:pPr>
              <w:spacing w:after="0"/>
              <w:rPr>
                <w:sz w:val="14"/>
                <w:szCs w:val="14"/>
                <w:color w:val="auto"/>
              </w:rPr>
            </w:pP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refuse containers, maturing January 1997</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18,347</w:t>
            </w:r>
          </w:p>
        </w:tc>
      </w:tr>
      <w:tr>
        <w:trPr>
          <w:trHeight w:val="336"/>
        </w:trPr>
        <w:tc>
          <w:tcPr>
            <w:tcW w:w="5520" w:type="dxa"/>
            <w:vAlign w:val="bottom"/>
            <w:gridSpan w:val="2"/>
          </w:tcPr>
          <w:p>
            <w:pPr>
              <w:spacing w:after="0"/>
              <w:rPr>
                <w:sz w:val="20"/>
                <w:szCs w:val="20"/>
                <w:color w:val="auto"/>
              </w:rPr>
            </w:pPr>
            <w:r>
              <w:rPr>
                <w:rFonts w:ascii="Courier New" w:cs="Courier New" w:eastAsia="Courier New" w:hAnsi="Courier New"/>
                <w:sz w:val="15"/>
                <w:szCs w:val="15"/>
                <w:color w:val="auto"/>
              </w:rPr>
              <w:t>9.50% installment note payable to a</w:t>
            </w:r>
          </w:p>
        </w:tc>
        <w:tc>
          <w:tcPr>
            <w:tcW w:w="1480" w:type="dxa"/>
            <w:vAlign w:val="bottom"/>
          </w:tcPr>
          <w:p>
            <w:pPr>
              <w:spacing w:after="0"/>
              <w:rPr>
                <w:sz w:val="24"/>
                <w:szCs w:val="2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company in monthly installments</w:t>
            </w:r>
          </w:p>
        </w:tc>
        <w:tc>
          <w:tcPr>
            <w:tcW w:w="148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of $1,654</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including principal and</w:t>
            </w:r>
          </w:p>
        </w:tc>
        <w:tc>
          <w:tcPr>
            <w:tcW w:w="148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secured by refuse containers,</w:t>
            </w:r>
          </w:p>
        </w:tc>
        <w:tc>
          <w:tcPr>
            <w:tcW w:w="1480" w:type="dxa"/>
            <w:vAlign w:val="bottom"/>
          </w:tcPr>
          <w:p>
            <w:pPr>
              <w:spacing w:after="0"/>
              <w:rPr>
                <w:sz w:val="14"/>
                <w:szCs w:val="14"/>
                <w:color w:val="auto"/>
              </w:rPr>
            </w:pP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maturing December 1996</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18,781</w:t>
            </w:r>
          </w:p>
        </w:tc>
      </w:tr>
      <w:tr>
        <w:trPr>
          <w:trHeight w:val="336"/>
        </w:trPr>
        <w:tc>
          <w:tcPr>
            <w:tcW w:w="5520" w:type="dxa"/>
            <w:vAlign w:val="bottom"/>
            <w:gridSpan w:val="2"/>
          </w:tcPr>
          <w:p>
            <w:pPr>
              <w:spacing w:after="0"/>
              <w:rPr>
                <w:sz w:val="20"/>
                <w:szCs w:val="20"/>
                <w:color w:val="auto"/>
              </w:rPr>
            </w:pPr>
            <w:r>
              <w:rPr>
                <w:rFonts w:ascii="Courier New" w:cs="Courier New" w:eastAsia="Courier New" w:hAnsi="Courier New"/>
                <w:sz w:val="15"/>
                <w:szCs w:val="15"/>
                <w:color w:val="auto"/>
              </w:rPr>
              <w:t>8.25% installment note payable to a</w:t>
            </w:r>
          </w:p>
        </w:tc>
        <w:tc>
          <w:tcPr>
            <w:tcW w:w="1480" w:type="dxa"/>
            <w:vAlign w:val="bottom"/>
          </w:tcPr>
          <w:p>
            <w:pPr>
              <w:spacing w:after="0"/>
              <w:rPr>
                <w:sz w:val="24"/>
                <w:szCs w:val="2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company in monthly installments</w:t>
            </w:r>
          </w:p>
        </w:tc>
        <w:tc>
          <w:tcPr>
            <w:tcW w:w="148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of $1,722</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including principal and</w:t>
            </w:r>
          </w:p>
        </w:tc>
        <w:tc>
          <w:tcPr>
            <w:tcW w:w="148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secured by transportation</w:t>
            </w:r>
          </w:p>
        </w:tc>
        <w:tc>
          <w:tcPr>
            <w:tcW w:w="1480" w:type="dxa"/>
            <w:vAlign w:val="bottom"/>
          </w:tcPr>
          <w:p>
            <w:pPr>
              <w:spacing w:after="0"/>
              <w:rPr>
                <w:sz w:val="14"/>
                <w:szCs w:val="14"/>
                <w:color w:val="auto"/>
              </w:rPr>
            </w:pP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equipment, maturing June 1997</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27,573</w:t>
            </w:r>
          </w:p>
        </w:tc>
      </w:tr>
      <w:tr>
        <w:trPr>
          <w:trHeight w:val="336"/>
        </w:trPr>
        <w:tc>
          <w:tcPr>
            <w:tcW w:w="5520" w:type="dxa"/>
            <w:vAlign w:val="bottom"/>
            <w:gridSpan w:val="2"/>
          </w:tcPr>
          <w:p>
            <w:pPr>
              <w:spacing w:after="0"/>
              <w:rPr>
                <w:sz w:val="20"/>
                <w:szCs w:val="20"/>
                <w:color w:val="auto"/>
              </w:rPr>
            </w:pPr>
            <w:r>
              <w:rPr>
                <w:rFonts w:ascii="Courier New" w:cs="Courier New" w:eastAsia="Courier New" w:hAnsi="Courier New"/>
                <w:sz w:val="15"/>
                <w:szCs w:val="15"/>
                <w:color w:val="auto"/>
              </w:rPr>
              <w:t>8.75% installment note payable to a</w:t>
            </w:r>
          </w:p>
        </w:tc>
        <w:tc>
          <w:tcPr>
            <w:tcW w:w="1480" w:type="dxa"/>
            <w:vAlign w:val="bottom"/>
          </w:tcPr>
          <w:p>
            <w:pPr>
              <w:spacing w:after="0"/>
              <w:rPr>
                <w:sz w:val="24"/>
                <w:szCs w:val="2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company in monthly installments</w:t>
            </w:r>
          </w:p>
        </w:tc>
        <w:tc>
          <w:tcPr>
            <w:tcW w:w="148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of $2,955</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including principal and</w:t>
            </w:r>
          </w:p>
        </w:tc>
        <w:tc>
          <w:tcPr>
            <w:tcW w:w="148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secured by refuse containers,</w:t>
            </w:r>
          </w:p>
        </w:tc>
        <w:tc>
          <w:tcPr>
            <w:tcW w:w="1480" w:type="dxa"/>
            <w:vAlign w:val="bottom"/>
          </w:tcPr>
          <w:p>
            <w:pPr>
              <w:spacing w:after="0"/>
              <w:rPr>
                <w:sz w:val="14"/>
                <w:szCs w:val="14"/>
                <w:color w:val="auto"/>
              </w:rPr>
            </w:pP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maturing October 1997</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59,940</w:t>
            </w:r>
          </w:p>
        </w:tc>
      </w:tr>
      <w:tr>
        <w:trPr>
          <w:trHeight w:val="336"/>
        </w:trPr>
        <w:tc>
          <w:tcPr>
            <w:tcW w:w="5520" w:type="dxa"/>
            <w:vAlign w:val="bottom"/>
            <w:gridSpan w:val="2"/>
          </w:tcPr>
          <w:p>
            <w:pPr>
              <w:spacing w:after="0"/>
              <w:rPr>
                <w:sz w:val="20"/>
                <w:szCs w:val="20"/>
                <w:color w:val="auto"/>
              </w:rPr>
            </w:pPr>
            <w:r>
              <w:rPr>
                <w:rFonts w:ascii="Courier New" w:cs="Courier New" w:eastAsia="Courier New" w:hAnsi="Courier New"/>
                <w:sz w:val="15"/>
                <w:szCs w:val="15"/>
                <w:color w:val="auto"/>
              </w:rPr>
              <w:t>8.75% installment note payable to a</w:t>
            </w:r>
          </w:p>
        </w:tc>
        <w:tc>
          <w:tcPr>
            <w:tcW w:w="1480" w:type="dxa"/>
            <w:vAlign w:val="bottom"/>
          </w:tcPr>
          <w:p>
            <w:pPr>
              <w:spacing w:after="0"/>
              <w:rPr>
                <w:sz w:val="24"/>
                <w:szCs w:val="2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company in monthly installments</w:t>
            </w:r>
          </w:p>
        </w:tc>
        <w:tc>
          <w:tcPr>
            <w:tcW w:w="148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of $8,480</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including principal and</w:t>
            </w:r>
          </w:p>
        </w:tc>
        <w:tc>
          <w:tcPr>
            <w:tcW w:w="148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secured by transportation</w:t>
            </w:r>
          </w:p>
        </w:tc>
        <w:tc>
          <w:tcPr>
            <w:tcW w:w="1480" w:type="dxa"/>
            <w:vAlign w:val="bottom"/>
          </w:tcPr>
          <w:p>
            <w:pPr>
              <w:spacing w:after="0"/>
              <w:rPr>
                <w:sz w:val="14"/>
                <w:szCs w:val="14"/>
                <w:color w:val="auto"/>
              </w:rPr>
            </w:pP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equipment, maturing November 1997</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179,123</w:t>
            </w:r>
          </w:p>
        </w:tc>
      </w:tr>
      <w:tr>
        <w:trPr>
          <w:trHeight w:val="336"/>
        </w:trPr>
        <w:tc>
          <w:tcPr>
            <w:tcW w:w="5520" w:type="dxa"/>
            <w:vAlign w:val="bottom"/>
            <w:gridSpan w:val="2"/>
          </w:tcPr>
          <w:p>
            <w:pPr>
              <w:spacing w:after="0"/>
              <w:rPr>
                <w:sz w:val="20"/>
                <w:szCs w:val="20"/>
                <w:color w:val="auto"/>
              </w:rPr>
            </w:pPr>
            <w:r>
              <w:rPr>
                <w:rFonts w:ascii="Courier New" w:cs="Courier New" w:eastAsia="Courier New" w:hAnsi="Courier New"/>
                <w:sz w:val="15"/>
                <w:szCs w:val="15"/>
                <w:color w:val="auto"/>
              </w:rPr>
              <w:t>8.75% installment note payable to a</w:t>
            </w:r>
          </w:p>
        </w:tc>
        <w:tc>
          <w:tcPr>
            <w:tcW w:w="1480" w:type="dxa"/>
            <w:vAlign w:val="bottom"/>
          </w:tcPr>
          <w:p>
            <w:pPr>
              <w:spacing w:after="0"/>
              <w:rPr>
                <w:sz w:val="24"/>
                <w:szCs w:val="2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company in monthly installments</w:t>
            </w:r>
          </w:p>
        </w:tc>
        <w:tc>
          <w:tcPr>
            <w:tcW w:w="148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of $4,012</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including principal and</w:t>
            </w:r>
          </w:p>
        </w:tc>
        <w:tc>
          <w:tcPr>
            <w:tcW w:w="148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secured by transportation</w:t>
            </w:r>
          </w:p>
        </w:tc>
        <w:tc>
          <w:tcPr>
            <w:tcW w:w="1480" w:type="dxa"/>
            <w:vAlign w:val="bottom"/>
          </w:tcPr>
          <w:p>
            <w:pPr>
              <w:spacing w:after="0"/>
              <w:rPr>
                <w:sz w:val="14"/>
                <w:szCs w:val="14"/>
                <w:color w:val="auto"/>
              </w:rPr>
            </w:pP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equipment, maturing April 1999</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138,468</w:t>
            </w:r>
          </w:p>
        </w:tc>
      </w:tr>
      <w:tr>
        <w:trPr>
          <w:trHeight w:val="336"/>
        </w:trPr>
        <w:tc>
          <w:tcPr>
            <w:tcW w:w="5520" w:type="dxa"/>
            <w:vAlign w:val="bottom"/>
            <w:gridSpan w:val="2"/>
          </w:tcPr>
          <w:p>
            <w:pPr>
              <w:spacing w:after="0"/>
              <w:rPr>
                <w:sz w:val="20"/>
                <w:szCs w:val="20"/>
                <w:color w:val="auto"/>
              </w:rPr>
            </w:pPr>
            <w:r>
              <w:rPr>
                <w:rFonts w:ascii="Courier New" w:cs="Courier New" w:eastAsia="Courier New" w:hAnsi="Courier New"/>
                <w:sz w:val="15"/>
                <w:szCs w:val="15"/>
                <w:color w:val="auto"/>
              </w:rPr>
              <w:t>11.00% installment note payable to a</w:t>
            </w:r>
          </w:p>
        </w:tc>
        <w:tc>
          <w:tcPr>
            <w:tcW w:w="1480" w:type="dxa"/>
            <w:vAlign w:val="bottom"/>
          </w:tcPr>
          <w:p>
            <w:pPr>
              <w:spacing w:after="0"/>
              <w:rPr>
                <w:sz w:val="24"/>
                <w:szCs w:val="2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company in monthly installments</w:t>
            </w:r>
          </w:p>
        </w:tc>
        <w:tc>
          <w:tcPr>
            <w:tcW w:w="148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of $3,192</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including principal and</w:t>
            </w:r>
          </w:p>
        </w:tc>
        <w:tc>
          <w:tcPr>
            <w:tcW w:w="148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secured by refuse containers,</w:t>
            </w:r>
          </w:p>
        </w:tc>
        <w:tc>
          <w:tcPr>
            <w:tcW w:w="1480" w:type="dxa"/>
            <w:vAlign w:val="bottom"/>
          </w:tcPr>
          <w:p>
            <w:pPr>
              <w:spacing w:after="0"/>
              <w:rPr>
                <w:sz w:val="14"/>
                <w:szCs w:val="14"/>
                <w:color w:val="auto"/>
              </w:rPr>
            </w:pP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maturing April 1998</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78,525</w:t>
            </w:r>
          </w:p>
        </w:tc>
      </w:tr>
      <w:tr>
        <w:trPr>
          <w:trHeight w:val="168"/>
        </w:trPr>
        <w:tc>
          <w:tcPr>
            <w:tcW w:w="8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gridSpan w:val="2"/>
          </w:tcPr>
          <w:p>
            <w:pPr>
              <w:spacing w:after="0"/>
              <w:rPr>
                <w:sz w:val="20"/>
                <w:szCs w:val="20"/>
                <w:color w:val="auto"/>
              </w:rPr>
            </w:pPr>
            <w:r>
              <w:rPr>
                <w:rFonts w:ascii="Courier New" w:cs="Courier New" w:eastAsia="Courier New" w:hAnsi="Courier New"/>
                <w:sz w:val="15"/>
                <w:szCs w:val="15"/>
                <w:color w:val="auto"/>
              </w:rPr>
              <w:t>Total long-term debt</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1,551,787</w:t>
            </w: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Less current portion</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(536,419)</w:t>
            </w:r>
          </w:p>
        </w:tc>
      </w:tr>
      <w:tr>
        <w:trPr>
          <w:trHeight w:val="168"/>
        </w:trPr>
        <w:tc>
          <w:tcPr>
            <w:tcW w:w="8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Long-term</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debt</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$ 1,015,368</w:t>
            </w:r>
          </w:p>
        </w:tc>
      </w:tr>
      <w:tr>
        <w:trPr>
          <w:trHeight w:val="168"/>
        </w:trPr>
        <w:tc>
          <w:tcPr>
            <w:tcW w:w="8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840" w:type="dxa"/>
            <w:vAlign w:val="bottom"/>
          </w:tcPr>
          <w:p>
            <w:pPr>
              <w:spacing w:after="0"/>
              <w:rPr>
                <w:sz w:val="24"/>
                <w:szCs w:val="24"/>
                <w:color w:val="auto"/>
              </w:rPr>
            </w:pPr>
          </w:p>
        </w:tc>
        <w:tc>
          <w:tcPr>
            <w:tcW w:w="4680" w:type="dxa"/>
            <w:vAlign w:val="bottom"/>
          </w:tcPr>
          <w:p>
            <w:pPr>
              <w:ind w:left="2580"/>
              <w:spacing w:after="0"/>
              <w:rPr>
                <w:sz w:val="20"/>
                <w:szCs w:val="20"/>
                <w:color w:val="auto"/>
              </w:rPr>
            </w:pPr>
            <w:r>
              <w:rPr>
                <w:rFonts w:ascii="Courier New" w:cs="Courier New" w:eastAsia="Courier New" w:hAnsi="Courier New"/>
                <w:sz w:val="15"/>
                <w:szCs w:val="15"/>
                <w:color w:val="auto"/>
              </w:rPr>
              <w:t>59</w:t>
            </w:r>
          </w:p>
        </w:tc>
        <w:tc>
          <w:tcPr>
            <w:tcW w:w="148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60</w:t>
      </w:r>
    </w:p>
    <w:p>
      <w:pPr>
        <w:jc w:val="center"/>
        <w:ind w:right="3319"/>
        <w:spacing w:after="0" w:line="237" w:lineRule="auto"/>
        <w:rPr>
          <w:sz w:val="20"/>
          <w:szCs w:val="20"/>
          <w:color w:val="auto"/>
        </w:rPr>
      </w:pPr>
      <w:r>
        <w:rPr>
          <w:rFonts w:ascii="Courier New" w:cs="Courier New" w:eastAsia="Courier New" w:hAnsi="Courier New"/>
          <w:sz w:val="15"/>
          <w:szCs w:val="15"/>
          <w:color w:val="auto"/>
        </w:rPr>
        <w:t>JENNINGS ENVIRONMENTAL SERVICES, INC.</w:t>
      </w:r>
    </w:p>
    <w:p>
      <w:pPr>
        <w:jc w:val="center"/>
        <w:ind w:right="3319"/>
        <w:spacing w:after="0" w:line="238" w:lineRule="auto"/>
        <w:rPr>
          <w:sz w:val="20"/>
          <w:szCs w:val="20"/>
          <w:color w:val="auto"/>
        </w:rPr>
      </w:pPr>
      <w:r>
        <w:rPr>
          <w:rFonts w:ascii="Courier New" w:cs="Courier New" w:eastAsia="Courier New" w:hAnsi="Courier New"/>
          <w:sz w:val="15"/>
          <w:szCs w:val="15"/>
          <w:color w:val="auto"/>
        </w:rPr>
        <w:t>Notes to Financial Statements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December 31, 1995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LONG-TERM DEBT (Continued)</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first three installment notes to a bank listed above are aggregated under a master note to the bank in the amount of $2,000,000. This note bears interest at .5% below the bank's prime rate at the time of any advance under the note, and matures five years after the date of such advance. This note is collateralized by substantially all business assets and is guaranteed by the principal stockholder of the Company.</w:t>
      </w:r>
    </w:p>
    <w:p>
      <w:pPr>
        <w:spacing w:after="0" w:line="17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The principal portion of long-term debt matures according to the following schedule:</w:t>
      </w:r>
    </w:p>
    <w:p>
      <w:pPr>
        <w:spacing w:after="0" w:line="200" w:lineRule="exact"/>
        <w:rPr>
          <w:sz w:val="20"/>
          <w:szCs w:val="20"/>
          <w:color w:val="auto"/>
        </w:rPr>
      </w:pPr>
    </w:p>
    <w:p>
      <w:pPr>
        <w:spacing w:after="0" w:line="30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760" w:type="dxa"/>
            <w:vAlign w:val="bottom"/>
          </w:tcPr>
          <w:p>
            <w:pPr>
              <w:jc w:val="right"/>
              <w:ind w:right="2327"/>
              <w:spacing w:after="0"/>
              <w:rPr>
                <w:sz w:val="20"/>
                <w:szCs w:val="20"/>
                <w:color w:val="auto"/>
              </w:rPr>
            </w:pPr>
            <w:r>
              <w:rPr>
                <w:rFonts w:ascii="Courier New" w:cs="Courier New" w:eastAsia="Courier New" w:hAnsi="Courier New"/>
                <w:sz w:val="15"/>
                <w:szCs w:val="15"/>
                <w:color w:val="auto"/>
                <w:w w:val="94"/>
              </w:rPr>
              <w:t>1996</w:t>
            </w:r>
          </w:p>
        </w:tc>
        <w:tc>
          <w:tcPr>
            <w:tcW w:w="3280" w:type="dxa"/>
            <w:vAlign w:val="bottom"/>
          </w:tcPr>
          <w:p>
            <w:pPr>
              <w:jc w:val="right"/>
              <w:spacing w:after="0"/>
              <w:rPr>
                <w:sz w:val="20"/>
                <w:szCs w:val="20"/>
                <w:color w:val="auto"/>
              </w:rPr>
            </w:pPr>
            <w:r>
              <w:rPr>
                <w:rFonts w:ascii="Courier New" w:cs="Courier New" w:eastAsia="Courier New" w:hAnsi="Courier New"/>
                <w:sz w:val="15"/>
                <w:szCs w:val="15"/>
                <w:color w:val="auto"/>
              </w:rPr>
              <w:t>$536,419</w:t>
            </w:r>
          </w:p>
        </w:tc>
      </w:tr>
      <w:tr>
        <w:trPr>
          <w:trHeight w:val="168"/>
        </w:trPr>
        <w:tc>
          <w:tcPr>
            <w:tcW w:w="2760" w:type="dxa"/>
            <w:vAlign w:val="bottom"/>
          </w:tcPr>
          <w:p>
            <w:pPr>
              <w:jc w:val="right"/>
              <w:ind w:right="2327"/>
              <w:spacing w:after="0" w:line="168" w:lineRule="exact"/>
              <w:rPr>
                <w:sz w:val="20"/>
                <w:szCs w:val="20"/>
                <w:color w:val="auto"/>
              </w:rPr>
            </w:pPr>
            <w:r>
              <w:rPr>
                <w:rFonts w:ascii="Courier New" w:cs="Courier New" w:eastAsia="Courier New" w:hAnsi="Courier New"/>
                <w:sz w:val="15"/>
                <w:szCs w:val="15"/>
                <w:color w:val="auto"/>
                <w:w w:val="94"/>
              </w:rPr>
              <w:t>1997</w:t>
            </w:r>
          </w:p>
        </w:tc>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520,137</w:t>
            </w:r>
          </w:p>
        </w:tc>
      </w:tr>
      <w:tr>
        <w:trPr>
          <w:trHeight w:val="168"/>
        </w:trPr>
        <w:tc>
          <w:tcPr>
            <w:tcW w:w="2760" w:type="dxa"/>
            <w:vAlign w:val="bottom"/>
          </w:tcPr>
          <w:p>
            <w:pPr>
              <w:jc w:val="right"/>
              <w:ind w:right="2327"/>
              <w:spacing w:after="0" w:line="168" w:lineRule="exact"/>
              <w:rPr>
                <w:sz w:val="20"/>
                <w:szCs w:val="20"/>
                <w:color w:val="auto"/>
              </w:rPr>
            </w:pPr>
            <w:r>
              <w:rPr>
                <w:rFonts w:ascii="Courier New" w:cs="Courier New" w:eastAsia="Courier New" w:hAnsi="Courier New"/>
                <w:sz w:val="15"/>
                <w:szCs w:val="15"/>
                <w:color w:val="auto"/>
                <w:w w:val="94"/>
              </w:rPr>
              <w:t>1998</w:t>
            </w:r>
          </w:p>
        </w:tc>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351,431</w:t>
            </w:r>
          </w:p>
        </w:tc>
      </w:tr>
      <w:tr>
        <w:trPr>
          <w:trHeight w:val="168"/>
        </w:trPr>
        <w:tc>
          <w:tcPr>
            <w:tcW w:w="2760" w:type="dxa"/>
            <w:vAlign w:val="bottom"/>
          </w:tcPr>
          <w:p>
            <w:pPr>
              <w:jc w:val="right"/>
              <w:ind w:right="2327"/>
              <w:spacing w:after="0" w:line="168" w:lineRule="exact"/>
              <w:rPr>
                <w:sz w:val="20"/>
                <w:szCs w:val="20"/>
                <w:color w:val="auto"/>
              </w:rPr>
            </w:pPr>
            <w:r>
              <w:rPr>
                <w:rFonts w:ascii="Courier New" w:cs="Courier New" w:eastAsia="Courier New" w:hAnsi="Courier New"/>
                <w:sz w:val="15"/>
                <w:szCs w:val="15"/>
                <w:color w:val="auto"/>
                <w:w w:val="94"/>
              </w:rPr>
              <w:t>1999</w:t>
            </w:r>
          </w:p>
        </w:tc>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83,236</w:t>
            </w:r>
          </w:p>
        </w:tc>
      </w:tr>
      <w:tr>
        <w:trPr>
          <w:trHeight w:val="168"/>
        </w:trPr>
        <w:tc>
          <w:tcPr>
            <w:tcW w:w="2760" w:type="dxa"/>
            <w:vAlign w:val="bottom"/>
          </w:tcPr>
          <w:p>
            <w:pPr>
              <w:jc w:val="right"/>
              <w:ind w:right="2327"/>
              <w:spacing w:after="0" w:line="168" w:lineRule="exact"/>
              <w:rPr>
                <w:sz w:val="20"/>
                <w:szCs w:val="20"/>
                <w:color w:val="auto"/>
              </w:rPr>
            </w:pPr>
            <w:r>
              <w:rPr>
                <w:rFonts w:ascii="Courier New" w:cs="Courier New" w:eastAsia="Courier New" w:hAnsi="Courier New"/>
                <w:sz w:val="15"/>
                <w:szCs w:val="15"/>
                <w:color w:val="auto"/>
                <w:w w:val="94"/>
              </w:rPr>
              <w:t>2000</w:t>
            </w:r>
          </w:p>
        </w:tc>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60,564</w:t>
            </w:r>
          </w:p>
        </w:tc>
      </w:tr>
      <w:tr>
        <w:trPr>
          <w:trHeight w:val="168"/>
        </w:trPr>
        <w:tc>
          <w:tcPr>
            <w:tcW w:w="2760" w:type="dxa"/>
            <w:vAlign w:val="bottom"/>
          </w:tcPr>
          <w:p>
            <w:pPr>
              <w:spacing w:after="0"/>
              <w:rPr>
                <w:sz w:val="14"/>
                <w:szCs w:val="14"/>
                <w:color w:val="auto"/>
              </w:rPr>
            </w:pPr>
          </w:p>
        </w:tc>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rPr>
                <w:sz w:val="14"/>
                <w:szCs w:val="14"/>
                <w:color w:val="auto"/>
              </w:rPr>
            </w:pPr>
          </w:p>
        </w:tc>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$1,551,787</w:t>
            </w:r>
          </w:p>
        </w:tc>
      </w:tr>
      <w:tr>
        <w:trPr>
          <w:trHeight w:val="168"/>
        </w:trPr>
        <w:tc>
          <w:tcPr>
            <w:tcW w:w="2760" w:type="dxa"/>
            <w:vAlign w:val="bottom"/>
          </w:tcPr>
          <w:p>
            <w:pPr>
              <w:spacing w:after="0"/>
              <w:rPr>
                <w:sz w:val="14"/>
                <w:szCs w:val="14"/>
                <w:color w:val="auto"/>
              </w:rPr>
            </w:pPr>
          </w:p>
        </w:tc>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Total interest costs incurred and expensed on the above notes was $158,441 for 1995.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STOCKHOLDER LOANS</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Loans from stockholder are unsecured, bear interest at the blended annual rate published by the Internal Revenue Service, and are payable on demand.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RELATED PARTY TRANSACTIONS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Banking Relations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Company's principal stockholder is a director of Huntington National Bank (formerly security National Bank). The Company had $118,740 on deposit at this bank as of December 31, 1995. The Company also has its line of credit and installment debt obligations at this bank. The principal balance of these loans as of December 31, 1995 was $1,181,030.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Loans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As discussed in Note 5, the Company had stockholder loans payable of $175,000 as of December 31, 1995. In February 1996, $100,000 of the loan outstanding was repaid. Accrued interest on the stockholder loan as of December 31, 1995 was $21,334.</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281"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5"/>
          <w:szCs w:val="15"/>
          <w:color w:val="auto"/>
        </w:rPr>
        <w:t>61</w:t>
      </w:r>
    </w:p>
    <w:p>
      <w:pPr>
        <w:jc w:val="center"/>
        <w:ind w:right="3299"/>
        <w:spacing w:after="0" w:line="237" w:lineRule="auto"/>
        <w:rPr>
          <w:sz w:val="20"/>
          <w:szCs w:val="20"/>
          <w:color w:val="auto"/>
        </w:rPr>
      </w:pPr>
      <w:r>
        <w:rPr>
          <w:rFonts w:ascii="Courier New" w:cs="Courier New" w:eastAsia="Courier New" w:hAnsi="Courier New"/>
          <w:sz w:val="15"/>
          <w:szCs w:val="15"/>
          <w:color w:val="auto"/>
        </w:rPr>
        <w:t>JENNINGS ENVIRONMENTAL SERVICES, INC.</w:t>
      </w:r>
    </w:p>
    <w:p>
      <w:pPr>
        <w:jc w:val="center"/>
        <w:ind w:right="3299"/>
        <w:spacing w:after="0" w:line="238" w:lineRule="auto"/>
        <w:rPr>
          <w:sz w:val="20"/>
          <w:szCs w:val="20"/>
          <w:color w:val="auto"/>
        </w:rPr>
      </w:pPr>
      <w:r>
        <w:rPr>
          <w:rFonts w:ascii="Courier New" w:cs="Courier New" w:eastAsia="Courier New" w:hAnsi="Courier New"/>
          <w:sz w:val="15"/>
          <w:szCs w:val="15"/>
          <w:color w:val="auto"/>
        </w:rPr>
        <w:t>Notes to Financial Statements</w:t>
      </w:r>
    </w:p>
    <w:p>
      <w:pPr>
        <w:jc w:val="center"/>
        <w:ind w:right="3299"/>
        <w:spacing w:after="0" w:line="237" w:lineRule="auto"/>
        <w:rPr>
          <w:sz w:val="20"/>
          <w:szCs w:val="20"/>
          <w:color w:val="auto"/>
        </w:rPr>
      </w:pPr>
      <w:r>
        <w:rPr>
          <w:rFonts w:ascii="Courier New" w:cs="Courier New" w:eastAsia="Courier New" w:hAnsi="Courier New"/>
          <w:sz w:val="15"/>
          <w:szCs w:val="15"/>
          <w:color w:val="auto"/>
        </w:rPr>
        <w:t>December 31, 1995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RELATED PARTY TRANSACTIONS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Fees</w:t>
      </w:r>
    </w:p>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The Company retains a law firm in which a stockholder of the company is a partner. The amount of fees paid to this firm in 1995 was $24,585.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 LEASES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Company has noncancellable operating leases for office and shop facilities that expire through 1999. Future minimum lease payments under the operating-leases at December 31, 1995 are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040" w:type="dxa"/>
            <w:vAlign w:val="bottom"/>
          </w:tcPr>
          <w:p>
            <w:pPr>
              <w:jc w:val="right"/>
              <w:ind w:right="3347"/>
              <w:spacing w:after="0"/>
              <w:rPr>
                <w:sz w:val="20"/>
                <w:szCs w:val="20"/>
                <w:color w:val="auto"/>
              </w:rPr>
            </w:pPr>
            <w:r>
              <w:rPr>
                <w:rFonts w:ascii="Courier New" w:cs="Courier New" w:eastAsia="Courier New" w:hAnsi="Courier New"/>
                <w:sz w:val="15"/>
                <w:szCs w:val="15"/>
                <w:color w:val="auto"/>
              </w:rPr>
              <w:t>1996</w:t>
            </w:r>
          </w:p>
        </w:tc>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$45,775</w:t>
            </w:r>
          </w:p>
        </w:tc>
      </w:tr>
      <w:tr>
        <w:trPr>
          <w:trHeight w:val="168"/>
        </w:trPr>
        <w:tc>
          <w:tcPr>
            <w:tcW w:w="4040" w:type="dxa"/>
            <w:vAlign w:val="bottom"/>
          </w:tcPr>
          <w:p>
            <w:pPr>
              <w:jc w:val="right"/>
              <w:ind w:right="3347"/>
              <w:spacing w:after="0" w:line="168" w:lineRule="exact"/>
              <w:rPr>
                <w:sz w:val="20"/>
                <w:szCs w:val="20"/>
                <w:color w:val="auto"/>
              </w:rPr>
            </w:pPr>
            <w:r>
              <w:rPr>
                <w:rFonts w:ascii="Courier New" w:cs="Courier New" w:eastAsia="Courier New" w:hAnsi="Courier New"/>
                <w:sz w:val="15"/>
                <w:szCs w:val="15"/>
                <w:color w:val="auto"/>
              </w:rPr>
              <w:t>1997</w:t>
            </w:r>
          </w:p>
        </w:tc>
        <w:tc>
          <w:tcPr>
            <w:tcW w:w="2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46,423</w:t>
            </w:r>
          </w:p>
        </w:tc>
      </w:tr>
      <w:tr>
        <w:trPr>
          <w:trHeight w:val="168"/>
        </w:trPr>
        <w:tc>
          <w:tcPr>
            <w:tcW w:w="4040" w:type="dxa"/>
            <w:vAlign w:val="bottom"/>
          </w:tcPr>
          <w:p>
            <w:pPr>
              <w:jc w:val="right"/>
              <w:ind w:right="3347"/>
              <w:spacing w:after="0" w:line="168" w:lineRule="exact"/>
              <w:rPr>
                <w:sz w:val="20"/>
                <w:szCs w:val="20"/>
                <w:color w:val="auto"/>
              </w:rPr>
            </w:pPr>
            <w:r>
              <w:rPr>
                <w:rFonts w:ascii="Courier New" w:cs="Courier New" w:eastAsia="Courier New" w:hAnsi="Courier New"/>
                <w:sz w:val="15"/>
                <w:szCs w:val="15"/>
                <w:color w:val="auto"/>
              </w:rPr>
              <w:t>1998</w:t>
            </w:r>
          </w:p>
        </w:tc>
        <w:tc>
          <w:tcPr>
            <w:tcW w:w="2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42,685</w:t>
            </w:r>
          </w:p>
        </w:tc>
      </w:tr>
      <w:tr>
        <w:trPr>
          <w:trHeight w:val="168"/>
        </w:trPr>
        <w:tc>
          <w:tcPr>
            <w:tcW w:w="4040" w:type="dxa"/>
            <w:vAlign w:val="bottom"/>
          </w:tcPr>
          <w:p>
            <w:pPr>
              <w:jc w:val="right"/>
              <w:ind w:right="3347"/>
              <w:spacing w:after="0" w:line="168" w:lineRule="exact"/>
              <w:rPr>
                <w:sz w:val="20"/>
                <w:szCs w:val="20"/>
                <w:color w:val="auto"/>
              </w:rPr>
            </w:pPr>
            <w:r>
              <w:rPr>
                <w:rFonts w:ascii="Courier New" w:cs="Courier New" w:eastAsia="Courier New" w:hAnsi="Courier New"/>
                <w:sz w:val="15"/>
                <w:szCs w:val="15"/>
                <w:color w:val="auto"/>
              </w:rPr>
              <w:t>1999</w:t>
            </w:r>
          </w:p>
        </w:tc>
        <w:tc>
          <w:tcPr>
            <w:tcW w:w="2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25,000</w:t>
            </w:r>
          </w:p>
        </w:tc>
      </w:tr>
      <w:tr>
        <w:trPr>
          <w:trHeight w:val="168"/>
        </w:trPr>
        <w:tc>
          <w:tcPr>
            <w:tcW w:w="4040" w:type="dxa"/>
            <w:vAlign w:val="bottom"/>
          </w:tcPr>
          <w:p>
            <w:pPr>
              <w:spacing w:after="0"/>
              <w:rPr>
                <w:sz w:val="14"/>
                <w:szCs w:val="14"/>
                <w:color w:val="auto"/>
              </w:rPr>
            </w:pPr>
          </w:p>
        </w:tc>
        <w:tc>
          <w:tcPr>
            <w:tcW w:w="2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jc w:val="right"/>
              <w:ind w:right="1507"/>
              <w:spacing w:after="0"/>
              <w:rPr>
                <w:sz w:val="20"/>
                <w:szCs w:val="20"/>
                <w:color w:val="auto"/>
              </w:rPr>
            </w:pPr>
            <w:r>
              <w:rPr>
                <w:rFonts w:ascii="Courier New" w:cs="Courier New" w:eastAsia="Courier New" w:hAnsi="Courier New"/>
                <w:sz w:val="15"/>
                <w:szCs w:val="15"/>
                <w:color w:val="auto"/>
                <w:w w:val="96"/>
              </w:rPr>
              <w:t>Total minimum lease payments</w:t>
            </w:r>
          </w:p>
        </w:tc>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$159,883</w:t>
            </w:r>
          </w:p>
        </w:tc>
      </w:tr>
      <w:tr>
        <w:trPr>
          <w:trHeight w:val="168"/>
        </w:trPr>
        <w:tc>
          <w:tcPr>
            <w:tcW w:w="4040" w:type="dxa"/>
            <w:vAlign w:val="bottom"/>
          </w:tcPr>
          <w:p>
            <w:pPr>
              <w:spacing w:after="0"/>
              <w:rPr>
                <w:sz w:val="14"/>
                <w:szCs w:val="14"/>
                <w:color w:val="auto"/>
              </w:rPr>
            </w:pPr>
          </w:p>
        </w:tc>
        <w:tc>
          <w:tcPr>
            <w:tcW w:w="2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499"/>
        <w:spacing w:after="0" w:line="234" w:lineRule="auto"/>
        <w:rPr>
          <w:sz w:val="20"/>
          <w:szCs w:val="20"/>
          <w:color w:val="auto"/>
        </w:rPr>
      </w:pPr>
      <w:r>
        <w:rPr>
          <w:rFonts w:ascii="Courier New" w:cs="Courier New" w:eastAsia="Courier New" w:hAnsi="Courier New"/>
          <w:sz w:val="15"/>
          <w:szCs w:val="15"/>
          <w:color w:val="auto"/>
        </w:rPr>
        <w:t>Total rent payments under the operating leases was $42,300 for the year ended December 31, 1995.</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 PRIOR PERIOD ADJUSTMENT</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Certain errors resulting in an understatement of previously reported accounts receivable and income as of December 31, 1994, in the amount of $112,500, were discovered by management of the Company subsequent to the issuance of the Company's financial statements on April 11, 1995. Accordingly, an adjustment has been made to net income for the year ended December 31, 1994, and retained earnings as of January 1, 1995, to correct the error.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281"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62</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INDEPENDENT AUDITORS' REPORT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w:t>
      </w:r>
    </w:p>
    <w:p>
      <w:pPr>
        <w:spacing w:after="0" w:line="237" w:lineRule="auto"/>
        <w:rPr>
          <w:sz w:val="20"/>
          <w:szCs w:val="20"/>
          <w:color w:val="auto"/>
        </w:rPr>
      </w:pPr>
      <w:r>
        <w:rPr>
          <w:rFonts w:ascii="Courier New" w:cs="Courier New" w:eastAsia="Courier New" w:hAnsi="Courier New"/>
          <w:sz w:val="15"/>
          <w:szCs w:val="15"/>
          <w:color w:val="auto"/>
        </w:rPr>
        <w:t>Grand Central Sanitation, Inc.</w:t>
      </w:r>
    </w:p>
    <w:p>
      <w:pPr>
        <w:ind w:left="800"/>
        <w:spacing w:after="0" w:line="238" w:lineRule="auto"/>
        <w:rPr>
          <w:sz w:val="20"/>
          <w:szCs w:val="20"/>
          <w:color w:val="auto"/>
        </w:rPr>
      </w:pPr>
      <w:r>
        <w:rPr>
          <w:rFonts w:ascii="Courier New" w:cs="Courier New" w:eastAsia="Courier New" w:hAnsi="Courier New"/>
          <w:sz w:val="15"/>
          <w:szCs w:val="15"/>
          <w:color w:val="auto"/>
        </w:rPr>
        <w:t>and Related Companies</w:t>
      </w:r>
    </w:p>
    <w:p>
      <w:pPr>
        <w:spacing w:after="0" w:line="237" w:lineRule="auto"/>
        <w:rPr>
          <w:sz w:val="20"/>
          <w:szCs w:val="20"/>
          <w:color w:val="auto"/>
        </w:rPr>
      </w:pPr>
      <w:r>
        <w:rPr>
          <w:rFonts w:ascii="Courier New" w:cs="Courier New" w:eastAsia="Courier New" w:hAnsi="Courier New"/>
          <w:sz w:val="15"/>
          <w:szCs w:val="15"/>
          <w:color w:val="auto"/>
        </w:rPr>
        <w:t>Pen Argyl, Pennsylvania</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We have audited the accompanying combined balance sheet of Grand Central Sanitation, Inc. and Related Companies as of December 31, 1995, and the related combined statements of income, stockholders' equity and cash flows for the year then ended. These financial statements are the responsibility of the Company's management. Our responsibility is to express an opinion on these financial statements based on our audits.</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statements presentation. We believe that our audits provide a reasonable basis for our opinion.</w:t>
      </w:r>
    </w:p>
    <w:p>
      <w:pPr>
        <w:spacing w:after="0" w:line="178"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our opinion, the combined financial statements referred to above present fairly, in all material respects, the financial position of Grand Central Sanitation, Inc. and Related Companies as of December 31, 1995, and the results of their operations and their cash flows for the years then ended in conformity with generally accepted accounting principles.</w:t>
      </w:r>
    </w:p>
    <w:p>
      <w:pPr>
        <w:spacing w:after="0" w:line="174"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Our audits were made for the purpose of forming an opinion on the basic financial statements taken as a whole. The accompanying supplementary information is presented only for purposes of additional analysis and is not a required part of the basic financial statements. Such information has been subjected to the auditing procedures applied in the audits of the basic financial statements and, in our opinion, is fairly stated in all material respects in relation to the basic financial statements taken as a whole.</w:t>
      </w:r>
    </w:p>
    <w:p>
      <w:pPr>
        <w:spacing w:after="0" w:line="160"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/s/ BUCKNO LISICKY &amp; COMPANY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Allentown, Pennsylvania</w:t>
      </w:r>
    </w:p>
    <w:p>
      <w:pPr>
        <w:spacing w:after="0" w:line="237" w:lineRule="auto"/>
        <w:rPr>
          <w:sz w:val="20"/>
          <w:szCs w:val="20"/>
          <w:color w:val="auto"/>
        </w:rPr>
      </w:pPr>
      <w:r>
        <w:rPr>
          <w:rFonts w:ascii="Courier New" w:cs="Courier New" w:eastAsia="Courier New" w:hAnsi="Courier New"/>
          <w:sz w:val="15"/>
          <w:szCs w:val="15"/>
          <w:color w:val="auto"/>
        </w:rPr>
        <w:t>September 19, 1996</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281"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5"/>
          <w:szCs w:val="15"/>
          <w:color w:val="auto"/>
        </w:rPr>
        <w:t>63</w:t>
      </w:r>
    </w:p>
    <w:p>
      <w:pPr>
        <w:ind w:left="2200"/>
        <w:spacing w:after="0" w:line="237" w:lineRule="auto"/>
        <w:rPr>
          <w:sz w:val="20"/>
          <w:szCs w:val="20"/>
          <w:color w:val="auto"/>
        </w:rPr>
      </w:pPr>
      <w:r>
        <w:rPr>
          <w:rFonts w:ascii="Courier New" w:cs="Courier New" w:eastAsia="Courier New" w:hAnsi="Courier New"/>
          <w:sz w:val="15"/>
          <w:szCs w:val="15"/>
          <w:color w:val="auto"/>
        </w:rPr>
        <w:t>GRAND CENTRAL SANITATION, INC.</w:t>
      </w:r>
    </w:p>
    <w:tbl>
      <w:tblPr>
        <w:tblLayout w:type="fixed"/>
        <w:tblInd w:w="0" w:type="dxa"/>
        <w:tblCellMar>
          <w:top w:w="0" w:type="dxa"/>
          <w:left w:w="0" w:type="dxa"/>
          <w:bottom w:w="0" w:type="dxa"/>
          <w:right w:w="0" w:type="dxa"/>
        </w:tblCellMar>
      </w:tblPr>
      <w:tr>
        <w:trPr>
          <w:trHeight w:val="169"/>
        </w:trPr>
        <w:tc>
          <w:tcPr>
            <w:tcW w:w="4560" w:type="dxa"/>
            <w:vAlign w:val="bottom"/>
          </w:tcPr>
          <w:p>
            <w:pPr>
              <w:ind w:left="2540"/>
              <w:spacing w:after="0" w:line="169" w:lineRule="exact"/>
              <w:rPr>
                <w:sz w:val="20"/>
                <w:szCs w:val="20"/>
                <w:color w:val="auto"/>
              </w:rPr>
            </w:pPr>
            <w:r>
              <w:rPr>
                <w:rFonts w:ascii="Courier New" w:cs="Courier New" w:eastAsia="Courier New" w:hAnsi="Courier New"/>
                <w:sz w:val="15"/>
                <w:szCs w:val="15"/>
                <w:color w:val="auto"/>
              </w:rPr>
              <w:t>AND RELATED COMPANIES</w:t>
            </w:r>
          </w:p>
        </w:tc>
        <w:tc>
          <w:tcPr>
            <w:tcW w:w="1040" w:type="dxa"/>
            <w:vAlign w:val="bottom"/>
          </w:tcPr>
          <w:p>
            <w:pPr>
              <w:spacing w:after="0"/>
              <w:rPr>
                <w:sz w:val="14"/>
                <w:szCs w:val="14"/>
                <w:color w:val="auto"/>
              </w:rPr>
            </w:pPr>
          </w:p>
        </w:tc>
      </w:tr>
      <w:tr>
        <w:trPr>
          <w:trHeight w:val="336"/>
        </w:trPr>
        <w:tc>
          <w:tcPr>
            <w:tcW w:w="4560" w:type="dxa"/>
            <w:vAlign w:val="bottom"/>
          </w:tcPr>
          <w:p>
            <w:pPr>
              <w:ind w:left="2540"/>
              <w:spacing w:after="0"/>
              <w:rPr>
                <w:sz w:val="20"/>
                <w:szCs w:val="20"/>
                <w:color w:val="auto"/>
              </w:rPr>
            </w:pPr>
            <w:r>
              <w:rPr>
                <w:rFonts w:ascii="Courier New" w:cs="Courier New" w:eastAsia="Courier New" w:hAnsi="Courier New"/>
                <w:sz w:val="15"/>
                <w:szCs w:val="15"/>
                <w:color w:val="auto"/>
              </w:rPr>
              <w:t>COMBINED BALANCE SHEET</w:t>
            </w:r>
          </w:p>
        </w:tc>
        <w:tc>
          <w:tcPr>
            <w:tcW w:w="1040" w:type="dxa"/>
            <w:vAlign w:val="bottom"/>
          </w:tcPr>
          <w:p>
            <w:pPr>
              <w:spacing w:after="0"/>
              <w:rPr>
                <w:sz w:val="24"/>
                <w:szCs w:val="24"/>
                <w:color w:val="auto"/>
              </w:rPr>
            </w:pPr>
          </w:p>
        </w:tc>
      </w:tr>
      <w:tr>
        <w:trPr>
          <w:trHeight w:val="168"/>
        </w:trPr>
        <w:tc>
          <w:tcPr>
            <w:tcW w:w="456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December 31, 1995</w:t>
            </w:r>
          </w:p>
        </w:tc>
        <w:tc>
          <w:tcPr>
            <w:tcW w:w="1040" w:type="dxa"/>
            <w:vAlign w:val="bottom"/>
          </w:tcPr>
          <w:p>
            <w:pPr>
              <w:spacing w:after="0"/>
              <w:rPr>
                <w:sz w:val="14"/>
                <w:szCs w:val="14"/>
                <w:color w:val="auto"/>
              </w:rPr>
            </w:pPr>
          </w:p>
        </w:tc>
      </w:tr>
      <w:tr>
        <w:trPr>
          <w:trHeight w:val="673"/>
        </w:trPr>
        <w:tc>
          <w:tcPr>
            <w:tcW w:w="4560" w:type="dxa"/>
            <w:vAlign w:val="bottom"/>
          </w:tcPr>
          <w:p>
            <w:pPr>
              <w:ind w:left="1500"/>
              <w:spacing w:after="0"/>
              <w:rPr>
                <w:sz w:val="20"/>
                <w:szCs w:val="20"/>
                <w:color w:val="auto"/>
              </w:rPr>
            </w:pPr>
            <w:r>
              <w:rPr>
                <w:rFonts w:ascii="Courier New" w:cs="Courier New" w:eastAsia="Courier New" w:hAnsi="Courier New"/>
                <w:sz w:val="15"/>
                <w:szCs w:val="15"/>
                <w:color w:val="auto"/>
              </w:rPr>
              <w:t>ASSETS</w:t>
            </w:r>
          </w:p>
        </w:tc>
        <w:tc>
          <w:tcPr>
            <w:tcW w:w="1040" w:type="dxa"/>
            <w:vAlign w:val="bottom"/>
          </w:tcPr>
          <w:p>
            <w:pPr>
              <w:spacing w:after="0"/>
              <w:rPr>
                <w:sz w:val="24"/>
                <w:szCs w:val="24"/>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040" w:type="dxa"/>
            <w:vAlign w:val="bottom"/>
          </w:tcPr>
          <w:p>
            <w:pPr>
              <w:spacing w:after="0"/>
              <w:rPr>
                <w:sz w:val="24"/>
                <w:szCs w:val="2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166,238</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280,651</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Trading securities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2,829,550</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receivable, trade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2,498,766</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Bid deposits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11,419</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Prepaid expenses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149,974</w:t>
            </w:r>
          </w:p>
        </w:tc>
      </w:tr>
      <w:tr>
        <w:trPr>
          <w:trHeight w:val="168"/>
        </w:trPr>
        <w:tc>
          <w:tcPr>
            <w:tcW w:w="4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ind w:left="1400"/>
              <w:spacing w:after="0"/>
              <w:rPr>
                <w:sz w:val="20"/>
                <w:szCs w:val="20"/>
                <w:color w:val="auto"/>
              </w:rPr>
            </w:pPr>
            <w:r>
              <w:rPr>
                <w:rFonts w:ascii="Courier New" w:cs="Courier New" w:eastAsia="Courier New" w:hAnsi="Courier New"/>
                <w:sz w:val="15"/>
                <w:szCs w:val="15"/>
                <w:color w:val="auto"/>
              </w:rPr>
              <w:t>Total current assets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5,936,598</w:t>
            </w:r>
          </w:p>
        </w:tc>
      </w:tr>
      <w:tr>
        <w:trPr>
          <w:trHeight w:val="168"/>
        </w:trPr>
        <w:tc>
          <w:tcPr>
            <w:tcW w:w="4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1040" w:type="dxa"/>
            <w:vAlign w:val="bottom"/>
          </w:tcPr>
          <w:p>
            <w:pPr>
              <w:spacing w:after="0"/>
              <w:rPr>
                <w:sz w:val="24"/>
                <w:szCs w:val="2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Land and land improvements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18,767,429</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Quarry rights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375,000</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Buildings and building improvements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2,729,491</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Office equipment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726,776</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Autos and trucks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10,114,121</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Equipment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22,081,893</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Containers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3,862,190</w:t>
            </w:r>
          </w:p>
        </w:tc>
      </w:tr>
      <w:tr>
        <w:trPr>
          <w:trHeight w:val="168"/>
        </w:trPr>
        <w:tc>
          <w:tcPr>
            <w:tcW w:w="4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58,656,900</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1040" w:type="dxa"/>
            <w:vAlign w:val="bottom"/>
          </w:tcPr>
          <w:p>
            <w:pPr>
              <w:spacing w:after="0"/>
              <w:rPr>
                <w:sz w:val="14"/>
                <w:szCs w:val="14"/>
                <w:color w:val="auto"/>
              </w:rPr>
            </w:pPr>
          </w:p>
        </w:tc>
      </w:tr>
      <w:tr>
        <w:trPr>
          <w:trHeight w:val="168"/>
        </w:trPr>
        <w:tc>
          <w:tcPr>
            <w:tcW w:w="4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and amortization</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39,163,607</w:t>
            </w:r>
          </w:p>
        </w:tc>
      </w:tr>
      <w:tr>
        <w:trPr>
          <w:trHeight w:val="168"/>
        </w:trPr>
        <w:tc>
          <w:tcPr>
            <w:tcW w:w="4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ind w:left="1400"/>
              <w:spacing w:after="0"/>
              <w:rPr>
                <w:sz w:val="20"/>
                <w:szCs w:val="20"/>
                <w:color w:val="auto"/>
              </w:rPr>
            </w:pPr>
            <w:r>
              <w:rPr>
                <w:rFonts w:ascii="Courier New" w:cs="Courier New" w:eastAsia="Courier New" w:hAnsi="Courier New"/>
                <w:sz w:val="15"/>
                <w:szCs w:val="15"/>
                <w:color w:val="auto"/>
              </w:rPr>
              <w:t>Property and equipment, net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19,493,293</w:t>
            </w:r>
          </w:p>
        </w:tc>
      </w:tr>
      <w:tr>
        <w:trPr>
          <w:trHeight w:val="168"/>
        </w:trPr>
        <w:tc>
          <w:tcPr>
            <w:tcW w:w="4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040" w:type="dxa"/>
            <w:vAlign w:val="bottom"/>
          </w:tcPr>
          <w:p>
            <w:pPr>
              <w:spacing w:after="0"/>
              <w:rPr>
                <w:sz w:val="24"/>
                <w:szCs w:val="2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New routes, less accumulated amortization</w:t>
            </w:r>
          </w:p>
        </w:tc>
        <w:tc>
          <w:tcPr>
            <w:tcW w:w="1040" w:type="dxa"/>
            <w:vAlign w:val="bottom"/>
          </w:tcPr>
          <w:p>
            <w:pPr>
              <w:spacing w:after="0"/>
              <w:rPr>
                <w:sz w:val="14"/>
                <w:szCs w:val="14"/>
                <w:color w:val="auto"/>
              </w:rPr>
            </w:pPr>
          </w:p>
        </w:tc>
      </w:tr>
      <w:tr>
        <w:trPr>
          <w:trHeight w:val="168"/>
        </w:trPr>
        <w:tc>
          <w:tcPr>
            <w:tcW w:w="4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$495,400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669,370</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Loans receivable, related parties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30,183</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surrender value, officers' life</w:t>
            </w:r>
          </w:p>
        </w:tc>
        <w:tc>
          <w:tcPr>
            <w:tcW w:w="1040" w:type="dxa"/>
            <w:vAlign w:val="bottom"/>
          </w:tcPr>
          <w:p>
            <w:pPr>
              <w:spacing w:after="0"/>
              <w:rPr>
                <w:sz w:val="14"/>
                <w:szCs w:val="14"/>
                <w:color w:val="auto"/>
              </w:rPr>
            </w:pPr>
          </w:p>
        </w:tc>
      </w:tr>
      <w:tr>
        <w:trPr>
          <w:trHeight w:val="168"/>
        </w:trPr>
        <w:tc>
          <w:tcPr>
            <w:tcW w:w="4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insurance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1,801,281</w:t>
            </w: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1,167,850</w:t>
            </w:r>
          </w:p>
        </w:tc>
      </w:tr>
      <w:tr>
        <w:trPr>
          <w:trHeight w:val="168"/>
        </w:trPr>
        <w:tc>
          <w:tcPr>
            <w:tcW w:w="4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ind w:left="700"/>
              <w:spacing w:after="0"/>
              <w:rPr>
                <w:sz w:val="20"/>
                <w:szCs w:val="20"/>
                <w:color w:val="auto"/>
              </w:rPr>
            </w:pPr>
            <w:r>
              <w:rPr>
                <w:rFonts w:ascii="Courier New" w:cs="Courier New" w:eastAsia="Courier New" w:hAnsi="Courier New"/>
                <w:sz w:val="15"/>
                <w:szCs w:val="15"/>
                <w:color w:val="auto"/>
              </w:rPr>
              <w:t>Total other assets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3,668,684</w:t>
            </w:r>
          </w:p>
        </w:tc>
      </w:tr>
      <w:tr>
        <w:trPr>
          <w:trHeight w:val="168"/>
        </w:trPr>
        <w:tc>
          <w:tcPr>
            <w:tcW w:w="4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ind w:left="700"/>
              <w:spacing w:after="0"/>
              <w:rPr>
                <w:sz w:val="20"/>
                <w:szCs w:val="20"/>
                <w:color w:val="auto"/>
              </w:rPr>
            </w:pPr>
            <w:r>
              <w:rPr>
                <w:rFonts w:ascii="Courier New" w:cs="Courier New" w:eastAsia="Courier New" w:hAnsi="Courier New"/>
                <w:sz w:val="15"/>
                <w:szCs w:val="15"/>
                <w:color w:val="auto"/>
              </w:rPr>
              <w:t>Total assets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$29,098,575</w:t>
            </w:r>
          </w:p>
        </w:tc>
      </w:tr>
      <w:tr>
        <w:trPr>
          <w:trHeight w:val="168"/>
        </w:trPr>
        <w:tc>
          <w:tcPr>
            <w:tcW w:w="4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281"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5"/>
          <w:szCs w:val="15"/>
          <w:color w:val="auto"/>
        </w:rPr>
        <w:t>64</w:t>
      </w:r>
    </w:p>
    <w:p>
      <w:pPr>
        <w:ind w:left="2200"/>
        <w:spacing w:after="0" w:line="237" w:lineRule="auto"/>
        <w:rPr>
          <w:sz w:val="20"/>
          <w:szCs w:val="20"/>
          <w:color w:val="auto"/>
        </w:rPr>
      </w:pPr>
      <w:r>
        <w:rPr>
          <w:rFonts w:ascii="Courier New" w:cs="Courier New" w:eastAsia="Courier New" w:hAnsi="Courier New"/>
          <w:sz w:val="15"/>
          <w:szCs w:val="15"/>
          <w:color w:val="auto"/>
        </w:rPr>
        <w:t>GRAND CENTRAL SANITATION, INC.</w:t>
      </w:r>
    </w:p>
    <w:tbl>
      <w:tblPr>
        <w:tblLayout w:type="fixed"/>
        <w:tblInd w:w="0" w:type="dxa"/>
        <w:tblCellMar>
          <w:top w:w="0" w:type="dxa"/>
          <w:left w:w="0" w:type="dxa"/>
          <w:bottom w:w="0" w:type="dxa"/>
          <w:right w:w="0" w:type="dxa"/>
        </w:tblCellMar>
      </w:tblPr>
      <w:tr>
        <w:trPr>
          <w:trHeight w:val="169"/>
        </w:trPr>
        <w:tc>
          <w:tcPr>
            <w:tcW w:w="4560" w:type="dxa"/>
            <w:vAlign w:val="bottom"/>
          </w:tcPr>
          <w:p>
            <w:pPr>
              <w:ind w:left="2540"/>
              <w:spacing w:after="0" w:line="169" w:lineRule="exact"/>
              <w:rPr>
                <w:sz w:val="20"/>
                <w:szCs w:val="20"/>
                <w:color w:val="auto"/>
              </w:rPr>
            </w:pPr>
            <w:r>
              <w:rPr>
                <w:rFonts w:ascii="Courier New" w:cs="Courier New" w:eastAsia="Courier New" w:hAnsi="Courier New"/>
                <w:sz w:val="15"/>
                <w:szCs w:val="15"/>
                <w:color w:val="auto"/>
              </w:rPr>
              <w:t>AND RELATED COMPANIES</w:t>
            </w:r>
          </w:p>
        </w:tc>
        <w:tc>
          <w:tcPr>
            <w:tcW w:w="1040" w:type="dxa"/>
            <w:vAlign w:val="bottom"/>
          </w:tcPr>
          <w:p>
            <w:pPr>
              <w:spacing w:after="0"/>
              <w:rPr>
                <w:sz w:val="14"/>
                <w:szCs w:val="14"/>
                <w:color w:val="auto"/>
              </w:rPr>
            </w:pPr>
          </w:p>
        </w:tc>
      </w:tr>
      <w:tr>
        <w:trPr>
          <w:trHeight w:val="336"/>
        </w:trPr>
        <w:tc>
          <w:tcPr>
            <w:tcW w:w="4560" w:type="dxa"/>
            <w:vAlign w:val="bottom"/>
          </w:tcPr>
          <w:p>
            <w:pPr>
              <w:ind w:left="2540"/>
              <w:spacing w:after="0"/>
              <w:rPr>
                <w:sz w:val="20"/>
                <w:szCs w:val="20"/>
                <w:color w:val="auto"/>
              </w:rPr>
            </w:pPr>
            <w:r>
              <w:rPr>
                <w:rFonts w:ascii="Courier New" w:cs="Courier New" w:eastAsia="Courier New" w:hAnsi="Courier New"/>
                <w:sz w:val="15"/>
                <w:szCs w:val="15"/>
                <w:color w:val="auto"/>
              </w:rPr>
              <w:t>COMBINED BALANCE SHEET</w:t>
            </w:r>
          </w:p>
        </w:tc>
        <w:tc>
          <w:tcPr>
            <w:tcW w:w="1040" w:type="dxa"/>
            <w:vAlign w:val="bottom"/>
          </w:tcPr>
          <w:p>
            <w:pPr>
              <w:spacing w:after="0"/>
              <w:rPr>
                <w:sz w:val="24"/>
                <w:szCs w:val="24"/>
                <w:color w:val="auto"/>
              </w:rPr>
            </w:pPr>
          </w:p>
        </w:tc>
      </w:tr>
      <w:tr>
        <w:trPr>
          <w:trHeight w:val="168"/>
        </w:trPr>
        <w:tc>
          <w:tcPr>
            <w:tcW w:w="456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December 31, 1995</w:t>
            </w:r>
          </w:p>
        </w:tc>
        <w:tc>
          <w:tcPr>
            <w:tcW w:w="1040" w:type="dxa"/>
            <w:vAlign w:val="bottom"/>
          </w:tcPr>
          <w:p>
            <w:pPr>
              <w:spacing w:after="0"/>
              <w:rPr>
                <w:sz w:val="14"/>
                <w:szCs w:val="14"/>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(Continued)</w:t>
            </w:r>
          </w:p>
        </w:tc>
        <w:tc>
          <w:tcPr>
            <w:tcW w:w="1040" w:type="dxa"/>
            <w:vAlign w:val="bottom"/>
          </w:tcPr>
          <w:p>
            <w:pPr>
              <w:spacing w:after="0"/>
              <w:rPr>
                <w:sz w:val="24"/>
                <w:szCs w:val="24"/>
                <w:color w:val="auto"/>
              </w:rPr>
            </w:pPr>
          </w:p>
        </w:tc>
      </w:tr>
      <w:tr>
        <w:trPr>
          <w:trHeight w:val="505"/>
        </w:trPr>
        <w:tc>
          <w:tcPr>
            <w:tcW w:w="4560" w:type="dxa"/>
            <w:vAlign w:val="bottom"/>
          </w:tcPr>
          <w:p>
            <w:pPr>
              <w:ind w:left="620"/>
              <w:spacing w:after="0"/>
              <w:rPr>
                <w:sz w:val="20"/>
                <w:szCs w:val="20"/>
                <w:color w:val="auto"/>
              </w:rPr>
            </w:pPr>
            <w:r>
              <w:rPr>
                <w:rFonts w:ascii="Courier New" w:cs="Courier New" w:eastAsia="Courier New" w:hAnsi="Courier New"/>
                <w:sz w:val="15"/>
                <w:szCs w:val="15"/>
                <w:color w:val="auto"/>
              </w:rPr>
              <w:t>LIABILITIES AND STOCKHOLDERS' EQUITY</w:t>
            </w:r>
          </w:p>
        </w:tc>
        <w:tc>
          <w:tcPr>
            <w:tcW w:w="1040" w:type="dxa"/>
            <w:vAlign w:val="bottom"/>
          </w:tcPr>
          <w:p>
            <w:pPr>
              <w:spacing w:after="0"/>
              <w:rPr>
                <w:sz w:val="24"/>
                <w:szCs w:val="24"/>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040" w:type="dxa"/>
            <w:vAlign w:val="bottom"/>
          </w:tcPr>
          <w:p>
            <w:pPr>
              <w:spacing w:after="0"/>
              <w:rPr>
                <w:sz w:val="24"/>
                <w:szCs w:val="2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Note payable, bank</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250,000</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maturities of long-term debt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3,228,763</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payable, trade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1,825,953</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Accrued profit sharing</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Accrued interest payable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16,497</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Payroll taxes payable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293,660</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Landfill fees payable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355,330</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Unearned revenue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597,575</w:t>
            </w:r>
          </w:p>
        </w:tc>
      </w:tr>
      <w:tr>
        <w:trPr>
          <w:trHeight w:val="168"/>
        </w:trPr>
        <w:tc>
          <w:tcPr>
            <w:tcW w:w="4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ind w:left="700"/>
              <w:spacing w:after="0"/>
              <w:rPr>
                <w:sz w:val="20"/>
                <w:szCs w:val="20"/>
                <w:color w:val="auto"/>
              </w:rPr>
            </w:pPr>
            <w:r>
              <w:rPr>
                <w:rFonts w:ascii="Courier New" w:cs="Courier New" w:eastAsia="Courier New" w:hAnsi="Courier New"/>
                <w:sz w:val="15"/>
                <w:szCs w:val="15"/>
                <w:color w:val="auto"/>
              </w:rPr>
              <w:t>Total current liabilities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6,667,778</w:t>
            </w:r>
          </w:p>
        </w:tc>
      </w:tr>
      <w:tr>
        <w:trPr>
          <w:trHeight w:val="168"/>
        </w:trPr>
        <w:tc>
          <w:tcPr>
            <w:tcW w:w="4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1040" w:type="dxa"/>
            <w:vAlign w:val="bottom"/>
          </w:tcPr>
          <w:p>
            <w:pPr>
              <w:spacing w:after="0"/>
              <w:rPr>
                <w:sz w:val="24"/>
                <w:szCs w:val="2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Notes payable, less current maturities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10,891,692</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Landfill taxes payable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356,292</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long-term liabilities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589,447</w:t>
            </w:r>
          </w:p>
        </w:tc>
      </w:tr>
      <w:tr>
        <w:trPr>
          <w:trHeight w:val="168"/>
        </w:trPr>
        <w:tc>
          <w:tcPr>
            <w:tcW w:w="4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ind w:left="700"/>
              <w:spacing w:after="0"/>
              <w:rPr>
                <w:sz w:val="20"/>
                <w:szCs w:val="20"/>
                <w:color w:val="auto"/>
              </w:rPr>
            </w:pPr>
            <w:r>
              <w:rPr>
                <w:rFonts w:ascii="Courier New" w:cs="Courier New" w:eastAsia="Courier New" w:hAnsi="Courier New"/>
                <w:sz w:val="15"/>
                <w:szCs w:val="15"/>
                <w:color w:val="auto"/>
              </w:rPr>
              <w:t>Total long-term liabilities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11,837,431</w:t>
            </w:r>
          </w:p>
        </w:tc>
      </w:tr>
      <w:tr>
        <w:trPr>
          <w:trHeight w:val="168"/>
        </w:trPr>
        <w:tc>
          <w:tcPr>
            <w:tcW w:w="4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040" w:type="dxa"/>
            <w:vAlign w:val="bottom"/>
          </w:tcPr>
          <w:p>
            <w:pPr>
              <w:spacing w:after="0"/>
              <w:rPr>
                <w:sz w:val="24"/>
                <w:szCs w:val="2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Landfill closure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2,048,247</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Loans payable, stockholders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1,303,261</w:t>
            </w:r>
          </w:p>
        </w:tc>
      </w:tr>
      <w:tr>
        <w:trPr>
          <w:trHeight w:val="168"/>
        </w:trPr>
        <w:tc>
          <w:tcPr>
            <w:tcW w:w="4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3,351,508</w:t>
            </w:r>
          </w:p>
        </w:tc>
      </w:tr>
      <w:tr>
        <w:trPr>
          <w:trHeight w:val="168"/>
        </w:trPr>
        <w:tc>
          <w:tcPr>
            <w:tcW w:w="4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40" w:type="dxa"/>
            <w:vAlign w:val="bottom"/>
          </w:tcPr>
          <w:p>
            <w:pPr>
              <w:spacing w:after="0"/>
              <w:rPr>
                <w:sz w:val="24"/>
                <w:szCs w:val="2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Preferred stock, par value $100 per share;</w:t>
            </w:r>
          </w:p>
        </w:tc>
        <w:tc>
          <w:tcPr>
            <w:tcW w:w="1040" w:type="dxa"/>
            <w:vAlign w:val="bottom"/>
          </w:tcPr>
          <w:p>
            <w:pPr>
              <w:spacing w:after="0"/>
              <w:rPr>
                <w:sz w:val="14"/>
                <w:szCs w:val="14"/>
                <w:color w:val="auto"/>
              </w:rPr>
            </w:pPr>
          </w:p>
        </w:tc>
      </w:tr>
      <w:tr>
        <w:trPr>
          <w:trHeight w:val="168"/>
        </w:trPr>
        <w:tc>
          <w:tcPr>
            <w:tcW w:w="4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authorized 20,000 shares; issued and</w:t>
            </w:r>
          </w:p>
        </w:tc>
        <w:tc>
          <w:tcPr>
            <w:tcW w:w="1040" w:type="dxa"/>
            <w:vAlign w:val="bottom"/>
          </w:tcPr>
          <w:p>
            <w:pPr>
              <w:spacing w:after="0"/>
              <w:rPr>
                <w:sz w:val="14"/>
                <w:szCs w:val="14"/>
                <w:color w:val="auto"/>
              </w:rPr>
            </w:pPr>
          </w:p>
        </w:tc>
      </w:tr>
      <w:tr>
        <w:trPr>
          <w:trHeight w:val="168"/>
        </w:trPr>
        <w:tc>
          <w:tcPr>
            <w:tcW w:w="4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outstanding 2,000 shares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200,000</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 par value $1 per share;</w:t>
            </w:r>
          </w:p>
        </w:tc>
        <w:tc>
          <w:tcPr>
            <w:tcW w:w="1040" w:type="dxa"/>
            <w:vAlign w:val="bottom"/>
          </w:tcPr>
          <w:p>
            <w:pPr>
              <w:spacing w:after="0"/>
              <w:rPr>
                <w:sz w:val="14"/>
                <w:szCs w:val="14"/>
                <w:color w:val="auto"/>
              </w:rPr>
            </w:pPr>
          </w:p>
        </w:tc>
      </w:tr>
      <w:tr>
        <w:trPr>
          <w:trHeight w:val="168"/>
        </w:trPr>
        <w:tc>
          <w:tcPr>
            <w:tcW w:w="4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authorized 10,000 shares; issued and</w:t>
            </w:r>
          </w:p>
        </w:tc>
        <w:tc>
          <w:tcPr>
            <w:tcW w:w="1040" w:type="dxa"/>
            <w:vAlign w:val="bottom"/>
          </w:tcPr>
          <w:p>
            <w:pPr>
              <w:spacing w:after="0"/>
              <w:rPr>
                <w:sz w:val="14"/>
                <w:szCs w:val="14"/>
                <w:color w:val="auto"/>
              </w:rPr>
            </w:pPr>
          </w:p>
        </w:tc>
      </w:tr>
      <w:tr>
        <w:trPr>
          <w:trHeight w:val="168"/>
        </w:trPr>
        <w:tc>
          <w:tcPr>
            <w:tcW w:w="4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outstanding 8,400 shares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8,400</w:t>
            </w: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3,901,272</w:t>
            </w: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3,132,186</w:t>
            </w:r>
          </w:p>
        </w:tc>
      </w:tr>
      <w:tr>
        <w:trPr>
          <w:trHeight w:val="168"/>
        </w:trPr>
        <w:tc>
          <w:tcPr>
            <w:tcW w:w="4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ind w:left="700"/>
              <w:spacing w:after="0"/>
              <w:rPr>
                <w:sz w:val="20"/>
                <w:szCs w:val="20"/>
                <w:color w:val="auto"/>
              </w:rPr>
            </w:pPr>
            <w:r>
              <w:rPr>
                <w:rFonts w:ascii="Courier New" w:cs="Courier New" w:eastAsia="Courier New" w:hAnsi="Courier New"/>
                <w:sz w:val="15"/>
                <w:szCs w:val="15"/>
                <w:color w:val="auto"/>
              </w:rPr>
              <w:t>Total stockholders' equity</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7,241,858</w:t>
            </w:r>
          </w:p>
        </w:tc>
      </w:tr>
      <w:tr>
        <w:trPr>
          <w:trHeight w:val="168"/>
        </w:trPr>
        <w:tc>
          <w:tcPr>
            <w:tcW w:w="4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ind w:left="700"/>
              <w:spacing w:after="0"/>
              <w:rPr>
                <w:sz w:val="20"/>
                <w:szCs w:val="20"/>
                <w:color w:val="auto"/>
              </w:rPr>
            </w:pPr>
            <w:r>
              <w:rPr>
                <w:rFonts w:ascii="Courier New" w:cs="Courier New" w:eastAsia="Courier New" w:hAnsi="Courier New"/>
                <w:sz w:val="15"/>
                <w:szCs w:val="15"/>
                <w:color w:val="auto"/>
              </w:rPr>
              <w:t>Total liabilities and</w:t>
            </w:r>
          </w:p>
        </w:tc>
        <w:tc>
          <w:tcPr>
            <w:tcW w:w="1040" w:type="dxa"/>
            <w:vAlign w:val="bottom"/>
          </w:tcPr>
          <w:p>
            <w:pPr>
              <w:spacing w:after="0"/>
              <w:rPr>
                <w:sz w:val="24"/>
                <w:szCs w:val="24"/>
                <w:color w:val="auto"/>
              </w:rPr>
            </w:pPr>
          </w:p>
        </w:tc>
      </w:tr>
      <w:tr>
        <w:trPr>
          <w:trHeight w:val="168"/>
        </w:trPr>
        <w:tc>
          <w:tcPr>
            <w:tcW w:w="4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$29,098,575</w:t>
            </w:r>
          </w:p>
        </w:tc>
      </w:tr>
    </w:tbl>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281"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5"/>
          <w:szCs w:val="15"/>
          <w:color w:val="auto"/>
        </w:rPr>
        <w:t>65</w:t>
      </w:r>
    </w:p>
    <w:tbl>
      <w:tblPr>
        <w:tblLayout w:type="fixed"/>
        <w:tblInd w:w="0" w:type="dxa"/>
        <w:tblCellMar>
          <w:top w:w="0" w:type="dxa"/>
          <w:left w:w="0" w:type="dxa"/>
          <w:bottom w:w="0" w:type="dxa"/>
          <w:right w:w="0" w:type="dxa"/>
        </w:tblCellMar>
      </w:tblPr>
      <w:tr>
        <w:trPr>
          <w:trHeight w:val="168"/>
        </w:trPr>
        <w:tc>
          <w:tcPr>
            <w:tcW w:w="2160" w:type="dxa"/>
            <w:vAlign w:val="bottom"/>
          </w:tcPr>
          <w:p>
            <w:pPr>
              <w:spacing w:after="0"/>
              <w:rPr>
                <w:sz w:val="14"/>
                <w:szCs w:val="14"/>
                <w:color w:val="auto"/>
              </w:rPr>
            </w:pPr>
          </w:p>
        </w:tc>
        <w:tc>
          <w:tcPr>
            <w:tcW w:w="3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7"/>
              </w:rPr>
              <w:t>GRAND CENTRAL SANITATION, INC.</w:t>
            </w:r>
          </w:p>
        </w:tc>
      </w:tr>
      <w:tr>
        <w:trPr>
          <w:trHeight w:val="168"/>
        </w:trPr>
        <w:tc>
          <w:tcPr>
            <w:tcW w:w="2160" w:type="dxa"/>
            <w:vAlign w:val="bottom"/>
          </w:tcPr>
          <w:p>
            <w:pPr>
              <w:spacing w:after="0"/>
              <w:rPr>
                <w:sz w:val="14"/>
                <w:szCs w:val="14"/>
                <w:color w:val="auto"/>
              </w:rPr>
            </w:pPr>
          </w:p>
        </w:tc>
        <w:tc>
          <w:tcPr>
            <w:tcW w:w="3540" w:type="dxa"/>
            <w:vAlign w:val="bottom"/>
          </w:tcPr>
          <w:p>
            <w:pPr>
              <w:jc w:val="right"/>
              <w:ind w:right="1247"/>
              <w:spacing w:after="0" w:line="168" w:lineRule="exact"/>
              <w:rPr>
                <w:sz w:val="20"/>
                <w:szCs w:val="20"/>
                <w:color w:val="auto"/>
              </w:rPr>
            </w:pPr>
            <w:r>
              <w:rPr>
                <w:rFonts w:ascii="Courier New" w:cs="Courier New" w:eastAsia="Courier New" w:hAnsi="Courier New"/>
                <w:sz w:val="15"/>
                <w:szCs w:val="15"/>
                <w:color w:val="auto"/>
              </w:rPr>
              <w:t>AND RELATED COMPANIES</w:t>
            </w:r>
          </w:p>
        </w:tc>
      </w:tr>
      <w:tr>
        <w:trPr>
          <w:trHeight w:val="336"/>
        </w:trPr>
        <w:tc>
          <w:tcPr>
            <w:tcW w:w="2160" w:type="dxa"/>
            <w:vAlign w:val="bottom"/>
          </w:tcPr>
          <w:p>
            <w:pPr>
              <w:spacing w:after="0"/>
              <w:rPr>
                <w:sz w:val="24"/>
                <w:szCs w:val="24"/>
                <w:color w:val="auto"/>
              </w:rPr>
            </w:pPr>
          </w:p>
        </w:tc>
        <w:tc>
          <w:tcPr>
            <w:tcW w:w="35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COMBINED STATEMENT OF INCOME</w:t>
            </w:r>
          </w:p>
        </w:tc>
      </w:tr>
      <w:tr>
        <w:trPr>
          <w:trHeight w:val="168"/>
        </w:trPr>
        <w:tc>
          <w:tcPr>
            <w:tcW w:w="2160" w:type="dxa"/>
            <w:vAlign w:val="bottom"/>
          </w:tcPr>
          <w:p>
            <w:pPr>
              <w:spacing w:after="0"/>
              <w:rPr>
                <w:sz w:val="14"/>
                <w:szCs w:val="14"/>
                <w:color w:val="auto"/>
              </w:rPr>
            </w:pPr>
          </w:p>
        </w:tc>
        <w:tc>
          <w:tcPr>
            <w:tcW w:w="35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Year Ended December 31, 1995</w:t>
            </w:r>
          </w:p>
        </w:tc>
      </w:tr>
      <w:tr>
        <w:trPr>
          <w:trHeight w:val="673"/>
        </w:trPr>
        <w:tc>
          <w:tcPr>
            <w:tcW w:w="216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3540" w:type="dxa"/>
            <w:vAlign w:val="bottom"/>
          </w:tcPr>
          <w:p>
            <w:pPr>
              <w:spacing w:after="0"/>
              <w:rPr>
                <w:sz w:val="24"/>
                <w:szCs w:val="24"/>
                <w:color w:val="auto"/>
              </w:rPr>
            </w:pP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Refuse</w:t>
            </w: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$ 32,933,990</w:t>
            </w: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Real estate rentals</w:t>
            </w: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88,314</w:t>
            </w:r>
          </w:p>
        </w:tc>
      </w:tr>
      <w:tr>
        <w:trPr>
          <w:trHeight w:val="336"/>
        </w:trPr>
        <w:tc>
          <w:tcPr>
            <w:tcW w:w="2160" w:type="dxa"/>
            <w:vAlign w:val="bottom"/>
          </w:tcPr>
          <w:p>
            <w:pPr>
              <w:spacing w:after="0"/>
              <w:rPr>
                <w:sz w:val="24"/>
                <w:szCs w:val="24"/>
                <w:color w:val="auto"/>
              </w:rPr>
            </w:pPr>
          </w:p>
        </w:tc>
        <w:tc>
          <w:tcPr>
            <w:tcW w:w="3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33,022,304</w:t>
            </w:r>
          </w:p>
        </w:tc>
      </w:tr>
      <w:tr>
        <w:trPr>
          <w:trHeight w:val="168"/>
        </w:trPr>
        <w:tc>
          <w:tcPr>
            <w:tcW w:w="2160" w:type="dxa"/>
            <w:vAlign w:val="bottom"/>
          </w:tcPr>
          <w:p>
            <w:pPr>
              <w:spacing w:after="0"/>
              <w:rPr>
                <w:sz w:val="14"/>
                <w:szCs w:val="14"/>
                <w:color w:val="auto"/>
              </w:rPr>
            </w:pP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3540" w:type="dxa"/>
            <w:vAlign w:val="bottom"/>
          </w:tcPr>
          <w:p>
            <w:pPr>
              <w:spacing w:after="0"/>
              <w:rPr>
                <w:sz w:val="24"/>
                <w:szCs w:val="24"/>
                <w:color w:val="auto"/>
              </w:rPr>
            </w:pP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Operating</w:t>
            </w: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25,988,080</w:t>
            </w: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Administrative</w:t>
            </w: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3,853,230</w:t>
            </w:r>
          </w:p>
        </w:tc>
      </w:tr>
      <w:tr>
        <w:trPr>
          <w:trHeight w:val="168"/>
        </w:trPr>
        <w:tc>
          <w:tcPr>
            <w:tcW w:w="2160" w:type="dxa"/>
            <w:vAlign w:val="bottom"/>
          </w:tcPr>
          <w:p>
            <w:pPr>
              <w:spacing w:after="0"/>
              <w:rPr>
                <w:sz w:val="14"/>
                <w:szCs w:val="14"/>
                <w:color w:val="auto"/>
              </w:rPr>
            </w:pP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60" w:type="dxa"/>
            <w:vAlign w:val="bottom"/>
          </w:tcPr>
          <w:p>
            <w:pPr>
              <w:spacing w:after="0"/>
              <w:rPr>
                <w:sz w:val="24"/>
                <w:szCs w:val="24"/>
                <w:color w:val="auto"/>
              </w:rPr>
            </w:pPr>
          </w:p>
        </w:tc>
        <w:tc>
          <w:tcPr>
            <w:tcW w:w="3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29,841,310</w:t>
            </w:r>
          </w:p>
        </w:tc>
      </w:tr>
      <w:tr>
        <w:trPr>
          <w:trHeight w:val="168"/>
        </w:trPr>
        <w:tc>
          <w:tcPr>
            <w:tcW w:w="2160" w:type="dxa"/>
            <w:vAlign w:val="bottom"/>
          </w:tcPr>
          <w:p>
            <w:pPr>
              <w:spacing w:after="0"/>
              <w:rPr>
                <w:sz w:val="14"/>
                <w:szCs w:val="14"/>
                <w:color w:val="auto"/>
              </w:rPr>
            </w:pP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60" w:type="dxa"/>
            <w:vAlign w:val="bottom"/>
          </w:tcPr>
          <w:p>
            <w:pPr>
              <w:ind w:left="700"/>
              <w:spacing w:after="0"/>
              <w:rPr>
                <w:sz w:val="20"/>
                <w:szCs w:val="20"/>
                <w:color w:val="auto"/>
              </w:rPr>
            </w:pPr>
            <w:r>
              <w:rPr>
                <w:rFonts w:ascii="Courier New" w:cs="Courier New" w:eastAsia="Courier New" w:hAnsi="Courier New"/>
                <w:sz w:val="15"/>
                <w:szCs w:val="15"/>
                <w:color w:val="auto"/>
              </w:rPr>
              <w:t>Operating</w:t>
            </w:r>
          </w:p>
        </w:tc>
        <w:tc>
          <w:tcPr>
            <w:tcW w:w="3540" w:type="dxa"/>
            <w:vAlign w:val="bottom"/>
          </w:tcPr>
          <w:p>
            <w:pPr>
              <w:spacing w:after="0"/>
              <w:rPr>
                <w:sz w:val="24"/>
                <w:szCs w:val="24"/>
                <w:color w:val="auto"/>
              </w:rPr>
            </w:pPr>
          </w:p>
        </w:tc>
      </w:tr>
      <w:tr>
        <w:trPr>
          <w:trHeight w:val="168"/>
        </w:trPr>
        <w:tc>
          <w:tcPr>
            <w:tcW w:w="21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income</w:t>
            </w: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3,180,994</w:t>
            </w:r>
          </w:p>
        </w:tc>
      </w:tr>
      <w:tr>
        <w:trPr>
          <w:trHeight w:val="168"/>
        </w:trPr>
        <w:tc>
          <w:tcPr>
            <w:tcW w:w="2160" w:type="dxa"/>
            <w:vAlign w:val="bottom"/>
          </w:tcPr>
          <w:p>
            <w:pPr>
              <w:spacing w:after="0"/>
              <w:rPr>
                <w:sz w:val="14"/>
                <w:szCs w:val="14"/>
                <w:color w:val="auto"/>
              </w:rPr>
            </w:pP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Other income (expenses):</w:t>
            </w:r>
          </w:p>
        </w:tc>
        <w:tc>
          <w:tcPr>
            <w:tcW w:w="3540" w:type="dxa"/>
            <w:vAlign w:val="bottom"/>
          </w:tcPr>
          <w:p>
            <w:pPr>
              <w:spacing w:after="0"/>
              <w:rPr>
                <w:sz w:val="24"/>
                <w:szCs w:val="24"/>
                <w:color w:val="auto"/>
              </w:rPr>
            </w:pP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Portfolio income</w:t>
            </w: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300,111</w:t>
            </w: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Miscellaneous sales</w:t>
            </w:r>
          </w:p>
        </w:tc>
        <w:tc>
          <w:tcPr>
            <w:tcW w:w="3540" w:type="dxa"/>
            <w:vAlign w:val="bottom"/>
          </w:tcPr>
          <w:p>
            <w:pPr>
              <w:spacing w:after="0"/>
              <w:rPr>
                <w:sz w:val="14"/>
                <w:szCs w:val="14"/>
                <w:color w:val="auto"/>
              </w:rPr>
            </w:pPr>
          </w:p>
        </w:tc>
      </w:tr>
      <w:tr>
        <w:trPr>
          <w:trHeight w:val="168"/>
        </w:trPr>
        <w:tc>
          <w:tcPr>
            <w:tcW w:w="21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9"/>
              </w:rPr>
              <w:t>and charges, net</w:t>
            </w: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24,912</w:t>
            </w: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expense</w:t>
            </w:r>
          </w:p>
        </w:tc>
        <w:tc>
          <w:tcPr>
            <w:tcW w:w="3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(1,319,061)</w:t>
            </w:r>
          </w:p>
        </w:tc>
      </w:tr>
      <w:tr>
        <w:trPr>
          <w:trHeight w:val="168"/>
        </w:trPr>
        <w:tc>
          <w:tcPr>
            <w:tcW w:w="2160" w:type="dxa"/>
            <w:vAlign w:val="bottom"/>
          </w:tcPr>
          <w:p>
            <w:pPr>
              <w:spacing w:after="0"/>
              <w:rPr>
                <w:sz w:val="14"/>
                <w:szCs w:val="14"/>
                <w:color w:val="auto"/>
              </w:rPr>
            </w:pP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60" w:type="dxa"/>
            <w:vAlign w:val="bottom"/>
          </w:tcPr>
          <w:p>
            <w:pPr>
              <w:spacing w:after="0"/>
              <w:rPr>
                <w:sz w:val="24"/>
                <w:szCs w:val="24"/>
                <w:color w:val="auto"/>
              </w:rPr>
            </w:pPr>
          </w:p>
        </w:tc>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(994,038)</w:t>
            </w:r>
          </w:p>
        </w:tc>
      </w:tr>
      <w:tr>
        <w:trPr>
          <w:trHeight w:val="168"/>
        </w:trPr>
        <w:tc>
          <w:tcPr>
            <w:tcW w:w="2160" w:type="dxa"/>
            <w:vAlign w:val="bottom"/>
          </w:tcPr>
          <w:p>
            <w:pPr>
              <w:spacing w:after="0"/>
              <w:rPr>
                <w:sz w:val="14"/>
                <w:szCs w:val="14"/>
                <w:color w:val="auto"/>
              </w:rPr>
            </w:pP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60" w:type="dxa"/>
            <w:vAlign w:val="bottom"/>
          </w:tcPr>
          <w:p>
            <w:pPr>
              <w:ind w:left="700"/>
              <w:spacing w:after="0"/>
              <w:rPr>
                <w:sz w:val="20"/>
                <w:szCs w:val="20"/>
                <w:color w:val="auto"/>
              </w:rPr>
            </w:pPr>
            <w:r>
              <w:rPr>
                <w:rFonts w:ascii="Courier New" w:cs="Courier New" w:eastAsia="Courier New" w:hAnsi="Courier New"/>
                <w:sz w:val="15"/>
                <w:szCs w:val="15"/>
                <w:color w:val="auto"/>
              </w:rPr>
              <w:t>Income before</w:t>
            </w:r>
          </w:p>
        </w:tc>
        <w:tc>
          <w:tcPr>
            <w:tcW w:w="3540" w:type="dxa"/>
            <w:vAlign w:val="bottom"/>
          </w:tcPr>
          <w:p>
            <w:pPr>
              <w:spacing w:after="0"/>
              <w:rPr>
                <w:sz w:val="24"/>
                <w:szCs w:val="24"/>
                <w:color w:val="auto"/>
              </w:rPr>
            </w:pPr>
          </w:p>
        </w:tc>
      </w:tr>
      <w:tr>
        <w:trPr>
          <w:trHeight w:val="168"/>
        </w:trPr>
        <w:tc>
          <w:tcPr>
            <w:tcW w:w="21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income taxes</w:t>
            </w: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2,186,956</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Federal and state income</w:t>
            </w:r>
          </w:p>
        </w:tc>
        <w:tc>
          <w:tcPr>
            <w:tcW w:w="3540" w:type="dxa"/>
            <w:vAlign w:val="bottom"/>
          </w:tcPr>
          <w:p>
            <w:pPr>
              <w:spacing w:after="0"/>
              <w:rPr>
                <w:sz w:val="24"/>
                <w:szCs w:val="24"/>
                <w:color w:val="auto"/>
              </w:rPr>
            </w:pP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taxes</w:t>
            </w: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895,760</w:t>
            </w:r>
          </w:p>
        </w:tc>
      </w:tr>
      <w:tr>
        <w:trPr>
          <w:trHeight w:val="168"/>
        </w:trPr>
        <w:tc>
          <w:tcPr>
            <w:tcW w:w="2160" w:type="dxa"/>
            <w:vAlign w:val="bottom"/>
          </w:tcPr>
          <w:p>
            <w:pPr>
              <w:spacing w:after="0"/>
              <w:rPr>
                <w:sz w:val="14"/>
                <w:szCs w:val="14"/>
                <w:color w:val="auto"/>
              </w:rPr>
            </w:pP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60" w:type="dxa"/>
            <w:vAlign w:val="bottom"/>
          </w:tcPr>
          <w:p>
            <w:pPr>
              <w:ind w:left="700"/>
              <w:spacing w:after="0"/>
              <w:rPr>
                <w:sz w:val="20"/>
                <w:szCs w:val="20"/>
                <w:color w:val="auto"/>
              </w:rPr>
            </w:pPr>
            <w:r>
              <w:rPr>
                <w:rFonts w:ascii="Courier New" w:cs="Courier New" w:eastAsia="Courier New" w:hAnsi="Courier New"/>
                <w:sz w:val="15"/>
                <w:szCs w:val="15"/>
                <w:color w:val="auto"/>
              </w:rPr>
              <w:t>Net income</w:t>
            </w:r>
          </w:p>
        </w:tc>
        <w:tc>
          <w:tcPr>
            <w:tcW w:w="3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1,291,196</w:t>
            </w:r>
          </w:p>
        </w:tc>
      </w:tr>
      <w:tr>
        <w:trPr>
          <w:trHeight w:val="168"/>
        </w:trPr>
        <w:tc>
          <w:tcPr>
            <w:tcW w:w="2160" w:type="dxa"/>
            <w:vAlign w:val="bottom"/>
          </w:tcPr>
          <w:p>
            <w:pPr>
              <w:spacing w:after="0"/>
              <w:rPr>
                <w:sz w:val="14"/>
                <w:szCs w:val="14"/>
                <w:color w:val="auto"/>
              </w:rPr>
            </w:pP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281"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66</w:t>
      </w:r>
    </w:p>
    <w:p>
      <w:pPr>
        <w:ind w:left="2200"/>
        <w:spacing w:after="0" w:line="237" w:lineRule="auto"/>
        <w:rPr>
          <w:sz w:val="20"/>
          <w:szCs w:val="20"/>
          <w:color w:val="auto"/>
        </w:rPr>
      </w:pPr>
      <w:r>
        <w:rPr>
          <w:rFonts w:ascii="Courier New" w:cs="Courier New" w:eastAsia="Courier New" w:hAnsi="Courier New"/>
          <w:sz w:val="15"/>
          <w:szCs w:val="15"/>
          <w:color w:val="auto"/>
        </w:rPr>
        <w:t>GRAND CENTRAL SANITATION, INC.</w:t>
      </w:r>
    </w:p>
    <w:p>
      <w:pPr>
        <w:ind w:left="2540"/>
        <w:spacing w:after="0" w:line="238" w:lineRule="auto"/>
        <w:rPr>
          <w:sz w:val="20"/>
          <w:szCs w:val="20"/>
          <w:color w:val="auto"/>
        </w:rPr>
      </w:pPr>
      <w:r>
        <w:rPr>
          <w:rFonts w:ascii="Courier New" w:cs="Courier New" w:eastAsia="Courier New" w:hAnsi="Courier New"/>
          <w:sz w:val="15"/>
          <w:szCs w:val="15"/>
          <w:color w:val="auto"/>
        </w:rPr>
        <w:t>AND RELATED COMPANIES</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COMBINED STATEMENT OF STOCKHOLDERS' EQUITY</w:t>
      </w:r>
    </w:p>
    <w:p>
      <w:pPr>
        <w:jc w:val="center"/>
        <w:ind w:right="3219"/>
        <w:spacing w:after="0" w:line="237" w:lineRule="auto"/>
        <w:rPr>
          <w:sz w:val="20"/>
          <w:szCs w:val="20"/>
          <w:color w:val="auto"/>
        </w:rPr>
      </w:pPr>
      <w:r>
        <w:rPr>
          <w:rFonts w:ascii="Courier New" w:cs="Courier New" w:eastAsia="Courier New" w:hAnsi="Courier New"/>
          <w:sz w:val="15"/>
          <w:szCs w:val="15"/>
          <w:color w:val="auto"/>
        </w:rPr>
        <w:t>Year Ended December 31, 1995</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24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Preferred Stock</w:t>
            </w:r>
          </w:p>
        </w:tc>
        <w:tc>
          <w:tcPr>
            <w:tcW w:w="21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Common Stock</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Additional</w:t>
            </w:r>
          </w:p>
        </w:tc>
        <w:tc>
          <w:tcPr>
            <w:tcW w:w="122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2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Paid-In</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Retained</w:t>
            </w:r>
          </w:p>
        </w:tc>
      </w:tr>
      <w:tr>
        <w:trPr>
          <w:trHeight w:val="168"/>
        </w:trPr>
        <w:tc>
          <w:tcPr>
            <w:tcW w:w="24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Shares</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Amount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Shares</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Amount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Capital</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Earnings</w:t>
            </w:r>
          </w:p>
        </w:tc>
      </w:tr>
      <w:tr>
        <w:trPr>
          <w:trHeight w:val="168"/>
        </w:trPr>
        <w:tc>
          <w:tcPr>
            <w:tcW w:w="24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2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January 1, 1995</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$200,000</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8,400</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$8,400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$3,901,272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$3,888,749</w:t>
            </w:r>
          </w:p>
        </w:tc>
      </w:tr>
      <w:tr>
        <w:trPr>
          <w:trHeight w:val="336"/>
        </w:trPr>
        <w:tc>
          <w:tcPr>
            <w:tcW w:w="246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1,291,196</w:t>
            </w:r>
          </w:p>
        </w:tc>
      </w:tr>
      <w:tr>
        <w:trPr>
          <w:trHeight w:val="336"/>
        </w:trPr>
        <w:tc>
          <w:tcPr>
            <w:tcW w:w="2460" w:type="dxa"/>
            <w:vAlign w:val="bottom"/>
          </w:tcPr>
          <w:p>
            <w:pPr>
              <w:ind w:left="440"/>
              <w:spacing w:after="0"/>
              <w:rPr>
                <w:sz w:val="20"/>
                <w:szCs w:val="20"/>
                <w:color w:val="auto"/>
              </w:rPr>
            </w:pPr>
            <w:r>
              <w:rPr>
                <w:rFonts w:ascii="Courier New" w:cs="Courier New" w:eastAsia="Courier New" w:hAnsi="Courier New"/>
                <w:sz w:val="15"/>
                <w:szCs w:val="15"/>
                <w:color w:val="auto"/>
              </w:rPr>
              <w:t>Dividends paid</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(28,067)</w:t>
            </w:r>
          </w:p>
        </w:tc>
      </w:tr>
      <w:tr>
        <w:trPr>
          <w:trHeight w:val="336"/>
        </w:trPr>
        <w:tc>
          <w:tcPr>
            <w:tcW w:w="2460" w:type="dxa"/>
            <w:vAlign w:val="bottom"/>
          </w:tcPr>
          <w:p>
            <w:pPr>
              <w:ind w:left="440"/>
              <w:spacing w:after="0"/>
              <w:rPr>
                <w:sz w:val="20"/>
                <w:szCs w:val="20"/>
                <w:color w:val="auto"/>
              </w:rPr>
            </w:pPr>
            <w:r>
              <w:rPr>
                <w:rFonts w:ascii="Courier New" w:cs="Courier New" w:eastAsia="Courier New" w:hAnsi="Courier New"/>
                <w:sz w:val="15"/>
                <w:szCs w:val="15"/>
                <w:color w:val="auto"/>
              </w:rPr>
              <w:t>Distribution to</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24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stockholders</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(2,019,692)</w:t>
            </w:r>
          </w:p>
        </w:tc>
      </w:tr>
      <w:tr>
        <w:trPr>
          <w:trHeight w:val="168"/>
        </w:trPr>
        <w:tc>
          <w:tcPr>
            <w:tcW w:w="24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December 31, 1995</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$200,000</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8,400</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$8,400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$3,901,272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$3,132,186</w:t>
            </w:r>
          </w:p>
        </w:tc>
      </w:tr>
      <w:tr>
        <w:trPr>
          <w:trHeight w:val="168"/>
        </w:trPr>
        <w:tc>
          <w:tcPr>
            <w:tcW w:w="24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281"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5"/>
          <w:szCs w:val="15"/>
          <w:color w:val="auto"/>
        </w:rPr>
        <w:t>67</w:t>
      </w:r>
    </w:p>
    <w:tbl>
      <w:tblPr>
        <w:tblLayout w:type="fixed"/>
        <w:tblInd w:w="0" w:type="dxa"/>
        <w:tblCellMar>
          <w:top w:w="0" w:type="dxa"/>
          <w:left w:w="0" w:type="dxa"/>
          <w:bottom w:w="0" w:type="dxa"/>
          <w:right w:w="0" w:type="dxa"/>
        </w:tblCellMar>
      </w:tblPr>
      <w:tr>
        <w:trPr>
          <w:trHeight w:val="168"/>
        </w:trPr>
        <w:tc>
          <w:tcPr>
            <w:tcW w:w="586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GRAND CENTRAL SANITATION, INC.</w:t>
            </w:r>
          </w:p>
        </w:tc>
        <w:tc>
          <w:tcPr>
            <w:tcW w:w="1580" w:type="dxa"/>
            <w:vAlign w:val="bottom"/>
          </w:tcPr>
          <w:p>
            <w:pPr>
              <w:spacing w:after="0"/>
              <w:rPr>
                <w:sz w:val="14"/>
                <w:szCs w:val="14"/>
                <w:color w:val="auto"/>
              </w:rPr>
            </w:pPr>
          </w:p>
        </w:tc>
      </w:tr>
      <w:tr>
        <w:trPr>
          <w:trHeight w:val="168"/>
        </w:trPr>
        <w:tc>
          <w:tcPr>
            <w:tcW w:w="5860" w:type="dxa"/>
            <w:vAlign w:val="bottom"/>
          </w:tcPr>
          <w:p>
            <w:pPr>
              <w:ind w:left="2540"/>
              <w:spacing w:after="0" w:line="168" w:lineRule="exact"/>
              <w:rPr>
                <w:sz w:val="20"/>
                <w:szCs w:val="20"/>
                <w:color w:val="auto"/>
              </w:rPr>
            </w:pPr>
            <w:r>
              <w:rPr>
                <w:rFonts w:ascii="Courier New" w:cs="Courier New" w:eastAsia="Courier New" w:hAnsi="Courier New"/>
                <w:sz w:val="15"/>
                <w:szCs w:val="15"/>
                <w:color w:val="auto"/>
              </w:rPr>
              <w:t>AND RELATED COMPANIES</w:t>
            </w:r>
          </w:p>
        </w:tc>
        <w:tc>
          <w:tcPr>
            <w:tcW w:w="1580" w:type="dxa"/>
            <w:vAlign w:val="bottom"/>
          </w:tcPr>
          <w:p>
            <w:pPr>
              <w:spacing w:after="0"/>
              <w:rPr>
                <w:sz w:val="14"/>
                <w:szCs w:val="14"/>
                <w:color w:val="auto"/>
              </w:rPr>
            </w:pPr>
          </w:p>
        </w:tc>
      </w:tr>
      <w:tr>
        <w:trPr>
          <w:trHeight w:val="336"/>
        </w:trPr>
        <w:tc>
          <w:tcPr>
            <w:tcW w:w="5860" w:type="dxa"/>
            <w:vAlign w:val="bottom"/>
          </w:tcPr>
          <w:p>
            <w:pPr>
              <w:ind w:left="2460"/>
              <w:spacing w:after="0"/>
              <w:rPr>
                <w:sz w:val="20"/>
                <w:szCs w:val="20"/>
                <w:color w:val="auto"/>
              </w:rPr>
            </w:pPr>
            <w:r>
              <w:rPr>
                <w:rFonts w:ascii="Courier New" w:cs="Courier New" w:eastAsia="Courier New" w:hAnsi="Courier New"/>
                <w:sz w:val="15"/>
                <w:szCs w:val="15"/>
                <w:color w:val="auto"/>
              </w:rPr>
              <w:t>STATEMENT OF CASH FLOWS</w:t>
            </w:r>
          </w:p>
        </w:tc>
        <w:tc>
          <w:tcPr>
            <w:tcW w:w="1580" w:type="dxa"/>
            <w:vAlign w:val="bottom"/>
          </w:tcPr>
          <w:p>
            <w:pPr>
              <w:spacing w:after="0"/>
              <w:rPr>
                <w:sz w:val="24"/>
                <w:szCs w:val="24"/>
                <w:color w:val="auto"/>
              </w:rPr>
            </w:pPr>
          </w:p>
        </w:tc>
      </w:tr>
      <w:tr>
        <w:trPr>
          <w:trHeight w:val="168"/>
        </w:trPr>
        <w:tc>
          <w:tcPr>
            <w:tcW w:w="586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Year Ended December 31, 1995</w:t>
            </w:r>
          </w:p>
        </w:tc>
        <w:tc>
          <w:tcPr>
            <w:tcW w:w="1580" w:type="dxa"/>
            <w:vAlign w:val="bottom"/>
          </w:tcPr>
          <w:p>
            <w:pPr>
              <w:spacing w:after="0"/>
              <w:rPr>
                <w:sz w:val="14"/>
                <w:szCs w:val="14"/>
                <w:color w:val="auto"/>
              </w:rPr>
            </w:pPr>
          </w:p>
        </w:tc>
      </w:tr>
      <w:tr>
        <w:trPr>
          <w:trHeight w:val="673"/>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580" w:type="dxa"/>
            <w:vAlign w:val="bottom"/>
          </w:tcPr>
          <w:p>
            <w:pPr>
              <w:spacing w:after="0"/>
              <w:rPr>
                <w:sz w:val="24"/>
                <w:szCs w:val="24"/>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income</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$ 1,291,196</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Adjustments to reconcile net income to net cash</w:t>
            </w:r>
          </w:p>
        </w:tc>
        <w:tc>
          <w:tcPr>
            <w:tcW w:w="1580" w:type="dxa"/>
            <w:vAlign w:val="bottom"/>
          </w:tcPr>
          <w:p>
            <w:pPr>
              <w:spacing w:after="0"/>
              <w:rPr>
                <w:sz w:val="14"/>
                <w:szCs w:val="14"/>
                <w:color w:val="auto"/>
              </w:rPr>
            </w:pPr>
          </w:p>
        </w:tc>
      </w:tr>
      <w:tr>
        <w:trPr>
          <w:trHeight w:val="168"/>
        </w:trPr>
        <w:tc>
          <w:tcPr>
            <w:tcW w:w="58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1580" w:type="dxa"/>
            <w:vAlign w:val="bottom"/>
          </w:tcPr>
          <w:p>
            <w:pPr>
              <w:spacing w:after="0"/>
              <w:rPr>
                <w:sz w:val="14"/>
                <w:szCs w:val="14"/>
                <w:color w:val="auto"/>
              </w:rPr>
            </w:pPr>
          </w:p>
        </w:tc>
      </w:tr>
      <w:tr>
        <w:trPr>
          <w:trHeight w:val="168"/>
        </w:trPr>
        <w:tc>
          <w:tcPr>
            <w:tcW w:w="58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4,561,243</w:t>
            </w:r>
          </w:p>
        </w:tc>
      </w:tr>
      <w:tr>
        <w:trPr>
          <w:trHeight w:val="168"/>
        </w:trPr>
        <w:tc>
          <w:tcPr>
            <w:tcW w:w="58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Gain on sale of equipment and securities</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(106,682)</w:t>
            </w:r>
          </w:p>
        </w:tc>
      </w:tr>
      <w:tr>
        <w:trPr>
          <w:trHeight w:val="168"/>
        </w:trPr>
        <w:tc>
          <w:tcPr>
            <w:tcW w:w="58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Provision for doubtful accounts</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429,219</w:t>
            </w:r>
          </w:p>
        </w:tc>
      </w:tr>
      <w:tr>
        <w:trPr>
          <w:trHeight w:val="168"/>
        </w:trPr>
        <w:tc>
          <w:tcPr>
            <w:tcW w:w="58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Noncash expenses offsetting loans payable,</w:t>
            </w:r>
          </w:p>
        </w:tc>
        <w:tc>
          <w:tcPr>
            <w:tcW w:w="1580" w:type="dxa"/>
            <w:vAlign w:val="bottom"/>
          </w:tcPr>
          <w:p>
            <w:pPr>
              <w:spacing w:after="0"/>
              <w:rPr>
                <w:sz w:val="14"/>
                <w:szCs w:val="14"/>
                <w:color w:val="auto"/>
              </w:rPr>
            </w:pPr>
          </w:p>
        </w:tc>
      </w:tr>
      <w:tr>
        <w:trPr>
          <w:trHeight w:val="168"/>
        </w:trPr>
        <w:tc>
          <w:tcPr>
            <w:tcW w:w="58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stockholders</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111,081</w:t>
            </w:r>
          </w:p>
        </w:tc>
      </w:tr>
      <w:tr>
        <w:trPr>
          <w:trHeight w:val="168"/>
        </w:trPr>
        <w:tc>
          <w:tcPr>
            <w:tcW w:w="58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Increase in closure accrual</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286,734</w:t>
            </w:r>
          </w:p>
        </w:tc>
      </w:tr>
      <w:tr>
        <w:trPr>
          <w:trHeight w:val="168"/>
        </w:trPr>
        <w:tc>
          <w:tcPr>
            <w:tcW w:w="58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Corporate tax estimate</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895,760</w:t>
            </w:r>
          </w:p>
        </w:tc>
      </w:tr>
      <w:tr>
        <w:trPr>
          <w:trHeight w:val="168"/>
        </w:trPr>
        <w:tc>
          <w:tcPr>
            <w:tcW w:w="58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1580" w:type="dxa"/>
            <w:vAlign w:val="bottom"/>
          </w:tcPr>
          <w:p>
            <w:pPr>
              <w:spacing w:after="0"/>
              <w:rPr>
                <w:sz w:val="14"/>
                <w:szCs w:val="14"/>
                <w:color w:val="auto"/>
              </w:rPr>
            </w:pPr>
          </w:p>
        </w:tc>
      </w:tr>
      <w:tr>
        <w:trPr>
          <w:trHeight w:val="168"/>
        </w:trPr>
        <w:tc>
          <w:tcPr>
            <w:tcW w:w="58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(Increase) in trading securities</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(1,256,049)</w:t>
            </w:r>
          </w:p>
        </w:tc>
      </w:tr>
      <w:tr>
        <w:trPr>
          <w:trHeight w:val="168"/>
        </w:trPr>
        <w:tc>
          <w:tcPr>
            <w:tcW w:w="58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Decrease in accounts receivable, trade</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70,793</w:t>
            </w:r>
          </w:p>
        </w:tc>
      </w:tr>
      <w:tr>
        <w:trPr>
          <w:trHeight w:val="168"/>
        </w:trPr>
        <w:tc>
          <w:tcPr>
            <w:tcW w:w="58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Decrease in bid deposits</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925</w:t>
            </w:r>
          </w:p>
        </w:tc>
      </w:tr>
      <w:tr>
        <w:trPr>
          <w:trHeight w:val="168"/>
        </w:trPr>
        <w:tc>
          <w:tcPr>
            <w:tcW w:w="58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(Increase) in prepaid expenses</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(5,110)</w:t>
            </w:r>
          </w:p>
        </w:tc>
      </w:tr>
      <w:tr>
        <w:trPr>
          <w:trHeight w:val="168"/>
        </w:trPr>
        <w:tc>
          <w:tcPr>
            <w:tcW w:w="58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Decrease in prepaid federal and state taxes</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3,526</w:t>
            </w:r>
          </w:p>
        </w:tc>
      </w:tr>
      <w:tr>
        <w:trPr>
          <w:trHeight w:val="168"/>
        </w:trPr>
        <w:tc>
          <w:tcPr>
            <w:tcW w:w="58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(Increase) in loans receivable, related parties</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(788)</w:t>
            </w:r>
          </w:p>
        </w:tc>
      </w:tr>
      <w:tr>
        <w:trPr>
          <w:trHeight w:val="168"/>
        </w:trPr>
        <w:tc>
          <w:tcPr>
            <w:tcW w:w="58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(Decrease) in accounts payable, trade</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(184,669)</w:t>
            </w:r>
          </w:p>
        </w:tc>
      </w:tr>
      <w:tr>
        <w:trPr>
          <w:trHeight w:val="168"/>
        </w:trPr>
        <w:tc>
          <w:tcPr>
            <w:tcW w:w="58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Increase in other liabilities</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490,401</w:t>
            </w:r>
          </w:p>
        </w:tc>
      </w:tr>
      <w:tr>
        <w:trPr>
          <w:trHeight w:val="168"/>
        </w:trPr>
        <w:tc>
          <w:tcPr>
            <w:tcW w:w="5860" w:type="dxa"/>
            <w:vAlign w:val="bottom"/>
          </w:tcPr>
          <w:p>
            <w:pPr>
              <w:spacing w:after="0"/>
              <w:rPr>
                <w:sz w:val="14"/>
                <w:szCs w:val="14"/>
                <w:color w:val="auto"/>
              </w:rPr>
            </w:pP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6,587,580</w:t>
            </w:r>
          </w:p>
        </w:tc>
      </w:tr>
      <w:tr>
        <w:trPr>
          <w:trHeight w:val="168"/>
        </w:trPr>
        <w:tc>
          <w:tcPr>
            <w:tcW w:w="5860" w:type="dxa"/>
            <w:vAlign w:val="bottom"/>
          </w:tcPr>
          <w:p>
            <w:pPr>
              <w:spacing w:after="0"/>
              <w:rPr>
                <w:sz w:val="14"/>
                <w:szCs w:val="14"/>
                <w:color w:val="auto"/>
              </w:rPr>
            </w:pP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1580" w:type="dxa"/>
            <w:vAlign w:val="bottom"/>
          </w:tcPr>
          <w:p>
            <w:pPr>
              <w:spacing w:after="0"/>
              <w:rPr>
                <w:sz w:val="14"/>
                <w:szCs w:val="14"/>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sale of equipment and securities, net</w:t>
            </w:r>
          </w:p>
        </w:tc>
        <w:tc>
          <w:tcPr>
            <w:tcW w:w="1580" w:type="dxa"/>
            <w:vAlign w:val="bottom"/>
          </w:tcPr>
          <w:p>
            <w:pPr>
              <w:spacing w:after="0"/>
              <w:rPr>
                <w:sz w:val="14"/>
                <w:szCs w:val="14"/>
                <w:color w:val="auto"/>
              </w:rPr>
            </w:pPr>
          </w:p>
        </w:tc>
      </w:tr>
      <w:tr>
        <w:trPr>
          <w:trHeight w:val="168"/>
        </w:trPr>
        <w:tc>
          <w:tcPr>
            <w:tcW w:w="58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of reinvested purchases</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191,760</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Purchase of property and equipment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(5,339,521)</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Purchases of new routes</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(246,500)</w:t>
            </w:r>
          </w:p>
        </w:tc>
      </w:tr>
      <w:tr>
        <w:trPr>
          <w:trHeight w:val="168"/>
        </w:trPr>
        <w:tc>
          <w:tcPr>
            <w:tcW w:w="5860" w:type="dxa"/>
            <w:vAlign w:val="bottom"/>
          </w:tcPr>
          <w:p>
            <w:pPr>
              <w:spacing w:after="0"/>
              <w:rPr>
                <w:sz w:val="14"/>
                <w:szCs w:val="14"/>
                <w:color w:val="auto"/>
              </w:rPr>
            </w:pP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(5,394,261)</w:t>
            </w:r>
          </w:p>
        </w:tc>
      </w:tr>
      <w:tr>
        <w:trPr>
          <w:trHeight w:val="168"/>
        </w:trPr>
        <w:tc>
          <w:tcPr>
            <w:tcW w:w="5860" w:type="dxa"/>
            <w:vAlign w:val="bottom"/>
          </w:tcPr>
          <w:p>
            <w:pPr>
              <w:spacing w:after="0"/>
              <w:rPr>
                <w:sz w:val="14"/>
                <w:szCs w:val="14"/>
                <w:color w:val="auto"/>
              </w:rPr>
            </w:pP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1580" w:type="dxa"/>
            <w:vAlign w:val="bottom"/>
          </w:tcPr>
          <w:p>
            <w:pPr>
              <w:spacing w:after="0"/>
              <w:rPr>
                <w:sz w:val="14"/>
                <w:szCs w:val="14"/>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Payment on note payable, bank</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(750,000)</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long-term debt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4,719,790</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Payments on long-term debt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(2,921,749)</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Payments on stockholder loans</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(467,232)</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Distribution of earnings to stockholders</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(2,951,897)</w:t>
            </w:r>
          </w:p>
        </w:tc>
      </w:tr>
      <w:tr>
        <w:trPr>
          <w:trHeight w:val="168"/>
        </w:trPr>
        <w:tc>
          <w:tcPr>
            <w:tcW w:w="5860" w:type="dxa"/>
            <w:vAlign w:val="bottom"/>
          </w:tcPr>
          <w:p>
            <w:pPr>
              <w:spacing w:after="0"/>
              <w:rPr>
                <w:sz w:val="14"/>
                <w:szCs w:val="14"/>
                <w:color w:val="auto"/>
              </w:rPr>
            </w:pP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Net cash used in financing activities</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(2,371,088)</w:t>
            </w:r>
          </w:p>
        </w:tc>
      </w:tr>
    </w:tbl>
    <w:p>
      <w:pPr>
        <w:ind w:left="648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281"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68</w:t>
      </w:r>
    </w:p>
    <w:tbl>
      <w:tblPr>
        <w:tblLayout w:type="fixed"/>
        <w:tblInd w:w="0" w:type="dxa"/>
        <w:tblCellMar>
          <w:top w:w="0" w:type="dxa"/>
          <w:left w:w="0" w:type="dxa"/>
          <w:bottom w:w="0" w:type="dxa"/>
          <w:right w:w="0" w:type="dxa"/>
        </w:tblCellMar>
      </w:tblPr>
      <w:tr>
        <w:trPr>
          <w:trHeight w:val="168"/>
        </w:trPr>
        <w:tc>
          <w:tcPr>
            <w:tcW w:w="51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GRAND CENTRAL SANITATION, INC.</w:t>
            </w:r>
          </w:p>
        </w:tc>
        <w:tc>
          <w:tcPr>
            <w:tcW w:w="1280" w:type="dxa"/>
            <w:vAlign w:val="bottom"/>
          </w:tcPr>
          <w:p>
            <w:pPr>
              <w:spacing w:after="0"/>
              <w:rPr>
                <w:sz w:val="14"/>
                <w:szCs w:val="14"/>
                <w:color w:val="auto"/>
              </w:rPr>
            </w:pPr>
          </w:p>
        </w:tc>
      </w:tr>
      <w:tr>
        <w:trPr>
          <w:trHeight w:val="168"/>
        </w:trPr>
        <w:tc>
          <w:tcPr>
            <w:tcW w:w="5120" w:type="dxa"/>
            <w:vAlign w:val="bottom"/>
          </w:tcPr>
          <w:p>
            <w:pPr>
              <w:ind w:left="2540"/>
              <w:spacing w:after="0" w:line="168" w:lineRule="exact"/>
              <w:rPr>
                <w:sz w:val="20"/>
                <w:szCs w:val="20"/>
                <w:color w:val="auto"/>
              </w:rPr>
            </w:pPr>
            <w:r>
              <w:rPr>
                <w:rFonts w:ascii="Courier New" w:cs="Courier New" w:eastAsia="Courier New" w:hAnsi="Courier New"/>
                <w:sz w:val="15"/>
                <w:szCs w:val="15"/>
                <w:color w:val="auto"/>
              </w:rPr>
              <w:t>AND RELATED COMPANIES</w:t>
            </w:r>
          </w:p>
        </w:tc>
        <w:tc>
          <w:tcPr>
            <w:tcW w:w="1280" w:type="dxa"/>
            <w:vAlign w:val="bottom"/>
          </w:tcPr>
          <w:p>
            <w:pPr>
              <w:spacing w:after="0"/>
              <w:rPr>
                <w:sz w:val="14"/>
                <w:szCs w:val="14"/>
                <w:color w:val="auto"/>
              </w:rPr>
            </w:pPr>
          </w:p>
        </w:tc>
      </w:tr>
      <w:tr>
        <w:trPr>
          <w:trHeight w:val="336"/>
        </w:trPr>
        <w:tc>
          <w:tcPr>
            <w:tcW w:w="5120" w:type="dxa"/>
            <w:vAlign w:val="bottom"/>
          </w:tcPr>
          <w:p>
            <w:pPr>
              <w:ind w:left="2460"/>
              <w:spacing w:after="0"/>
              <w:rPr>
                <w:sz w:val="20"/>
                <w:szCs w:val="20"/>
                <w:color w:val="auto"/>
              </w:rPr>
            </w:pPr>
            <w:r>
              <w:rPr>
                <w:rFonts w:ascii="Courier New" w:cs="Courier New" w:eastAsia="Courier New" w:hAnsi="Courier New"/>
                <w:sz w:val="15"/>
                <w:szCs w:val="15"/>
                <w:color w:val="auto"/>
              </w:rPr>
              <w:t>STATEMENT OF CASH FLOWS</w:t>
            </w:r>
          </w:p>
        </w:tc>
        <w:tc>
          <w:tcPr>
            <w:tcW w:w="1280" w:type="dxa"/>
            <w:vAlign w:val="bottom"/>
          </w:tcPr>
          <w:p>
            <w:pPr>
              <w:spacing w:after="0"/>
              <w:rPr>
                <w:sz w:val="24"/>
                <w:szCs w:val="24"/>
                <w:color w:val="auto"/>
              </w:rPr>
            </w:pPr>
          </w:p>
        </w:tc>
      </w:tr>
      <w:tr>
        <w:trPr>
          <w:trHeight w:val="168"/>
        </w:trPr>
        <w:tc>
          <w:tcPr>
            <w:tcW w:w="512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Year Ended December 31, 1995</w:t>
            </w:r>
          </w:p>
        </w:tc>
        <w:tc>
          <w:tcPr>
            <w:tcW w:w="1280" w:type="dxa"/>
            <w:vAlign w:val="bottom"/>
          </w:tcPr>
          <w:p>
            <w:pPr>
              <w:spacing w:after="0"/>
              <w:rPr>
                <w:sz w:val="14"/>
                <w:szCs w:val="14"/>
                <w:color w:val="auto"/>
              </w:rPr>
            </w:pPr>
          </w:p>
        </w:tc>
      </w:tr>
      <w:tr>
        <w:trPr>
          <w:trHeight w:val="673"/>
        </w:trPr>
        <w:tc>
          <w:tcPr>
            <w:tcW w:w="5120" w:type="dxa"/>
            <w:vAlign w:val="bottom"/>
          </w:tcPr>
          <w:p>
            <w:pPr>
              <w:ind w:left="440"/>
              <w:spacing w:after="0"/>
              <w:rPr>
                <w:sz w:val="20"/>
                <w:szCs w:val="20"/>
                <w:color w:val="auto"/>
              </w:rPr>
            </w:pPr>
            <w:r>
              <w:rPr>
                <w:rFonts w:ascii="Courier New" w:cs="Courier New" w:eastAsia="Courier New" w:hAnsi="Courier New"/>
                <w:sz w:val="15"/>
                <w:szCs w:val="15"/>
                <w:color w:val="auto"/>
              </w:rPr>
              <w:t>Net decrease in cash</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(1,177,769)</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1280" w:type="dxa"/>
            <w:vAlign w:val="bottom"/>
          </w:tcPr>
          <w:p>
            <w:pPr>
              <w:spacing w:after="0"/>
              <w:rPr>
                <w:sz w:val="24"/>
                <w:szCs w:val="24"/>
                <w:color w:val="auto"/>
              </w:rPr>
            </w:pP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Beginning</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1,344,007</w:t>
            </w:r>
          </w:p>
        </w:tc>
      </w:tr>
      <w:tr>
        <w:trPr>
          <w:trHeight w:val="168"/>
        </w:trPr>
        <w:tc>
          <w:tcPr>
            <w:tcW w:w="512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tcPr>
          <w:p>
            <w:pPr>
              <w:ind w:left="440"/>
              <w:spacing w:after="0"/>
              <w:rPr>
                <w:sz w:val="20"/>
                <w:szCs w:val="20"/>
                <w:color w:val="auto"/>
              </w:rPr>
            </w:pPr>
            <w:r>
              <w:rPr>
                <w:rFonts w:ascii="Courier New" w:cs="Courier New" w:eastAsia="Courier New" w:hAnsi="Courier New"/>
                <w:sz w:val="15"/>
                <w:szCs w:val="15"/>
                <w:color w:val="auto"/>
              </w:rPr>
              <w:t>Ending</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166,238</w:t>
            </w:r>
          </w:p>
        </w:tc>
      </w:tr>
      <w:tr>
        <w:trPr>
          <w:trHeight w:val="168"/>
        </w:trPr>
        <w:tc>
          <w:tcPr>
            <w:tcW w:w="512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SUPPLEMENTAL DISCLOSURES OF CASH FLOW INFORMATION</w:t>
            </w:r>
          </w:p>
        </w:tc>
        <w:tc>
          <w:tcPr>
            <w:tcW w:w="1280" w:type="dxa"/>
            <w:vAlign w:val="bottom"/>
          </w:tcPr>
          <w:p>
            <w:pPr>
              <w:spacing w:after="0"/>
              <w:rPr>
                <w:sz w:val="24"/>
                <w:szCs w:val="24"/>
                <w:color w:val="auto"/>
              </w:rPr>
            </w:pPr>
          </w:p>
        </w:tc>
      </w:tr>
      <w:tr>
        <w:trPr>
          <w:trHeight w:val="336"/>
        </w:trPr>
        <w:tc>
          <w:tcPr>
            <w:tcW w:w="5120" w:type="dxa"/>
            <w:vAlign w:val="bottom"/>
          </w:tcPr>
          <w:p>
            <w:pPr>
              <w:ind w:left="440"/>
              <w:spacing w:after="0"/>
              <w:rPr>
                <w:sz w:val="20"/>
                <w:szCs w:val="20"/>
                <w:color w:val="auto"/>
              </w:rPr>
            </w:pPr>
            <w:r>
              <w:rPr>
                <w:rFonts w:ascii="Courier New" w:cs="Courier New" w:eastAsia="Courier New" w:hAnsi="Courier New"/>
                <w:sz w:val="15"/>
                <w:szCs w:val="15"/>
                <w:color w:val="auto"/>
              </w:rPr>
              <w:t>Cash payments for:</w:t>
            </w:r>
          </w:p>
        </w:tc>
        <w:tc>
          <w:tcPr>
            <w:tcW w:w="1280" w:type="dxa"/>
            <w:vAlign w:val="bottom"/>
          </w:tcPr>
          <w:p>
            <w:pPr>
              <w:spacing w:after="0"/>
              <w:rPr>
                <w:sz w:val="24"/>
                <w:szCs w:val="24"/>
                <w:color w:val="auto"/>
              </w:rPr>
            </w:pPr>
          </w:p>
        </w:tc>
      </w:tr>
      <w:tr>
        <w:trPr>
          <w:trHeight w:val="168"/>
        </w:trPr>
        <w:tc>
          <w:tcPr>
            <w:tcW w:w="51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Interest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$1,319,061</w:t>
            </w:r>
          </w:p>
        </w:tc>
      </w:tr>
      <w:tr>
        <w:trPr>
          <w:trHeight w:val="168"/>
        </w:trPr>
        <w:tc>
          <w:tcPr>
            <w:tcW w:w="512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SUPPLEMENTAL SCHEDULE OF NONCASH FINANCING</w:t>
            </w:r>
          </w:p>
        </w:tc>
        <w:tc>
          <w:tcPr>
            <w:tcW w:w="1280" w:type="dxa"/>
            <w:vAlign w:val="bottom"/>
          </w:tcPr>
          <w:p>
            <w:pPr>
              <w:spacing w:after="0"/>
              <w:rPr>
                <w:sz w:val="24"/>
                <w:szCs w:val="24"/>
                <w:color w:val="auto"/>
              </w:rPr>
            </w:pP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ACTIVITIES</w:t>
            </w:r>
          </w:p>
        </w:tc>
        <w:tc>
          <w:tcPr>
            <w:tcW w:w="1280" w:type="dxa"/>
            <w:vAlign w:val="bottom"/>
          </w:tcPr>
          <w:p>
            <w:pPr>
              <w:spacing w:after="0"/>
              <w:rPr>
                <w:sz w:val="14"/>
                <w:szCs w:val="14"/>
                <w:color w:val="auto"/>
              </w:rPr>
            </w:pPr>
          </w:p>
        </w:tc>
      </w:tr>
      <w:tr>
        <w:trPr>
          <w:trHeight w:val="336"/>
        </w:trPr>
        <w:tc>
          <w:tcPr>
            <w:tcW w:w="5120" w:type="dxa"/>
            <w:vAlign w:val="bottom"/>
          </w:tcPr>
          <w:p>
            <w:pPr>
              <w:ind w:left="700"/>
              <w:spacing w:after="0"/>
              <w:rPr>
                <w:sz w:val="20"/>
                <w:szCs w:val="20"/>
                <w:color w:val="auto"/>
              </w:rPr>
            </w:pPr>
            <w:r>
              <w:rPr>
                <w:rFonts w:ascii="Courier New" w:cs="Courier New" w:eastAsia="Courier New" w:hAnsi="Courier New"/>
                <w:sz w:val="15"/>
                <w:szCs w:val="15"/>
                <w:color w:val="auto"/>
              </w:rPr>
              <w:t>Long-term debt incurred to refinance other</w:t>
            </w:r>
          </w:p>
        </w:tc>
        <w:tc>
          <w:tcPr>
            <w:tcW w:w="1280" w:type="dxa"/>
            <w:vAlign w:val="bottom"/>
          </w:tcPr>
          <w:p>
            <w:pPr>
              <w:spacing w:after="0"/>
              <w:rPr>
                <w:sz w:val="24"/>
                <w:szCs w:val="24"/>
                <w:color w:val="auto"/>
              </w:rPr>
            </w:pPr>
          </w:p>
        </w:tc>
      </w:tr>
      <w:tr>
        <w:trPr>
          <w:trHeight w:val="168"/>
        </w:trPr>
        <w:tc>
          <w:tcPr>
            <w:tcW w:w="51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long-term debt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$5,035,441</w:t>
            </w:r>
          </w:p>
        </w:tc>
      </w:tr>
      <w:tr>
        <w:trPr>
          <w:trHeight w:val="168"/>
        </w:trPr>
        <w:tc>
          <w:tcPr>
            <w:tcW w:w="512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281"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5"/>
          <w:szCs w:val="15"/>
          <w:color w:val="auto"/>
        </w:rPr>
        <w:t>69</w:t>
      </w:r>
    </w:p>
    <w:p>
      <w:pPr>
        <w:ind w:left="2200"/>
        <w:spacing w:after="0" w:line="237" w:lineRule="auto"/>
        <w:rPr>
          <w:sz w:val="20"/>
          <w:szCs w:val="20"/>
          <w:color w:val="auto"/>
        </w:rPr>
      </w:pPr>
      <w:r>
        <w:rPr>
          <w:rFonts w:ascii="Courier New" w:cs="Courier New" w:eastAsia="Courier New" w:hAnsi="Courier New"/>
          <w:sz w:val="15"/>
          <w:szCs w:val="15"/>
          <w:color w:val="auto"/>
        </w:rPr>
        <w:t>GRAND CENTRAL SANITATION, INC.</w:t>
      </w:r>
    </w:p>
    <w:p>
      <w:pPr>
        <w:ind w:left="2540"/>
        <w:spacing w:after="0" w:line="238" w:lineRule="auto"/>
        <w:rPr>
          <w:sz w:val="20"/>
          <w:szCs w:val="20"/>
          <w:color w:val="auto"/>
        </w:rPr>
      </w:pPr>
      <w:r>
        <w:rPr>
          <w:rFonts w:ascii="Courier New" w:cs="Courier New" w:eastAsia="Courier New" w:hAnsi="Courier New"/>
          <w:sz w:val="15"/>
          <w:szCs w:val="15"/>
          <w:color w:val="auto"/>
        </w:rPr>
        <w:t>AND RELATED COMPANIES</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Summary of Significant Accounting Policies:</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Combined statements:</w:t>
      </w:r>
    </w:p>
    <w:p>
      <w:pPr>
        <w:spacing w:after="0" w:line="173" w:lineRule="exact"/>
        <w:rPr>
          <w:sz w:val="20"/>
          <w:szCs w:val="20"/>
          <w:color w:val="auto"/>
        </w:rPr>
      </w:pPr>
    </w:p>
    <w:p>
      <w:pPr>
        <w:ind w:left="1400" w:right="3319"/>
        <w:spacing w:after="0" w:line="236" w:lineRule="auto"/>
        <w:rPr>
          <w:sz w:val="20"/>
          <w:szCs w:val="20"/>
          <w:color w:val="auto"/>
        </w:rPr>
      </w:pPr>
      <w:r>
        <w:rPr>
          <w:rFonts w:ascii="Courier New" w:cs="Courier New" w:eastAsia="Courier New" w:hAnsi="Courier New"/>
          <w:sz w:val="15"/>
          <w:szCs w:val="15"/>
          <w:color w:val="auto"/>
        </w:rPr>
        <w:t>The combined financial statements include the accounts of Grand Central Sanitation, Inc., Grand Central Sanitary Landfill, Inc., Grand Central Real Estate Company, Inc. and Pocono Independent Paperstock Company, Inc. The stockholders are the same for all of the companies.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Nature of operations:</w:t>
      </w:r>
    </w:p>
    <w:p>
      <w:pPr>
        <w:spacing w:after="0" w:line="173" w:lineRule="exact"/>
        <w:rPr>
          <w:sz w:val="20"/>
          <w:szCs w:val="20"/>
          <w:color w:val="auto"/>
        </w:rPr>
      </w:pPr>
    </w:p>
    <w:p>
      <w:pPr>
        <w:ind w:left="1400" w:right="3319"/>
        <w:spacing w:after="0" w:line="236" w:lineRule="auto"/>
        <w:rPr>
          <w:sz w:val="20"/>
          <w:szCs w:val="20"/>
          <w:color w:val="auto"/>
        </w:rPr>
      </w:pPr>
      <w:r>
        <w:rPr>
          <w:rFonts w:ascii="Courier New" w:cs="Courier New" w:eastAsia="Courier New" w:hAnsi="Courier New"/>
          <w:sz w:val="15"/>
          <w:szCs w:val="15"/>
          <w:color w:val="auto"/>
        </w:rPr>
        <w:t>The companies' operations consist of collection and disposal of solid waste and recycling operations. The combined entities have a single landfill in eastern Pennsylvania and accepts trash predominantly from the Pennsylvania, New Jersey and New York markets.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left="1400" w:right="3319"/>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0"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Trading securities:</w:t>
      </w:r>
    </w:p>
    <w:p>
      <w:pPr>
        <w:spacing w:after="0" w:line="173" w:lineRule="exact"/>
        <w:rPr>
          <w:sz w:val="20"/>
          <w:szCs w:val="20"/>
          <w:color w:val="auto"/>
        </w:rPr>
      </w:pPr>
    </w:p>
    <w:p>
      <w:pPr>
        <w:ind w:left="1400" w:right="3319"/>
        <w:spacing w:after="0" w:line="237" w:lineRule="auto"/>
        <w:rPr>
          <w:sz w:val="20"/>
          <w:szCs w:val="20"/>
          <w:color w:val="auto"/>
        </w:rPr>
      </w:pPr>
      <w:r>
        <w:rPr>
          <w:rFonts w:ascii="Courier New" w:cs="Courier New" w:eastAsia="Courier New" w:hAnsi="Courier New"/>
          <w:sz w:val="15"/>
          <w:szCs w:val="15"/>
          <w:color w:val="auto"/>
        </w:rPr>
        <w:t>Investment securities classified as trading securities are those municipal bonds that the Company has over the history of its operations turned over frequently. Decisions to trade securities are based on various factors which include interest rate fluctuation and maturity length. Trading securities are to be carried at fair value. Unrealized gains or losses are to be reported as increases or decreases in income from operations. Fair values for trading securities are based on quoted market prices. As of December 31, 1995, the difference between market value and cost was immaterial for financial statement purposes and, accordingly, the investment securities for trading are carried at cost.</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Short-term investments:</w:t>
      </w:r>
    </w:p>
    <w:p>
      <w:pPr>
        <w:spacing w:after="0" w:line="173" w:lineRule="exact"/>
        <w:rPr>
          <w:sz w:val="20"/>
          <w:szCs w:val="20"/>
          <w:color w:val="auto"/>
        </w:rPr>
      </w:pPr>
    </w:p>
    <w:p>
      <w:pPr>
        <w:ind w:left="1400" w:right="3399"/>
        <w:spacing w:after="0" w:line="235" w:lineRule="auto"/>
        <w:rPr>
          <w:sz w:val="20"/>
          <w:szCs w:val="20"/>
          <w:color w:val="auto"/>
        </w:rPr>
      </w:pPr>
      <w:r>
        <w:rPr>
          <w:rFonts w:ascii="Courier New" w:cs="Courier New" w:eastAsia="Courier New" w:hAnsi="Courier New"/>
          <w:sz w:val="15"/>
          <w:szCs w:val="15"/>
          <w:color w:val="auto"/>
        </w:rPr>
        <w:t>All certificates of deposit with a maturity of three months or more are included in short-term investments. Short-term investments are stated at cost which approximates their market value as of December 31, 1995.</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39"/>
          </w:cols>
          <w:pgMar w:left="220" w:top="281"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70</w:t>
      </w:r>
    </w:p>
    <w:p>
      <w:pPr>
        <w:ind w:left="2200"/>
        <w:spacing w:after="0" w:line="237" w:lineRule="auto"/>
        <w:rPr>
          <w:sz w:val="20"/>
          <w:szCs w:val="20"/>
          <w:color w:val="auto"/>
        </w:rPr>
      </w:pPr>
      <w:r>
        <w:rPr>
          <w:rFonts w:ascii="Courier New" w:cs="Courier New" w:eastAsia="Courier New" w:hAnsi="Courier New"/>
          <w:sz w:val="15"/>
          <w:szCs w:val="15"/>
          <w:color w:val="auto"/>
        </w:rPr>
        <w:t>GRAND CENTRAL SANITATION, INC.</w:t>
      </w:r>
    </w:p>
    <w:p>
      <w:pPr>
        <w:ind w:left="2540"/>
        <w:spacing w:after="0" w:line="238" w:lineRule="auto"/>
        <w:rPr>
          <w:sz w:val="20"/>
          <w:szCs w:val="20"/>
          <w:color w:val="auto"/>
        </w:rPr>
      </w:pPr>
      <w:r>
        <w:rPr>
          <w:rFonts w:ascii="Courier New" w:cs="Courier New" w:eastAsia="Courier New" w:hAnsi="Courier New"/>
          <w:sz w:val="15"/>
          <w:szCs w:val="15"/>
          <w:color w:val="auto"/>
        </w:rPr>
        <w:t>AND RELATED COMPANIES</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left="1400" w:right="3399"/>
        <w:spacing w:after="0" w:line="235" w:lineRule="auto"/>
        <w:rPr>
          <w:sz w:val="20"/>
          <w:szCs w:val="20"/>
          <w:color w:val="auto"/>
        </w:rPr>
      </w:pPr>
      <w:r>
        <w:rPr>
          <w:rFonts w:ascii="Courier New" w:cs="Courier New" w:eastAsia="Courier New" w:hAnsi="Courier New"/>
          <w:sz w:val="15"/>
          <w:szCs w:val="15"/>
          <w:color w:val="auto"/>
        </w:rPr>
        <w:t>Property and equipment are stated at cost. Depreciation on property and equipment is computed by various rates using straight-line and accelerated methods. The lives of the assets range as follows:</w:t>
      </w:r>
    </w:p>
    <w:p>
      <w:pPr>
        <w:spacing w:after="0" w:line="200" w:lineRule="exact"/>
        <w:rPr>
          <w:sz w:val="20"/>
          <w:szCs w:val="20"/>
          <w:color w:val="auto"/>
        </w:rPr>
      </w:pPr>
    </w:p>
    <w:p>
      <w:pPr>
        <w:spacing w:after="0" w:line="305"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Land improvements</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2-17 years</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Quarry rights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Buildings and building improvements</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5-31.5 years</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Office equipment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5-10 years</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Autos and trucks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Containers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years</w:t>
            </w:r>
          </w:p>
        </w:tc>
      </w:tr>
    </w:tbl>
    <w:p>
      <w:pPr>
        <w:spacing w:after="0" w:line="200" w:lineRule="exact"/>
        <w:rPr>
          <w:sz w:val="20"/>
          <w:szCs w:val="20"/>
          <w:color w:val="auto"/>
        </w:rPr>
      </w:pPr>
    </w:p>
    <w:p>
      <w:pPr>
        <w:spacing w:after="0" w:line="30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New routes:</w:t>
      </w:r>
    </w:p>
    <w:p>
      <w:pPr>
        <w:spacing w:after="0" w:line="173" w:lineRule="exact"/>
        <w:rPr>
          <w:sz w:val="20"/>
          <w:szCs w:val="20"/>
          <w:color w:val="auto"/>
        </w:rPr>
      </w:pPr>
    </w:p>
    <w:p>
      <w:pPr>
        <w:ind w:left="1400" w:right="3499"/>
        <w:spacing w:after="0" w:line="235" w:lineRule="auto"/>
        <w:rPr>
          <w:sz w:val="20"/>
          <w:szCs w:val="20"/>
          <w:color w:val="auto"/>
        </w:rPr>
      </w:pPr>
      <w:r>
        <w:rPr>
          <w:rFonts w:ascii="Courier New" w:cs="Courier New" w:eastAsia="Courier New" w:hAnsi="Courier New"/>
          <w:sz w:val="15"/>
          <w:szCs w:val="15"/>
          <w:color w:val="auto"/>
        </w:rPr>
        <w:t>New routes are carried at cost less accumulated amortization and are being amortized over a period of five years using the straight-line method.</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Unearned revenue:</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Unearned revenue consists of billings for services to be</w:t>
      </w:r>
    </w:p>
    <w:p>
      <w:pPr>
        <w:ind w:left="1400"/>
        <w:spacing w:after="0" w:line="237" w:lineRule="auto"/>
        <w:rPr>
          <w:sz w:val="20"/>
          <w:szCs w:val="20"/>
          <w:color w:val="auto"/>
        </w:rPr>
      </w:pPr>
      <w:r>
        <w:rPr>
          <w:rFonts w:ascii="Courier New" w:cs="Courier New" w:eastAsia="Courier New" w:hAnsi="Courier New"/>
          <w:sz w:val="15"/>
          <w:szCs w:val="15"/>
          <w:color w:val="auto"/>
        </w:rPr>
        <w:t>rendered in future periods.</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Landfill Tax Escrow\Landfill Taxes Payable</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In March, 1994, the Company agreed to settle a tax dispute with</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Plainfield Township. The settlement required the Company to pay the</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balance of the escrow account and requires ten equal annual</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installments of $62,000 with payments commencing prior to December,</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1994. The Company will be entitled to credits in the aggregate of</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$10,000 per year for amounts equal to the market value of product or</w:t>
      </w:r>
    </w:p>
    <w:p>
      <w:pPr>
        <w:spacing w:after="0" w:line="10"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services supplied to Plainfield Township. As of December 31, 1995,</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$356,292 discounted at 8% is owed to Plainfield Township.</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Related Party Transactions</w:t>
      </w:r>
    </w:p>
    <w:p>
      <w:pPr>
        <w:spacing w:after="0" w:line="173" w:lineRule="exact"/>
        <w:rPr>
          <w:sz w:val="20"/>
          <w:szCs w:val="20"/>
          <w:color w:val="auto"/>
        </w:rPr>
      </w:pPr>
    </w:p>
    <w:p>
      <w:pPr>
        <w:ind w:left="980" w:right="3579"/>
        <w:spacing w:after="0" w:line="235" w:lineRule="auto"/>
        <w:rPr>
          <w:sz w:val="20"/>
          <w:szCs w:val="20"/>
          <w:color w:val="auto"/>
        </w:rPr>
      </w:pPr>
      <w:r>
        <w:rPr>
          <w:rFonts w:ascii="Courier New" w:cs="Courier New" w:eastAsia="Courier New" w:hAnsi="Courier New"/>
          <w:sz w:val="15"/>
          <w:szCs w:val="15"/>
          <w:color w:val="auto"/>
        </w:rPr>
        <w:t>The stockholders of Grand Central Sanitation, Inc. and Related Companies are also the stockholders of Continental Interloc, Inc. and Resource Consulting, Inc.</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281"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5"/>
          <w:szCs w:val="15"/>
          <w:color w:val="auto"/>
        </w:rPr>
        <w:t>71</w:t>
      </w:r>
    </w:p>
    <w:p>
      <w:pPr>
        <w:ind w:left="2200"/>
        <w:spacing w:after="0" w:line="237" w:lineRule="auto"/>
        <w:rPr>
          <w:sz w:val="20"/>
          <w:szCs w:val="20"/>
          <w:color w:val="auto"/>
        </w:rPr>
      </w:pPr>
      <w:r>
        <w:rPr>
          <w:rFonts w:ascii="Courier New" w:cs="Courier New" w:eastAsia="Courier New" w:hAnsi="Courier New"/>
          <w:sz w:val="15"/>
          <w:szCs w:val="15"/>
          <w:color w:val="auto"/>
        </w:rPr>
        <w:t>GRAND CENTRAL SANITATION, INC.</w:t>
      </w:r>
    </w:p>
    <w:p>
      <w:pPr>
        <w:ind w:left="2540"/>
        <w:spacing w:after="0" w:line="238" w:lineRule="auto"/>
        <w:rPr>
          <w:sz w:val="20"/>
          <w:szCs w:val="20"/>
          <w:color w:val="auto"/>
        </w:rPr>
      </w:pPr>
      <w:r>
        <w:rPr>
          <w:rFonts w:ascii="Courier New" w:cs="Courier New" w:eastAsia="Courier New" w:hAnsi="Courier New"/>
          <w:sz w:val="15"/>
          <w:szCs w:val="15"/>
          <w:color w:val="auto"/>
        </w:rPr>
        <w:t>AND RELATED COMPANIES</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73" w:lineRule="exact"/>
        <w:rPr>
          <w:sz w:val="20"/>
          <w:szCs w:val="20"/>
          <w:color w:val="auto"/>
        </w:rPr>
      </w:pPr>
    </w:p>
    <w:p>
      <w:pPr>
        <w:ind w:left="980" w:right="3399"/>
        <w:spacing w:after="0" w:line="234" w:lineRule="auto"/>
        <w:rPr>
          <w:sz w:val="20"/>
          <w:szCs w:val="20"/>
          <w:color w:val="auto"/>
        </w:rPr>
      </w:pPr>
      <w:r>
        <w:rPr>
          <w:rFonts w:ascii="Courier New" w:cs="Courier New" w:eastAsia="Courier New" w:hAnsi="Courier New"/>
          <w:sz w:val="15"/>
          <w:szCs w:val="15"/>
          <w:color w:val="auto"/>
        </w:rPr>
        <w:t>Loans receivable with these related parties as of December 31, 1995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Continental Interloc, Inc.</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$26,557</w:t>
            </w:r>
          </w:p>
        </w:tc>
      </w:tr>
      <w:tr>
        <w:trPr>
          <w:trHeight w:val="168"/>
        </w:trPr>
        <w:tc>
          <w:tcPr>
            <w:tcW w:w="3180" w:type="dxa"/>
            <w:vAlign w:val="bottom"/>
          </w:tcPr>
          <w:p>
            <w:pPr>
              <w:spacing w:after="0" w:line="168" w:lineRule="exact"/>
              <w:rPr>
                <w:sz w:val="20"/>
                <w:szCs w:val="20"/>
                <w:color w:val="auto"/>
              </w:rPr>
            </w:pPr>
            <w:r>
              <w:rPr>
                <w:rFonts w:ascii="Courier New" w:cs="Courier New" w:eastAsia="Courier New" w:hAnsi="Courier New"/>
                <w:sz w:val="15"/>
                <w:szCs w:val="15"/>
                <w:color w:val="auto"/>
              </w:rPr>
              <w:t>Resource Consulting, Inc.</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3,626</w:t>
            </w:r>
          </w:p>
        </w:tc>
      </w:tr>
    </w:tbl>
    <w:p>
      <w:pPr>
        <w:ind w:left="5080"/>
        <w:spacing w:after="0" w:line="237" w:lineRule="auto"/>
        <w:rPr>
          <w:sz w:val="20"/>
          <w:szCs w:val="20"/>
          <w:color w:val="auto"/>
        </w:rPr>
      </w:pPr>
      <w:r>
        <w:rPr>
          <w:rFonts w:ascii="Courier New" w:cs="Courier New" w:eastAsia="Courier New" w:hAnsi="Courier New"/>
          <w:sz w:val="15"/>
          <w:szCs w:val="15"/>
          <w:color w:val="auto"/>
        </w:rPr>
        <w:t>-------</w:t>
      </w:r>
    </w:p>
    <w:p>
      <w:pPr>
        <w:ind w:left="5080"/>
        <w:spacing w:after="0" w:line="238" w:lineRule="auto"/>
        <w:rPr>
          <w:sz w:val="20"/>
          <w:szCs w:val="20"/>
          <w:color w:val="auto"/>
        </w:rPr>
      </w:pPr>
      <w:r>
        <w:rPr>
          <w:rFonts w:ascii="Courier New" w:cs="Courier New" w:eastAsia="Courier New" w:hAnsi="Courier New"/>
          <w:sz w:val="15"/>
          <w:szCs w:val="15"/>
          <w:color w:val="auto"/>
        </w:rPr>
        <w:t>$30,183</w:t>
      </w:r>
    </w:p>
    <w:p>
      <w:pPr>
        <w:ind w:left="508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The Company has loans payable, stockholders in the amount of</w:t>
      </w:r>
    </w:p>
    <w:p>
      <w:pPr>
        <w:spacing w:after="0" w:line="5" w:lineRule="exact"/>
        <w:rPr>
          <w:sz w:val="20"/>
          <w:szCs w:val="20"/>
          <w:color w:val="auto"/>
        </w:rPr>
      </w:pPr>
    </w:p>
    <w:p>
      <w:pPr>
        <w:ind w:left="980" w:right="3319"/>
        <w:spacing w:after="0" w:line="235" w:lineRule="auto"/>
        <w:rPr>
          <w:sz w:val="20"/>
          <w:szCs w:val="20"/>
          <w:color w:val="auto"/>
        </w:rPr>
      </w:pPr>
      <w:r>
        <w:rPr>
          <w:rFonts w:ascii="Courier New" w:cs="Courier New" w:eastAsia="Courier New" w:hAnsi="Courier New"/>
          <w:sz w:val="15"/>
          <w:szCs w:val="15"/>
          <w:color w:val="auto"/>
        </w:rPr>
        <w:t>$1,303,261 as of December 31, 1995, respectively. The loans due to the stockholders are noninterest bearing and have no fixed repayment terms.</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Note Payable, Bank</w:t>
      </w:r>
    </w:p>
    <w:p>
      <w:pPr>
        <w:spacing w:after="0" w:line="173" w:lineRule="exact"/>
        <w:rPr>
          <w:sz w:val="20"/>
          <w:szCs w:val="20"/>
          <w:color w:val="auto"/>
        </w:rPr>
      </w:pPr>
    </w:p>
    <w:p>
      <w:pPr>
        <w:ind w:left="980" w:right="3319"/>
        <w:spacing w:after="0" w:line="255" w:lineRule="auto"/>
        <w:rPr>
          <w:sz w:val="20"/>
          <w:szCs w:val="20"/>
          <w:color w:val="auto"/>
        </w:rPr>
      </w:pPr>
      <w:r>
        <w:rPr>
          <w:rFonts w:ascii="Courier New" w:cs="Courier New" w:eastAsia="Courier New" w:hAnsi="Courier New"/>
          <w:sz w:val="14"/>
          <w:szCs w:val="14"/>
          <w:color w:val="auto"/>
        </w:rPr>
        <w:t>Grand Central Sanitation, Inc. has a $1,000,000 line of credit with a bank with interest payable monthly at the bank's National Commercial Rate. The note is collateralized by accounts receivable, machinery and equipment and is collateralized and cross defaulted with other Meridian Bank debt. Grand Central Sanitary Landfill, Inc. and Grand Central Real Estate Company, Inc. are sureties. The balance of the note is $250,000 as of December 31, 1995.</w:t>
      </w:r>
    </w:p>
    <w:p>
      <w:pPr>
        <w:spacing w:after="0" w:line="160"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Long-Term Debt</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Long-term debt as of December 31, 1995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Summit Bank, real estate</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loans:</w:t>
            </w: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9"/>
              </w:rPr>
              <w:t>$1,375 per month</w:t>
            </w:r>
          </w:p>
        </w:tc>
        <w:tc>
          <w:tcPr>
            <w:tcW w:w="1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plus interest</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at prime plus</w:t>
            </w:r>
          </w:p>
        </w:tc>
        <w:tc>
          <w:tcPr>
            <w:tcW w:w="1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.75%, due</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1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December, 2000.</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96,250</w:t>
            </w:r>
          </w:p>
        </w:tc>
      </w:tr>
      <w:tr>
        <w:trPr>
          <w:trHeight w:val="168"/>
        </w:trPr>
        <w:tc>
          <w:tcPr>
            <w:tcW w:w="31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$425 per month plus interest</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at prime plus</w:t>
            </w:r>
          </w:p>
        </w:tc>
        <w:tc>
          <w:tcPr>
            <w:tcW w:w="1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.75%, due</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1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December, 2000.</w:t>
            </w:r>
          </w:p>
        </w:tc>
        <w:tc>
          <w:tcPr>
            <w:tcW w:w="5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30,175</w:t>
            </w:r>
          </w:p>
        </w:tc>
      </w:tr>
      <w:tr>
        <w:trPr>
          <w:trHeight w:val="168"/>
        </w:trPr>
        <w:tc>
          <w:tcPr>
            <w:tcW w:w="31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$467 per month plus interest</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at prime plus</w:t>
            </w:r>
          </w:p>
        </w:tc>
        <w:tc>
          <w:tcPr>
            <w:tcW w:w="1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.75%, due</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1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December, 2000.</w:t>
            </w:r>
          </w:p>
        </w:tc>
        <w:tc>
          <w:tcPr>
            <w:tcW w:w="5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33,133</w:t>
            </w:r>
          </w:p>
        </w:tc>
      </w:tr>
      <w:tr>
        <w:trPr>
          <w:trHeight w:val="168"/>
        </w:trPr>
        <w:tc>
          <w:tcPr>
            <w:tcW w:w="31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$488 per month plus interest</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at prime plus</w:t>
            </w:r>
          </w:p>
        </w:tc>
        <w:tc>
          <w:tcPr>
            <w:tcW w:w="1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 due</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April, 1997.</w:t>
            </w: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7,313</w:t>
            </w:r>
          </w:p>
        </w:tc>
      </w:tr>
      <w:tr>
        <w:trPr>
          <w:trHeight w:val="168"/>
        </w:trPr>
        <w:tc>
          <w:tcPr>
            <w:tcW w:w="1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9"/>
              </w:rPr>
              <w:t>$1,750 per month</w:t>
            </w:r>
          </w:p>
        </w:tc>
        <w:tc>
          <w:tcPr>
            <w:tcW w:w="1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plus interest</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at prime plus</w:t>
            </w:r>
          </w:p>
        </w:tc>
        <w:tc>
          <w:tcPr>
            <w:tcW w:w="1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.75%, due</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March, 2003.</w:t>
            </w: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152,013</w:t>
            </w:r>
          </w:p>
        </w:tc>
      </w:tr>
      <w:tr>
        <w:trPr>
          <w:trHeight w:val="673"/>
        </w:trPr>
        <w:tc>
          <w:tcPr>
            <w:tcW w:w="1620" w:type="dxa"/>
            <w:vAlign w:val="bottom"/>
          </w:tcPr>
          <w:p>
            <w:pPr>
              <w:spacing w:after="0"/>
              <w:rPr>
                <w:sz w:val="24"/>
                <w:szCs w:val="24"/>
                <w:color w:val="auto"/>
              </w:rPr>
            </w:pPr>
          </w:p>
        </w:tc>
        <w:tc>
          <w:tcPr>
            <w:tcW w:w="1560" w:type="dxa"/>
            <w:vAlign w:val="bottom"/>
          </w:tcPr>
          <w:p>
            <w:pPr>
              <w:ind w:left="560"/>
              <w:spacing w:after="0"/>
              <w:rPr>
                <w:sz w:val="20"/>
                <w:szCs w:val="20"/>
                <w:color w:val="auto"/>
              </w:rPr>
            </w:pPr>
            <w:r>
              <w:rPr>
                <w:rFonts w:ascii="Courier New" w:cs="Courier New" w:eastAsia="Courier New" w:hAnsi="Courier New"/>
                <w:sz w:val="15"/>
                <w:szCs w:val="15"/>
                <w:color w:val="auto"/>
              </w:rPr>
              <w:t>71</w:t>
            </w: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5"/>
          <w:szCs w:val="15"/>
          <w:color w:val="auto"/>
        </w:rPr>
        <w:t>72</w:t>
      </w:r>
    </w:p>
    <w:p>
      <w:pPr>
        <w:ind w:left="1920"/>
        <w:spacing w:after="0" w:line="237" w:lineRule="auto"/>
        <w:rPr>
          <w:sz w:val="20"/>
          <w:szCs w:val="20"/>
          <w:color w:val="auto"/>
        </w:rPr>
      </w:pPr>
      <w:r>
        <w:rPr>
          <w:rFonts w:ascii="Courier New" w:cs="Courier New" w:eastAsia="Courier New" w:hAnsi="Courier New"/>
          <w:sz w:val="15"/>
          <w:szCs w:val="15"/>
          <w:color w:val="auto"/>
        </w:rPr>
        <w:t>GRAND CENTRAL SANITATION, INC.</w:t>
      </w:r>
    </w:p>
    <w:tbl>
      <w:tblPr>
        <w:tblLayout w:type="fixed"/>
        <w:tblInd w:w="700" w:type="dxa"/>
        <w:tblCellMar>
          <w:top w:w="0" w:type="dxa"/>
          <w:left w:w="0" w:type="dxa"/>
          <w:bottom w:w="0" w:type="dxa"/>
          <w:right w:w="0" w:type="dxa"/>
        </w:tblCellMar>
      </w:tblPr>
      <w:tr>
        <w:trPr>
          <w:trHeight w:val="169"/>
        </w:trPr>
        <w:tc>
          <w:tcPr>
            <w:tcW w:w="3660" w:type="dxa"/>
            <w:vAlign w:val="bottom"/>
          </w:tcPr>
          <w:p>
            <w:pPr>
              <w:ind w:left="1560"/>
              <w:spacing w:after="0" w:line="169" w:lineRule="exact"/>
              <w:rPr>
                <w:sz w:val="20"/>
                <w:szCs w:val="20"/>
                <w:color w:val="auto"/>
              </w:rPr>
            </w:pPr>
            <w:r>
              <w:rPr>
                <w:rFonts w:ascii="Courier New" w:cs="Courier New" w:eastAsia="Courier New" w:hAnsi="Courier New"/>
                <w:sz w:val="15"/>
                <w:szCs w:val="15"/>
                <w:color w:val="auto"/>
              </w:rPr>
              <w:t>AND RELATED COMPANIES</w:t>
            </w:r>
          </w:p>
        </w:tc>
        <w:tc>
          <w:tcPr>
            <w:tcW w:w="1060" w:type="dxa"/>
            <w:vAlign w:val="bottom"/>
          </w:tcPr>
          <w:p>
            <w:pPr>
              <w:spacing w:after="0"/>
              <w:rPr>
                <w:sz w:val="14"/>
                <w:szCs w:val="14"/>
                <w:color w:val="auto"/>
              </w:rPr>
            </w:pPr>
          </w:p>
        </w:tc>
      </w:tr>
      <w:tr>
        <w:trPr>
          <w:trHeight w:val="336"/>
        </w:trPr>
        <w:tc>
          <w:tcPr>
            <w:tcW w:w="472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NOTES TO COMBINED FINANCIAL STATEMENTS</w:t>
            </w:r>
          </w:p>
        </w:tc>
      </w:tr>
      <w:tr>
        <w:trPr>
          <w:trHeight w:val="673"/>
        </w:trPr>
        <w:tc>
          <w:tcPr>
            <w:tcW w:w="3660" w:type="dxa"/>
            <w:vAlign w:val="bottom"/>
          </w:tcPr>
          <w:p>
            <w:pPr>
              <w:ind w:left="260"/>
              <w:spacing w:after="0"/>
              <w:rPr>
                <w:sz w:val="20"/>
                <w:szCs w:val="20"/>
                <w:color w:val="auto"/>
              </w:rPr>
            </w:pPr>
            <w:r>
              <w:rPr>
                <w:rFonts w:ascii="Courier New" w:cs="Courier New" w:eastAsia="Courier New" w:hAnsi="Courier New"/>
                <w:sz w:val="15"/>
                <w:szCs w:val="15"/>
                <w:color w:val="auto"/>
              </w:rPr>
              <w:t>$708 per month plus interest</w:t>
            </w:r>
          </w:p>
        </w:tc>
        <w:tc>
          <w:tcPr>
            <w:tcW w:w="1060" w:type="dxa"/>
            <w:vAlign w:val="bottom"/>
          </w:tcPr>
          <w:p>
            <w:pPr>
              <w:spacing w:after="0"/>
              <w:rPr>
                <w:sz w:val="24"/>
                <w:szCs w:val="24"/>
                <w:color w:val="auto"/>
              </w:rPr>
            </w:pPr>
          </w:p>
        </w:tc>
      </w:tr>
      <w:tr>
        <w:trPr>
          <w:trHeight w:val="168"/>
        </w:trPr>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at prime plus .5%, due</w:t>
            </w:r>
          </w:p>
        </w:tc>
        <w:tc>
          <w:tcPr>
            <w:tcW w:w="1060" w:type="dxa"/>
            <w:vAlign w:val="bottom"/>
          </w:tcPr>
          <w:p>
            <w:pPr>
              <w:spacing w:after="0"/>
              <w:rPr>
                <w:sz w:val="14"/>
                <w:szCs w:val="14"/>
                <w:color w:val="auto"/>
              </w:rPr>
            </w:pPr>
          </w:p>
        </w:tc>
      </w:tr>
      <w:tr>
        <w:trPr>
          <w:trHeight w:val="168"/>
        </w:trPr>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July, 1997.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13,459</w:t>
            </w: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$833 per month plus interest</w:t>
            </w:r>
          </w:p>
        </w:tc>
        <w:tc>
          <w:tcPr>
            <w:tcW w:w="1060" w:type="dxa"/>
            <w:vAlign w:val="bottom"/>
          </w:tcPr>
          <w:p>
            <w:pPr>
              <w:spacing w:after="0"/>
              <w:rPr>
                <w:sz w:val="14"/>
                <w:szCs w:val="14"/>
                <w:color w:val="auto"/>
              </w:rPr>
            </w:pPr>
          </w:p>
        </w:tc>
      </w:tr>
      <w:tr>
        <w:trPr>
          <w:trHeight w:val="168"/>
        </w:trPr>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at prime plus .5%, due</w:t>
            </w:r>
          </w:p>
        </w:tc>
        <w:tc>
          <w:tcPr>
            <w:tcW w:w="1060" w:type="dxa"/>
            <w:vAlign w:val="bottom"/>
          </w:tcPr>
          <w:p>
            <w:pPr>
              <w:spacing w:after="0"/>
              <w:rPr>
                <w:sz w:val="14"/>
                <w:szCs w:val="14"/>
                <w:color w:val="auto"/>
              </w:rPr>
            </w:pPr>
          </w:p>
        </w:tc>
      </w:tr>
      <w:tr>
        <w:trPr>
          <w:trHeight w:val="168"/>
        </w:trPr>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July, 1997.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15,834</w:t>
            </w: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$1,806 per month plus interest</w:t>
            </w:r>
          </w:p>
        </w:tc>
        <w:tc>
          <w:tcPr>
            <w:tcW w:w="1060" w:type="dxa"/>
            <w:vAlign w:val="bottom"/>
          </w:tcPr>
          <w:p>
            <w:pPr>
              <w:spacing w:after="0"/>
              <w:rPr>
                <w:sz w:val="14"/>
                <w:szCs w:val="14"/>
                <w:color w:val="auto"/>
              </w:rPr>
            </w:pPr>
          </w:p>
        </w:tc>
      </w:tr>
      <w:tr>
        <w:trPr>
          <w:trHeight w:val="168"/>
        </w:trPr>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at prime plus .5%, due</w:t>
            </w:r>
          </w:p>
        </w:tc>
        <w:tc>
          <w:tcPr>
            <w:tcW w:w="1060" w:type="dxa"/>
            <w:vAlign w:val="bottom"/>
          </w:tcPr>
          <w:p>
            <w:pPr>
              <w:spacing w:after="0"/>
              <w:rPr>
                <w:sz w:val="14"/>
                <w:szCs w:val="14"/>
                <w:color w:val="auto"/>
              </w:rPr>
            </w:pPr>
          </w:p>
        </w:tc>
      </w:tr>
      <w:tr>
        <w:trPr>
          <w:trHeight w:val="168"/>
        </w:trPr>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August, 2002.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144,445</w:t>
            </w: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$2,583 per month plus interest</w:t>
            </w:r>
          </w:p>
        </w:tc>
        <w:tc>
          <w:tcPr>
            <w:tcW w:w="1060" w:type="dxa"/>
            <w:vAlign w:val="bottom"/>
          </w:tcPr>
          <w:p>
            <w:pPr>
              <w:spacing w:after="0"/>
              <w:rPr>
                <w:sz w:val="14"/>
                <w:szCs w:val="14"/>
                <w:color w:val="auto"/>
              </w:rPr>
            </w:pPr>
          </w:p>
        </w:tc>
      </w:tr>
      <w:tr>
        <w:trPr>
          <w:trHeight w:val="168"/>
        </w:trPr>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at prime plus .5%, due</w:t>
            </w:r>
          </w:p>
        </w:tc>
        <w:tc>
          <w:tcPr>
            <w:tcW w:w="1060" w:type="dxa"/>
            <w:vAlign w:val="bottom"/>
          </w:tcPr>
          <w:p>
            <w:pPr>
              <w:spacing w:after="0"/>
              <w:rPr>
                <w:sz w:val="14"/>
                <w:szCs w:val="14"/>
                <w:color w:val="auto"/>
              </w:rPr>
            </w:pPr>
          </w:p>
        </w:tc>
      </w:tr>
      <w:tr>
        <w:trPr>
          <w:trHeight w:val="168"/>
        </w:trPr>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August, 2002.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206,667</w:t>
            </w: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$3,417 per month plus interest</w:t>
            </w:r>
          </w:p>
        </w:tc>
        <w:tc>
          <w:tcPr>
            <w:tcW w:w="1060" w:type="dxa"/>
            <w:vAlign w:val="bottom"/>
          </w:tcPr>
          <w:p>
            <w:pPr>
              <w:spacing w:after="0"/>
              <w:rPr>
                <w:sz w:val="14"/>
                <w:szCs w:val="14"/>
                <w:color w:val="auto"/>
              </w:rPr>
            </w:pPr>
          </w:p>
        </w:tc>
      </w:tr>
      <w:tr>
        <w:trPr>
          <w:trHeight w:val="168"/>
        </w:trPr>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at prime plus .75%, due</w:t>
            </w:r>
          </w:p>
        </w:tc>
        <w:tc>
          <w:tcPr>
            <w:tcW w:w="1060" w:type="dxa"/>
            <w:vAlign w:val="bottom"/>
          </w:tcPr>
          <w:p>
            <w:pPr>
              <w:spacing w:after="0"/>
              <w:rPr>
                <w:sz w:val="14"/>
                <w:szCs w:val="14"/>
                <w:color w:val="auto"/>
              </w:rPr>
            </w:pPr>
          </w:p>
        </w:tc>
      </w:tr>
      <w:tr>
        <w:trPr>
          <w:trHeight w:val="168"/>
        </w:trPr>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May, 2003.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304,084</w:t>
            </w: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$2,000 per month plus interest</w:t>
            </w:r>
          </w:p>
        </w:tc>
        <w:tc>
          <w:tcPr>
            <w:tcW w:w="1060" w:type="dxa"/>
            <w:vAlign w:val="bottom"/>
          </w:tcPr>
          <w:p>
            <w:pPr>
              <w:spacing w:after="0"/>
              <w:rPr>
                <w:sz w:val="14"/>
                <w:szCs w:val="14"/>
                <w:color w:val="auto"/>
              </w:rPr>
            </w:pPr>
          </w:p>
        </w:tc>
      </w:tr>
      <w:tr>
        <w:trPr>
          <w:trHeight w:val="168"/>
        </w:trPr>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at 8.33%, due May, 2001.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130,000</w:t>
            </w:r>
          </w:p>
        </w:tc>
      </w:tr>
      <w:tr>
        <w:trPr>
          <w:trHeight w:val="336"/>
        </w:trPr>
        <w:tc>
          <w:tcPr>
            <w:tcW w:w="3660" w:type="dxa"/>
            <w:vAlign w:val="bottom"/>
          </w:tcPr>
          <w:p>
            <w:pPr>
              <w:spacing w:after="0"/>
              <w:rPr>
                <w:sz w:val="20"/>
                <w:szCs w:val="20"/>
                <w:color w:val="auto"/>
              </w:rPr>
            </w:pPr>
            <w:r>
              <w:rPr>
                <w:rFonts w:ascii="Courier New" w:cs="Courier New" w:eastAsia="Courier New" w:hAnsi="Courier New"/>
                <w:sz w:val="15"/>
                <w:szCs w:val="15"/>
                <w:color w:val="auto"/>
              </w:rPr>
              <w:t>Individual:</w:t>
            </w:r>
          </w:p>
        </w:tc>
        <w:tc>
          <w:tcPr>
            <w:tcW w:w="1060" w:type="dxa"/>
            <w:vAlign w:val="bottom"/>
          </w:tcPr>
          <w:p>
            <w:pPr>
              <w:spacing w:after="0"/>
              <w:rPr>
                <w:sz w:val="24"/>
                <w:szCs w:val="2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Route purchase loan, $6,818</w:t>
            </w:r>
          </w:p>
        </w:tc>
        <w:tc>
          <w:tcPr>
            <w:tcW w:w="1060" w:type="dxa"/>
            <w:vAlign w:val="bottom"/>
          </w:tcPr>
          <w:p>
            <w:pPr>
              <w:spacing w:after="0"/>
              <w:rPr>
                <w:sz w:val="14"/>
                <w:szCs w:val="1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per month including interest</w:t>
            </w:r>
          </w:p>
        </w:tc>
        <w:tc>
          <w:tcPr>
            <w:tcW w:w="1060" w:type="dxa"/>
            <w:vAlign w:val="bottom"/>
          </w:tcPr>
          <w:p>
            <w:pPr>
              <w:spacing w:after="0"/>
              <w:rPr>
                <w:sz w:val="14"/>
                <w:szCs w:val="1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at 6.5%, due December, 1997.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147,053</w:t>
            </w:r>
          </w:p>
        </w:tc>
      </w:tr>
      <w:tr>
        <w:trPr>
          <w:trHeight w:val="336"/>
        </w:trPr>
        <w:tc>
          <w:tcPr>
            <w:tcW w:w="3660" w:type="dxa"/>
            <w:vAlign w:val="bottom"/>
          </w:tcPr>
          <w:p>
            <w:pPr>
              <w:ind w:left="260"/>
              <w:spacing w:after="0"/>
              <w:rPr>
                <w:sz w:val="20"/>
                <w:szCs w:val="20"/>
                <w:color w:val="auto"/>
              </w:rPr>
            </w:pPr>
            <w:r>
              <w:rPr>
                <w:rFonts w:ascii="Courier New" w:cs="Courier New" w:eastAsia="Courier New" w:hAnsi="Courier New"/>
                <w:sz w:val="15"/>
                <w:szCs w:val="15"/>
                <w:color w:val="auto"/>
              </w:rPr>
              <w:t>Equipment loan, $2,478 per</w:t>
            </w:r>
          </w:p>
        </w:tc>
        <w:tc>
          <w:tcPr>
            <w:tcW w:w="1060" w:type="dxa"/>
            <w:vAlign w:val="bottom"/>
          </w:tcPr>
          <w:p>
            <w:pPr>
              <w:spacing w:after="0"/>
              <w:rPr>
                <w:sz w:val="24"/>
                <w:szCs w:val="2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month plus interest at 6.25%,</w:t>
            </w:r>
          </w:p>
        </w:tc>
        <w:tc>
          <w:tcPr>
            <w:tcW w:w="1060" w:type="dxa"/>
            <w:vAlign w:val="bottom"/>
          </w:tcPr>
          <w:p>
            <w:pPr>
              <w:spacing w:after="0"/>
              <w:rPr>
                <w:sz w:val="14"/>
                <w:szCs w:val="1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various equipment pledged</w:t>
            </w:r>
          </w:p>
        </w:tc>
        <w:tc>
          <w:tcPr>
            <w:tcW w:w="1060" w:type="dxa"/>
            <w:vAlign w:val="bottom"/>
          </w:tcPr>
          <w:p>
            <w:pPr>
              <w:spacing w:after="0"/>
              <w:rPr>
                <w:sz w:val="14"/>
                <w:szCs w:val="1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as collateral due November,</w:t>
            </w:r>
          </w:p>
        </w:tc>
        <w:tc>
          <w:tcPr>
            <w:tcW w:w="1060" w:type="dxa"/>
            <w:vAlign w:val="bottom"/>
          </w:tcPr>
          <w:p>
            <w:pPr>
              <w:spacing w:after="0"/>
              <w:rPr>
                <w:sz w:val="14"/>
                <w:szCs w:val="1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101,127</w:t>
            </w:r>
          </w:p>
        </w:tc>
      </w:tr>
      <w:tr>
        <w:trPr>
          <w:trHeight w:val="336"/>
        </w:trPr>
        <w:tc>
          <w:tcPr>
            <w:tcW w:w="3660" w:type="dxa"/>
            <w:vAlign w:val="bottom"/>
          </w:tcPr>
          <w:p>
            <w:pPr>
              <w:spacing w:after="0"/>
              <w:rPr>
                <w:sz w:val="20"/>
                <w:szCs w:val="20"/>
                <w:color w:val="auto"/>
              </w:rPr>
            </w:pPr>
            <w:r>
              <w:rPr>
                <w:rFonts w:ascii="Courier New" w:cs="Courier New" w:eastAsia="Courier New" w:hAnsi="Courier New"/>
                <w:sz w:val="15"/>
                <w:szCs w:val="15"/>
                <w:color w:val="auto"/>
              </w:rPr>
              <w:t>Meridian Bank:</w:t>
            </w:r>
          </w:p>
        </w:tc>
        <w:tc>
          <w:tcPr>
            <w:tcW w:w="1060" w:type="dxa"/>
            <w:vAlign w:val="bottom"/>
          </w:tcPr>
          <w:p>
            <w:pPr>
              <w:spacing w:after="0"/>
              <w:rPr>
                <w:sz w:val="24"/>
                <w:szCs w:val="2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Equipment loan, $48,273 per</w:t>
            </w:r>
          </w:p>
        </w:tc>
        <w:tc>
          <w:tcPr>
            <w:tcW w:w="1060" w:type="dxa"/>
            <w:vAlign w:val="bottom"/>
          </w:tcPr>
          <w:p>
            <w:pPr>
              <w:spacing w:after="0"/>
              <w:rPr>
                <w:sz w:val="14"/>
                <w:szCs w:val="1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month including interest</w:t>
            </w:r>
          </w:p>
        </w:tc>
        <w:tc>
          <w:tcPr>
            <w:tcW w:w="1060" w:type="dxa"/>
            <w:vAlign w:val="bottom"/>
          </w:tcPr>
          <w:p>
            <w:pPr>
              <w:spacing w:after="0"/>
              <w:rPr>
                <w:sz w:val="14"/>
                <w:szCs w:val="1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at 6.45%, various equipment</w:t>
            </w:r>
          </w:p>
        </w:tc>
        <w:tc>
          <w:tcPr>
            <w:tcW w:w="1060" w:type="dxa"/>
            <w:vAlign w:val="bottom"/>
          </w:tcPr>
          <w:p>
            <w:pPr>
              <w:spacing w:after="0"/>
              <w:rPr>
                <w:sz w:val="14"/>
                <w:szCs w:val="1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pledged as collateral, due</w:t>
            </w:r>
          </w:p>
        </w:tc>
        <w:tc>
          <w:tcPr>
            <w:tcW w:w="1060" w:type="dxa"/>
            <w:vAlign w:val="bottom"/>
          </w:tcPr>
          <w:p>
            <w:pPr>
              <w:spacing w:after="0"/>
              <w:rPr>
                <w:sz w:val="14"/>
                <w:szCs w:val="1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January, 1998.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1,447,711</w:t>
            </w:r>
          </w:p>
        </w:tc>
      </w:tr>
      <w:tr>
        <w:trPr>
          <w:trHeight w:val="336"/>
        </w:trPr>
        <w:tc>
          <w:tcPr>
            <w:tcW w:w="3660" w:type="dxa"/>
            <w:vAlign w:val="bottom"/>
          </w:tcPr>
          <w:p>
            <w:pPr>
              <w:ind w:left="260"/>
              <w:spacing w:after="0"/>
              <w:rPr>
                <w:sz w:val="20"/>
                <w:szCs w:val="20"/>
                <w:color w:val="auto"/>
              </w:rPr>
            </w:pPr>
            <w:r>
              <w:rPr>
                <w:rFonts w:ascii="Courier New" w:cs="Courier New" w:eastAsia="Courier New" w:hAnsi="Courier New"/>
                <w:sz w:val="15"/>
                <w:szCs w:val="15"/>
                <w:color w:val="auto"/>
              </w:rPr>
              <w:t>Real estate loan, $951 per</w:t>
            </w:r>
          </w:p>
        </w:tc>
        <w:tc>
          <w:tcPr>
            <w:tcW w:w="1060" w:type="dxa"/>
            <w:vAlign w:val="bottom"/>
          </w:tcPr>
          <w:p>
            <w:pPr>
              <w:spacing w:after="0"/>
              <w:rPr>
                <w:sz w:val="24"/>
                <w:szCs w:val="2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month plus interest at</w:t>
            </w:r>
          </w:p>
        </w:tc>
        <w:tc>
          <w:tcPr>
            <w:tcW w:w="1060" w:type="dxa"/>
            <w:vAlign w:val="bottom"/>
          </w:tcPr>
          <w:p>
            <w:pPr>
              <w:spacing w:after="0"/>
              <w:rPr>
                <w:sz w:val="14"/>
                <w:szCs w:val="1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bank's commercial rate plus</w:t>
            </w:r>
          </w:p>
        </w:tc>
        <w:tc>
          <w:tcPr>
            <w:tcW w:w="1060" w:type="dxa"/>
            <w:vAlign w:val="bottom"/>
          </w:tcPr>
          <w:p>
            <w:pPr>
              <w:spacing w:after="0"/>
              <w:rPr>
                <w:sz w:val="14"/>
                <w:szCs w:val="1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.75%, land pledged as collateral,</w:t>
            </w:r>
          </w:p>
        </w:tc>
        <w:tc>
          <w:tcPr>
            <w:tcW w:w="1060" w:type="dxa"/>
            <w:vAlign w:val="bottom"/>
          </w:tcPr>
          <w:p>
            <w:pPr>
              <w:spacing w:after="0"/>
              <w:rPr>
                <w:sz w:val="14"/>
                <w:szCs w:val="1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due January, 2004.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92,222</w:t>
            </w:r>
          </w:p>
        </w:tc>
      </w:tr>
      <w:tr>
        <w:trPr>
          <w:trHeight w:val="336"/>
        </w:trPr>
        <w:tc>
          <w:tcPr>
            <w:tcW w:w="3660" w:type="dxa"/>
            <w:vAlign w:val="bottom"/>
          </w:tcPr>
          <w:p>
            <w:pPr>
              <w:ind w:left="260"/>
              <w:spacing w:after="0"/>
              <w:rPr>
                <w:sz w:val="20"/>
                <w:szCs w:val="20"/>
                <w:color w:val="auto"/>
              </w:rPr>
            </w:pPr>
            <w:r>
              <w:rPr>
                <w:rFonts w:ascii="Courier New" w:cs="Courier New" w:eastAsia="Courier New" w:hAnsi="Courier New"/>
                <w:sz w:val="15"/>
                <w:szCs w:val="15"/>
                <w:color w:val="auto"/>
              </w:rPr>
              <w:t>Real estate loan $353 per</w:t>
            </w:r>
          </w:p>
        </w:tc>
        <w:tc>
          <w:tcPr>
            <w:tcW w:w="1060" w:type="dxa"/>
            <w:vAlign w:val="bottom"/>
          </w:tcPr>
          <w:p>
            <w:pPr>
              <w:spacing w:after="0"/>
              <w:rPr>
                <w:sz w:val="24"/>
                <w:szCs w:val="2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month plus interest at</w:t>
            </w:r>
          </w:p>
        </w:tc>
        <w:tc>
          <w:tcPr>
            <w:tcW w:w="1060" w:type="dxa"/>
            <w:vAlign w:val="bottom"/>
          </w:tcPr>
          <w:p>
            <w:pPr>
              <w:spacing w:after="0"/>
              <w:rPr>
                <w:sz w:val="14"/>
                <w:szCs w:val="1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bank's commercial rate plus</w:t>
            </w:r>
          </w:p>
        </w:tc>
        <w:tc>
          <w:tcPr>
            <w:tcW w:w="1060" w:type="dxa"/>
            <w:vAlign w:val="bottom"/>
          </w:tcPr>
          <w:p>
            <w:pPr>
              <w:spacing w:after="0"/>
              <w:rPr>
                <w:sz w:val="14"/>
                <w:szCs w:val="1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.75%, land pledged as collateral,</w:t>
            </w:r>
          </w:p>
        </w:tc>
        <w:tc>
          <w:tcPr>
            <w:tcW w:w="1060" w:type="dxa"/>
            <w:vAlign w:val="bottom"/>
          </w:tcPr>
          <w:p>
            <w:pPr>
              <w:spacing w:after="0"/>
              <w:rPr>
                <w:sz w:val="14"/>
                <w:szCs w:val="1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due July, 1999.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15,232</w:t>
            </w:r>
          </w:p>
        </w:tc>
      </w:tr>
      <w:tr>
        <w:trPr>
          <w:trHeight w:val="673"/>
        </w:trPr>
        <w:tc>
          <w:tcPr>
            <w:tcW w:w="3660" w:type="dxa"/>
            <w:vAlign w:val="bottom"/>
          </w:tcPr>
          <w:p>
            <w:pPr>
              <w:ind w:left="2440"/>
              <w:spacing w:after="0"/>
              <w:rPr>
                <w:sz w:val="20"/>
                <w:szCs w:val="20"/>
                <w:color w:val="auto"/>
              </w:rPr>
            </w:pPr>
            <w:r>
              <w:rPr>
                <w:rFonts w:ascii="Courier New" w:cs="Courier New" w:eastAsia="Courier New" w:hAnsi="Courier New"/>
                <w:sz w:val="15"/>
                <w:szCs w:val="15"/>
                <w:color w:val="auto"/>
              </w:rPr>
              <w:t>72</w:t>
            </w:r>
          </w:p>
        </w:tc>
        <w:tc>
          <w:tcPr>
            <w:tcW w:w="1060" w:type="dxa"/>
            <w:vAlign w:val="bottom"/>
          </w:tcPr>
          <w:p>
            <w:pPr>
              <w:spacing w:after="0"/>
              <w:rPr>
                <w:sz w:val="24"/>
                <w:szCs w:val="24"/>
                <w:color w:val="auto"/>
              </w:rPr>
            </w:pPr>
          </w:p>
        </w:tc>
      </w:tr>
    </w:tbl>
    <w:p>
      <w:pPr>
        <w:sectPr>
          <w:pgSz w:w="11900" w:h="16838" w:orient="portrait"/>
          <w:cols w:equalWidth="0" w:num="1">
            <w:col w:w="9959"/>
          </w:cols>
          <w:pgMar w:left="500" w:top="281"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5"/>
          <w:szCs w:val="15"/>
          <w:color w:val="auto"/>
        </w:rPr>
        <w:t>73</w:t>
      </w:r>
    </w:p>
    <w:p>
      <w:pPr>
        <w:ind w:left="1920"/>
        <w:spacing w:after="0" w:line="237" w:lineRule="auto"/>
        <w:rPr>
          <w:sz w:val="20"/>
          <w:szCs w:val="20"/>
          <w:color w:val="auto"/>
        </w:rPr>
      </w:pPr>
      <w:r>
        <w:rPr>
          <w:rFonts w:ascii="Courier New" w:cs="Courier New" w:eastAsia="Courier New" w:hAnsi="Courier New"/>
          <w:sz w:val="15"/>
          <w:szCs w:val="15"/>
          <w:color w:val="auto"/>
        </w:rPr>
        <w:t>GRAND CENTRAL SANITATION, INC.</w:t>
      </w:r>
    </w:p>
    <w:p>
      <w:pPr>
        <w:ind w:left="2260"/>
        <w:spacing w:after="0" w:line="238" w:lineRule="auto"/>
        <w:rPr>
          <w:sz w:val="20"/>
          <w:szCs w:val="20"/>
          <w:color w:val="auto"/>
        </w:rPr>
      </w:pPr>
      <w:r>
        <w:rPr>
          <w:rFonts w:ascii="Courier New" w:cs="Courier New" w:eastAsia="Courier New" w:hAnsi="Courier New"/>
          <w:sz w:val="15"/>
          <w:szCs w:val="15"/>
          <w:color w:val="auto"/>
        </w:rPr>
        <w:t>AND RELATED COMPANIES</w:t>
      </w:r>
    </w:p>
    <w:p>
      <w:pPr>
        <w:spacing w:after="0" w:line="167"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200" w:lineRule="exact"/>
        <w:rPr>
          <w:sz w:val="20"/>
          <w:szCs w:val="20"/>
          <w:color w:val="auto"/>
        </w:rPr>
      </w:pPr>
    </w:p>
    <w:p>
      <w:pPr>
        <w:spacing w:after="0" w:line="303" w:lineRule="exact"/>
        <w:rPr>
          <w:sz w:val="20"/>
          <w:szCs w:val="20"/>
          <w:color w:val="auto"/>
        </w:rPr>
      </w:pPr>
    </w:p>
    <w:tbl>
      <w:tblPr>
        <w:tblLayout w:type="fixed"/>
        <w:tblInd w:w="960" w:type="dxa"/>
        <w:tblCellMar>
          <w:top w:w="0" w:type="dxa"/>
          <w:left w:w="0" w:type="dxa"/>
          <w:bottom w:w="0" w:type="dxa"/>
          <w:right w:w="0" w:type="dxa"/>
        </w:tblCellMar>
      </w:tblPr>
      <w:tr>
        <w:trPr>
          <w:trHeight w:val="170"/>
        </w:trPr>
        <w:tc>
          <w:tcPr>
            <w:tcW w:w="3360" w:type="dxa"/>
            <w:vAlign w:val="bottom"/>
          </w:tcPr>
          <w:p>
            <w:pPr>
              <w:spacing w:after="0"/>
              <w:rPr>
                <w:sz w:val="20"/>
                <w:szCs w:val="20"/>
                <w:color w:val="auto"/>
              </w:rPr>
            </w:pPr>
            <w:r>
              <w:rPr>
                <w:rFonts w:ascii="Courier New" w:cs="Courier New" w:eastAsia="Courier New" w:hAnsi="Courier New"/>
                <w:sz w:val="15"/>
                <w:szCs w:val="15"/>
                <w:color w:val="auto"/>
              </w:rPr>
              <w:t>Real estate loan, $1,250</w:t>
            </w:r>
          </w:p>
        </w:tc>
        <w:tc>
          <w:tcPr>
            <w:tcW w:w="1100" w:type="dxa"/>
            <w:vAlign w:val="bottom"/>
          </w:tcPr>
          <w:p>
            <w:pPr>
              <w:spacing w:after="0"/>
              <w:rPr>
                <w:sz w:val="14"/>
                <w:szCs w:val="14"/>
                <w:color w:val="auto"/>
              </w:rPr>
            </w:pP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per month plus interest at</w:t>
            </w:r>
          </w:p>
        </w:tc>
        <w:tc>
          <w:tcPr>
            <w:tcW w:w="1100" w:type="dxa"/>
            <w:vAlign w:val="bottom"/>
          </w:tcPr>
          <w:p>
            <w:pPr>
              <w:spacing w:after="0"/>
              <w:rPr>
                <w:sz w:val="14"/>
                <w:szCs w:val="14"/>
                <w:color w:val="auto"/>
              </w:rPr>
            </w:pP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bank's commercial rate plus</w:t>
            </w:r>
          </w:p>
        </w:tc>
        <w:tc>
          <w:tcPr>
            <w:tcW w:w="1100" w:type="dxa"/>
            <w:vAlign w:val="bottom"/>
          </w:tcPr>
          <w:p>
            <w:pPr>
              <w:spacing w:after="0"/>
              <w:rPr>
                <w:sz w:val="14"/>
                <w:szCs w:val="14"/>
                <w:color w:val="auto"/>
              </w:rPr>
            </w:pP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.75%, land pledged as collateral,</w:t>
            </w:r>
          </w:p>
        </w:tc>
        <w:tc>
          <w:tcPr>
            <w:tcW w:w="1100" w:type="dxa"/>
            <w:vAlign w:val="bottom"/>
          </w:tcPr>
          <w:p>
            <w:pPr>
              <w:spacing w:after="0"/>
              <w:rPr>
                <w:sz w:val="14"/>
                <w:szCs w:val="14"/>
                <w:color w:val="auto"/>
              </w:rPr>
            </w:pP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due September, 2004.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131,250</w:t>
            </w:r>
          </w:p>
        </w:tc>
      </w:tr>
      <w:tr>
        <w:trPr>
          <w:trHeight w:val="336"/>
        </w:trPr>
        <w:tc>
          <w:tcPr>
            <w:tcW w:w="3360" w:type="dxa"/>
            <w:vAlign w:val="bottom"/>
          </w:tcPr>
          <w:p>
            <w:pPr>
              <w:spacing w:after="0"/>
              <w:rPr>
                <w:sz w:val="20"/>
                <w:szCs w:val="20"/>
                <w:color w:val="auto"/>
              </w:rPr>
            </w:pPr>
            <w:r>
              <w:rPr>
                <w:rFonts w:ascii="Courier New" w:cs="Courier New" w:eastAsia="Courier New" w:hAnsi="Courier New"/>
                <w:sz w:val="15"/>
                <w:szCs w:val="15"/>
                <w:color w:val="auto"/>
              </w:rPr>
              <w:t>Equipment loan, $2,083 per</w:t>
            </w:r>
          </w:p>
        </w:tc>
        <w:tc>
          <w:tcPr>
            <w:tcW w:w="1100" w:type="dxa"/>
            <w:vAlign w:val="bottom"/>
          </w:tcPr>
          <w:p>
            <w:pPr>
              <w:spacing w:after="0"/>
              <w:rPr>
                <w:sz w:val="24"/>
                <w:szCs w:val="24"/>
                <w:color w:val="auto"/>
              </w:rPr>
            </w:pP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 plus interest at bank's</w:t>
            </w:r>
          </w:p>
        </w:tc>
        <w:tc>
          <w:tcPr>
            <w:tcW w:w="1100" w:type="dxa"/>
            <w:vAlign w:val="bottom"/>
          </w:tcPr>
          <w:p>
            <w:pPr>
              <w:spacing w:after="0"/>
              <w:rPr>
                <w:sz w:val="14"/>
                <w:szCs w:val="14"/>
                <w:color w:val="auto"/>
              </w:rPr>
            </w:pP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rate plus.5%, various</w:t>
            </w:r>
          </w:p>
        </w:tc>
        <w:tc>
          <w:tcPr>
            <w:tcW w:w="1100" w:type="dxa"/>
            <w:vAlign w:val="bottom"/>
          </w:tcPr>
          <w:p>
            <w:pPr>
              <w:spacing w:after="0"/>
              <w:rPr>
                <w:sz w:val="14"/>
                <w:szCs w:val="14"/>
                <w:color w:val="auto"/>
              </w:rPr>
            </w:pP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 pledged as collateral,</w:t>
            </w:r>
          </w:p>
        </w:tc>
        <w:tc>
          <w:tcPr>
            <w:tcW w:w="1100" w:type="dxa"/>
            <w:vAlign w:val="bottom"/>
          </w:tcPr>
          <w:p>
            <w:pPr>
              <w:spacing w:after="0"/>
              <w:rPr>
                <w:sz w:val="14"/>
                <w:szCs w:val="14"/>
                <w:color w:val="auto"/>
              </w:rPr>
            </w:pP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due December, 1996.</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25,000</w:t>
            </w:r>
          </w:p>
        </w:tc>
      </w:tr>
    </w:tbl>
    <w:p>
      <w:pPr>
        <w:spacing w:after="0" w:line="166"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Consolidating loan, $94,704 per</w:t>
      </w:r>
    </w:p>
    <w:p>
      <w:pPr>
        <w:ind w:left="960"/>
        <w:spacing w:after="0" w:line="237" w:lineRule="auto"/>
        <w:rPr>
          <w:sz w:val="20"/>
          <w:szCs w:val="20"/>
          <w:color w:val="auto"/>
        </w:rPr>
      </w:pPr>
      <w:r>
        <w:rPr>
          <w:rFonts w:ascii="Courier New" w:cs="Courier New" w:eastAsia="Courier New" w:hAnsi="Courier New"/>
          <w:sz w:val="15"/>
          <w:szCs w:val="15"/>
          <w:color w:val="auto"/>
        </w:rPr>
        <w:t>month plus interest at bank's</w:t>
      </w:r>
    </w:p>
    <w:p>
      <w:pPr>
        <w:ind w:left="960"/>
        <w:spacing w:after="0" w:line="238" w:lineRule="auto"/>
        <w:rPr>
          <w:sz w:val="20"/>
          <w:szCs w:val="20"/>
          <w:color w:val="auto"/>
        </w:rPr>
      </w:pPr>
      <w:r>
        <w:rPr>
          <w:rFonts w:ascii="Courier New" w:cs="Courier New" w:eastAsia="Courier New" w:hAnsi="Courier New"/>
          <w:sz w:val="15"/>
          <w:szCs w:val="15"/>
          <w:color w:val="auto"/>
        </w:rPr>
        <w:t>commercial rate plus .25%, land,</w:t>
      </w:r>
    </w:p>
    <w:p>
      <w:pPr>
        <w:ind w:left="960"/>
        <w:spacing w:after="0" w:line="237" w:lineRule="auto"/>
        <w:rPr>
          <w:sz w:val="20"/>
          <w:szCs w:val="20"/>
          <w:color w:val="auto"/>
        </w:rPr>
      </w:pPr>
      <w:r>
        <w:rPr>
          <w:rFonts w:ascii="Courier New" w:cs="Courier New" w:eastAsia="Courier New" w:hAnsi="Courier New"/>
          <w:sz w:val="15"/>
          <w:szCs w:val="15"/>
          <w:color w:val="auto"/>
        </w:rPr>
        <w:t>accounts receivable and equipment</w:t>
      </w:r>
    </w:p>
    <w:p>
      <w:pPr>
        <w:jc w:val="right"/>
        <w:ind w:right="4539"/>
        <w:spacing w:after="0"/>
        <w:tabs>
          <w:tab w:leader="none" w:pos="780" w:val="left"/>
        </w:tabs>
        <w:rPr>
          <w:sz w:val="20"/>
          <w:szCs w:val="20"/>
          <w:color w:val="auto"/>
        </w:rPr>
      </w:pPr>
      <w:r>
        <w:rPr>
          <w:rFonts w:ascii="Courier New" w:cs="Courier New" w:eastAsia="Courier New" w:hAnsi="Courier New"/>
          <w:sz w:val="15"/>
          <w:szCs w:val="15"/>
          <w:color w:val="auto"/>
        </w:rPr>
        <w:t>pledged as collateral, due April, 2000.</w:t>
      </w:r>
      <w:r>
        <w:rPr>
          <w:sz w:val="20"/>
          <w:szCs w:val="20"/>
          <w:color w:val="auto"/>
        </w:rPr>
        <w:tab/>
      </w:r>
      <w:r>
        <w:rPr>
          <w:rFonts w:ascii="Courier New" w:cs="Courier New" w:eastAsia="Courier New" w:hAnsi="Courier New"/>
          <w:sz w:val="14"/>
          <w:szCs w:val="14"/>
          <w:color w:val="auto"/>
        </w:rPr>
        <w:t>4,924,583</w:t>
      </w:r>
    </w:p>
    <w:p>
      <w:pPr>
        <w:spacing w:after="0" w:line="167" w:lineRule="exact"/>
        <w:rPr>
          <w:sz w:val="20"/>
          <w:szCs w:val="20"/>
          <w:color w:val="auto"/>
        </w:rPr>
      </w:pPr>
    </w:p>
    <w:tbl>
      <w:tblPr>
        <w:tblLayout w:type="fixed"/>
        <w:tblInd w:w="96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Equipment loan, $17,817 per month</w:t>
            </w:r>
          </w:p>
        </w:tc>
        <w:tc>
          <w:tcPr>
            <w:tcW w:w="96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plus interest at bank's commercial</w:t>
            </w:r>
          </w:p>
        </w:tc>
        <w:tc>
          <w:tcPr>
            <w:tcW w:w="96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rate, various equipment pledged as</w:t>
            </w:r>
          </w:p>
        </w:tc>
        <w:tc>
          <w:tcPr>
            <w:tcW w:w="96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collateral, due June, 2000.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979,917</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Equipment loan, $1,667 per month</w:t>
            </w:r>
          </w:p>
        </w:tc>
        <w:tc>
          <w:tcPr>
            <w:tcW w:w="960" w:type="dxa"/>
            <w:vAlign w:val="bottom"/>
          </w:tcPr>
          <w:p>
            <w:pPr>
              <w:spacing w:after="0"/>
              <w:rPr>
                <w:sz w:val="24"/>
                <w:szCs w:val="2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plus interest at bank's commercial</w:t>
            </w:r>
          </w:p>
        </w:tc>
        <w:tc>
          <w:tcPr>
            <w:tcW w:w="96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rate plus .5%, various equipment</w:t>
            </w:r>
          </w:p>
        </w:tc>
        <w:tc>
          <w:tcPr>
            <w:tcW w:w="96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pledged as collateral, due</w:t>
            </w:r>
          </w:p>
        </w:tc>
        <w:tc>
          <w:tcPr>
            <w:tcW w:w="96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 2000.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96,667</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Equipment loan, $846 per month</w:t>
            </w:r>
          </w:p>
        </w:tc>
        <w:tc>
          <w:tcPr>
            <w:tcW w:w="960" w:type="dxa"/>
            <w:vAlign w:val="bottom"/>
          </w:tcPr>
          <w:p>
            <w:pPr>
              <w:spacing w:after="0"/>
              <w:rPr>
                <w:sz w:val="24"/>
                <w:szCs w:val="2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plus interest at bank's commercial</w:t>
            </w:r>
          </w:p>
        </w:tc>
        <w:tc>
          <w:tcPr>
            <w:tcW w:w="96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rate plus .75%, various equipment</w:t>
            </w:r>
          </w:p>
        </w:tc>
        <w:tc>
          <w:tcPr>
            <w:tcW w:w="96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pledged as collateral, due</w:t>
            </w:r>
          </w:p>
        </w:tc>
        <w:tc>
          <w:tcPr>
            <w:tcW w:w="96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 1999.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88,813</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Consolidating loan, $18,611 per</w:t>
            </w:r>
          </w:p>
        </w:tc>
        <w:tc>
          <w:tcPr>
            <w:tcW w:w="960" w:type="dxa"/>
            <w:vAlign w:val="bottom"/>
          </w:tcPr>
          <w:p>
            <w:pPr>
              <w:spacing w:after="0"/>
              <w:rPr>
                <w:sz w:val="24"/>
                <w:szCs w:val="2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 plus interest at bank's</w:t>
            </w:r>
          </w:p>
        </w:tc>
        <w:tc>
          <w:tcPr>
            <w:tcW w:w="96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rate plus .75%, land,</w:t>
            </w:r>
          </w:p>
        </w:tc>
        <w:tc>
          <w:tcPr>
            <w:tcW w:w="96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 and equipment</w:t>
            </w:r>
          </w:p>
        </w:tc>
        <w:tc>
          <w:tcPr>
            <w:tcW w:w="96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pledged as collateral, due June, 2003.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1,675,000</w:t>
            </w:r>
          </w:p>
        </w:tc>
      </w:tr>
      <w:tr>
        <w:trPr>
          <w:trHeight w:val="673"/>
        </w:trPr>
        <w:tc>
          <w:tcPr>
            <w:tcW w:w="3500" w:type="dxa"/>
            <w:vAlign w:val="bottom"/>
          </w:tcPr>
          <w:p>
            <w:pPr>
              <w:ind w:left="2180"/>
              <w:spacing w:after="0"/>
              <w:rPr>
                <w:sz w:val="20"/>
                <w:szCs w:val="20"/>
                <w:color w:val="auto"/>
              </w:rPr>
            </w:pPr>
            <w:r>
              <w:rPr>
                <w:rFonts w:ascii="Courier New" w:cs="Courier New" w:eastAsia="Courier New" w:hAnsi="Courier New"/>
                <w:sz w:val="15"/>
                <w:szCs w:val="15"/>
                <w:color w:val="auto"/>
              </w:rPr>
              <w:t>73</w:t>
            </w:r>
          </w:p>
        </w:tc>
        <w:tc>
          <w:tcPr>
            <w:tcW w:w="960" w:type="dxa"/>
            <w:vAlign w:val="bottom"/>
          </w:tcPr>
          <w:p>
            <w:pPr>
              <w:spacing w:after="0"/>
              <w:rPr>
                <w:sz w:val="24"/>
                <w:szCs w:val="24"/>
                <w:color w:val="auto"/>
              </w:rPr>
            </w:pPr>
          </w:p>
        </w:tc>
      </w:tr>
    </w:tbl>
    <w:p>
      <w:pPr>
        <w:sectPr>
          <w:pgSz w:w="11900" w:h="16838" w:orient="portrait"/>
          <w:cols w:equalWidth="0" w:num="1">
            <w:col w:w="9959"/>
          </w:cols>
          <w:pgMar w:left="500" w:top="281"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5"/>
          <w:szCs w:val="15"/>
          <w:color w:val="auto"/>
        </w:rPr>
        <w:t>74</w:t>
      </w:r>
    </w:p>
    <w:p>
      <w:pPr>
        <w:ind w:left="1920"/>
        <w:spacing w:after="0" w:line="237" w:lineRule="auto"/>
        <w:rPr>
          <w:sz w:val="20"/>
          <w:szCs w:val="20"/>
          <w:color w:val="auto"/>
        </w:rPr>
      </w:pPr>
      <w:r>
        <w:rPr>
          <w:rFonts w:ascii="Courier New" w:cs="Courier New" w:eastAsia="Courier New" w:hAnsi="Courier New"/>
          <w:sz w:val="15"/>
          <w:szCs w:val="15"/>
          <w:color w:val="auto"/>
        </w:rPr>
        <w:t>GRAND CENTRAL SANITATION, INC.</w:t>
      </w:r>
    </w:p>
    <w:p>
      <w:pPr>
        <w:ind w:left="2260"/>
        <w:spacing w:after="0" w:line="238" w:lineRule="auto"/>
        <w:rPr>
          <w:sz w:val="20"/>
          <w:szCs w:val="20"/>
          <w:color w:val="auto"/>
        </w:rPr>
      </w:pPr>
      <w:r>
        <w:rPr>
          <w:rFonts w:ascii="Courier New" w:cs="Courier New" w:eastAsia="Courier New" w:hAnsi="Courier New"/>
          <w:sz w:val="15"/>
          <w:szCs w:val="15"/>
          <w:color w:val="auto"/>
        </w:rPr>
        <w:t>AND RELATED COMPANIES</w:t>
      </w:r>
    </w:p>
    <w:p>
      <w:pPr>
        <w:spacing w:after="0" w:line="167"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200" w:lineRule="exact"/>
        <w:rPr>
          <w:sz w:val="20"/>
          <w:szCs w:val="20"/>
          <w:color w:val="auto"/>
        </w:rPr>
      </w:pPr>
    </w:p>
    <w:p>
      <w:pPr>
        <w:spacing w:after="0" w:line="30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Equipment loan, $533 per month</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plus interest at 6.65%, various</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equipment pledged as collateral,</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due December, 1998.</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18,667</w:t>
            </w:r>
          </w:p>
        </w:tc>
      </w:tr>
      <w:tr>
        <w:trPr>
          <w:trHeight w:val="336"/>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Real estate loan, $594 per</w:t>
            </w:r>
          </w:p>
        </w:tc>
        <w:tc>
          <w:tcPr>
            <w:tcW w:w="800" w:type="dxa"/>
            <w:vAlign w:val="bottom"/>
          </w:tcPr>
          <w:p>
            <w:pPr>
              <w:spacing w:after="0"/>
              <w:rPr>
                <w:sz w:val="24"/>
                <w:szCs w:val="2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month plus interest at bank's</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commercial rate plus .75%, land</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pledged as collateral, due July, 2007.</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82,628</w:t>
            </w:r>
          </w:p>
        </w:tc>
      </w:tr>
      <w:tr>
        <w:trPr>
          <w:trHeight w:val="336"/>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Consolidating loan, $41,667 per month</w:t>
            </w:r>
          </w:p>
        </w:tc>
        <w:tc>
          <w:tcPr>
            <w:tcW w:w="800" w:type="dxa"/>
            <w:vAlign w:val="bottom"/>
          </w:tcPr>
          <w:p>
            <w:pPr>
              <w:spacing w:after="0"/>
              <w:rPr>
                <w:sz w:val="24"/>
                <w:szCs w:val="2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plus interest at bank's commercial</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rate plus .25%, various equipment and</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accounts receivable pledged as collateral,</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due April, 2000. Grand Central Sanitary</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Landfill, Inc. and Grand Central Real</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Estate Company, Inc. are sureties of</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the loan.</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2,166,667</w:t>
            </w:r>
          </w:p>
        </w:tc>
      </w:tr>
      <w:tr>
        <w:trPr>
          <w:trHeight w:val="336"/>
        </w:trPr>
        <w:tc>
          <w:tcPr>
            <w:tcW w:w="3920" w:type="dxa"/>
            <w:vAlign w:val="bottom"/>
          </w:tcPr>
          <w:p>
            <w:pPr>
              <w:spacing w:after="0"/>
              <w:rPr>
                <w:sz w:val="20"/>
                <w:szCs w:val="20"/>
                <w:color w:val="auto"/>
              </w:rPr>
            </w:pPr>
            <w:r>
              <w:rPr>
                <w:rFonts w:ascii="Courier New" w:cs="Courier New" w:eastAsia="Courier New" w:hAnsi="Courier New"/>
                <w:sz w:val="15"/>
                <w:szCs w:val="15"/>
                <w:color w:val="auto"/>
              </w:rPr>
              <w:t>Caterpillar Financial Services:</w:t>
            </w:r>
          </w:p>
        </w:tc>
        <w:tc>
          <w:tcPr>
            <w:tcW w:w="800" w:type="dxa"/>
            <w:vAlign w:val="bottom"/>
          </w:tcPr>
          <w:p>
            <w:pPr>
              <w:spacing w:after="0"/>
              <w:rPr>
                <w:sz w:val="24"/>
                <w:szCs w:val="2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Equipment loan, $3,967 per</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month including interest at 8%,</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equipment pledged as collateral,</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due September, 1999.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153,802</w:t>
            </w:r>
          </w:p>
        </w:tc>
      </w:tr>
      <w:tr>
        <w:trPr>
          <w:trHeight w:val="336"/>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Equipment loan, $4,992 per month</w:t>
            </w:r>
          </w:p>
        </w:tc>
        <w:tc>
          <w:tcPr>
            <w:tcW w:w="800" w:type="dxa"/>
            <w:vAlign w:val="bottom"/>
          </w:tcPr>
          <w:p>
            <w:pPr>
              <w:spacing w:after="0"/>
              <w:rPr>
                <w:sz w:val="24"/>
                <w:szCs w:val="2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including interest at 8%, equipment</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pledged as collateral, due</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November, 1999.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200,842</w:t>
            </w:r>
          </w:p>
        </w:tc>
      </w:tr>
      <w:tr>
        <w:trPr>
          <w:trHeight w:val="336"/>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Equipment loan, $5,503 per month</w:t>
            </w:r>
          </w:p>
        </w:tc>
        <w:tc>
          <w:tcPr>
            <w:tcW w:w="800" w:type="dxa"/>
            <w:vAlign w:val="bottom"/>
          </w:tcPr>
          <w:p>
            <w:pPr>
              <w:spacing w:after="0"/>
              <w:rPr>
                <w:sz w:val="24"/>
                <w:szCs w:val="2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including interest at 9%, equipment</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pledged as collateral, due</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December, 1999.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221,138</w:t>
            </w:r>
          </w:p>
        </w:tc>
      </w:tr>
      <w:tr>
        <w:trPr>
          <w:trHeight w:val="336"/>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Equipment loan, $1,787 per month</w:t>
            </w:r>
          </w:p>
        </w:tc>
        <w:tc>
          <w:tcPr>
            <w:tcW w:w="800" w:type="dxa"/>
            <w:vAlign w:val="bottom"/>
          </w:tcPr>
          <w:p>
            <w:pPr>
              <w:spacing w:after="0"/>
              <w:rPr>
                <w:sz w:val="24"/>
                <w:szCs w:val="2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including interest at 9.5%,</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equipment pledged as collateral,</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due December, 1999.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71,140</w:t>
            </w:r>
          </w:p>
        </w:tc>
      </w:tr>
      <w:tr>
        <w:trPr>
          <w:trHeight w:val="673"/>
        </w:trPr>
        <w:tc>
          <w:tcPr>
            <w:tcW w:w="3920" w:type="dxa"/>
            <w:vAlign w:val="bottom"/>
          </w:tcPr>
          <w:p>
            <w:pPr>
              <w:ind w:left="2440"/>
              <w:spacing w:after="0"/>
              <w:rPr>
                <w:sz w:val="20"/>
                <w:szCs w:val="20"/>
                <w:color w:val="auto"/>
              </w:rPr>
            </w:pPr>
            <w:r>
              <w:rPr>
                <w:rFonts w:ascii="Courier New" w:cs="Courier New" w:eastAsia="Courier New" w:hAnsi="Courier New"/>
                <w:sz w:val="15"/>
                <w:szCs w:val="15"/>
                <w:color w:val="auto"/>
              </w:rPr>
              <w:t>74</w:t>
            </w:r>
          </w:p>
        </w:tc>
        <w:tc>
          <w:tcPr>
            <w:tcW w:w="800" w:type="dxa"/>
            <w:vAlign w:val="bottom"/>
          </w:tcPr>
          <w:p>
            <w:pPr>
              <w:spacing w:after="0"/>
              <w:rPr>
                <w:sz w:val="24"/>
                <w:szCs w:val="24"/>
                <w:color w:val="auto"/>
              </w:rPr>
            </w:pPr>
          </w:p>
        </w:tc>
      </w:tr>
    </w:tbl>
    <w:p>
      <w:pPr>
        <w:sectPr>
          <w:pgSz w:w="11900" w:h="16838" w:orient="portrait"/>
          <w:cols w:equalWidth="0" w:num="1">
            <w:col w:w="9959"/>
          </w:cols>
          <w:pgMar w:left="500" w:top="281"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5"/>
          <w:szCs w:val="15"/>
          <w:color w:val="auto"/>
        </w:rPr>
        <w:t>75</w:t>
      </w:r>
    </w:p>
    <w:p>
      <w:pPr>
        <w:ind w:left="2100"/>
        <w:spacing w:after="0" w:line="237" w:lineRule="auto"/>
        <w:rPr>
          <w:sz w:val="20"/>
          <w:szCs w:val="20"/>
          <w:color w:val="auto"/>
        </w:rPr>
      </w:pPr>
      <w:r>
        <w:rPr>
          <w:rFonts w:ascii="Courier New" w:cs="Courier New" w:eastAsia="Courier New" w:hAnsi="Courier New"/>
          <w:sz w:val="15"/>
          <w:szCs w:val="15"/>
          <w:color w:val="auto"/>
        </w:rPr>
        <w:t>GRAND CENTRAL SANITATION, INC.</w:t>
      </w:r>
    </w:p>
    <w:p>
      <w:pPr>
        <w:ind w:left="2540"/>
        <w:spacing w:after="0" w:line="238" w:lineRule="auto"/>
        <w:rPr>
          <w:sz w:val="20"/>
          <w:szCs w:val="20"/>
          <w:color w:val="auto"/>
        </w:rPr>
      </w:pPr>
      <w:r>
        <w:rPr>
          <w:rFonts w:ascii="Courier New" w:cs="Courier New" w:eastAsia="Courier New" w:hAnsi="Courier New"/>
          <w:sz w:val="15"/>
          <w:szCs w:val="15"/>
          <w:color w:val="auto"/>
        </w:rPr>
        <w:t>AND RELATED COMPANIES</w:t>
      </w:r>
    </w:p>
    <w:p>
      <w:pPr>
        <w:spacing w:after="0" w:line="16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120" w:type="dxa"/>
            <w:vAlign w:val="bottom"/>
          </w:tcPr>
          <w:p>
            <w:pPr>
              <w:ind w:left="1320"/>
              <w:spacing w:after="0"/>
              <w:rPr>
                <w:sz w:val="20"/>
                <w:szCs w:val="20"/>
                <w:color w:val="auto"/>
              </w:rPr>
            </w:pPr>
            <w:r>
              <w:rPr>
                <w:rFonts w:ascii="Courier New" w:cs="Courier New" w:eastAsia="Courier New" w:hAnsi="Courier New"/>
                <w:sz w:val="15"/>
                <w:szCs w:val="15"/>
                <w:color w:val="auto"/>
              </w:rPr>
              <w:t>NOTES TO COMBINED FINANCIAL STATEMENTS</w:t>
            </w:r>
          </w:p>
        </w:tc>
        <w:tc>
          <w:tcPr>
            <w:tcW w:w="1440" w:type="dxa"/>
            <w:vAlign w:val="bottom"/>
          </w:tcPr>
          <w:p>
            <w:pPr>
              <w:spacing w:after="0"/>
              <w:rPr>
                <w:sz w:val="14"/>
                <w:szCs w:val="14"/>
                <w:color w:val="auto"/>
              </w:rPr>
            </w:pPr>
          </w:p>
        </w:tc>
      </w:tr>
      <w:tr>
        <w:trPr>
          <w:trHeight w:val="673"/>
        </w:trPr>
        <w:tc>
          <w:tcPr>
            <w:tcW w:w="5120" w:type="dxa"/>
            <w:vAlign w:val="bottom"/>
          </w:tcPr>
          <w:p>
            <w:pPr>
              <w:spacing w:after="0"/>
              <w:rPr>
                <w:sz w:val="20"/>
                <w:szCs w:val="20"/>
                <w:color w:val="auto"/>
              </w:rPr>
            </w:pPr>
            <w:r>
              <w:rPr>
                <w:rFonts w:ascii="Courier New" w:cs="Courier New" w:eastAsia="Courier New" w:hAnsi="Courier New"/>
                <w:sz w:val="15"/>
                <w:szCs w:val="15"/>
                <w:color w:val="auto"/>
              </w:rPr>
              <w:t>Equipment loan, $14,293 per</w:t>
            </w:r>
          </w:p>
        </w:tc>
        <w:tc>
          <w:tcPr>
            <w:tcW w:w="1440" w:type="dxa"/>
            <w:vAlign w:val="bottom"/>
          </w:tcPr>
          <w:p>
            <w:pPr>
              <w:spacing w:after="0"/>
              <w:rPr>
                <w:sz w:val="24"/>
                <w:szCs w:val="2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 including interest at</w:t>
            </w:r>
          </w:p>
        </w:tc>
        <w:tc>
          <w:tcPr>
            <w:tcW w:w="144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9%, equipment pledged as</w:t>
            </w:r>
          </w:p>
        </w:tc>
        <w:tc>
          <w:tcPr>
            <w:tcW w:w="144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collateral, due January, 1996.</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6,548</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Equipment loan, $6,149 per</w:t>
            </w:r>
          </w:p>
        </w:tc>
        <w:tc>
          <w:tcPr>
            <w:tcW w:w="1440" w:type="dxa"/>
            <w:vAlign w:val="bottom"/>
          </w:tcPr>
          <w:p>
            <w:pPr>
              <w:spacing w:after="0"/>
              <w:rPr>
                <w:sz w:val="24"/>
                <w:szCs w:val="2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 plus interest at 8.6%,</w:t>
            </w:r>
          </w:p>
        </w:tc>
        <w:tc>
          <w:tcPr>
            <w:tcW w:w="144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various equipment pledged as</w:t>
            </w:r>
          </w:p>
        </w:tc>
        <w:tc>
          <w:tcPr>
            <w:tcW w:w="144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collateral, due July, 2000.</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278,699</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Neffs National Bank:</w:t>
            </w:r>
          </w:p>
        </w:tc>
        <w:tc>
          <w:tcPr>
            <w:tcW w:w="1440" w:type="dxa"/>
            <w:vAlign w:val="bottom"/>
          </w:tcPr>
          <w:p>
            <w:pPr>
              <w:spacing w:after="0"/>
              <w:rPr>
                <w:sz w:val="24"/>
                <w:szCs w:val="2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 loan, $945 per</w:t>
            </w:r>
          </w:p>
        </w:tc>
        <w:tc>
          <w:tcPr>
            <w:tcW w:w="144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 including interest</w:t>
            </w:r>
          </w:p>
        </w:tc>
        <w:tc>
          <w:tcPr>
            <w:tcW w:w="144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at 9.5%, equipment pledged</w:t>
            </w:r>
          </w:p>
        </w:tc>
        <w:tc>
          <w:tcPr>
            <w:tcW w:w="144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as collateral, due June, 1996.</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6,414</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Equipment loan, $3,149 per</w:t>
            </w:r>
          </w:p>
        </w:tc>
        <w:tc>
          <w:tcPr>
            <w:tcW w:w="1440" w:type="dxa"/>
            <w:vAlign w:val="bottom"/>
          </w:tcPr>
          <w:p>
            <w:pPr>
              <w:spacing w:after="0"/>
              <w:rPr>
                <w:sz w:val="24"/>
                <w:szCs w:val="2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 including interest at</w:t>
            </w:r>
          </w:p>
        </w:tc>
        <w:tc>
          <w:tcPr>
            <w:tcW w:w="144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8.75%, equipment pledged as</w:t>
            </w:r>
          </w:p>
        </w:tc>
        <w:tc>
          <w:tcPr>
            <w:tcW w:w="144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collateral, due June, 1996.</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18,424</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Nations Bank:</w:t>
            </w:r>
          </w:p>
        </w:tc>
        <w:tc>
          <w:tcPr>
            <w:tcW w:w="1440" w:type="dxa"/>
            <w:vAlign w:val="bottom"/>
          </w:tcPr>
          <w:p>
            <w:pPr>
              <w:spacing w:after="0"/>
              <w:rPr>
                <w:sz w:val="24"/>
                <w:szCs w:val="2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 loan, $12,513 per</w:t>
            </w:r>
          </w:p>
        </w:tc>
        <w:tc>
          <w:tcPr>
            <w:tcW w:w="144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 plus interest at</w:t>
            </w:r>
          </w:p>
        </w:tc>
        <w:tc>
          <w:tcPr>
            <w:tcW w:w="144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bank's commercial rate plus</w:t>
            </w:r>
          </w:p>
        </w:tc>
        <w:tc>
          <w:tcPr>
            <w:tcW w:w="144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.5%, equipment pledged as</w:t>
            </w:r>
          </w:p>
        </w:tc>
        <w:tc>
          <w:tcPr>
            <w:tcW w:w="144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collateral, due March, 1996.</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37,538</w:t>
            </w:r>
          </w:p>
        </w:tc>
      </w:tr>
      <w:tr>
        <w:trPr>
          <w:trHeight w:val="168"/>
        </w:trPr>
        <w:tc>
          <w:tcPr>
            <w:tcW w:w="512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14,120,455</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current maturities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3,228,763</w:t>
            </w:r>
          </w:p>
        </w:tc>
      </w:tr>
      <w:tr>
        <w:trPr>
          <w:trHeight w:val="168"/>
        </w:trPr>
        <w:tc>
          <w:tcPr>
            <w:tcW w:w="512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$10,891,692</w:t>
            </w:r>
          </w:p>
        </w:tc>
      </w:tr>
      <w:tr>
        <w:trPr>
          <w:trHeight w:val="168"/>
        </w:trPr>
        <w:tc>
          <w:tcPr>
            <w:tcW w:w="512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Maturities of long-term debt as of December 31, 1995 are as follows:</w:t>
      </w:r>
    </w:p>
    <w:p>
      <w:pPr>
        <w:spacing w:after="0" w:line="200" w:lineRule="exact"/>
        <w:rPr>
          <w:sz w:val="20"/>
          <w:szCs w:val="20"/>
          <w:color w:val="auto"/>
        </w:rPr>
      </w:pPr>
    </w:p>
    <w:p>
      <w:pPr>
        <w:spacing w:after="0" w:line="30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Year ending</w:t>
      </w:r>
    </w:p>
    <w:p>
      <w:pPr>
        <w:ind w:left="440"/>
        <w:spacing w:after="0" w:line="237" w:lineRule="auto"/>
        <w:rPr>
          <w:sz w:val="20"/>
          <w:szCs w:val="20"/>
          <w:color w:val="auto"/>
        </w:rPr>
      </w:pPr>
      <w:r>
        <w:rPr>
          <w:rFonts w:ascii="Courier New" w:cs="Courier New" w:eastAsia="Courier New" w:hAnsi="Courier New"/>
          <w:sz w:val="15"/>
          <w:szCs w:val="15"/>
          <w:color w:val="auto"/>
        </w:rPr>
        <w:t>December 31</w:t>
      </w:r>
    </w:p>
    <w:p>
      <w:pPr>
        <w:spacing w:after="0" w:line="16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$ 3,228,763</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3,173,198</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2,987,362</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2,567,046</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1,720,245</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443,841</w:t>
            </w:r>
          </w:p>
        </w:tc>
      </w:tr>
      <w:tr>
        <w:trPr>
          <w:trHeight w:val="168"/>
        </w:trPr>
        <w:tc>
          <w:tcPr>
            <w:tcW w:w="1980" w:type="dxa"/>
            <w:vAlign w:val="bottom"/>
          </w:tcPr>
          <w:p>
            <w:pPr>
              <w:spacing w:after="0"/>
              <w:rPr>
                <w:sz w:val="14"/>
                <w:szCs w:val="14"/>
                <w:color w:val="auto"/>
              </w:rPr>
            </w:pPr>
          </w:p>
        </w:tc>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ind w:left="3500"/>
        <w:spacing w:after="0" w:line="237" w:lineRule="auto"/>
        <w:rPr>
          <w:sz w:val="20"/>
          <w:szCs w:val="20"/>
          <w:color w:val="auto"/>
        </w:rPr>
      </w:pPr>
      <w:r>
        <w:rPr>
          <w:rFonts w:ascii="Courier New" w:cs="Courier New" w:eastAsia="Courier New" w:hAnsi="Courier New"/>
          <w:sz w:val="15"/>
          <w:szCs w:val="15"/>
          <w:color w:val="auto"/>
        </w:rPr>
        <w:t>$14,120,455</w:t>
      </w:r>
    </w:p>
    <w:p>
      <w:pPr>
        <w:ind w:left="3500"/>
        <w:spacing w:after="0" w:line="238"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39"/>
          </w:cols>
          <w:pgMar w:left="220" w:top="281"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76</w:t>
      </w:r>
    </w:p>
    <w:p>
      <w:pPr>
        <w:ind w:left="2100"/>
        <w:spacing w:after="0" w:line="237" w:lineRule="auto"/>
        <w:rPr>
          <w:sz w:val="20"/>
          <w:szCs w:val="20"/>
          <w:color w:val="auto"/>
        </w:rPr>
      </w:pPr>
      <w:r>
        <w:rPr>
          <w:rFonts w:ascii="Courier New" w:cs="Courier New" w:eastAsia="Courier New" w:hAnsi="Courier New"/>
          <w:sz w:val="15"/>
          <w:szCs w:val="15"/>
          <w:color w:val="auto"/>
        </w:rPr>
        <w:t>GRAND CENTRAL SANITATION, INC.</w:t>
      </w:r>
    </w:p>
    <w:p>
      <w:pPr>
        <w:ind w:left="2540"/>
        <w:spacing w:after="0" w:line="238" w:lineRule="auto"/>
        <w:rPr>
          <w:sz w:val="20"/>
          <w:szCs w:val="20"/>
          <w:color w:val="auto"/>
        </w:rPr>
      </w:pPr>
      <w:r>
        <w:rPr>
          <w:rFonts w:ascii="Courier New" w:cs="Courier New" w:eastAsia="Courier New" w:hAnsi="Courier New"/>
          <w:sz w:val="15"/>
          <w:szCs w:val="15"/>
          <w:color w:val="auto"/>
        </w:rPr>
        <w:t>AND RELATED COMPANIES</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Income Taxes</w:t>
      </w:r>
    </w:p>
    <w:p>
      <w:pPr>
        <w:spacing w:after="0" w:line="173" w:lineRule="exact"/>
        <w:rPr>
          <w:sz w:val="20"/>
          <w:szCs w:val="20"/>
          <w:color w:val="auto"/>
        </w:rPr>
      </w:pPr>
    </w:p>
    <w:p>
      <w:pPr>
        <w:ind w:left="700" w:right="3679"/>
        <w:spacing w:after="0" w:line="235" w:lineRule="auto"/>
        <w:rPr>
          <w:sz w:val="20"/>
          <w:szCs w:val="20"/>
          <w:color w:val="auto"/>
        </w:rPr>
      </w:pPr>
      <w:r>
        <w:rPr>
          <w:rFonts w:ascii="Courier New" w:cs="Courier New" w:eastAsia="Courier New" w:hAnsi="Courier New"/>
          <w:sz w:val="15"/>
          <w:szCs w:val="15"/>
          <w:color w:val="auto"/>
        </w:rPr>
        <w:t>Grand Central Sanitation, Inc. and Pocono Independent Paperstock Company, Inc. are operating as S Corporations under the IRS and Pennsylvania tax codes. The other two related companies included in these financial statements are C corporations.</w:t>
      </w:r>
    </w:p>
    <w:p>
      <w:pPr>
        <w:spacing w:after="0" w:line="175" w:lineRule="exact"/>
        <w:rPr>
          <w:sz w:val="20"/>
          <w:szCs w:val="20"/>
          <w:color w:val="auto"/>
        </w:rPr>
      </w:pPr>
    </w:p>
    <w:p>
      <w:pPr>
        <w:ind w:left="700" w:right="3319"/>
        <w:spacing w:after="0" w:line="255" w:lineRule="auto"/>
        <w:rPr>
          <w:sz w:val="20"/>
          <w:szCs w:val="20"/>
          <w:color w:val="auto"/>
        </w:rPr>
      </w:pPr>
      <w:r>
        <w:rPr>
          <w:rFonts w:ascii="Courier New" w:cs="Courier New" w:eastAsia="Courier New" w:hAnsi="Courier New"/>
          <w:sz w:val="14"/>
          <w:szCs w:val="14"/>
          <w:color w:val="auto"/>
        </w:rPr>
        <w:t>The Company adopted SFAS 109 in 1993. SFAS 109 requires the recognition of deferred tax assets and liabilities for the future tax consequences attributable to difference between the financial statements carrying amounts of existing assets and liabilities and their respective tax bases. In addition, the accounting standard requires the recognition of future tax benefits, such as net operating loss carryforwards, to the extent that realization of such benefits is more likely than not.</w:t>
      </w:r>
    </w:p>
    <w:p>
      <w:pPr>
        <w:spacing w:after="0" w:line="166" w:lineRule="exact"/>
        <w:rPr>
          <w:sz w:val="20"/>
          <w:szCs w:val="20"/>
          <w:color w:val="auto"/>
        </w:rPr>
      </w:pPr>
    </w:p>
    <w:p>
      <w:pPr>
        <w:ind w:left="700" w:right="3499"/>
        <w:spacing w:after="0" w:line="234" w:lineRule="auto"/>
        <w:rPr>
          <w:sz w:val="20"/>
          <w:szCs w:val="20"/>
          <w:color w:val="auto"/>
        </w:rPr>
      </w:pPr>
      <w:r>
        <w:rPr>
          <w:rFonts w:ascii="Courier New" w:cs="Courier New" w:eastAsia="Courier New" w:hAnsi="Courier New"/>
          <w:sz w:val="15"/>
          <w:szCs w:val="15"/>
          <w:color w:val="auto"/>
        </w:rPr>
        <w:t>The components of the net deferred tax assets as of December 31, 1995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Deferred tax asset:</w:t>
            </w:r>
          </w:p>
        </w:tc>
        <w:tc>
          <w:tcPr>
            <w:tcW w:w="210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operating loss carry-forwards:</w:t>
            </w:r>
          </w:p>
        </w:tc>
        <w:tc>
          <w:tcPr>
            <w:tcW w:w="2100" w:type="dxa"/>
            <w:vAlign w:val="bottom"/>
          </w:tcPr>
          <w:p>
            <w:pPr>
              <w:spacing w:after="0"/>
              <w:rPr>
                <w:sz w:val="14"/>
                <w:szCs w:val="14"/>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Federal</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969,850</w:t>
            </w: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State</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401,377</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Valuation allowance</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(203,377)</w:t>
            </w:r>
          </w:p>
        </w:tc>
      </w:tr>
      <w:tr>
        <w:trPr>
          <w:trHeight w:val="168"/>
        </w:trPr>
        <w:tc>
          <w:tcPr>
            <w:tcW w:w="4200" w:type="dxa"/>
            <w:vAlign w:val="bottom"/>
          </w:tcPr>
          <w:p>
            <w:pPr>
              <w:spacing w:after="0"/>
              <w:rPr>
                <w:sz w:val="14"/>
                <w:szCs w:val="14"/>
                <w:color w:val="auto"/>
              </w:rPr>
            </w:pP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deferred tax asset</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$ 1,167,850</w:t>
            </w:r>
          </w:p>
        </w:tc>
      </w:tr>
      <w:tr>
        <w:trPr>
          <w:trHeight w:val="168"/>
        </w:trPr>
        <w:tc>
          <w:tcPr>
            <w:tcW w:w="4200" w:type="dxa"/>
            <w:vAlign w:val="bottom"/>
          </w:tcPr>
          <w:p>
            <w:pPr>
              <w:spacing w:after="0"/>
              <w:rPr>
                <w:sz w:val="14"/>
                <w:szCs w:val="14"/>
                <w:color w:val="auto"/>
              </w:rPr>
            </w:pP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700" w:right="3319"/>
        <w:spacing w:after="0" w:line="255" w:lineRule="auto"/>
        <w:rPr>
          <w:sz w:val="20"/>
          <w:szCs w:val="20"/>
          <w:color w:val="auto"/>
        </w:rPr>
      </w:pPr>
      <w:r>
        <w:rPr>
          <w:rFonts w:ascii="Courier New" w:cs="Courier New" w:eastAsia="Courier New" w:hAnsi="Courier New"/>
          <w:sz w:val="14"/>
          <w:szCs w:val="14"/>
          <w:color w:val="auto"/>
        </w:rPr>
        <w:t>A valuation allowance has been provided to reduce the deferred tax asset to a level which, more likely than not, will be realized. The net deferred tax asset reflects managements estimate of the amount which will be realized from reversals of taxable temporary differences, which can be predicted with reasonable certainty. There was no change in the valuation allowance for the year ended December 31, 1995.</w:t>
      </w:r>
    </w:p>
    <w:p>
      <w:pPr>
        <w:spacing w:after="0" w:line="166" w:lineRule="exact"/>
        <w:rPr>
          <w:sz w:val="20"/>
          <w:szCs w:val="20"/>
          <w:color w:val="auto"/>
        </w:rPr>
      </w:pPr>
    </w:p>
    <w:p>
      <w:pPr>
        <w:ind w:left="700" w:right="3399"/>
        <w:spacing w:after="0" w:line="236" w:lineRule="auto"/>
        <w:rPr>
          <w:sz w:val="20"/>
          <w:szCs w:val="20"/>
          <w:color w:val="auto"/>
        </w:rPr>
      </w:pPr>
      <w:r>
        <w:rPr>
          <w:rFonts w:ascii="Courier New" w:cs="Courier New" w:eastAsia="Courier New" w:hAnsi="Courier New"/>
          <w:sz w:val="15"/>
          <w:szCs w:val="15"/>
          <w:color w:val="auto"/>
        </w:rPr>
        <w:t>As discussed further in Note 12, the companies were sold to USA Waste Services, Inc. Due to the sale of the combined companies, the use of USA Waste Services, Inc.'s effective tax rate of 40% was used to calculate the tax provision for 1995 as if the combined companies were classified as C corporations and there was taxable income for the combined companies. The provision reduced the amount recorded as distributed to the stockholders during the year.</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39"/>
          </w:cols>
          <w:pgMar w:left="220" w:top="281"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5"/>
          <w:szCs w:val="15"/>
          <w:color w:val="auto"/>
        </w:rPr>
        <w:t>77</w:t>
      </w:r>
    </w:p>
    <w:p>
      <w:pPr>
        <w:ind w:left="2100"/>
        <w:spacing w:after="0" w:line="237" w:lineRule="auto"/>
        <w:rPr>
          <w:sz w:val="20"/>
          <w:szCs w:val="20"/>
          <w:color w:val="auto"/>
        </w:rPr>
      </w:pPr>
      <w:r>
        <w:rPr>
          <w:rFonts w:ascii="Courier New" w:cs="Courier New" w:eastAsia="Courier New" w:hAnsi="Courier New"/>
          <w:sz w:val="15"/>
          <w:szCs w:val="15"/>
          <w:color w:val="auto"/>
        </w:rPr>
        <w:t>GRAND CENTRAL SANITATION, INC.</w:t>
      </w:r>
    </w:p>
    <w:p>
      <w:pPr>
        <w:ind w:left="2540"/>
        <w:spacing w:after="0" w:line="238" w:lineRule="auto"/>
        <w:rPr>
          <w:sz w:val="20"/>
          <w:szCs w:val="20"/>
          <w:color w:val="auto"/>
        </w:rPr>
      </w:pPr>
      <w:r>
        <w:rPr>
          <w:rFonts w:ascii="Courier New" w:cs="Courier New" w:eastAsia="Courier New" w:hAnsi="Courier New"/>
          <w:sz w:val="15"/>
          <w:szCs w:val="15"/>
          <w:color w:val="auto"/>
        </w:rPr>
        <w:t>AND RELATED COMPANIES</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73"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The provision for federal and state income taxes for the year ended</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December 31, 1995 is as follows:</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Federal and state income taxes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$895,760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180" w:space="720"/>
            <w:col w:w="5339"/>
          </w:cols>
          <w:pgMar w:left="220" w:top="281" w:right="1440" w:bottom="1440" w:gutter="0" w:footer="0" w:header="0"/>
          <w:type w:val="continuous"/>
        </w:sectPr>
      </w:pPr>
    </w:p>
    <w:p>
      <w:pPr>
        <w:ind w:left="980" w:right="3399"/>
        <w:spacing w:after="0" w:line="236" w:lineRule="auto"/>
        <w:rPr>
          <w:sz w:val="20"/>
          <w:szCs w:val="20"/>
          <w:color w:val="auto"/>
        </w:rPr>
      </w:pPr>
      <w:r>
        <w:rPr>
          <w:rFonts w:ascii="Courier New" w:cs="Courier New" w:eastAsia="Courier New" w:hAnsi="Courier New"/>
          <w:sz w:val="15"/>
          <w:szCs w:val="15"/>
          <w:color w:val="auto"/>
        </w:rPr>
        <w:t>As of December 31, 1995, Grand Central Sanitary Landfill, Inc. has a net operating loss carryforward of approximately $2,852,500 for federal income tax purposes which, if not used, expires in 2007. It also has a net operating loss carryforward of $4,054,311 available to reduce future state taxable income. If not used, it will expire in 1998.</w:t>
      </w:r>
    </w:p>
    <w:p>
      <w:pPr>
        <w:spacing w:after="0" w:line="168"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As of December 31, 1995, Grand Central Real Estate Company, Inc.</w:t>
      </w:r>
    </w:p>
    <w:p>
      <w:pPr>
        <w:ind w:left="980"/>
        <w:spacing w:after="0" w:line="237" w:lineRule="auto"/>
        <w:rPr>
          <w:sz w:val="20"/>
          <w:szCs w:val="20"/>
          <w:color w:val="auto"/>
        </w:rPr>
      </w:pPr>
      <w:r>
        <w:rPr>
          <w:rFonts w:ascii="Courier New" w:cs="Courier New" w:eastAsia="Courier New" w:hAnsi="Courier New"/>
          <w:sz w:val="15"/>
          <w:szCs w:val="15"/>
          <w:color w:val="auto"/>
        </w:rPr>
        <w:t>has federal net operating loss carryforwards of $142,052 and</w:t>
      </w:r>
    </w:p>
    <w:p>
      <w:pPr>
        <w:ind w:left="980"/>
        <w:spacing w:after="0" w:line="238" w:lineRule="auto"/>
        <w:rPr>
          <w:sz w:val="20"/>
          <w:szCs w:val="20"/>
          <w:color w:val="auto"/>
        </w:rPr>
      </w:pPr>
      <w:r>
        <w:rPr>
          <w:rFonts w:ascii="Courier New" w:cs="Courier New" w:eastAsia="Courier New" w:hAnsi="Courier New"/>
          <w:sz w:val="15"/>
          <w:szCs w:val="15"/>
          <w:color w:val="auto"/>
        </w:rPr>
        <w:t>$46,923, which, if not used will expire in 2010 and 2009,</w:t>
      </w:r>
    </w:p>
    <w:p>
      <w:pPr>
        <w:ind w:left="980"/>
        <w:spacing w:after="0" w:line="237" w:lineRule="auto"/>
        <w:rPr>
          <w:sz w:val="20"/>
          <w:szCs w:val="20"/>
          <w:color w:val="auto"/>
        </w:rPr>
      </w:pPr>
      <w:r>
        <w:rPr>
          <w:rFonts w:ascii="Courier New" w:cs="Courier New" w:eastAsia="Courier New" w:hAnsi="Courier New"/>
          <w:sz w:val="15"/>
          <w:szCs w:val="15"/>
          <w:color w:val="auto"/>
        </w:rPr>
        <w:t>respectively. It also has a net operating loss carryforward of</w:t>
      </w:r>
    </w:p>
    <w:p>
      <w:pPr>
        <w:ind w:left="980"/>
        <w:spacing w:after="0" w:line="238" w:lineRule="auto"/>
        <w:rPr>
          <w:sz w:val="20"/>
          <w:szCs w:val="20"/>
          <w:color w:val="auto"/>
        </w:rPr>
      </w:pPr>
      <w:r>
        <w:rPr>
          <w:rFonts w:ascii="Courier New" w:cs="Courier New" w:eastAsia="Courier New" w:hAnsi="Courier New"/>
          <w:sz w:val="15"/>
          <w:szCs w:val="15"/>
          <w:color w:val="auto"/>
        </w:rPr>
        <w:t>$188,975 available to reduce future state taxable income. If not</w:t>
      </w:r>
    </w:p>
    <w:p>
      <w:pPr>
        <w:ind w:left="980"/>
        <w:spacing w:after="0" w:line="237" w:lineRule="auto"/>
        <w:rPr>
          <w:sz w:val="20"/>
          <w:szCs w:val="20"/>
          <w:color w:val="auto"/>
        </w:rPr>
      </w:pPr>
      <w:r>
        <w:rPr>
          <w:rFonts w:ascii="Courier New" w:cs="Courier New" w:eastAsia="Courier New" w:hAnsi="Courier New"/>
          <w:sz w:val="15"/>
          <w:szCs w:val="15"/>
          <w:color w:val="auto"/>
        </w:rPr>
        <w:t>used, it will expire in 1998.</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Profit Sharing Plan</w:t>
      </w:r>
    </w:p>
    <w:p>
      <w:pPr>
        <w:spacing w:after="0" w:line="173" w:lineRule="exact"/>
        <w:rPr>
          <w:sz w:val="20"/>
          <w:szCs w:val="20"/>
          <w:color w:val="auto"/>
        </w:rPr>
      </w:pPr>
    </w:p>
    <w:p>
      <w:pPr>
        <w:ind w:left="980" w:right="3319"/>
        <w:spacing w:after="0" w:line="256" w:lineRule="auto"/>
        <w:rPr>
          <w:sz w:val="20"/>
          <w:szCs w:val="20"/>
          <w:color w:val="auto"/>
        </w:rPr>
      </w:pPr>
      <w:r>
        <w:rPr>
          <w:rFonts w:ascii="Courier New" w:cs="Courier New" w:eastAsia="Courier New" w:hAnsi="Courier New"/>
          <w:sz w:val="14"/>
          <w:szCs w:val="14"/>
          <w:color w:val="auto"/>
        </w:rPr>
        <w:t>Grand Central Sanitation, Inc. adopted a profit sharing plan for all eligible employees effective April 1, 1985. The contribution to the plan is $100,000 for the year ended December 31, 1995. It is the policy of the Company to fund profit sharing costs accrued.</w:t>
      </w:r>
    </w:p>
    <w:p>
      <w:pPr>
        <w:spacing w:after="0" w:line="158"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Rent Expense</w:t>
      </w:r>
    </w:p>
    <w:p>
      <w:pPr>
        <w:spacing w:after="0" w:line="173" w:lineRule="exact"/>
        <w:rPr>
          <w:sz w:val="20"/>
          <w:szCs w:val="20"/>
          <w:color w:val="auto"/>
        </w:rPr>
      </w:pPr>
    </w:p>
    <w:p>
      <w:pPr>
        <w:ind w:left="980" w:right="3759"/>
        <w:spacing w:after="0" w:line="261" w:lineRule="auto"/>
        <w:rPr>
          <w:sz w:val="20"/>
          <w:szCs w:val="20"/>
          <w:color w:val="auto"/>
        </w:rPr>
      </w:pPr>
      <w:r>
        <w:rPr>
          <w:rFonts w:ascii="Courier New" w:cs="Courier New" w:eastAsia="Courier New" w:hAnsi="Courier New"/>
          <w:sz w:val="14"/>
          <w:szCs w:val="14"/>
          <w:color w:val="auto"/>
        </w:rPr>
        <w:t>The Company rents various equipment on an as-needed basis. Rent expense for the year ended December 31, 1995 is $187,708.</w:t>
      </w:r>
    </w:p>
    <w:p>
      <w:pPr>
        <w:spacing w:after="0" w:line="153"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Financial Instruments and Credit Risk</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Cash:</w:t>
      </w:r>
    </w:p>
    <w:p>
      <w:pPr>
        <w:spacing w:after="0" w:line="173" w:lineRule="exact"/>
        <w:rPr>
          <w:sz w:val="20"/>
          <w:szCs w:val="20"/>
          <w:color w:val="auto"/>
        </w:rPr>
      </w:pPr>
    </w:p>
    <w:p>
      <w:pPr>
        <w:ind w:left="1140" w:right="3319"/>
        <w:spacing w:after="0" w:line="236" w:lineRule="auto"/>
        <w:rPr>
          <w:sz w:val="20"/>
          <w:szCs w:val="20"/>
          <w:color w:val="auto"/>
        </w:rPr>
      </w:pPr>
      <w:r>
        <w:rPr>
          <w:rFonts w:ascii="Courier New" w:cs="Courier New" w:eastAsia="Courier New" w:hAnsi="Courier New"/>
          <w:sz w:val="15"/>
          <w:szCs w:val="15"/>
          <w:color w:val="auto"/>
        </w:rPr>
        <w:t>Financial instruments which potentially subject the Company to a concentration of credit risk consist principally of cash. The Company maintains cash accounts in various commercial banks. The amount on deposit as of December 31, 1995 exceeded the insurance limits of the Federal Deposit Insurance Corporation by approximately $324,000 in one of the commercial banks. The Company has not experienced any losses as a result of these noninsured balances.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39"/>
          </w:cols>
          <w:pgMar w:left="220" w:top="281" w:right="1440" w:bottom="1440" w:gutter="0" w:footer="0" w:header="0"/>
          <w:type w:val="continuous"/>
        </w:sectPr>
      </w:pPr>
    </w:p>
    <w:bookmarkStart w:id="78" w:name="page79"/>
    <w:bookmarkEnd w:id="78"/>
    <w:p>
      <w:pPr>
        <w:ind w:left="280"/>
        <w:spacing w:after="0"/>
        <w:rPr>
          <w:sz w:val="20"/>
          <w:szCs w:val="20"/>
          <w:color w:val="auto"/>
        </w:rPr>
      </w:pPr>
      <w:r>
        <w:rPr>
          <w:rFonts w:ascii="Courier New" w:cs="Courier New" w:eastAsia="Courier New" w:hAnsi="Courier New"/>
          <w:sz w:val="15"/>
          <w:szCs w:val="15"/>
          <w:color w:val="auto"/>
        </w:rPr>
        <w:t>78</w:t>
      </w:r>
    </w:p>
    <w:p>
      <w:pPr>
        <w:ind w:left="2100"/>
        <w:spacing w:after="0" w:line="237" w:lineRule="auto"/>
        <w:rPr>
          <w:sz w:val="20"/>
          <w:szCs w:val="20"/>
          <w:color w:val="auto"/>
        </w:rPr>
      </w:pPr>
      <w:r>
        <w:rPr>
          <w:rFonts w:ascii="Courier New" w:cs="Courier New" w:eastAsia="Courier New" w:hAnsi="Courier New"/>
          <w:sz w:val="15"/>
          <w:szCs w:val="15"/>
          <w:color w:val="auto"/>
        </w:rPr>
        <w:t>GRAND CENTRAL SANITATION, INC.</w:t>
      </w:r>
    </w:p>
    <w:p>
      <w:pPr>
        <w:ind w:left="2540"/>
        <w:spacing w:after="0" w:line="238" w:lineRule="auto"/>
        <w:rPr>
          <w:sz w:val="20"/>
          <w:szCs w:val="20"/>
          <w:color w:val="auto"/>
        </w:rPr>
      </w:pPr>
      <w:r>
        <w:rPr>
          <w:rFonts w:ascii="Courier New" w:cs="Courier New" w:eastAsia="Courier New" w:hAnsi="Courier New"/>
          <w:sz w:val="15"/>
          <w:szCs w:val="15"/>
          <w:color w:val="auto"/>
        </w:rPr>
        <w:t>AND RELATED COMPANIES</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 payable, bank and long-term debt:</w:t>
      </w:r>
    </w:p>
    <w:p>
      <w:pPr>
        <w:spacing w:after="0" w:line="173" w:lineRule="exact"/>
        <w:rPr>
          <w:sz w:val="20"/>
          <w:szCs w:val="20"/>
          <w:color w:val="auto"/>
        </w:rPr>
      </w:pPr>
    </w:p>
    <w:p>
      <w:pPr>
        <w:ind w:left="1140" w:right="3319"/>
        <w:spacing w:after="0" w:line="236" w:lineRule="auto"/>
        <w:rPr>
          <w:sz w:val="20"/>
          <w:szCs w:val="20"/>
          <w:color w:val="auto"/>
        </w:rPr>
      </w:pPr>
      <w:r>
        <w:rPr>
          <w:rFonts w:ascii="Courier New" w:cs="Courier New" w:eastAsia="Courier New" w:hAnsi="Courier New"/>
          <w:sz w:val="15"/>
          <w:szCs w:val="15"/>
          <w:color w:val="auto"/>
        </w:rPr>
        <w:t>The fair value of the companies' note payable, bank and long-term debt, whose interest rates are substantially based on the prime rate, is estimated using rates currently available to the companies for other borrowings with similar terms and remaining maturities. As of December 31, 1995, the fair value of long-term debt approximates the carrying value.</w:t>
      </w:r>
    </w:p>
    <w:p>
      <w:pPr>
        <w:spacing w:after="0" w:line="168"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Loans payable, stockholders:</w:t>
      </w:r>
    </w:p>
    <w:p>
      <w:pPr>
        <w:spacing w:after="0" w:line="173" w:lineRule="exact"/>
        <w:rPr>
          <w:sz w:val="20"/>
          <w:szCs w:val="20"/>
          <w:color w:val="auto"/>
        </w:rPr>
      </w:pPr>
    </w:p>
    <w:p>
      <w:pPr>
        <w:jc w:val="both"/>
        <w:ind w:left="1140" w:right="3319"/>
        <w:spacing w:after="0" w:line="235" w:lineRule="auto"/>
        <w:rPr>
          <w:sz w:val="20"/>
          <w:szCs w:val="20"/>
          <w:color w:val="auto"/>
        </w:rPr>
      </w:pPr>
      <w:r>
        <w:rPr>
          <w:rFonts w:ascii="Courier New" w:cs="Courier New" w:eastAsia="Courier New" w:hAnsi="Courier New"/>
          <w:sz w:val="15"/>
          <w:szCs w:val="15"/>
          <w:color w:val="auto"/>
        </w:rPr>
        <w:t>The fair value of the loans payable to the companies' stockholders has not been determined since the loans bear no interest and have no fixed repayment terms.</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4"/>
          <w:szCs w:val="14"/>
          <w:color w:val="auto"/>
        </w:rPr>
        <w:t>Letters of Credit</w:t>
      </w:r>
    </w:p>
    <w:p>
      <w:pPr>
        <w:spacing w:after="0" w:line="173" w:lineRule="exact"/>
        <w:rPr>
          <w:sz w:val="20"/>
          <w:szCs w:val="20"/>
          <w:color w:val="auto"/>
        </w:rPr>
      </w:pPr>
    </w:p>
    <w:p>
      <w:pPr>
        <w:jc w:val="both"/>
        <w:ind w:left="980" w:right="3399"/>
        <w:spacing w:after="0" w:line="258" w:lineRule="auto"/>
        <w:rPr>
          <w:sz w:val="20"/>
          <w:szCs w:val="20"/>
          <w:color w:val="auto"/>
        </w:rPr>
      </w:pPr>
      <w:r>
        <w:rPr>
          <w:rFonts w:ascii="Courier New" w:cs="Courier New" w:eastAsia="Courier New" w:hAnsi="Courier New"/>
          <w:sz w:val="14"/>
          <w:szCs w:val="14"/>
          <w:color w:val="auto"/>
        </w:rPr>
        <w:t>The companies have various letters of credit with Meridian Bank to support contracts for trash removal from various municipalities. As of December 31, 1995, the amounts total $1,570,965.</w:t>
      </w:r>
    </w:p>
    <w:p>
      <w:pPr>
        <w:spacing w:after="0" w:line="161" w:lineRule="exact"/>
        <w:rPr>
          <w:sz w:val="20"/>
          <w:szCs w:val="20"/>
          <w:color w:val="auto"/>
        </w:rPr>
      </w:pPr>
    </w:p>
    <w:p>
      <w:pPr>
        <w:ind w:left="980" w:right="3399"/>
        <w:spacing w:after="0" w:line="236" w:lineRule="auto"/>
        <w:rPr>
          <w:sz w:val="20"/>
          <w:szCs w:val="20"/>
          <w:color w:val="auto"/>
        </w:rPr>
      </w:pPr>
      <w:r>
        <w:rPr>
          <w:rFonts w:ascii="Courier New" w:cs="Courier New" w:eastAsia="Courier New" w:hAnsi="Courier New"/>
          <w:sz w:val="15"/>
          <w:szCs w:val="15"/>
          <w:color w:val="auto"/>
        </w:rPr>
        <w:t>The companies have a letter of credit with Meridian Bank to support its obligation for closure of its landfill. The Commonwealth of Pennsylvania obligates all landfill operations to set aside funds or have valid letters of credit to support the clean-up of all landfills upon closure of such landfill. As of December 31, 1995, the letter of credit is $6,637,006.</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39"/>
          </w:cols>
          <w:pgMar w:left="220" w:top="281" w:right="1440" w:bottom="1440" w:gutter="0" w:footer="0" w:header="0"/>
        </w:sectPr>
      </w:pPr>
    </w:p>
    <w:bookmarkStart w:id="79" w:name="page80"/>
    <w:bookmarkEnd w:id="79"/>
    <w:p>
      <w:pPr>
        <w:ind w:left="280"/>
        <w:spacing w:after="0"/>
        <w:rPr>
          <w:sz w:val="20"/>
          <w:szCs w:val="20"/>
          <w:color w:val="auto"/>
        </w:rPr>
      </w:pPr>
      <w:r>
        <w:rPr>
          <w:rFonts w:ascii="Courier New" w:cs="Courier New" w:eastAsia="Courier New" w:hAnsi="Courier New"/>
          <w:sz w:val="15"/>
          <w:szCs w:val="15"/>
          <w:color w:val="auto"/>
        </w:rPr>
        <w:t>79</w:t>
      </w:r>
    </w:p>
    <w:p>
      <w:pPr>
        <w:ind w:left="2100"/>
        <w:spacing w:after="0" w:line="237" w:lineRule="auto"/>
        <w:rPr>
          <w:sz w:val="20"/>
          <w:szCs w:val="20"/>
          <w:color w:val="auto"/>
        </w:rPr>
      </w:pPr>
      <w:r>
        <w:rPr>
          <w:rFonts w:ascii="Courier New" w:cs="Courier New" w:eastAsia="Courier New" w:hAnsi="Courier New"/>
          <w:sz w:val="15"/>
          <w:szCs w:val="15"/>
          <w:color w:val="auto"/>
        </w:rPr>
        <w:t>GRAND CENTRAL SANITATION, INC.</w:t>
      </w:r>
    </w:p>
    <w:p>
      <w:pPr>
        <w:ind w:left="2540"/>
        <w:spacing w:after="0" w:line="238" w:lineRule="auto"/>
        <w:rPr>
          <w:sz w:val="20"/>
          <w:szCs w:val="20"/>
          <w:color w:val="auto"/>
        </w:rPr>
      </w:pPr>
      <w:r>
        <w:rPr>
          <w:rFonts w:ascii="Courier New" w:cs="Courier New" w:eastAsia="Courier New" w:hAnsi="Courier New"/>
          <w:sz w:val="15"/>
          <w:szCs w:val="15"/>
          <w:color w:val="auto"/>
        </w:rPr>
        <w:t>AND RELATED COMPANIES</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12.</w:t>
      </w:r>
      <w:r>
        <w:rPr>
          <w:sz w:val="20"/>
          <w:szCs w:val="20"/>
          <w:color w:val="auto"/>
        </w:rPr>
        <w:tab/>
      </w:r>
      <w:r>
        <w:rPr>
          <w:rFonts w:ascii="Courier New" w:cs="Courier New" w:eastAsia="Courier New" w:hAnsi="Courier New"/>
          <w:sz w:val="14"/>
          <w:szCs w:val="14"/>
          <w:color w:val="auto"/>
        </w:rPr>
        <w:t>Subsequent Event</w:t>
      </w:r>
    </w:p>
    <w:p>
      <w:pPr>
        <w:spacing w:after="0" w:line="173" w:lineRule="exact"/>
        <w:rPr>
          <w:sz w:val="20"/>
          <w:szCs w:val="20"/>
          <w:color w:val="auto"/>
        </w:rPr>
      </w:pPr>
    </w:p>
    <w:p>
      <w:pPr>
        <w:ind w:left="980" w:right="3579"/>
        <w:spacing w:after="0" w:line="236" w:lineRule="auto"/>
        <w:rPr>
          <w:sz w:val="20"/>
          <w:szCs w:val="20"/>
          <w:color w:val="auto"/>
        </w:rPr>
      </w:pPr>
      <w:r>
        <w:rPr>
          <w:rFonts w:ascii="Courier New" w:cs="Courier New" w:eastAsia="Courier New" w:hAnsi="Courier New"/>
          <w:sz w:val="15"/>
          <w:szCs w:val="15"/>
          <w:color w:val="auto"/>
        </w:rPr>
        <w:t>On May 6, 1996, Grand Central Sanitation, Inc. and Related Companies entered into an agreement to sell the companies to USA Waste Services, Inc. The sale, which was settled on May 15, 1996, was a stock-for-stock transaction which is being accounted for as a pooling of interests.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39"/>
          </w:cols>
          <w:pgMar w:left="220" w:top="281"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5"/>
          <w:szCs w:val="15"/>
          <w:color w:val="auto"/>
        </w:rPr>
        <w:t>80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GARNET OF VIRGINIA, INC, AND GARNET OF MARYLAND, INC.</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COMBINED FINANCIAL STATEMENTS AS OF DECEMBER 31, 1995 TOGETHER WITH AUDITORS' REPORT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39"/>
          </w:cols>
          <w:pgMar w:left="220" w:top="281"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5"/>
          <w:szCs w:val="15"/>
          <w:color w:val="auto"/>
        </w:rPr>
        <w:t>81</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of</w:t>
      </w:r>
    </w:p>
    <w:p>
      <w:pPr>
        <w:spacing w:after="0" w:line="237" w:lineRule="auto"/>
        <w:rPr>
          <w:sz w:val="20"/>
          <w:szCs w:val="20"/>
          <w:color w:val="auto"/>
        </w:rPr>
      </w:pPr>
      <w:r>
        <w:rPr>
          <w:rFonts w:ascii="Courier New" w:cs="Courier New" w:eastAsia="Courier New" w:hAnsi="Courier New"/>
          <w:sz w:val="15"/>
          <w:szCs w:val="15"/>
          <w:color w:val="auto"/>
        </w:rPr>
        <w:t>Garnet of Virginia, Inc., and</w:t>
      </w:r>
    </w:p>
    <w:p>
      <w:pPr>
        <w:spacing w:after="0" w:line="238" w:lineRule="auto"/>
        <w:rPr>
          <w:sz w:val="20"/>
          <w:szCs w:val="20"/>
          <w:color w:val="auto"/>
        </w:rPr>
      </w:pPr>
      <w:r>
        <w:rPr>
          <w:rFonts w:ascii="Courier New" w:cs="Courier New" w:eastAsia="Courier New" w:hAnsi="Courier New"/>
          <w:sz w:val="15"/>
          <w:szCs w:val="15"/>
          <w:color w:val="auto"/>
        </w:rPr>
        <w:t>Garnet of Maryland, Inc.:</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We have audited the accompanying combined balance sheet of Garnet of Virginia, Inc., and Garnet of Maryland, Inc. (Virginia and Washington, D.C., corporations, respectively) (the Companies), as of December 31, 1995, and the related combined statements of operations, stockholders' deficit and cash flows for the year then ended. These financial statements are the responsibility of the Companies' management. Our responsibility is to express an opinion on these financial statements based on our audit.</w:t>
      </w:r>
    </w:p>
    <w:p>
      <w:pPr>
        <w:spacing w:after="0" w:line="17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8"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the Companies as of December 31, 1995, and the results of their operations and their cash flows for the year then ended in conformity with generally accepted accounting principles.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37" w:lineRule="auto"/>
        <w:rPr>
          <w:sz w:val="20"/>
          <w:szCs w:val="20"/>
          <w:color w:val="auto"/>
        </w:rPr>
      </w:pPr>
      <w:r>
        <w:rPr>
          <w:rFonts w:ascii="Courier New" w:cs="Courier New" w:eastAsia="Courier New" w:hAnsi="Courier New"/>
          <w:sz w:val="15"/>
          <w:szCs w:val="15"/>
          <w:color w:val="auto"/>
        </w:rPr>
        <w:t>February 2, 1996</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39"/>
          </w:cols>
          <w:pgMar w:left="220" w:top="281" w:right="1440" w:bottom="1440" w:gutter="0" w:footer="0" w:header="0"/>
        </w:sectPr>
      </w:pPr>
    </w:p>
    <w:bookmarkStart w:id="82" w:name="page83"/>
    <w:bookmarkEnd w:id="82"/>
    <w:p>
      <w:pPr>
        <w:ind w:left="100"/>
        <w:spacing w:after="0"/>
        <w:rPr>
          <w:sz w:val="20"/>
          <w:szCs w:val="20"/>
          <w:color w:val="auto"/>
        </w:rPr>
      </w:pPr>
      <w:r>
        <w:rPr>
          <w:rFonts w:ascii="Courier New" w:cs="Courier New" w:eastAsia="Courier New" w:hAnsi="Courier New"/>
          <w:sz w:val="15"/>
          <w:szCs w:val="15"/>
          <w:color w:val="auto"/>
        </w:rPr>
        <w:t>82</w:t>
      </w:r>
    </w:p>
    <w:tbl>
      <w:tblPr>
        <w:tblLayout w:type="fixed"/>
        <w:tblInd w:w="0" w:type="dxa"/>
        <w:tblCellMar>
          <w:top w:w="0" w:type="dxa"/>
          <w:left w:w="0" w:type="dxa"/>
          <w:bottom w:w="0" w:type="dxa"/>
          <w:right w:w="0" w:type="dxa"/>
        </w:tblCellMar>
      </w:tblPr>
      <w:tr>
        <w:trPr>
          <w:trHeight w:val="168"/>
        </w:trPr>
        <w:tc>
          <w:tcPr>
            <w:tcW w:w="6480" w:type="dxa"/>
            <w:vAlign w:val="bottom"/>
            <w:gridSpan w:val="3"/>
          </w:tcPr>
          <w:p>
            <w:pPr>
              <w:ind w:left="960"/>
              <w:spacing w:after="0" w:line="168" w:lineRule="exact"/>
              <w:rPr>
                <w:sz w:val="20"/>
                <w:szCs w:val="20"/>
                <w:color w:val="auto"/>
              </w:rPr>
            </w:pPr>
            <w:r>
              <w:rPr>
                <w:rFonts w:ascii="Courier New" w:cs="Courier New" w:eastAsia="Courier New" w:hAnsi="Courier New"/>
                <w:sz w:val="15"/>
                <w:szCs w:val="15"/>
                <w:color w:val="auto"/>
              </w:rPr>
              <w:t>GARNET OF VIRGINIA, INC., AND GARNET OF MARYLAND, INC.</w:t>
            </w:r>
          </w:p>
        </w:tc>
      </w:tr>
      <w:tr>
        <w:trPr>
          <w:trHeight w:val="336"/>
        </w:trPr>
        <w:tc>
          <w:tcPr>
            <w:tcW w:w="5200" w:type="dxa"/>
            <w:vAlign w:val="bottom"/>
          </w:tcPr>
          <w:p>
            <w:pPr>
              <w:ind w:left="1500"/>
              <w:spacing w:after="0"/>
              <w:rPr>
                <w:sz w:val="20"/>
                <w:szCs w:val="20"/>
                <w:color w:val="auto"/>
              </w:rPr>
            </w:pPr>
            <w:r>
              <w:rPr>
                <w:rFonts w:ascii="Courier New" w:cs="Courier New" w:eastAsia="Courier New" w:hAnsi="Courier New"/>
                <w:sz w:val="15"/>
                <w:szCs w:val="15"/>
                <w:color w:val="auto"/>
                <w:w w:val="99"/>
              </w:rPr>
              <w:t>COMBINED BALANCE SHEET--DECEMBER 31, 1995</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73"/>
        </w:trPr>
        <w:tc>
          <w:tcPr>
            <w:tcW w:w="5200" w:type="dxa"/>
            <w:vAlign w:val="bottom"/>
          </w:tcPr>
          <w:p>
            <w:pPr>
              <w:ind w:left="2800"/>
              <w:spacing w:after="0"/>
              <w:rPr>
                <w:sz w:val="20"/>
                <w:szCs w:val="20"/>
                <w:color w:val="auto"/>
              </w:rPr>
            </w:pPr>
            <w:r>
              <w:rPr>
                <w:rFonts w:ascii="Courier New" w:cs="Courier New" w:eastAsia="Courier New" w:hAnsi="Courier New"/>
                <w:sz w:val="15"/>
                <w:szCs w:val="15"/>
                <w:color w:val="auto"/>
              </w:rPr>
              <w:t>ASSETS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200" w:type="dxa"/>
            <w:vAlign w:val="bottom"/>
          </w:tcPr>
          <w:p>
            <w:pPr>
              <w:ind w:left="2800"/>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52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12,742</w:t>
            </w:r>
          </w:p>
        </w:tc>
      </w:tr>
      <w:tr>
        <w:trPr>
          <w:trHeight w:val="168"/>
        </w:trPr>
        <w:tc>
          <w:tcPr>
            <w:tcW w:w="5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2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57,923</w:t>
            </w:r>
          </w:p>
        </w:tc>
      </w:tr>
      <w:tr>
        <w:trPr>
          <w:trHeight w:val="168"/>
        </w:trPr>
        <w:tc>
          <w:tcPr>
            <w:tcW w:w="5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Prepaid expenses</w:t>
            </w:r>
          </w:p>
        </w:tc>
        <w:tc>
          <w:tcPr>
            <w:tcW w:w="2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41,671</w:t>
            </w:r>
          </w:p>
        </w:tc>
      </w:tr>
      <w:tr>
        <w:trPr>
          <w:trHeight w:val="168"/>
        </w:trPr>
        <w:tc>
          <w:tcPr>
            <w:tcW w:w="520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0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112,336</w:t>
            </w:r>
          </w:p>
        </w:tc>
      </w:tr>
      <w:tr>
        <w:trPr>
          <w:trHeight w:val="336"/>
        </w:trPr>
        <w:tc>
          <w:tcPr>
            <w:tcW w:w="5200" w:type="dxa"/>
            <w:vAlign w:val="bottom"/>
          </w:tcPr>
          <w:p>
            <w:pPr>
              <w:ind w:left="100"/>
              <w:spacing w:after="0"/>
              <w:rPr>
                <w:sz w:val="20"/>
                <w:szCs w:val="20"/>
                <w:color w:val="auto"/>
              </w:rPr>
            </w:pPr>
            <w:r>
              <w:rPr>
                <w:rFonts w:ascii="Courier New" w:cs="Courier New" w:eastAsia="Courier New" w:hAnsi="Courier New"/>
                <w:sz w:val="15"/>
                <w:szCs w:val="15"/>
                <w:color w:val="auto"/>
              </w:rPr>
              <w:t>Restricted cash</w:t>
            </w:r>
          </w:p>
        </w:tc>
        <w:tc>
          <w:tcPr>
            <w:tcW w:w="280" w:type="dxa"/>
            <w:vAlign w:val="bottom"/>
          </w:tcPr>
          <w:p>
            <w:pPr>
              <w:spacing w:after="0"/>
              <w:rPr>
                <w:sz w:val="24"/>
                <w:szCs w:val="24"/>
                <w:color w:val="auto"/>
              </w:rPr>
            </w:pPr>
          </w:p>
        </w:tc>
        <w:tc>
          <w:tcPr>
            <w:tcW w:w="1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893,769</w:t>
            </w:r>
          </w:p>
        </w:tc>
      </w:tr>
      <w:tr>
        <w:trPr>
          <w:trHeight w:val="168"/>
        </w:trPr>
        <w:tc>
          <w:tcPr>
            <w:tcW w:w="5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Property and equipment, net of accumulated</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19,822,279</w:t>
            </w:r>
          </w:p>
        </w:tc>
      </w:tr>
      <w:tr>
        <w:trPr>
          <w:trHeight w:val="168"/>
        </w:trPr>
        <w:tc>
          <w:tcPr>
            <w:tcW w:w="5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Investment in affiliated company</w:t>
            </w:r>
          </w:p>
        </w:tc>
        <w:tc>
          <w:tcPr>
            <w:tcW w:w="2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1,007,652</w:t>
            </w:r>
          </w:p>
        </w:tc>
      </w:tr>
      <w:tr>
        <w:trPr>
          <w:trHeight w:val="168"/>
        </w:trPr>
        <w:tc>
          <w:tcPr>
            <w:tcW w:w="5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assets, net</w:t>
            </w:r>
          </w:p>
        </w:tc>
        <w:tc>
          <w:tcPr>
            <w:tcW w:w="2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3,200,762</w:t>
            </w:r>
          </w:p>
        </w:tc>
      </w:tr>
      <w:tr>
        <w:trPr>
          <w:trHeight w:val="168"/>
        </w:trPr>
        <w:tc>
          <w:tcPr>
            <w:tcW w:w="520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0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Total assets</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$ 25,036,798</w:t>
            </w:r>
          </w:p>
        </w:tc>
      </w:tr>
      <w:tr>
        <w:trPr>
          <w:trHeight w:val="168"/>
        </w:trPr>
        <w:tc>
          <w:tcPr>
            <w:tcW w:w="520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00" w:type="dxa"/>
            <w:vAlign w:val="bottom"/>
          </w:tcPr>
          <w:p>
            <w:pPr>
              <w:ind w:left="1660"/>
              <w:spacing w:after="0" w:line="168" w:lineRule="exact"/>
              <w:rPr>
                <w:sz w:val="20"/>
                <w:szCs w:val="20"/>
                <w:color w:val="auto"/>
              </w:rPr>
            </w:pPr>
            <w:r>
              <w:rPr>
                <w:rFonts w:ascii="Courier New" w:cs="Courier New" w:eastAsia="Courier New" w:hAnsi="Courier New"/>
                <w:sz w:val="15"/>
                <w:szCs w:val="15"/>
                <w:color w:val="auto"/>
              </w:rPr>
              <w:t>LIABILITIES AND STOCKHOLDERS' DEFICIT</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200" w:type="dxa"/>
            <w:vAlign w:val="bottom"/>
          </w:tcPr>
          <w:p>
            <w:pPr>
              <w:ind w:left="1660"/>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52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Current maturities of long-term debt</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9,114,493</w:t>
            </w:r>
          </w:p>
        </w:tc>
      </w:tr>
      <w:tr>
        <w:trPr>
          <w:trHeight w:val="168"/>
        </w:trPr>
        <w:tc>
          <w:tcPr>
            <w:tcW w:w="5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Notes payable to related party</w:t>
            </w:r>
          </w:p>
        </w:tc>
        <w:tc>
          <w:tcPr>
            <w:tcW w:w="2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5,155,000</w:t>
            </w:r>
          </w:p>
        </w:tc>
      </w:tr>
      <w:tr>
        <w:trPr>
          <w:trHeight w:val="168"/>
        </w:trPr>
        <w:tc>
          <w:tcPr>
            <w:tcW w:w="5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Demand notes payable to related parties</w:t>
            </w:r>
          </w:p>
        </w:tc>
        <w:tc>
          <w:tcPr>
            <w:tcW w:w="2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889,810</w:t>
            </w:r>
          </w:p>
        </w:tc>
      </w:tr>
      <w:tr>
        <w:trPr>
          <w:trHeight w:val="168"/>
        </w:trPr>
        <w:tc>
          <w:tcPr>
            <w:tcW w:w="5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Accounts payable-</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Trade</w:t>
            </w:r>
          </w:p>
        </w:tc>
        <w:tc>
          <w:tcPr>
            <w:tcW w:w="2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3,260,937</w:t>
            </w:r>
          </w:p>
        </w:tc>
      </w:tr>
      <w:tr>
        <w:trPr>
          <w:trHeight w:val="168"/>
        </w:trPr>
        <w:tc>
          <w:tcPr>
            <w:tcW w:w="5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Related party</w:t>
            </w:r>
          </w:p>
        </w:tc>
        <w:tc>
          <w:tcPr>
            <w:tcW w:w="2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1,894,182</w:t>
            </w:r>
          </w:p>
        </w:tc>
      </w:tr>
      <w:tr>
        <w:trPr>
          <w:trHeight w:val="168"/>
        </w:trPr>
        <w:tc>
          <w:tcPr>
            <w:tcW w:w="5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Accrued liabilities and other</w:t>
            </w:r>
          </w:p>
        </w:tc>
        <w:tc>
          <w:tcPr>
            <w:tcW w:w="2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1,202,096</w:t>
            </w:r>
          </w:p>
        </w:tc>
      </w:tr>
      <w:tr>
        <w:trPr>
          <w:trHeight w:val="168"/>
        </w:trPr>
        <w:tc>
          <w:tcPr>
            <w:tcW w:w="520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0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21,516,518</w:t>
            </w:r>
          </w:p>
        </w:tc>
      </w:tr>
      <w:tr>
        <w:trPr>
          <w:trHeight w:val="336"/>
        </w:trPr>
        <w:tc>
          <w:tcPr>
            <w:tcW w:w="5200" w:type="dxa"/>
            <w:vAlign w:val="bottom"/>
          </w:tcPr>
          <w:p>
            <w:pPr>
              <w:spacing w:after="0"/>
              <w:rPr>
                <w:sz w:val="20"/>
                <w:szCs w:val="20"/>
                <w:color w:val="auto"/>
              </w:rPr>
            </w:pPr>
            <w:r>
              <w:rPr>
                <w:rFonts w:ascii="Courier New" w:cs="Courier New" w:eastAsia="Courier New" w:hAnsi="Courier New"/>
                <w:sz w:val="15"/>
                <w:szCs w:val="15"/>
                <w:color w:val="auto"/>
              </w:rPr>
              <w:t>LONG-TERM DEBT, net of current maturities</w:t>
            </w:r>
          </w:p>
        </w:tc>
        <w:tc>
          <w:tcPr>
            <w:tcW w:w="280" w:type="dxa"/>
            <w:vAlign w:val="bottom"/>
          </w:tcPr>
          <w:p>
            <w:pPr>
              <w:spacing w:after="0"/>
              <w:rPr>
                <w:sz w:val="24"/>
                <w:szCs w:val="24"/>
                <w:color w:val="auto"/>
              </w:rPr>
            </w:pPr>
          </w:p>
        </w:tc>
        <w:tc>
          <w:tcPr>
            <w:tcW w:w="1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1,826,656</w:t>
            </w:r>
          </w:p>
        </w:tc>
      </w:tr>
      <w:tr>
        <w:trPr>
          <w:trHeight w:val="336"/>
        </w:trPr>
        <w:tc>
          <w:tcPr>
            <w:tcW w:w="5200" w:type="dxa"/>
            <w:vAlign w:val="bottom"/>
          </w:tcPr>
          <w:p>
            <w:pPr>
              <w:spacing w:after="0"/>
              <w:rPr>
                <w:sz w:val="20"/>
                <w:szCs w:val="20"/>
                <w:color w:val="auto"/>
              </w:rPr>
            </w:pPr>
            <w:r>
              <w:rPr>
                <w:rFonts w:ascii="Courier New" w:cs="Courier New" w:eastAsia="Courier New" w:hAnsi="Courier New"/>
                <w:sz w:val="15"/>
                <w:szCs w:val="15"/>
                <w:color w:val="auto"/>
              </w:rPr>
              <w:t>LANDFILL CLOSURE, POSTCLOSURE, CAPPING AND</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REMEDIATION RESERVES</w:t>
            </w:r>
          </w:p>
        </w:tc>
        <w:tc>
          <w:tcPr>
            <w:tcW w:w="2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7,487,500</w:t>
            </w:r>
          </w:p>
        </w:tc>
      </w:tr>
      <w:tr>
        <w:trPr>
          <w:trHeight w:val="168"/>
        </w:trPr>
        <w:tc>
          <w:tcPr>
            <w:tcW w:w="520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0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30,830,674</w:t>
            </w:r>
          </w:p>
        </w:tc>
      </w:tr>
      <w:tr>
        <w:trPr>
          <w:trHeight w:val="168"/>
        </w:trPr>
        <w:tc>
          <w:tcPr>
            <w:tcW w:w="520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5200" w:type="dxa"/>
            <w:vAlign w:val="bottom"/>
          </w:tcPr>
          <w:p>
            <w:pPr>
              <w:spacing w:after="0"/>
              <w:rPr>
                <w:sz w:val="20"/>
                <w:szCs w:val="20"/>
                <w:color w:val="auto"/>
              </w:rPr>
            </w:pPr>
            <w:r>
              <w:rPr>
                <w:rFonts w:ascii="Courier New" w:cs="Courier New" w:eastAsia="Courier New" w:hAnsi="Courier New"/>
                <w:sz w:val="15"/>
                <w:szCs w:val="15"/>
                <w:color w:val="auto"/>
              </w:rPr>
              <w:t>STOCKHOLDERS' DEFICIT:</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stock</w:t>
            </w:r>
          </w:p>
        </w:tc>
        <w:tc>
          <w:tcPr>
            <w:tcW w:w="2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w:t>
            </w:r>
          </w:p>
        </w:tc>
      </w:tr>
      <w:tr>
        <w:trPr>
          <w:trHeight w:val="168"/>
        </w:trPr>
        <w:tc>
          <w:tcPr>
            <w:tcW w:w="5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Retained deficit</w:t>
            </w:r>
          </w:p>
        </w:tc>
        <w:tc>
          <w:tcPr>
            <w:tcW w:w="2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(5,794,076)</w:t>
            </w:r>
          </w:p>
        </w:tc>
      </w:tr>
      <w:tr>
        <w:trPr>
          <w:trHeight w:val="168"/>
        </w:trPr>
        <w:tc>
          <w:tcPr>
            <w:tcW w:w="520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0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Total stockholders' deficit</w:t>
            </w:r>
          </w:p>
        </w:tc>
        <w:tc>
          <w:tcPr>
            <w:tcW w:w="2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(5,793,876)</w:t>
            </w:r>
          </w:p>
        </w:tc>
      </w:tr>
      <w:tr>
        <w:trPr>
          <w:trHeight w:val="168"/>
        </w:trPr>
        <w:tc>
          <w:tcPr>
            <w:tcW w:w="520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0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Total liabilities and stockholders' deficit</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20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$ 25,036,798</w:t>
            </w:r>
          </w:p>
        </w:tc>
      </w:tr>
      <w:tr>
        <w:trPr>
          <w:trHeight w:val="168"/>
        </w:trPr>
        <w:tc>
          <w:tcPr>
            <w:tcW w:w="520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The accompanying notes are an integral part of this</w:t>
      </w:r>
    </w:p>
    <w:p>
      <w:pPr>
        <w:jc w:val="center"/>
        <w:ind w:right="3499"/>
        <w:spacing w:after="0" w:line="237" w:lineRule="auto"/>
        <w:rPr>
          <w:sz w:val="20"/>
          <w:szCs w:val="20"/>
          <w:color w:val="auto"/>
        </w:rPr>
      </w:pPr>
      <w:r>
        <w:rPr>
          <w:rFonts w:ascii="Courier New" w:cs="Courier New" w:eastAsia="Courier New" w:hAnsi="Courier New"/>
          <w:sz w:val="15"/>
          <w:szCs w:val="15"/>
          <w:color w:val="auto"/>
        </w:rPr>
        <w:t>combined financial statement.</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059"/>
          </w:cols>
          <w:pgMar w:left="400" w:top="281"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5"/>
          <w:szCs w:val="15"/>
          <w:color w:val="auto"/>
        </w:rPr>
        <w:t>83</w:t>
      </w:r>
    </w:p>
    <w:p>
      <w:pPr>
        <w:ind w:left="1140"/>
        <w:spacing w:after="0" w:line="237" w:lineRule="auto"/>
        <w:rPr>
          <w:sz w:val="20"/>
          <w:szCs w:val="20"/>
          <w:color w:val="auto"/>
        </w:rPr>
      </w:pPr>
      <w:r>
        <w:rPr>
          <w:rFonts w:ascii="Courier New" w:cs="Courier New" w:eastAsia="Courier New" w:hAnsi="Courier New"/>
          <w:sz w:val="15"/>
          <w:szCs w:val="15"/>
          <w:color w:val="auto"/>
        </w:rPr>
        <w:t>GARNET OF VIRGINIA, INC., AND GARNET OF MARYLAND, INC.</w:t>
      </w:r>
    </w:p>
    <w:p>
      <w:pPr>
        <w:spacing w:after="0" w:line="33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COMBINED STATEMENT OF OPERATIONS</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FOR THE YEAR ENDED DECEMBER 31, 1995</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622,934</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COST OF OPERATIONS</w:t>
            </w:r>
          </w:p>
        </w:tc>
        <w:tc>
          <w:tcPr>
            <w:tcW w:w="114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1,478,510</w:t>
            </w:r>
          </w:p>
        </w:tc>
      </w:tr>
      <w:tr>
        <w:trPr>
          <w:trHeight w:val="168"/>
        </w:trPr>
        <w:tc>
          <w:tcPr>
            <w:tcW w:w="4900" w:type="dxa"/>
            <w:vAlign w:val="bottom"/>
          </w:tcPr>
          <w:p>
            <w:pPr>
              <w:spacing w:after="0"/>
              <w:rPr>
                <w:sz w:val="14"/>
                <w:szCs w:val="14"/>
                <w:color w:val="auto"/>
              </w:rPr>
            </w:pP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Gross loss</w:t>
            </w:r>
          </w:p>
        </w:tc>
        <w:tc>
          <w:tcPr>
            <w:tcW w:w="11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(855,576)</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114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942,048</w:t>
            </w:r>
          </w:p>
        </w:tc>
      </w:tr>
      <w:tr>
        <w:trPr>
          <w:trHeight w:val="168"/>
        </w:trPr>
        <w:tc>
          <w:tcPr>
            <w:tcW w:w="4900" w:type="dxa"/>
            <w:vAlign w:val="bottom"/>
          </w:tcPr>
          <w:p>
            <w:pPr>
              <w:spacing w:after="0"/>
              <w:rPr>
                <w:sz w:val="14"/>
                <w:szCs w:val="14"/>
                <w:color w:val="auto"/>
              </w:rPr>
            </w:pP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Operating loss</w:t>
            </w:r>
          </w:p>
        </w:tc>
        <w:tc>
          <w:tcPr>
            <w:tcW w:w="11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(1,797,624)</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EQUITY IN NET LOSS OF AFFILIATED COMPANY</w:t>
            </w:r>
          </w:p>
        </w:tc>
        <w:tc>
          <w:tcPr>
            <w:tcW w:w="114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1,014,782</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14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539,001</w:t>
            </w:r>
          </w:p>
        </w:tc>
      </w:tr>
      <w:tr>
        <w:trPr>
          <w:trHeight w:val="168"/>
        </w:trPr>
        <w:tc>
          <w:tcPr>
            <w:tcW w:w="4900" w:type="dxa"/>
            <w:vAlign w:val="bottom"/>
          </w:tcPr>
          <w:p>
            <w:pPr>
              <w:spacing w:after="0"/>
              <w:rPr>
                <w:sz w:val="14"/>
                <w:szCs w:val="14"/>
                <w:color w:val="auto"/>
              </w:rPr>
            </w:pP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Net loss</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$(3,351,407)</w:t>
            </w:r>
          </w:p>
        </w:tc>
      </w:tr>
      <w:tr>
        <w:trPr>
          <w:trHeight w:val="168"/>
        </w:trPr>
        <w:tc>
          <w:tcPr>
            <w:tcW w:w="4900" w:type="dxa"/>
            <w:vAlign w:val="bottom"/>
          </w:tcPr>
          <w:p>
            <w:pPr>
              <w:spacing w:after="0"/>
              <w:rPr>
                <w:sz w:val="14"/>
                <w:szCs w:val="14"/>
                <w:color w:val="auto"/>
              </w:rPr>
            </w:pP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this</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combined financial statement.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39"/>
          </w:cols>
          <w:pgMar w:left="220" w:top="281"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5"/>
          <w:szCs w:val="15"/>
          <w:color w:val="auto"/>
        </w:rPr>
        <w:t>84</w:t>
      </w:r>
    </w:p>
    <w:p>
      <w:pPr>
        <w:ind w:left="1140"/>
        <w:spacing w:after="0" w:line="237" w:lineRule="auto"/>
        <w:rPr>
          <w:sz w:val="20"/>
          <w:szCs w:val="20"/>
          <w:color w:val="auto"/>
        </w:rPr>
      </w:pPr>
      <w:r>
        <w:rPr>
          <w:rFonts w:ascii="Courier New" w:cs="Courier New" w:eastAsia="Courier New" w:hAnsi="Courier New"/>
          <w:sz w:val="15"/>
          <w:szCs w:val="15"/>
          <w:color w:val="auto"/>
        </w:rPr>
        <w:t>GARNET OF VIRGINIA, INC., AND GARNET OF MARYLAND, INC.</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COMBINED STATEMENT OF STOCKHOLDERS' DEFICIT</w:t>
      </w:r>
    </w:p>
    <w:p>
      <w:pPr>
        <w:ind w:left="1840"/>
        <w:spacing w:after="0" w:line="237" w:lineRule="auto"/>
        <w:rPr>
          <w:sz w:val="20"/>
          <w:szCs w:val="20"/>
          <w:color w:val="auto"/>
        </w:rPr>
      </w:pPr>
      <w:r>
        <w:rPr>
          <w:rFonts w:ascii="Courier New" w:cs="Courier New" w:eastAsia="Courier New" w:hAnsi="Courier New"/>
          <w:sz w:val="15"/>
          <w:szCs w:val="15"/>
          <w:color w:val="auto"/>
        </w:rPr>
        <w:t>FOR THE YEAR ENDED DECEMBER 31, 1995</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1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Common Stock</w:t>
            </w:r>
          </w:p>
        </w:tc>
        <w:tc>
          <w:tcPr>
            <w:tcW w:w="1220" w:type="dxa"/>
            <w:vAlign w:val="bottom"/>
          </w:tcPr>
          <w:p>
            <w:pPr>
              <w:spacing w:after="0"/>
              <w:rPr>
                <w:sz w:val="14"/>
                <w:szCs w:val="14"/>
                <w:color w:val="auto"/>
              </w:rPr>
            </w:pPr>
          </w:p>
        </w:tc>
        <w:tc>
          <w:tcPr>
            <w:tcW w:w="12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Total</w:t>
            </w:r>
          </w:p>
        </w:tc>
      </w:tr>
      <w:tr>
        <w:trPr>
          <w:trHeight w:val="168"/>
        </w:trPr>
        <w:tc>
          <w:tcPr>
            <w:tcW w:w="3120" w:type="dxa"/>
            <w:vAlign w:val="bottom"/>
          </w:tcPr>
          <w:p>
            <w:pPr>
              <w:spacing w:after="0"/>
              <w:rPr>
                <w:sz w:val="14"/>
                <w:szCs w:val="14"/>
                <w:color w:val="auto"/>
              </w:rPr>
            </w:pPr>
          </w:p>
        </w:tc>
        <w:tc>
          <w:tcPr>
            <w:tcW w:w="1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Retained</w:t>
            </w:r>
          </w:p>
        </w:tc>
        <w:tc>
          <w:tcPr>
            <w:tcW w:w="12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Stockholders'</w:t>
            </w:r>
          </w:p>
        </w:tc>
      </w:tr>
      <w:tr>
        <w:trPr>
          <w:trHeight w:val="168"/>
        </w:trPr>
        <w:tc>
          <w:tcPr>
            <w:tcW w:w="312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Shares</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Amount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Deficit</w:t>
            </w:r>
          </w:p>
        </w:tc>
        <w:tc>
          <w:tcPr>
            <w:tcW w:w="12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Deficit</w:t>
            </w:r>
          </w:p>
        </w:tc>
      </w:tr>
      <w:tr>
        <w:trPr>
          <w:trHeight w:val="168"/>
        </w:trPr>
        <w:tc>
          <w:tcPr>
            <w:tcW w:w="312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BALANCE, at December 31, 1994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$(2,442,669)</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$(2,442,569)</w:t>
            </w:r>
          </w:p>
        </w:tc>
      </w:tr>
      <w:tr>
        <w:trPr>
          <w:trHeight w:val="168"/>
        </w:trPr>
        <w:tc>
          <w:tcPr>
            <w:tcW w:w="3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loss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(3,351,407)</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(3,351,407)</w:t>
            </w:r>
          </w:p>
        </w:tc>
      </w:tr>
      <w:tr>
        <w:trPr>
          <w:trHeight w:val="168"/>
        </w:trPr>
        <w:tc>
          <w:tcPr>
            <w:tcW w:w="3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1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December 31, 1995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$(5,794,076)</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$(5,793,876)</w:t>
            </w:r>
          </w:p>
        </w:tc>
      </w:tr>
      <w:tr>
        <w:trPr>
          <w:trHeight w:val="168"/>
        </w:trPr>
        <w:tc>
          <w:tcPr>
            <w:tcW w:w="31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this</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combined financial statement.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39"/>
          </w:cols>
          <w:pgMar w:left="220" w:top="281"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5"/>
          <w:szCs w:val="15"/>
          <w:color w:val="auto"/>
        </w:rPr>
        <w:t>85</w:t>
      </w:r>
    </w:p>
    <w:tbl>
      <w:tblPr>
        <w:tblLayout w:type="fixed"/>
        <w:tblInd w:w="0" w:type="dxa"/>
        <w:tblCellMar>
          <w:top w:w="0" w:type="dxa"/>
          <w:left w:w="0" w:type="dxa"/>
          <w:bottom w:w="0" w:type="dxa"/>
          <w:right w:w="0" w:type="dxa"/>
        </w:tblCellMar>
      </w:tblPr>
      <w:tr>
        <w:trPr>
          <w:trHeight w:val="168"/>
        </w:trPr>
        <w:tc>
          <w:tcPr>
            <w:tcW w:w="71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GARNET OF VIRGINIA, INC., AND GARNET OF MARYLAND, INC.</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7140" w:type="dxa"/>
            <w:vAlign w:val="bottom"/>
          </w:tcPr>
          <w:p>
            <w:pPr>
              <w:ind w:left="2020"/>
              <w:spacing w:after="0"/>
              <w:rPr>
                <w:sz w:val="20"/>
                <w:szCs w:val="20"/>
                <w:color w:val="auto"/>
              </w:rPr>
            </w:pPr>
            <w:r>
              <w:rPr>
                <w:rFonts w:ascii="Courier New" w:cs="Courier New" w:eastAsia="Courier New" w:hAnsi="Courier New"/>
                <w:sz w:val="15"/>
                <w:szCs w:val="15"/>
                <w:color w:val="auto"/>
              </w:rPr>
              <w:t>COMBINED STATEMENT OF CASH FLOWS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7140" w:type="dxa"/>
            <w:vAlign w:val="bottom"/>
          </w:tcPr>
          <w:p>
            <w:pPr>
              <w:ind w:left="1840"/>
              <w:spacing w:after="0"/>
              <w:rPr>
                <w:sz w:val="20"/>
                <w:szCs w:val="20"/>
                <w:color w:val="auto"/>
              </w:rPr>
            </w:pPr>
            <w:r>
              <w:rPr>
                <w:rFonts w:ascii="Courier New" w:cs="Courier New" w:eastAsia="Courier New" w:hAnsi="Courier New"/>
                <w:sz w:val="15"/>
                <w:szCs w:val="15"/>
                <w:color w:val="auto"/>
              </w:rPr>
              <w:t>FOR THE YEAR ENDED DECEMBER 31, 1995</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73"/>
        </w:trPr>
        <w:tc>
          <w:tcPr>
            <w:tcW w:w="71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7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loss</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$(3,351,407)</w:t>
            </w:r>
          </w:p>
        </w:tc>
      </w:tr>
      <w:tr>
        <w:trPr>
          <w:trHeight w:val="168"/>
        </w:trPr>
        <w:tc>
          <w:tcPr>
            <w:tcW w:w="7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Adjustments to reconcile net loss to net cash provided by operating activities-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115,394</w:t>
            </w:r>
          </w:p>
        </w:tc>
      </w:tr>
      <w:tr>
        <w:trPr>
          <w:trHeight w:val="168"/>
        </w:trPr>
        <w:tc>
          <w:tcPr>
            <w:tcW w:w="7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177,709</w:t>
            </w:r>
          </w:p>
        </w:tc>
      </w:tr>
      <w:tr>
        <w:trPr>
          <w:trHeight w:val="168"/>
        </w:trPr>
        <w:tc>
          <w:tcPr>
            <w:tcW w:w="7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Prepaid expenses</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(15,178)</w:t>
            </w:r>
          </w:p>
        </w:tc>
      </w:tr>
      <w:tr>
        <w:trPr>
          <w:trHeight w:val="168"/>
        </w:trPr>
        <w:tc>
          <w:tcPr>
            <w:tcW w:w="7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Accounts payable, accrued liabilities and other</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3,782,830</w:t>
            </w:r>
          </w:p>
        </w:tc>
      </w:tr>
      <w:tr>
        <w:trPr>
          <w:trHeight w:val="168"/>
        </w:trPr>
        <w:tc>
          <w:tcPr>
            <w:tcW w:w="71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40" w:type="dxa"/>
            <w:vAlign w:val="bottom"/>
          </w:tcPr>
          <w:p>
            <w:pPr>
              <w:ind w:left="228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2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709,348</w:t>
            </w:r>
          </w:p>
        </w:tc>
      </w:tr>
      <w:tr>
        <w:trPr>
          <w:trHeight w:val="168"/>
        </w:trPr>
        <w:tc>
          <w:tcPr>
            <w:tcW w:w="71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7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Purchases of property and equipment</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(5,614,518)</w:t>
            </w:r>
          </w:p>
        </w:tc>
      </w:tr>
      <w:tr>
        <w:trPr>
          <w:trHeight w:val="168"/>
        </w:trPr>
        <w:tc>
          <w:tcPr>
            <w:tcW w:w="7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Investment of bond proceeds, net</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(893,769)</w:t>
            </w:r>
          </w:p>
        </w:tc>
      </w:tr>
      <w:tr>
        <w:trPr>
          <w:trHeight w:val="168"/>
        </w:trPr>
        <w:tc>
          <w:tcPr>
            <w:tcW w:w="7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Investment in affiliated company</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(281,658)</w:t>
            </w:r>
          </w:p>
        </w:tc>
      </w:tr>
      <w:tr>
        <w:trPr>
          <w:trHeight w:val="168"/>
        </w:trPr>
        <w:tc>
          <w:tcPr>
            <w:tcW w:w="7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Organizational costs</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(250,000)</w:t>
            </w:r>
          </w:p>
        </w:tc>
      </w:tr>
      <w:tr>
        <w:trPr>
          <w:trHeight w:val="168"/>
        </w:trPr>
        <w:tc>
          <w:tcPr>
            <w:tcW w:w="7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Payments for land purchase options</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(204,475)</w:t>
            </w:r>
          </w:p>
        </w:tc>
      </w:tr>
      <w:tr>
        <w:trPr>
          <w:trHeight w:val="168"/>
        </w:trPr>
        <w:tc>
          <w:tcPr>
            <w:tcW w:w="71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40" w:type="dxa"/>
            <w:vAlign w:val="bottom"/>
          </w:tcPr>
          <w:p>
            <w:pPr>
              <w:ind w:left="2280"/>
              <w:spacing w:after="0"/>
              <w:rPr>
                <w:sz w:val="20"/>
                <w:szCs w:val="20"/>
                <w:color w:val="auto"/>
              </w:rPr>
            </w:pPr>
            <w:r>
              <w:rPr>
                <w:rFonts w:ascii="Courier New" w:cs="Courier New" w:eastAsia="Courier New" w:hAnsi="Courier New"/>
                <w:sz w:val="15"/>
                <w:szCs w:val="15"/>
                <w:color w:val="auto"/>
              </w:rPr>
              <w:t>Net cash used in investing activities</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(7,244,420)</w:t>
            </w:r>
          </w:p>
        </w:tc>
      </w:tr>
      <w:tr>
        <w:trPr>
          <w:trHeight w:val="168"/>
        </w:trPr>
        <w:tc>
          <w:tcPr>
            <w:tcW w:w="71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Proceeds from borrowings, net of related costs</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7,410,503</w:t>
            </w:r>
          </w:p>
        </w:tc>
      </w:tr>
      <w:tr>
        <w:trPr>
          <w:trHeight w:val="168"/>
        </w:trPr>
        <w:tc>
          <w:tcPr>
            <w:tcW w:w="7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Repayments of borrowings</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(863,138)</w:t>
            </w:r>
          </w:p>
        </w:tc>
      </w:tr>
      <w:tr>
        <w:trPr>
          <w:trHeight w:val="168"/>
        </w:trPr>
        <w:tc>
          <w:tcPr>
            <w:tcW w:w="71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6,547,365</w:t>
            </w:r>
          </w:p>
        </w:tc>
      </w:tr>
      <w:tr>
        <w:trPr>
          <w:trHeight w:val="168"/>
        </w:trPr>
        <w:tc>
          <w:tcPr>
            <w:tcW w:w="71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IN CASH</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12,293</w:t>
            </w: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CASH AT BEGINNING OF PERIOD</w:t>
            </w:r>
          </w:p>
        </w:tc>
        <w:tc>
          <w:tcPr>
            <w:tcW w:w="22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449</w:t>
            </w:r>
          </w:p>
        </w:tc>
      </w:tr>
      <w:tr>
        <w:trPr>
          <w:trHeight w:val="168"/>
        </w:trPr>
        <w:tc>
          <w:tcPr>
            <w:tcW w:w="71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CASH AT END OF PERIOD</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12,742</w:t>
            </w:r>
          </w:p>
        </w:tc>
      </w:tr>
      <w:tr>
        <w:trPr>
          <w:trHeight w:val="168"/>
        </w:trPr>
        <w:tc>
          <w:tcPr>
            <w:tcW w:w="71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CASH FLOW INFORMATION:</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paid for interest, net of amounts capitalized</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53,060</w:t>
            </w:r>
          </w:p>
        </w:tc>
      </w:tr>
      <w:tr>
        <w:trPr>
          <w:trHeight w:val="168"/>
        </w:trPr>
        <w:tc>
          <w:tcPr>
            <w:tcW w:w="71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Property acquired under capital lease</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284,228</w:t>
            </w:r>
          </w:p>
        </w:tc>
      </w:tr>
      <w:tr>
        <w:trPr>
          <w:trHeight w:val="168"/>
        </w:trPr>
        <w:tc>
          <w:tcPr>
            <w:tcW w:w="71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this</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combined financial statement.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39"/>
          </w:cols>
          <w:pgMar w:left="220" w:top="281" w:right="1440" w:bottom="1440" w:gutter="0" w:footer="0" w:header="0"/>
        </w:sectPr>
      </w:pPr>
    </w:p>
    <w:bookmarkStart w:id="86" w:name="page87"/>
    <w:bookmarkEnd w:id="86"/>
    <w:p>
      <w:pPr>
        <w:ind w:left="280"/>
        <w:spacing w:after="0"/>
        <w:rPr>
          <w:sz w:val="20"/>
          <w:szCs w:val="20"/>
          <w:color w:val="auto"/>
        </w:rPr>
      </w:pPr>
      <w:r>
        <w:rPr>
          <w:rFonts w:ascii="Courier New" w:cs="Courier New" w:eastAsia="Courier New" w:hAnsi="Courier New"/>
          <w:sz w:val="15"/>
          <w:szCs w:val="15"/>
          <w:color w:val="auto"/>
        </w:rPr>
        <w:t>86</w:t>
      </w:r>
    </w:p>
    <w:p>
      <w:pPr>
        <w:ind w:left="1140"/>
        <w:spacing w:after="0" w:line="237" w:lineRule="auto"/>
        <w:rPr>
          <w:sz w:val="20"/>
          <w:szCs w:val="20"/>
          <w:color w:val="auto"/>
        </w:rPr>
      </w:pPr>
      <w:r>
        <w:rPr>
          <w:rFonts w:ascii="Courier New" w:cs="Courier New" w:eastAsia="Courier New" w:hAnsi="Courier New"/>
          <w:sz w:val="15"/>
          <w:szCs w:val="15"/>
          <w:color w:val="auto"/>
        </w:rPr>
        <w:t>GARNET OF VIRGINIA, INC., AND GARNET OF MARYLAND, INC.</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DECEMBER 31, 1995</w:t>
      </w:r>
    </w:p>
    <w:p>
      <w:pPr>
        <w:spacing w:after="0" w:line="166" w:lineRule="exact"/>
        <w:rPr>
          <w:sz w:val="20"/>
          <w:szCs w:val="20"/>
          <w:color w:val="auto"/>
        </w:rPr>
      </w:pPr>
    </w:p>
    <w:p>
      <w:pPr>
        <w:ind w:left="540" w:hanging="530"/>
        <w:spacing w:after="0"/>
        <w:tabs>
          <w:tab w:leader="none" w:pos="5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BUSINESS:</w:t>
      </w:r>
    </w:p>
    <w:p>
      <w:pPr>
        <w:spacing w:after="0" w:line="173"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Garnet of Virginia, Inc., and Garnet of Maryland, Inc. (Virginia and Washington, D.C., corporations, respectively) (collectively, the Companies), are private companies engaged in various businesses in Washington, D.C. and surrounding areas. The business of each of the Companies is described below.</w:t>
      </w:r>
    </w:p>
    <w:p>
      <w:pPr>
        <w:spacing w:after="0" w:line="164"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Garnet of Virginia, Inc. (GOV)-GOV obtained a permit from King George County, Virginia, for the construction of a municipal solid waste landfill facility in King George County. With the exception of operating a temporary municipal solid waste transfer station in King George County for purposes of disposing of county residents' waste (in accordance with the landfill agreement with King George County), GOV's primary operations to date have been the permitting and design of a municipal solid waste landfill treatment facility.</w:t>
      </w:r>
    </w:p>
    <w:p>
      <w:pPr>
        <w:spacing w:after="0" w:line="16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Garnet of Maryland, Inc. (GOM)--GOM, through a joint venture agreement with LG Industries, Inc. (LG), operates a municipal solid waste transfer station in Washington, D.C. The transfer station began operations in April 1995. In addition, GOM has obtained a permit to construct and operate a municipal solid waste transfer station in Anne Arundel County, Maryland.</w:t>
      </w:r>
    </w:p>
    <w:p>
      <w:pPr>
        <w:spacing w:after="0" w:line="174"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5"/>
          <w:szCs w:val="15"/>
          <w:color w:val="auto"/>
        </w:rPr>
        <w:t>The Companies incurred operating losses during 1995 and as of December 31, 1995, the Companies had a working capital deficit of approximately $20.5 million. On February 2, 1996, all of the outstanding common stock of the Companies was purchased by Sanifill, Inc. (Sanifill). The purchase price of the Companies was sufficient to allow the Companies to recover the recorded value of their assets.</w:t>
      </w:r>
    </w:p>
    <w:p>
      <w:pPr>
        <w:spacing w:after="0" w:line="175" w:lineRule="exact"/>
        <w:rPr>
          <w:sz w:val="20"/>
          <w:szCs w:val="20"/>
          <w:color w:val="auto"/>
        </w:rPr>
      </w:pPr>
    </w:p>
    <w:p>
      <w:pPr>
        <w:ind w:left="540" w:right="7779" w:hanging="530"/>
        <w:spacing w:after="0" w:line="261" w:lineRule="auto"/>
        <w:tabs>
          <w:tab w:leader="none" w:pos="5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Combination</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Since voting control of the Companies is vested with a common group of stockholders, and because the Companies share certain administrative functions and costs, the financial statements of the Companies are presented on a combined basis as if they were a single entity. The combined financial statements represent the totals of the Companies' financial statements after eliminating significant intercompany balances and transactions. The Companies use the equity method to account for their investment in an affiliated company in which the Companies hold a 50 percent interest.</w:t>
      </w:r>
    </w:p>
    <w:p>
      <w:pPr>
        <w:spacing w:after="0" w:line="166"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Because the Companies do not have a parent-subsidiary relationship, the individual common stock ownership of the corporate entities as of December 31, 1995, is as follows:</w:t>
      </w:r>
    </w:p>
    <w:p>
      <w:pPr>
        <w:spacing w:after="0" w:line="200" w:lineRule="exact"/>
        <w:rPr>
          <w:sz w:val="20"/>
          <w:szCs w:val="20"/>
          <w:color w:val="auto"/>
        </w:rPr>
      </w:pPr>
    </w:p>
    <w:p>
      <w:pPr>
        <w:spacing w:after="0" w:line="304"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1300" w:type="dxa"/>
            <w:vAlign w:val="bottom"/>
          </w:tcPr>
          <w:p>
            <w:pPr>
              <w:ind w:left="380"/>
              <w:spacing w:after="0"/>
              <w:rPr>
                <w:sz w:val="20"/>
                <w:szCs w:val="20"/>
                <w:color w:val="auto"/>
              </w:rPr>
            </w:pPr>
            <w:r>
              <w:rPr>
                <w:rFonts w:ascii="Courier New" w:cs="Courier New" w:eastAsia="Courier New" w:hAnsi="Courier New"/>
                <w:sz w:val="15"/>
                <w:szCs w:val="15"/>
                <w:color w:val="auto"/>
              </w:rPr>
              <w:t>Shares</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Par</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Shares</w:t>
            </w:r>
          </w:p>
        </w:tc>
        <w:tc>
          <w:tcPr>
            <w:tcW w:w="860" w:type="dxa"/>
            <w:vAlign w:val="bottom"/>
          </w:tcPr>
          <w:p>
            <w:pPr>
              <w:spacing w:after="0"/>
              <w:rPr>
                <w:sz w:val="14"/>
                <w:szCs w:val="14"/>
                <w:color w:val="auto"/>
              </w:rPr>
            </w:pP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Legal Entity</w:t>
            </w:r>
          </w:p>
        </w:tc>
        <w:tc>
          <w:tcPr>
            <w:tcW w:w="13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Authorized</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Value</w:t>
            </w:r>
          </w:p>
        </w:tc>
        <w:tc>
          <w:tcPr>
            <w:tcW w:w="1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Outstanding</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Balance</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GOV</w:t>
            </w:r>
          </w:p>
        </w:tc>
        <w:tc>
          <w:tcPr>
            <w:tcW w:w="1300" w:type="dxa"/>
            <w:vAlign w:val="bottom"/>
          </w:tcPr>
          <w:p>
            <w:pPr>
              <w:ind w:left="380"/>
              <w:spacing w:after="0"/>
              <w:rPr>
                <w:sz w:val="20"/>
                <w:szCs w:val="20"/>
                <w:color w:val="auto"/>
              </w:rPr>
            </w:pPr>
            <w:r>
              <w:rPr>
                <w:rFonts w:ascii="Courier New" w:cs="Courier New" w:eastAsia="Courier New" w:hAnsi="Courier New"/>
                <w:sz w:val="15"/>
                <w:szCs w:val="15"/>
                <w:color w:val="auto"/>
              </w:rPr>
              <w:t>5,000</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100</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GOM</w:t>
            </w:r>
          </w:p>
        </w:tc>
        <w:tc>
          <w:tcPr>
            <w:tcW w:w="13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5,000</w:t>
            </w: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100</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Companies' revenues are comprised primarily of disposal fees charged to customers.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39"/>
          </w:cols>
          <w:pgMar w:left="220" w:top="281"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5"/>
          <w:szCs w:val="15"/>
          <w:color w:val="auto"/>
        </w:rPr>
        <w:t>87</w:t>
      </w:r>
    </w:p>
    <w:p>
      <w:pPr>
        <w:spacing w:after="0" w:line="237" w:lineRule="auto"/>
        <w:rPr>
          <w:sz w:val="20"/>
          <w:szCs w:val="20"/>
          <w:color w:val="auto"/>
        </w:rPr>
      </w:pPr>
      <w:r>
        <w:rPr>
          <w:rFonts w:ascii="Courier New" w:cs="Courier New" w:eastAsia="Courier New" w:hAnsi="Courier New"/>
          <w:sz w:val="15"/>
          <w:szCs w:val="15"/>
          <w:color w:val="auto"/>
        </w:rPr>
        <w:t>Cost of Operations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Cost of operations include disposal fees, labor, fuel, equipment maintenance, depreciation, amortization charges and other direct costs of operating the transfer station facilities.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 Expenses</w:t>
      </w:r>
    </w:p>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Selling, general and administrative expenses include corporate management salaries, clerical and other administrative overhead.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Properly and Equipment</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Property and equipment is recorded at cost. Expenditures for major additions and improvements are capitalized. Minor replacements, maintenance and repairs which do not improve or extend the life of such assets are charged to operations as incurred. Disposals are removed at cost, less accumulated depreciation and amortization, and any resulting gain or loss is reflected in current operations. The Companies have computed depreciation for financial reporting purposes on the straight-line method. The estimated lives used in computing depreciation are as follows:</w:t>
      </w:r>
    </w:p>
    <w:p>
      <w:pPr>
        <w:spacing w:after="0" w:line="159"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2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rPr>
              <w:t>Years</w:t>
            </w:r>
          </w:p>
        </w:tc>
      </w:tr>
      <w:tr>
        <w:trPr>
          <w:trHeight w:val="168"/>
        </w:trPr>
        <w:tc>
          <w:tcPr>
            <w:tcW w:w="2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Vehicles and equipment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and fixtures</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years</w:t>
            </w:r>
          </w:p>
        </w:tc>
      </w:tr>
    </w:tbl>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Landfill development costs and land held for development include the cost of property, engineering, legal and other professional fees, and interest capitalized during the development period (which began in 1992) related to the King George County landfill. These costs will be amortized using the units-of-production method over the estimated permitted airspace capacity upon commencement of operations.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Income Taxes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Companies have elected to be treated as S Corporations for tax purposes in accordance with the Internal Revenue Code. Accordingly, federal and state income taxes have not been provided in the accompanying combined financial statements since taxes are payable by the stockholders on their total income or loss from all sources.</w:t>
      </w:r>
    </w:p>
    <w:p>
      <w:pPr>
        <w:spacing w:after="0" w:line="167" w:lineRule="exact"/>
        <w:rPr>
          <w:sz w:val="20"/>
          <w:szCs w:val="20"/>
          <w:color w:val="auto"/>
        </w:rPr>
      </w:pPr>
    </w:p>
    <w:p>
      <w:pPr>
        <w:ind w:left="540" w:hanging="530"/>
        <w:spacing w:after="0"/>
        <w:tabs>
          <w:tab w:leader="none" w:pos="5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summary of property and equipment as of December 31, 1995,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Landfill development costs</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$16,528,487</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Land held for development</w:t>
            </w:r>
          </w:p>
        </w:tc>
        <w:tc>
          <w:tcPr>
            <w:tcW w:w="1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2,455,860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Vehicles and equipment</w:t>
            </w:r>
          </w:p>
        </w:tc>
        <w:tc>
          <w:tcPr>
            <w:tcW w:w="1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1,040,513</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and fixtures</w:t>
            </w:r>
          </w:p>
        </w:tc>
        <w:tc>
          <w:tcPr>
            <w:tcW w:w="1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23,976</w:t>
            </w:r>
          </w:p>
        </w:tc>
      </w:tr>
      <w:tr>
        <w:trPr>
          <w:trHeight w:val="168"/>
        </w:trPr>
        <w:tc>
          <w:tcPr>
            <w:tcW w:w="3280" w:type="dxa"/>
            <w:vAlign w:val="bottom"/>
          </w:tcPr>
          <w:p>
            <w:pPr>
              <w:spacing w:after="0"/>
              <w:rPr>
                <w:sz w:val="14"/>
                <w:szCs w:val="14"/>
                <w:color w:val="auto"/>
              </w:rPr>
            </w:pPr>
          </w:p>
        </w:tc>
        <w:tc>
          <w:tcPr>
            <w:tcW w:w="1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20,048,836</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Less-Accumulated depreciation</w:t>
            </w:r>
          </w:p>
        </w:tc>
        <w:tc>
          <w:tcPr>
            <w:tcW w:w="180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and amortization</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(226,557)</w:t>
            </w:r>
          </w:p>
        </w:tc>
      </w:tr>
      <w:tr>
        <w:trPr>
          <w:trHeight w:val="168"/>
        </w:trPr>
        <w:tc>
          <w:tcPr>
            <w:tcW w:w="3280" w:type="dxa"/>
            <w:vAlign w:val="bottom"/>
          </w:tcPr>
          <w:p>
            <w:pPr>
              <w:spacing w:after="0"/>
              <w:rPr>
                <w:sz w:val="14"/>
                <w:szCs w:val="14"/>
                <w:color w:val="auto"/>
              </w:rPr>
            </w:pPr>
          </w:p>
        </w:tc>
        <w:tc>
          <w:tcPr>
            <w:tcW w:w="1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$19,822,279</w:t>
            </w:r>
          </w:p>
        </w:tc>
      </w:tr>
      <w:tr>
        <w:trPr>
          <w:trHeight w:val="168"/>
        </w:trPr>
        <w:tc>
          <w:tcPr>
            <w:tcW w:w="3280" w:type="dxa"/>
            <w:vAlign w:val="bottom"/>
          </w:tcPr>
          <w:p>
            <w:pPr>
              <w:spacing w:after="0"/>
              <w:rPr>
                <w:sz w:val="14"/>
                <w:szCs w:val="14"/>
                <w:color w:val="auto"/>
              </w:rPr>
            </w:pPr>
          </w:p>
        </w:tc>
        <w:tc>
          <w:tcPr>
            <w:tcW w:w="1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3280" w:type="dxa"/>
            <w:vAlign w:val="bottom"/>
          </w:tcPr>
          <w:p>
            <w:pPr>
              <w:ind w:left="2280"/>
              <w:spacing w:after="0"/>
              <w:rPr>
                <w:sz w:val="20"/>
                <w:szCs w:val="20"/>
                <w:color w:val="auto"/>
              </w:rPr>
            </w:pPr>
            <w:r>
              <w:rPr>
                <w:rFonts w:ascii="Courier New" w:cs="Courier New" w:eastAsia="Courier New" w:hAnsi="Courier New"/>
                <w:sz w:val="15"/>
                <w:szCs w:val="15"/>
                <w:color w:val="auto"/>
              </w:rPr>
              <w:t>87</w:t>
            </w:r>
          </w:p>
        </w:tc>
        <w:tc>
          <w:tcPr>
            <w:tcW w:w="18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5"/>
          <w:szCs w:val="15"/>
          <w:color w:val="auto"/>
        </w:rPr>
        <w:t>88</w:t>
      </w:r>
    </w:p>
    <w:p>
      <w:pPr>
        <w:spacing w:after="0" w:line="5"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Maintenance and repairs charged to operations during fiscal 1995 were approximately $13,000.</w:t>
      </w:r>
    </w:p>
    <w:p>
      <w:pPr>
        <w:spacing w:after="0" w:line="167" w:lineRule="exact"/>
        <w:rPr>
          <w:sz w:val="20"/>
          <w:szCs w:val="20"/>
          <w:color w:val="auto"/>
        </w:rPr>
      </w:pPr>
    </w:p>
    <w:p>
      <w:pPr>
        <w:ind w:left="540" w:hanging="530"/>
        <w:spacing w:after="0"/>
        <w:tabs>
          <w:tab w:leader="none" w:pos="5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AFFILIATED COMPANY:</w:t>
      </w:r>
    </w:p>
    <w:p>
      <w:pPr>
        <w:spacing w:after="0" w:line="173"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The Companies use the equity method of accounting for their investment in an unconsolidated affiliate. The summarized balance sheet and income statement information presented in the table below reflects the amounts related to the LG/Garnet of Maryland Joint Venture (JV):</w:t>
      </w:r>
    </w:p>
    <w:p>
      <w:pPr>
        <w:spacing w:after="0" w:line="200" w:lineRule="exact"/>
        <w:rPr>
          <w:sz w:val="20"/>
          <w:szCs w:val="20"/>
          <w:color w:val="auto"/>
        </w:rPr>
      </w:pPr>
    </w:p>
    <w:p>
      <w:pPr>
        <w:spacing w:after="0" w:line="305"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6"/>
              </w:rPr>
              <w:t>December 31,</w:t>
            </w:r>
          </w:p>
        </w:tc>
      </w:tr>
      <w:tr>
        <w:trPr>
          <w:trHeight w:val="168"/>
        </w:trPr>
        <w:tc>
          <w:tcPr>
            <w:tcW w:w="3800" w:type="dxa"/>
            <w:vAlign w:val="bottom"/>
          </w:tcPr>
          <w:p>
            <w:pPr>
              <w:spacing w:after="0"/>
              <w:rPr>
                <w:sz w:val="14"/>
                <w:szCs w:val="14"/>
                <w:color w:val="auto"/>
              </w:rPr>
            </w:pP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1995</w:t>
            </w:r>
          </w:p>
        </w:tc>
      </w:tr>
      <w:tr>
        <w:trPr>
          <w:trHeight w:val="168"/>
        </w:trPr>
        <w:tc>
          <w:tcPr>
            <w:tcW w:w="38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260" w:type="dxa"/>
            <w:vAlign w:val="bottom"/>
          </w:tcPr>
          <w:p>
            <w:pPr>
              <w:spacing w:after="0"/>
              <w:rPr>
                <w:sz w:val="24"/>
                <w:szCs w:val="24"/>
                <w:color w:val="auto"/>
              </w:rPr>
            </w:pPr>
          </w:p>
        </w:tc>
      </w:tr>
      <w:tr>
        <w:trPr>
          <w:trHeight w:val="168"/>
        </w:trPr>
        <w:tc>
          <w:tcPr>
            <w:tcW w:w="38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Current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$ 2,417,431</w:t>
            </w:r>
          </w:p>
        </w:tc>
      </w:tr>
      <w:tr>
        <w:trPr>
          <w:trHeight w:val="168"/>
        </w:trPr>
        <w:tc>
          <w:tcPr>
            <w:tcW w:w="38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Noncurrent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1,007,652</w:t>
            </w:r>
          </w:p>
        </w:tc>
      </w:tr>
      <w:tr>
        <w:trPr>
          <w:trHeight w:val="168"/>
        </w:trPr>
        <w:tc>
          <w:tcPr>
            <w:tcW w:w="38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$ 3,425,083</w:t>
            </w:r>
          </w:p>
        </w:tc>
      </w:tr>
      <w:tr>
        <w:trPr>
          <w:trHeight w:val="168"/>
        </w:trPr>
        <w:tc>
          <w:tcPr>
            <w:tcW w:w="38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00" w:type="dxa"/>
            <w:vAlign w:val="bottom"/>
          </w:tcPr>
          <w:p>
            <w:pPr>
              <w:spacing w:after="0"/>
              <w:rPr>
                <w:sz w:val="20"/>
                <w:szCs w:val="20"/>
                <w:color w:val="auto"/>
              </w:rPr>
            </w:pPr>
            <w:r>
              <w:rPr>
                <w:rFonts w:ascii="Courier New" w:cs="Courier New" w:eastAsia="Courier New" w:hAnsi="Courier New"/>
                <w:sz w:val="15"/>
                <w:szCs w:val="15"/>
                <w:color w:val="auto"/>
              </w:rPr>
              <w:t>Liabilities and owners' equity-</w:t>
            </w:r>
          </w:p>
        </w:tc>
        <w:tc>
          <w:tcPr>
            <w:tcW w:w="1260" w:type="dxa"/>
            <w:vAlign w:val="bottom"/>
          </w:tcPr>
          <w:p>
            <w:pPr>
              <w:spacing w:after="0"/>
              <w:rPr>
                <w:sz w:val="24"/>
                <w:szCs w:val="24"/>
                <w:color w:val="auto"/>
              </w:rPr>
            </w:pPr>
          </w:p>
        </w:tc>
      </w:tr>
      <w:tr>
        <w:trPr>
          <w:trHeight w:val="168"/>
        </w:trPr>
        <w:tc>
          <w:tcPr>
            <w:tcW w:w="38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$ 2,417,431</w:t>
            </w:r>
          </w:p>
        </w:tc>
      </w:tr>
      <w:tr>
        <w:trPr>
          <w:trHeight w:val="168"/>
        </w:trPr>
        <w:tc>
          <w:tcPr>
            <w:tcW w:w="38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Owners' equity</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1,007,652</w:t>
            </w:r>
          </w:p>
        </w:tc>
      </w:tr>
      <w:tr>
        <w:trPr>
          <w:trHeight w:val="168"/>
        </w:trPr>
        <w:tc>
          <w:tcPr>
            <w:tcW w:w="38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$ 3,425,083</w:t>
            </w:r>
          </w:p>
        </w:tc>
      </w:tr>
      <w:tr>
        <w:trPr>
          <w:trHeight w:val="168"/>
        </w:trPr>
        <w:tc>
          <w:tcPr>
            <w:tcW w:w="38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Companies' investments in JV</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$ 1,007,652</w:t>
            </w:r>
          </w:p>
        </w:tc>
      </w:tr>
      <w:tr>
        <w:trPr>
          <w:trHeight w:val="168"/>
        </w:trPr>
        <w:tc>
          <w:tcPr>
            <w:tcW w:w="38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8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6"/>
              </w:rPr>
              <w:t>For the Year</w:t>
            </w:r>
          </w:p>
        </w:tc>
      </w:tr>
      <w:tr>
        <w:trPr>
          <w:trHeight w:val="168"/>
        </w:trPr>
        <w:tc>
          <w:tcPr>
            <w:tcW w:w="3800" w:type="dxa"/>
            <w:vAlign w:val="bottom"/>
          </w:tcPr>
          <w:p>
            <w:pPr>
              <w:spacing w:after="0"/>
              <w:rPr>
                <w:sz w:val="14"/>
                <w:szCs w:val="14"/>
                <w:color w:val="auto"/>
              </w:rPr>
            </w:pP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3800" w:type="dxa"/>
            <w:vAlign w:val="bottom"/>
          </w:tcPr>
          <w:p>
            <w:pPr>
              <w:spacing w:after="0"/>
              <w:rPr>
                <w:sz w:val="14"/>
                <w:szCs w:val="14"/>
                <w:color w:val="auto"/>
              </w:rPr>
            </w:pP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December 31,</w:t>
            </w:r>
          </w:p>
        </w:tc>
      </w:tr>
      <w:tr>
        <w:trPr>
          <w:trHeight w:val="168"/>
        </w:trPr>
        <w:tc>
          <w:tcPr>
            <w:tcW w:w="3800" w:type="dxa"/>
            <w:vAlign w:val="bottom"/>
          </w:tcPr>
          <w:p>
            <w:pPr>
              <w:spacing w:after="0"/>
              <w:rPr>
                <w:sz w:val="14"/>
                <w:szCs w:val="14"/>
                <w:color w:val="auto"/>
              </w:rPr>
            </w:pP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1995</w:t>
            </w:r>
          </w:p>
        </w:tc>
      </w:tr>
      <w:tr>
        <w:trPr>
          <w:trHeight w:val="168"/>
        </w:trPr>
        <w:tc>
          <w:tcPr>
            <w:tcW w:w="38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00" w:type="dxa"/>
            <w:vAlign w:val="bottom"/>
          </w:tcPr>
          <w:p>
            <w:pPr>
              <w:spacing w:after="0"/>
              <w:rPr>
                <w:sz w:val="20"/>
                <w:szCs w:val="20"/>
                <w:color w:val="auto"/>
              </w:rPr>
            </w:pPr>
            <w:r>
              <w:rPr>
                <w:rFonts w:ascii="Courier New" w:cs="Courier New" w:eastAsia="Courier New" w:hAnsi="Courier New"/>
                <w:sz w:val="15"/>
                <w:szCs w:val="15"/>
                <w:color w:val="auto"/>
              </w:rPr>
              <w:t>Income statement-</w:t>
            </w:r>
          </w:p>
        </w:tc>
        <w:tc>
          <w:tcPr>
            <w:tcW w:w="1260" w:type="dxa"/>
            <w:vAlign w:val="bottom"/>
          </w:tcPr>
          <w:p>
            <w:pPr>
              <w:spacing w:after="0"/>
              <w:rPr>
                <w:sz w:val="24"/>
                <w:szCs w:val="24"/>
                <w:color w:val="auto"/>
              </w:rPr>
            </w:pPr>
          </w:p>
        </w:tc>
      </w:tr>
      <w:tr>
        <w:trPr>
          <w:trHeight w:val="168"/>
        </w:trPr>
        <w:tc>
          <w:tcPr>
            <w:tcW w:w="38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Revenues</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$ 3,624,420</w:t>
            </w:r>
          </w:p>
        </w:tc>
      </w:tr>
      <w:tr>
        <w:trPr>
          <w:trHeight w:val="168"/>
        </w:trPr>
        <w:tc>
          <w:tcPr>
            <w:tcW w:w="38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Gross loss</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(629,748)</w:t>
            </w:r>
          </w:p>
        </w:tc>
      </w:tr>
      <w:tr>
        <w:trPr>
          <w:trHeight w:val="168"/>
        </w:trPr>
        <w:tc>
          <w:tcPr>
            <w:tcW w:w="38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Net loss</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$(1,014,782)</w:t>
            </w:r>
          </w:p>
        </w:tc>
      </w:tr>
      <w:tr>
        <w:trPr>
          <w:trHeight w:val="505"/>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Companies' equity in loss of joint venture</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$(1,014,782)</w:t>
            </w:r>
          </w:p>
        </w:tc>
      </w:tr>
      <w:tr>
        <w:trPr>
          <w:trHeight w:val="168"/>
        </w:trPr>
        <w:tc>
          <w:tcPr>
            <w:tcW w:w="38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Under the terms of the joint venture agreement, net losses as defined are allocated 100 percent to GOM. Additionally, GOM is responsible for funding any deficits of the JV, and as such, current assets of the joint venture include a $2.1 million receivable from GOM for such deficits. Since the joint venture began operations in April 1995, the JV has incurred operating losses. In the event future profits are earned by the JV, GOM will have future first claim to recover cumulative losses prior to distribution of profits to LG.</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39"/>
          </w:cols>
          <w:pgMar w:left="220" w:top="281"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5"/>
          <w:szCs w:val="15"/>
          <w:color w:val="auto"/>
        </w:rPr>
        <w:t>89</w:t>
      </w:r>
    </w:p>
    <w:p>
      <w:pPr>
        <w:ind w:left="540" w:hanging="530"/>
        <w:spacing w:after="0" w:line="237" w:lineRule="auto"/>
        <w:tabs>
          <w:tab w:leader="none" w:pos="5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assets at December 31, 1995, are comprised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Rent deposit with King George County</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$2,000,000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Land purchase options</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417,975</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Organization costs</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254,496</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Bond issuance costs</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298,202</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250,000</w:t>
            </w:r>
          </w:p>
        </w:tc>
      </w:tr>
      <w:tr>
        <w:trPr>
          <w:trHeight w:val="168"/>
        </w:trPr>
        <w:tc>
          <w:tcPr>
            <w:tcW w:w="32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Total</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3,220,673</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Less-Accumulated amortization</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(19,911)</w:t>
            </w:r>
          </w:p>
        </w:tc>
      </w:tr>
      <w:tr>
        <w:trPr>
          <w:trHeight w:val="168"/>
        </w:trPr>
        <w:tc>
          <w:tcPr>
            <w:tcW w:w="32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$3,200,762</w:t>
            </w:r>
          </w:p>
        </w:tc>
      </w:tr>
      <w:tr>
        <w:trPr>
          <w:trHeight w:val="168"/>
        </w:trPr>
        <w:tc>
          <w:tcPr>
            <w:tcW w:w="32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Organizational costs associated with formation of the JV are amortized over nine years, the term of the JV agreement, and bond issuance costs are amortized over the term of the bonds. Amortization expense for 1995 totaled $19,911.</w:t>
      </w:r>
    </w:p>
    <w:p>
      <w:pPr>
        <w:spacing w:after="0" w:line="169" w:lineRule="exact"/>
        <w:rPr>
          <w:sz w:val="20"/>
          <w:szCs w:val="20"/>
          <w:color w:val="auto"/>
        </w:rPr>
      </w:pPr>
    </w:p>
    <w:p>
      <w:pPr>
        <w:ind w:left="540" w:hanging="530"/>
        <w:spacing w:after="0"/>
        <w:tabs>
          <w:tab w:leader="none" w:pos="5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 consists of the following as of December 31, 1995:</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40" w:type="dxa"/>
            <w:vAlign w:val="bottom"/>
            <w:gridSpan w:val="2"/>
          </w:tcPr>
          <w:p>
            <w:pPr>
              <w:spacing w:after="0"/>
              <w:rPr>
                <w:sz w:val="20"/>
                <w:szCs w:val="20"/>
                <w:color w:val="auto"/>
              </w:rPr>
            </w:pPr>
            <w:r>
              <w:rPr>
                <w:rFonts w:ascii="Courier New" w:cs="Courier New" w:eastAsia="Courier New" w:hAnsi="Courier New"/>
                <w:sz w:val="15"/>
                <w:szCs w:val="15"/>
                <w:color w:val="auto"/>
              </w:rPr>
              <w:t>Notes payable, maturing in varying amounts through April 1996,</w:t>
            </w:r>
          </w:p>
        </w:tc>
        <w:tc>
          <w:tcPr>
            <w:tcW w:w="1400" w:type="dxa"/>
            <w:vAlign w:val="bottom"/>
          </w:tcPr>
          <w:p>
            <w:pPr>
              <w:spacing w:after="0"/>
              <w:rPr>
                <w:sz w:val="14"/>
                <w:szCs w:val="14"/>
                <w:color w:val="auto"/>
              </w:rPr>
            </w:pPr>
          </w:p>
        </w:tc>
      </w:tr>
      <w:tr>
        <w:trPr>
          <w:trHeight w:val="168"/>
        </w:trPr>
        <w:tc>
          <w:tcPr>
            <w:tcW w:w="60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with interest ranging from prime plus 1% to prime plus 3%</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$ 8,598,274</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Capitalized lease obligations payable in monthly</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installments of principal and</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interest through January 2000, with interest ranging</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from 7.9% to 14.8%</w:t>
            </w:r>
          </w:p>
        </w:tc>
        <w:tc>
          <w:tcPr>
            <w:tcW w:w="140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1,342,875</w:t>
            </w:r>
          </w:p>
        </w:tc>
      </w:tr>
      <w:tr>
        <w:trPr>
          <w:trHeight w:val="168"/>
        </w:trPr>
        <w:tc>
          <w:tcPr>
            <w:tcW w:w="6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Series 1995A revenue bonds, bearing interest at 10%, interest</w:t>
            </w:r>
          </w:p>
        </w:tc>
        <w:tc>
          <w:tcPr>
            <w:tcW w:w="1400" w:type="dxa"/>
            <w:vAlign w:val="bottom"/>
          </w:tcPr>
          <w:p>
            <w:pPr>
              <w:spacing w:after="0"/>
              <w:rPr>
                <w:sz w:val="14"/>
                <w:szCs w:val="14"/>
                <w:color w:val="auto"/>
              </w:rPr>
            </w:pPr>
          </w:p>
        </w:tc>
      </w:tr>
      <w:tr>
        <w:trPr>
          <w:trHeight w:val="168"/>
        </w:trPr>
        <w:tc>
          <w:tcPr>
            <w:tcW w:w="60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payable semiannually, with final maturity at February 2016</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1,000,000</w:t>
            </w:r>
          </w:p>
        </w:tc>
      </w:tr>
      <w:tr>
        <w:trPr>
          <w:trHeight w:val="168"/>
        </w:trPr>
        <w:tc>
          <w:tcPr>
            <w:tcW w:w="4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debt</w:t>
            </w:r>
          </w:p>
        </w:tc>
        <w:tc>
          <w:tcPr>
            <w:tcW w:w="140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10,941,149</w:t>
            </w:r>
          </w:p>
        </w:tc>
      </w:tr>
      <w:tr>
        <w:trPr>
          <w:trHeight w:val="168"/>
        </w:trPr>
        <w:tc>
          <w:tcPr>
            <w:tcW w:w="4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Less- Current portion</w:t>
            </w:r>
          </w:p>
        </w:tc>
        <w:tc>
          <w:tcPr>
            <w:tcW w:w="140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9,114,493</w:t>
            </w:r>
          </w:p>
        </w:tc>
      </w:tr>
      <w:tr>
        <w:trPr>
          <w:trHeight w:val="168"/>
        </w:trPr>
        <w:tc>
          <w:tcPr>
            <w:tcW w:w="4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Long-term debt, net of current portion</w:t>
            </w:r>
          </w:p>
        </w:tc>
        <w:tc>
          <w:tcPr>
            <w:tcW w:w="140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$ 1,826,656</w:t>
            </w:r>
          </w:p>
        </w:tc>
      </w:tr>
      <w:tr>
        <w:trPr>
          <w:trHeight w:val="168"/>
        </w:trPr>
        <w:tc>
          <w:tcPr>
            <w:tcW w:w="4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040" w:type="dxa"/>
            <w:vAlign w:val="bottom"/>
            <w:gridSpan w:val="2"/>
          </w:tcPr>
          <w:p>
            <w:pPr>
              <w:spacing w:after="0"/>
              <w:rPr>
                <w:sz w:val="20"/>
                <w:szCs w:val="20"/>
                <w:color w:val="auto"/>
              </w:rPr>
            </w:pPr>
            <w:r>
              <w:rPr>
                <w:rFonts w:ascii="Courier New" w:cs="Courier New" w:eastAsia="Courier New" w:hAnsi="Courier New"/>
                <w:sz w:val="15"/>
                <w:szCs w:val="15"/>
                <w:color w:val="auto"/>
              </w:rPr>
              <w:t>Aggregate maturities of long-term debt are as follows:</w:t>
            </w:r>
          </w:p>
        </w:tc>
        <w:tc>
          <w:tcPr>
            <w:tcW w:w="1400" w:type="dxa"/>
            <w:vAlign w:val="bottom"/>
          </w:tcPr>
          <w:p>
            <w:pPr>
              <w:spacing w:after="0"/>
              <w:rPr>
                <w:sz w:val="24"/>
                <w:szCs w:val="24"/>
                <w:color w:val="auto"/>
              </w:rPr>
            </w:pPr>
          </w:p>
        </w:tc>
      </w:tr>
      <w:tr>
        <w:trPr>
          <w:trHeight w:val="673"/>
        </w:trPr>
        <w:tc>
          <w:tcPr>
            <w:tcW w:w="4640" w:type="dxa"/>
            <w:vAlign w:val="bottom"/>
          </w:tcPr>
          <w:p>
            <w:pPr>
              <w:jc w:val="right"/>
              <w:ind w:right="1767"/>
              <w:spacing w:after="0"/>
              <w:rPr>
                <w:sz w:val="20"/>
                <w:szCs w:val="20"/>
                <w:color w:val="auto"/>
              </w:rPr>
            </w:pPr>
            <w:r>
              <w:rPr>
                <w:rFonts w:ascii="Courier New" w:cs="Courier New" w:eastAsia="Courier New" w:hAnsi="Courier New"/>
                <w:sz w:val="15"/>
                <w:szCs w:val="15"/>
                <w:color w:val="auto"/>
              </w:rPr>
              <w:t>Year ended December 31-</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6"/>
        </w:trPr>
        <w:tc>
          <w:tcPr>
            <w:tcW w:w="4640" w:type="dxa"/>
            <w:vAlign w:val="bottom"/>
          </w:tcPr>
          <w:p>
            <w:pPr>
              <w:ind w:left="1400"/>
              <w:spacing w:after="0"/>
              <w:rPr>
                <w:sz w:val="20"/>
                <w:szCs w:val="20"/>
                <w:color w:val="auto"/>
              </w:rPr>
            </w:pPr>
            <w:r>
              <w:rPr>
                <w:rFonts w:ascii="Courier New" w:cs="Courier New" w:eastAsia="Courier New" w:hAnsi="Courier New"/>
                <w:sz w:val="15"/>
                <w:szCs w:val="15"/>
                <w:color w:val="auto"/>
              </w:rPr>
              <w:t>1996</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9,114,493</w:t>
            </w:r>
          </w:p>
        </w:tc>
        <w:tc>
          <w:tcPr>
            <w:tcW w:w="1400" w:type="dxa"/>
            <w:vAlign w:val="bottom"/>
          </w:tcPr>
          <w:p>
            <w:pPr>
              <w:spacing w:after="0"/>
              <w:rPr>
                <w:sz w:val="24"/>
                <w:szCs w:val="24"/>
                <w:color w:val="auto"/>
              </w:rPr>
            </w:pPr>
          </w:p>
        </w:tc>
      </w:tr>
      <w:tr>
        <w:trPr>
          <w:trHeight w:val="168"/>
        </w:trPr>
        <w:tc>
          <w:tcPr>
            <w:tcW w:w="46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1997</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341,917</w:t>
            </w:r>
          </w:p>
        </w:tc>
        <w:tc>
          <w:tcPr>
            <w:tcW w:w="1400" w:type="dxa"/>
            <w:vAlign w:val="bottom"/>
          </w:tcPr>
          <w:p>
            <w:pPr>
              <w:spacing w:after="0"/>
              <w:rPr>
                <w:sz w:val="14"/>
                <w:szCs w:val="14"/>
                <w:color w:val="auto"/>
              </w:rPr>
            </w:pPr>
          </w:p>
        </w:tc>
      </w:tr>
      <w:tr>
        <w:trPr>
          <w:trHeight w:val="168"/>
        </w:trPr>
        <w:tc>
          <w:tcPr>
            <w:tcW w:w="46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1998</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292,097</w:t>
            </w:r>
          </w:p>
        </w:tc>
        <w:tc>
          <w:tcPr>
            <w:tcW w:w="1400" w:type="dxa"/>
            <w:vAlign w:val="bottom"/>
          </w:tcPr>
          <w:p>
            <w:pPr>
              <w:spacing w:after="0"/>
              <w:rPr>
                <w:sz w:val="14"/>
                <w:szCs w:val="14"/>
                <w:color w:val="auto"/>
              </w:rPr>
            </w:pPr>
          </w:p>
        </w:tc>
      </w:tr>
      <w:tr>
        <w:trPr>
          <w:trHeight w:val="168"/>
        </w:trPr>
        <w:tc>
          <w:tcPr>
            <w:tcW w:w="46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1999</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184,859</w:t>
            </w:r>
          </w:p>
        </w:tc>
        <w:tc>
          <w:tcPr>
            <w:tcW w:w="1400" w:type="dxa"/>
            <w:vAlign w:val="bottom"/>
          </w:tcPr>
          <w:p>
            <w:pPr>
              <w:spacing w:after="0"/>
              <w:rPr>
                <w:sz w:val="14"/>
                <w:szCs w:val="14"/>
                <w:color w:val="auto"/>
              </w:rPr>
            </w:pPr>
          </w:p>
        </w:tc>
      </w:tr>
      <w:tr>
        <w:trPr>
          <w:trHeight w:val="168"/>
        </w:trPr>
        <w:tc>
          <w:tcPr>
            <w:tcW w:w="46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2000</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7,783</w:t>
            </w:r>
          </w:p>
        </w:tc>
        <w:tc>
          <w:tcPr>
            <w:tcW w:w="1400" w:type="dxa"/>
            <w:vAlign w:val="bottom"/>
          </w:tcPr>
          <w:p>
            <w:pPr>
              <w:spacing w:after="0"/>
              <w:rPr>
                <w:sz w:val="14"/>
                <w:szCs w:val="14"/>
                <w:color w:val="auto"/>
              </w:rPr>
            </w:pPr>
          </w:p>
        </w:tc>
      </w:tr>
      <w:tr>
        <w:trPr>
          <w:trHeight w:val="168"/>
        </w:trPr>
        <w:tc>
          <w:tcPr>
            <w:tcW w:w="46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Thereafter</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1,000,000</w:t>
            </w:r>
          </w:p>
        </w:tc>
        <w:tc>
          <w:tcPr>
            <w:tcW w:w="140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w:t>
            </w:r>
          </w:p>
        </w:tc>
        <w:tc>
          <w:tcPr>
            <w:tcW w:w="1400" w:type="dxa"/>
            <w:vAlign w:val="bottom"/>
          </w:tcPr>
          <w:p>
            <w:pPr>
              <w:spacing w:after="0"/>
              <w:rPr>
                <w:sz w:val="14"/>
                <w:szCs w:val="14"/>
                <w:color w:val="auto"/>
              </w:rPr>
            </w:pPr>
          </w:p>
        </w:tc>
      </w:tr>
      <w:tr>
        <w:trPr>
          <w:trHeight w:val="168"/>
        </w:trPr>
        <w:tc>
          <w:tcPr>
            <w:tcW w:w="4640" w:type="dxa"/>
            <w:vAlign w:val="bottom"/>
          </w:tcPr>
          <w:p>
            <w:pPr>
              <w:jc w:val="right"/>
              <w:ind w:right="1767"/>
              <w:spacing w:after="0" w:line="168" w:lineRule="exact"/>
              <w:rPr>
                <w:sz w:val="20"/>
                <w:szCs w:val="20"/>
                <w:color w:val="auto"/>
              </w:rPr>
            </w:pPr>
            <w:r>
              <w:rPr>
                <w:rFonts w:ascii="Courier New" w:cs="Courier New" w:eastAsia="Courier New" w:hAnsi="Courier New"/>
                <w:sz w:val="15"/>
                <w:szCs w:val="15"/>
                <w:color w:val="auto"/>
              </w:rPr>
              <w:t>Total</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$10,941,149</w:t>
            </w:r>
          </w:p>
        </w:tc>
        <w:tc>
          <w:tcPr>
            <w:tcW w:w="140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w:t>
            </w:r>
          </w:p>
        </w:tc>
        <w:tc>
          <w:tcPr>
            <w:tcW w:w="1400" w:type="dxa"/>
            <w:vAlign w:val="bottom"/>
          </w:tcPr>
          <w:p>
            <w:pPr>
              <w:spacing w:after="0"/>
              <w:rPr>
                <w:sz w:val="14"/>
                <w:szCs w:val="14"/>
                <w:color w:val="auto"/>
              </w:rPr>
            </w:pPr>
          </w:p>
        </w:tc>
      </w:tr>
      <w:tr>
        <w:trPr>
          <w:trHeight w:val="841"/>
        </w:trPr>
        <w:tc>
          <w:tcPr>
            <w:tcW w:w="4640" w:type="dxa"/>
            <w:vAlign w:val="bottom"/>
          </w:tcPr>
          <w:p>
            <w:pPr>
              <w:ind w:left="3420"/>
              <w:spacing w:after="0"/>
              <w:rPr>
                <w:sz w:val="20"/>
                <w:szCs w:val="20"/>
                <w:color w:val="auto"/>
              </w:rPr>
            </w:pPr>
            <w:r>
              <w:rPr>
                <w:rFonts w:ascii="Courier New" w:cs="Courier New" w:eastAsia="Courier New" w:hAnsi="Courier New"/>
                <w:sz w:val="15"/>
                <w:szCs w:val="15"/>
                <w:color w:val="auto"/>
              </w:rPr>
              <w:t>89</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5"/>
          <w:szCs w:val="15"/>
          <w:color w:val="auto"/>
        </w:rPr>
        <w:t>90</w:t>
      </w:r>
    </w:p>
    <w:p>
      <w:pPr>
        <w:spacing w:after="0" w:line="5"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During 1995, the Companies obtained from the Industrial Development Authority of King George County, Virginia, a credit facility under which it may issue up to $30 million of tax-exempt industrial revenue bonds and $15 million in taxable industrial revenue bonds. Bonds issued under this facility are secured by future revenues of the landfill treatment facility as well as all personal and real property of the Companies. Additionally, all stockholders of the Companies have entered into a stock-pledge agreement further securing any borrowings under this facility. The bonds are covered by an indenture of trust and security agreement which places restrictions on the issuance of additional stock in the Companies and the sale of assets of the Companies. The bonds are subject to redemption at the direction of the Companies in the event of damage or destruction to the landfill treatment facility and at any time on or after February 2004 at a premium of 102 percent, declining to 100 percent in February 2006. The bonds are also subject to mandatory sinking fund redemption from 2007 through maturity in 2016. Proceeds from bonds issued are required to be held in trust for the purposes of funding construction of the project and may be utilized through requisition by the Company. As of December 31, 1995, approximately $894,000 of unspent bond proceeds was held in trust and are included in restricted cash in the accompanying combined balance sheet, and $1,000,000 of tax-exempt industrial revenue bonds were outstanding under the credit facility.</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notes payable are collateralized by various property and equipment.</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Total assets recorded under capital leases and the accumulated depreciation and amortization thereon were approximately $899,000 and $190,000 as of December 31, 1995.</w:t>
      </w:r>
    </w:p>
    <w:p>
      <w:pPr>
        <w:spacing w:after="0" w:line="17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Interest capitalized on funds used for landfill development was approximately $495,000 in 1995.</w:t>
      </w:r>
    </w:p>
    <w:p>
      <w:pPr>
        <w:spacing w:after="0" w:line="167" w:lineRule="exact"/>
        <w:rPr>
          <w:sz w:val="20"/>
          <w:szCs w:val="20"/>
          <w:color w:val="auto"/>
        </w:rPr>
      </w:pPr>
    </w:p>
    <w:p>
      <w:pPr>
        <w:ind w:left="540" w:hanging="530"/>
        <w:spacing w:after="0"/>
        <w:tabs>
          <w:tab w:leader="none" w:pos="5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RELATED-PARTY TRANSACTIONS: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In the ordinary course of business, the Companies engage in transactions with one of their significant stockholders, Blake R. Van Leer II and with Garnet, Inc., an affiliated company. As of December 31, 1995, notes payable to Blake R. Van Leer II and Garnet, Inc., totaled $675,000 and $214,810, respectively. Both of these notes are payable on demand and bear interest at prime plus 1 percent. Interest expense on these notes totaled approximately $20,000 during 1995.</w:t>
      </w:r>
    </w:p>
    <w:p>
      <w:pPr>
        <w:spacing w:after="0" w:line="176"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As of December 31, 1995, the Companies have notes payable of $5,155,000 to a partnership which is owned by four stockholders of the Companies. These notes payable are secured by a stock-pledge agreement from other stockholders of the Companies, bear interest at prime plus 1 percent and are due in February 1996. Interest expense on these notes totaled $386,768 for the year ended December 31, 1995, and is included in accrued liabilities in the accompanying combined balance sheet.</w:t>
      </w:r>
    </w:p>
    <w:p>
      <w:pPr>
        <w:spacing w:after="0" w:line="176"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 addition to the notes payable above, the Companies have accounts payable to the JV totaling approximately $1,894,000, representing operating deficits required to be funded by GOM under the terms of the joint venture agreement. See Note 4.</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39"/>
          </w:cols>
          <w:pgMar w:left="220" w:top="281"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5"/>
          <w:szCs w:val="15"/>
          <w:color w:val="auto"/>
        </w:rPr>
        <w:t>91</w:t>
      </w:r>
    </w:p>
    <w:p>
      <w:pPr>
        <w:spacing w:after="0" w:line="5" w:lineRule="exact"/>
        <w:rPr>
          <w:sz w:val="20"/>
          <w:szCs w:val="20"/>
          <w:color w:val="auto"/>
        </w:rPr>
      </w:pPr>
    </w:p>
    <w:p>
      <w:pPr>
        <w:ind w:left="540" w:right="5059" w:hanging="530"/>
        <w:spacing w:after="0" w:line="234" w:lineRule="auto"/>
        <w:tabs>
          <w:tab w:leader="none" w:pos="5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LANDFILL CLOSURE, POSTCLOSURE CAPPING AND REMEDIATION RESERVES: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As part of the agreement with King George County for obtaining a municipal solid waste disposal permit, the Companies assumed the closure and postclosure responsibilities for the existing King George County landfill. As part of this agreement, the Companies agreed to exhume all waste from the existing landfill and transfer it to the new facility over a period not to exceed five years. Additionally, the Companies have assumed responsibility for the removal and disposal of tires from another county site.</w:t>
      </w:r>
    </w:p>
    <w:p>
      <w:pPr>
        <w:spacing w:after="0" w:line="166"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Companies have material financial obligations relating to the final closure and postclosure care of the existing facility. Landfills are typically developed in a series of cells, each of which is constructed, filled and capped in sequence over the operating life of the landfill. When the final cell is filled and the operating life of the landfill is over, the final cell must be capped, the entire site must be closed and postclosure care and monitoring activities begin. The Companies have estimated, as of December 31, 1995, that total costs for final closure of the existing facility, including waste and tire removal, and postclosure activities, including cap maintenance, groundwater monitoring, methane gas monitoring and leachate treatment/ disposal for up to 10 years after closure and remediation costs, will approximate $6.0 million. In addition, the Companies have estimated, as of December 31, 1995, that capping costs expected to occur will approximate $1.5 million. The above amounts are net of costs to be shared by King George County under the terms of the landfill development agreement.</w:t>
      </w:r>
    </w:p>
    <w:p>
      <w:pPr>
        <w:spacing w:after="0" w:line="16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above estimates are based on engineering reviews and the applicable state and federal regulations. Engineering reviews are performed annually. In performing the review, the Companies analyze actual costs incurred versus total estimated costs, update cost estimates to reflect current regulatory requirements and consider requirements of proposed regulatory changes. Amendments to current laws and regulations governing the Companies' operations or more stringent implementation thereof, or unfavorable cost variances could have a material adverse effect on the Companies' operations or require substantial capital expenditures.</w:t>
      </w:r>
    </w:p>
    <w:p>
      <w:pPr>
        <w:spacing w:after="0" w:line="172" w:lineRule="exact"/>
        <w:rPr>
          <w:sz w:val="20"/>
          <w:szCs w:val="20"/>
          <w:color w:val="auto"/>
        </w:rPr>
      </w:pPr>
    </w:p>
    <w:p>
      <w:pPr>
        <w:ind w:left="540" w:hanging="530"/>
        <w:spacing w:after="0"/>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CUSTOMER AND VENDOR:</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 certain customer of the Companies accounted for approximately 76 percent of 1995 revenues. This customer also provides services to the Companies which accounted for 35 percent of 1995 cost of operations. Additionally, another customer accounted for approximately 15 percent of 1995 revenues.</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Companies receive services related to the development of the King George County landfill from a few vendors and contractors. Management believes they can purchase such services from other vendors and contractors similar to those currently offered whereby the Companies' operations would not be adversely affected.</w:t>
      </w:r>
    </w:p>
    <w:p>
      <w:pPr>
        <w:spacing w:after="0" w:line="174" w:lineRule="exact"/>
        <w:rPr>
          <w:sz w:val="20"/>
          <w:szCs w:val="20"/>
          <w:color w:val="auto"/>
        </w:rPr>
      </w:pPr>
    </w:p>
    <w:p>
      <w:pPr>
        <w:ind w:right="7259" w:firstLine="10"/>
        <w:spacing w:after="0" w:line="465" w:lineRule="auto"/>
        <w:tabs>
          <w:tab w:leader="none" w:pos="35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Commitments</w:t>
      </w:r>
    </w:p>
    <w:p>
      <w:pPr>
        <w:spacing w:after="0" w:line="1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As of December 31, 1995, the Companies have entered into various options to purchase land on which the King George County landfill treatment facility will be located as well as land adjacent to the landfill area. Substantially all of these options were exercised subsequent to year end for a total purchase price of approximately $5.7 million.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39"/>
          </w:cols>
          <w:pgMar w:left="220" w:top="281"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5"/>
          <w:szCs w:val="15"/>
          <w:color w:val="auto"/>
        </w:rPr>
        <w:t>92</w:t>
      </w:r>
    </w:p>
    <w:p>
      <w:pPr>
        <w:spacing w:after="0" w:line="237" w:lineRule="auto"/>
        <w:rPr>
          <w:sz w:val="20"/>
          <w:szCs w:val="20"/>
          <w:color w:val="auto"/>
        </w:rPr>
      </w:pPr>
      <w:r>
        <w:rPr>
          <w:rFonts w:ascii="Courier New" w:cs="Courier New" w:eastAsia="Courier New" w:hAnsi="Courier New"/>
          <w:sz w:val="15"/>
          <w:szCs w:val="15"/>
          <w:color w:val="auto"/>
        </w:rPr>
        <w:t>Leases</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Companies have entered into an operating lease agreement with King George County for the land on which the landfill treatment facility will be located. Rent will begin on this facility once operations commence. In addition, the Companies have entered into lease agreements for land and buildings where transfer stations are currently located or are to be constructed. Minimum future lease payments under these leases are as follows:</w:t>
      </w:r>
    </w:p>
    <w:p>
      <w:pPr>
        <w:spacing w:after="0" w:line="200" w:lineRule="exact"/>
        <w:rPr>
          <w:sz w:val="20"/>
          <w:szCs w:val="20"/>
          <w:color w:val="auto"/>
        </w:rPr>
      </w:pPr>
    </w:p>
    <w:p>
      <w:pPr>
        <w:spacing w:after="0" w:line="296"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Year ending December 31-</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2640" w:type="dxa"/>
            <w:vAlign w:val="bottom"/>
          </w:tcPr>
          <w:p>
            <w:pPr>
              <w:ind w:left="700"/>
              <w:spacing w:after="0"/>
              <w:rPr>
                <w:sz w:val="20"/>
                <w:szCs w:val="20"/>
                <w:color w:val="auto"/>
              </w:rPr>
            </w:pPr>
            <w:r>
              <w:rPr>
                <w:rFonts w:ascii="Courier New" w:cs="Courier New" w:eastAsia="Courier New" w:hAnsi="Courier New"/>
                <w:sz w:val="15"/>
                <w:szCs w:val="15"/>
                <w:color w:val="auto"/>
              </w:rPr>
              <w:t>1996</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433,100</w:t>
            </w:r>
          </w:p>
        </w:tc>
      </w:tr>
      <w:tr>
        <w:trPr>
          <w:trHeight w:val="168"/>
        </w:trPr>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1997</w:t>
            </w:r>
          </w:p>
        </w:tc>
        <w:tc>
          <w:tcPr>
            <w:tcW w:w="6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1,942,600</w:t>
            </w:r>
          </w:p>
        </w:tc>
      </w:tr>
      <w:tr>
        <w:trPr>
          <w:trHeight w:val="168"/>
        </w:trPr>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1998</w:t>
            </w:r>
          </w:p>
        </w:tc>
        <w:tc>
          <w:tcPr>
            <w:tcW w:w="6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1,952,500</w:t>
            </w:r>
          </w:p>
        </w:tc>
      </w:tr>
      <w:tr>
        <w:trPr>
          <w:trHeight w:val="168"/>
        </w:trPr>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1999</w:t>
            </w:r>
          </w:p>
        </w:tc>
        <w:tc>
          <w:tcPr>
            <w:tcW w:w="6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1,961,145</w:t>
            </w:r>
          </w:p>
        </w:tc>
      </w:tr>
      <w:tr>
        <w:trPr>
          <w:trHeight w:val="168"/>
        </w:trPr>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2000</w:t>
            </w:r>
          </w:p>
        </w:tc>
        <w:tc>
          <w:tcPr>
            <w:tcW w:w="6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1,970,222</w:t>
            </w:r>
          </w:p>
        </w:tc>
      </w:tr>
      <w:tr>
        <w:trPr>
          <w:trHeight w:val="168"/>
        </w:trPr>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Thereafter</w:t>
            </w:r>
          </w:p>
        </w:tc>
        <w:tc>
          <w:tcPr>
            <w:tcW w:w="6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54,757,204</w:t>
            </w:r>
          </w:p>
        </w:tc>
      </w:tr>
      <w:tr>
        <w:trPr>
          <w:trHeight w:val="168"/>
        </w:trPr>
        <w:tc>
          <w:tcPr>
            <w:tcW w:w="2640" w:type="dxa"/>
            <w:vAlign w:val="bottom"/>
          </w:tcPr>
          <w:p>
            <w:pPr>
              <w:spacing w:after="0"/>
              <w:rPr>
                <w:sz w:val="14"/>
                <w:szCs w:val="14"/>
                <w:color w:val="auto"/>
              </w:rPr>
            </w:pP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rPr>
                <w:sz w:val="14"/>
                <w:szCs w:val="14"/>
                <w:color w:val="auto"/>
              </w:rPr>
            </w:pP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$63,016,771</w:t>
            </w:r>
          </w:p>
        </w:tc>
      </w:tr>
      <w:tr>
        <w:trPr>
          <w:trHeight w:val="168"/>
        </w:trPr>
        <w:tc>
          <w:tcPr>
            <w:tcW w:w="2640" w:type="dxa"/>
            <w:vAlign w:val="bottom"/>
          </w:tcPr>
          <w:p>
            <w:pPr>
              <w:spacing w:after="0"/>
              <w:rPr>
                <w:sz w:val="14"/>
                <w:szCs w:val="14"/>
                <w:color w:val="auto"/>
              </w:rPr>
            </w:pP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Companies have received notice from an Underwriter used in connection with the offering of its Industrial Revenue Bonds that the underwriter is entitled to certain fees and expenses ranging from $200,000 to $570,000. The Companies believes such fees are not owed and intend to vigorously contest the fees.</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Companies have received notice from a partnership that the partnership is entitled to a finder's fee for assisting the Company in obtaining third-party financing. The Companies believe that they have no liability in this matter and intend to contest the matter vigorously.</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Companies received notice from a third-party alleging breach of contract in connection with a contract to purchase certain property for $945,000. The Plaintiffs filed suit in March 1995 seeking approximately $595,000 in compensatory damages, plus $350,000 in punitive damages. The Companies believe that they have no liability in this matter and intend to contest the matter vigorously.</w:t>
      </w:r>
    </w:p>
    <w:p>
      <w:pPr>
        <w:spacing w:after="0" w:line="17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In addition to the above-described litigation, the Companies are involved in various other administrative proceedings, as well as other claims, disputes and assessments that could result in additional litigation or other proceedings. Management believes that the outcome of all of the matters discussed above will not have a material adverse effect on the Companies combined financial position or results of operations.</w:t>
      </w:r>
    </w:p>
    <w:p>
      <w:pPr>
        <w:spacing w:after="0" w:line="168" w:lineRule="exact"/>
        <w:rPr>
          <w:sz w:val="20"/>
          <w:szCs w:val="20"/>
          <w:color w:val="auto"/>
        </w:rPr>
      </w:pPr>
    </w:p>
    <w:p>
      <w:pPr>
        <w:ind w:left="540" w:hanging="530"/>
        <w:spacing w:after="0"/>
        <w:tabs>
          <w:tab w:leader="none" w:pos="5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January 1996, the Companies obtained a working capital loan in the amount of $10 million from Sanifill. Proceeds of this loan were used to exercise substantially all outstanding land purchase options and for general working capital purposes. All of the land purchased by the Companies was deeded to King George County in accordance with the terms of the landfill development agreement. The Companies will lease this land from the county for operations of the landfill.</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239"/>
          </w:cols>
          <w:pgMar w:left="220" w:top="281"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5"/>
          <w:szCs w:val="15"/>
          <w:color w:val="auto"/>
        </w:rPr>
        <w:t>93</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REPORT OF INDEPENDENT AUDITORS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w:t>
      </w:r>
    </w:p>
    <w:p>
      <w:pPr>
        <w:spacing w:after="0" w:line="237" w:lineRule="auto"/>
        <w:rPr>
          <w:sz w:val="20"/>
          <w:szCs w:val="20"/>
          <w:color w:val="auto"/>
        </w:rPr>
      </w:pPr>
      <w:r>
        <w:rPr>
          <w:rFonts w:ascii="Courier New" w:cs="Courier New" w:eastAsia="Courier New" w:hAnsi="Courier New"/>
          <w:sz w:val="15"/>
          <w:szCs w:val="15"/>
          <w:color w:val="auto"/>
        </w:rPr>
        <w:t>The Orange Group Entities</w:t>
      </w:r>
    </w:p>
    <w:p>
      <w:pPr>
        <w:spacing w:after="0" w:line="238" w:lineRule="auto"/>
        <w:rPr>
          <w:sz w:val="20"/>
          <w:szCs w:val="20"/>
          <w:color w:val="auto"/>
        </w:rPr>
      </w:pPr>
      <w:r>
        <w:rPr>
          <w:rFonts w:ascii="Courier New" w:cs="Courier New" w:eastAsia="Courier New" w:hAnsi="Courier New"/>
          <w:sz w:val="15"/>
          <w:szCs w:val="15"/>
          <w:color w:val="auto"/>
        </w:rPr>
        <w:t>Orlando, Florida</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We have audited the accompanying combined balance sheet of The Orange Group as of December 31, 1995, and the related combined statements of operations, retained earnings, and cash flows for the year then ended. These combined financial statements are the responsibility of the Group's management. Our responsibility is to express an opinion on these combined financial statements based on our audit.</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8"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As discussed in Note 15 to the combined financial statements, the Group sold substantially all of its tangible and real property on February 5, 1996.</w:t>
      </w:r>
    </w:p>
    <w:p>
      <w:pPr>
        <w:spacing w:after="0" w:line="17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In our opinion, the combined financial statements referred to above present fairly, in all material respects, the financial position of The Orange Group as of December 31, 1995, and the results of its operations and its cash flows for the year then ended in conformity with generally accepted accounting principles.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OSBURN, HENNING AND COMPANY</w:t>
      </w:r>
    </w:p>
    <w:p>
      <w:pPr>
        <w:spacing w:after="0" w:line="237" w:lineRule="auto"/>
        <w:rPr>
          <w:sz w:val="20"/>
          <w:szCs w:val="20"/>
          <w:color w:val="auto"/>
        </w:rPr>
      </w:pPr>
      <w:r>
        <w:rPr>
          <w:rFonts w:ascii="Courier New" w:cs="Courier New" w:eastAsia="Courier New" w:hAnsi="Courier New"/>
          <w:sz w:val="15"/>
          <w:szCs w:val="15"/>
          <w:color w:val="auto"/>
        </w:rPr>
        <w:t>July 13, 1996</w:t>
      </w:r>
    </w:p>
    <w:p>
      <w:pPr>
        <w:spacing w:after="0" w:line="238" w:lineRule="auto"/>
        <w:rPr>
          <w:sz w:val="20"/>
          <w:szCs w:val="20"/>
          <w:color w:val="auto"/>
        </w:rPr>
      </w:pPr>
      <w:r>
        <w:rPr>
          <w:rFonts w:ascii="Courier New" w:cs="Courier New" w:eastAsia="Courier New" w:hAnsi="Courier New"/>
          <w:sz w:val="15"/>
          <w:szCs w:val="15"/>
          <w:color w:val="auto"/>
        </w:rPr>
        <w:t>Orlando, Florida</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39"/>
          </w:cols>
          <w:pgMar w:left="220" w:top="281"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5"/>
          <w:szCs w:val="15"/>
          <w:color w:val="auto"/>
        </w:rPr>
        <w:t>94</w:t>
      </w:r>
    </w:p>
    <w:tbl>
      <w:tblPr>
        <w:tblLayout w:type="fixed"/>
        <w:tblInd w:w="0" w:type="dxa"/>
        <w:tblCellMar>
          <w:top w:w="0" w:type="dxa"/>
          <w:left w:w="0" w:type="dxa"/>
          <w:bottom w:w="0" w:type="dxa"/>
          <w:right w:w="0" w:type="dxa"/>
        </w:tblCellMar>
      </w:tblPr>
      <w:tr>
        <w:trPr>
          <w:trHeight w:val="168"/>
        </w:trPr>
        <w:tc>
          <w:tcPr>
            <w:tcW w:w="6000" w:type="dxa"/>
            <w:vAlign w:val="bottom"/>
          </w:tcPr>
          <w:p>
            <w:pPr>
              <w:jc w:val="right"/>
              <w:ind w:right="1727"/>
              <w:spacing w:after="0" w:line="168" w:lineRule="exact"/>
              <w:rPr>
                <w:sz w:val="20"/>
                <w:szCs w:val="20"/>
                <w:color w:val="auto"/>
              </w:rPr>
            </w:pPr>
            <w:r>
              <w:rPr>
                <w:rFonts w:ascii="Courier New" w:cs="Courier New" w:eastAsia="Courier New" w:hAnsi="Courier New"/>
                <w:sz w:val="15"/>
                <w:szCs w:val="15"/>
                <w:color w:val="auto"/>
              </w:rPr>
              <w:t>THE ORANGE GROUP</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6000" w:type="dxa"/>
            <w:vAlign w:val="bottom"/>
          </w:tcPr>
          <w:p>
            <w:pPr>
              <w:ind w:left="2540"/>
              <w:spacing w:after="0"/>
              <w:rPr>
                <w:sz w:val="20"/>
                <w:szCs w:val="20"/>
                <w:color w:val="auto"/>
              </w:rPr>
            </w:pPr>
            <w:r>
              <w:rPr>
                <w:rFonts w:ascii="Courier New" w:cs="Courier New" w:eastAsia="Courier New" w:hAnsi="Courier New"/>
                <w:sz w:val="15"/>
                <w:szCs w:val="15"/>
                <w:color w:val="auto"/>
              </w:rPr>
              <w:t>COMBINED BALANCE SHEET</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6000" w:type="dxa"/>
            <w:vAlign w:val="bottom"/>
          </w:tcPr>
          <w:p>
            <w:pPr>
              <w:jc w:val="right"/>
              <w:ind w:right="1727"/>
              <w:spacing w:after="0" w:line="168" w:lineRule="exact"/>
              <w:rPr>
                <w:sz w:val="20"/>
                <w:szCs w:val="20"/>
                <w:color w:val="auto"/>
              </w:rPr>
            </w:pPr>
            <w:r>
              <w:rPr>
                <w:rFonts w:ascii="Courier New" w:cs="Courier New" w:eastAsia="Courier New" w:hAnsi="Courier New"/>
                <w:sz w:val="15"/>
                <w:szCs w:val="15"/>
                <w:color w:val="auto"/>
              </w:rPr>
              <w:t>December 31, 1995</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73"/>
        </w:trPr>
        <w:tc>
          <w:tcPr>
            <w:tcW w:w="6000" w:type="dxa"/>
            <w:vAlign w:val="bottom"/>
          </w:tcPr>
          <w:p>
            <w:pPr>
              <w:ind w:left="100"/>
              <w:spacing w:after="0"/>
              <w:rPr>
                <w:sz w:val="20"/>
                <w:szCs w:val="20"/>
                <w:color w:val="auto"/>
              </w:rPr>
            </w:pPr>
            <w:r>
              <w:rPr>
                <w:rFonts w:ascii="Courier New" w:cs="Courier New" w:eastAsia="Courier New" w:hAnsi="Courier New"/>
                <w:sz w:val="15"/>
                <w:szCs w:val="15"/>
                <w:color w:val="auto"/>
              </w:rPr>
              <w:t>ASSETS</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146,321</w:t>
            </w: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912,305</w:t>
            </w:r>
          </w:p>
        </w:tc>
      </w:tr>
      <w:tr>
        <w:trPr>
          <w:trHeight w:val="168"/>
        </w:trPr>
        <w:tc>
          <w:tcPr>
            <w:tcW w:w="600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1,058,626</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LAND AND EQUIPMENT, net of accumulated depletion and depreciation</w:t>
            </w:r>
          </w:p>
        </w:tc>
        <w:tc>
          <w:tcPr>
            <w:tcW w:w="40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4,560,795</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40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116,395</w:t>
            </w:r>
          </w:p>
        </w:tc>
      </w:tr>
      <w:tr>
        <w:trPr>
          <w:trHeight w:val="168"/>
        </w:trPr>
        <w:tc>
          <w:tcPr>
            <w:tcW w:w="600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assets</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$5,735,816</w:t>
            </w:r>
          </w:p>
        </w:tc>
      </w:tr>
      <w:tr>
        <w:trPr>
          <w:trHeight w:val="168"/>
        </w:trPr>
        <w:tc>
          <w:tcPr>
            <w:tcW w:w="600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LIABILITIES AND STOCKHOLDERS' EQUITY (DEFICIT)</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Note payable to bank</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50,000</w:t>
            </w: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Current maturities of long-term notes payable</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958,914</w:t>
            </w: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Current maturities of long-term notes payable - stockholders</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428,439</w:t>
            </w: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payable</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552,006</w:t>
            </w:r>
          </w:p>
        </w:tc>
      </w:tr>
      <w:tr>
        <w:trPr>
          <w:trHeight w:val="168"/>
        </w:trPr>
        <w:tc>
          <w:tcPr>
            <w:tcW w:w="600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1,989,359</w:t>
            </w:r>
          </w:p>
        </w:tc>
      </w:tr>
      <w:tr>
        <w:trPr>
          <w:trHeight w:val="168"/>
        </w:trPr>
        <w:tc>
          <w:tcPr>
            <w:tcW w:w="600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LIABILITIES</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Notes payable, less current maturities</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3,490,105</w:t>
            </w: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Notes payable - stockholders, less current maturities</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710,377</w:t>
            </w: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Accrued closure and post-closure costs</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632,974</w:t>
            </w:r>
          </w:p>
        </w:tc>
      </w:tr>
      <w:tr>
        <w:trPr>
          <w:trHeight w:val="168"/>
        </w:trPr>
        <w:tc>
          <w:tcPr>
            <w:tcW w:w="600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long-term liabilities</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4,833,456</w:t>
            </w:r>
          </w:p>
        </w:tc>
      </w:tr>
      <w:tr>
        <w:trPr>
          <w:trHeight w:val="168"/>
        </w:trPr>
        <w:tc>
          <w:tcPr>
            <w:tcW w:w="600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6,822,815</w:t>
            </w:r>
          </w:p>
        </w:tc>
      </w:tr>
      <w:tr>
        <w:trPr>
          <w:trHeight w:val="168"/>
        </w:trPr>
        <w:tc>
          <w:tcPr>
            <w:tcW w:w="600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STOCKHOLDERS' EQUITY (DEFICIT)</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Common stock</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10,720</w:t>
            </w: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146,380</w:t>
            </w: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Retained earnings (deficit)</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(483,192)</w:t>
            </w:r>
          </w:p>
        </w:tc>
      </w:tr>
      <w:tr>
        <w:trPr>
          <w:trHeight w:val="168"/>
        </w:trPr>
        <w:tc>
          <w:tcPr>
            <w:tcW w:w="600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(326,092)</w:t>
            </w: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Less treasury stock</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(760,907)</w:t>
            </w:r>
          </w:p>
        </w:tc>
      </w:tr>
      <w:tr>
        <w:trPr>
          <w:trHeight w:val="168"/>
        </w:trPr>
        <w:tc>
          <w:tcPr>
            <w:tcW w:w="600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stockholders' equity (deficit)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(1,086,999)</w:t>
            </w:r>
          </w:p>
        </w:tc>
      </w:tr>
      <w:tr>
        <w:trPr>
          <w:trHeight w:val="168"/>
        </w:trPr>
        <w:tc>
          <w:tcPr>
            <w:tcW w:w="600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liabilities and stockholders' equity (deficit)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$5,735,816</w:t>
            </w:r>
          </w:p>
        </w:tc>
      </w:tr>
    </w:tbl>
    <w:p>
      <w:pPr>
        <w:ind w:left="630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39"/>
          </w:cols>
          <w:pgMar w:left="220" w:top="281"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5"/>
          <w:szCs w:val="15"/>
          <w:color w:val="auto"/>
        </w:rPr>
        <w:t>95</w:t>
      </w:r>
    </w:p>
    <w:tbl>
      <w:tblPr>
        <w:tblLayout w:type="fixed"/>
        <w:tblInd w:w="0" w:type="dxa"/>
        <w:tblCellMar>
          <w:top w:w="0" w:type="dxa"/>
          <w:left w:w="0" w:type="dxa"/>
          <w:bottom w:w="0" w:type="dxa"/>
          <w:right w:w="0" w:type="dxa"/>
        </w:tblCellMar>
      </w:tblPr>
      <w:tr>
        <w:trPr>
          <w:trHeight w:val="168"/>
        </w:trPr>
        <w:tc>
          <w:tcPr>
            <w:tcW w:w="518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7"/>
              </w:rPr>
              <w:t>THE ORANGE GROUP</w:t>
            </w:r>
          </w:p>
        </w:tc>
        <w:tc>
          <w:tcPr>
            <w:tcW w:w="1220" w:type="dxa"/>
            <w:vAlign w:val="bottom"/>
          </w:tcPr>
          <w:p>
            <w:pPr>
              <w:spacing w:after="0"/>
              <w:rPr>
                <w:sz w:val="14"/>
                <w:szCs w:val="14"/>
                <w:color w:val="auto"/>
              </w:rPr>
            </w:pPr>
          </w:p>
        </w:tc>
      </w:tr>
      <w:tr>
        <w:trPr>
          <w:trHeight w:val="336"/>
        </w:trPr>
        <w:tc>
          <w:tcPr>
            <w:tcW w:w="518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7"/>
              </w:rPr>
              <w:t>COMBINED STATEMENT OF OPERATIONS</w:t>
            </w:r>
          </w:p>
        </w:tc>
        <w:tc>
          <w:tcPr>
            <w:tcW w:w="1220" w:type="dxa"/>
            <w:vAlign w:val="bottom"/>
          </w:tcPr>
          <w:p>
            <w:pPr>
              <w:spacing w:after="0"/>
              <w:rPr>
                <w:sz w:val="24"/>
                <w:szCs w:val="24"/>
                <w:color w:val="auto"/>
              </w:rPr>
            </w:pPr>
          </w:p>
        </w:tc>
      </w:tr>
      <w:tr>
        <w:trPr>
          <w:trHeight w:val="168"/>
        </w:trPr>
        <w:tc>
          <w:tcPr>
            <w:tcW w:w="5180" w:type="dxa"/>
            <w:vAlign w:val="bottom"/>
          </w:tcPr>
          <w:p>
            <w:pPr>
              <w:jc w:val="center"/>
              <w:ind w:left="1767"/>
              <w:spacing w:after="0" w:line="168" w:lineRule="exact"/>
              <w:rPr>
                <w:sz w:val="20"/>
                <w:szCs w:val="20"/>
                <w:color w:val="auto"/>
              </w:rPr>
            </w:pPr>
            <w:r>
              <w:rPr>
                <w:rFonts w:ascii="Courier New" w:cs="Courier New" w:eastAsia="Courier New" w:hAnsi="Courier New"/>
                <w:sz w:val="15"/>
                <w:szCs w:val="15"/>
                <w:color w:val="auto"/>
                <w:w w:val="97"/>
              </w:rPr>
              <w:t>Year Ended December 31, 1995</w:t>
            </w:r>
          </w:p>
        </w:tc>
        <w:tc>
          <w:tcPr>
            <w:tcW w:w="1220" w:type="dxa"/>
            <w:vAlign w:val="bottom"/>
          </w:tcPr>
          <w:p>
            <w:pPr>
              <w:spacing w:after="0"/>
              <w:rPr>
                <w:sz w:val="14"/>
                <w:szCs w:val="14"/>
                <w:color w:val="auto"/>
              </w:rPr>
            </w:pPr>
          </w:p>
        </w:tc>
      </w:tr>
      <w:tr>
        <w:trPr>
          <w:trHeight w:val="6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$7,798,100</w:t>
            </w:r>
          </w:p>
        </w:tc>
      </w:tr>
      <w:tr>
        <w:trPr>
          <w:trHeight w:val="168"/>
        </w:trPr>
        <w:tc>
          <w:tcPr>
            <w:tcW w:w="51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1220" w:type="dxa"/>
            <w:vAlign w:val="bottom"/>
          </w:tcPr>
          <w:p>
            <w:pPr>
              <w:spacing w:after="0"/>
              <w:rPr>
                <w:sz w:val="14"/>
                <w:szCs w:val="14"/>
                <w:color w:val="auto"/>
              </w:rPr>
            </w:pP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Labor</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1,285,690</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Gas and oil</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856,681</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Materials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777,637</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 and depletion</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678,172</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Repairs and maintenance</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653,683</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Trucking and hauling</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498,077</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Insurance</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415,354</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Equipment rental</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274,620</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Closure and post-closure provision</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154,046</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direct costs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464,735</w:t>
            </w:r>
          </w:p>
        </w:tc>
      </w:tr>
      <w:tr>
        <w:trPr>
          <w:trHeight w:val="168"/>
        </w:trPr>
        <w:tc>
          <w:tcPr>
            <w:tcW w:w="51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6,058,695</w:t>
            </w:r>
          </w:p>
        </w:tc>
      </w:tr>
      <w:tr>
        <w:trPr>
          <w:trHeight w:val="168"/>
        </w:trPr>
        <w:tc>
          <w:tcPr>
            <w:tcW w:w="51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Gross profit</w:t>
            </w:r>
          </w:p>
        </w:tc>
        <w:tc>
          <w:tcPr>
            <w:tcW w:w="1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1,739,405</w:t>
            </w:r>
          </w:p>
        </w:tc>
      </w:tr>
      <w:tr>
        <w:trPr>
          <w:trHeight w:val="168"/>
        </w:trPr>
        <w:tc>
          <w:tcPr>
            <w:tcW w:w="51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220" w:type="dxa"/>
            <w:vAlign w:val="bottom"/>
          </w:tcPr>
          <w:p>
            <w:pPr>
              <w:spacing w:after="0"/>
              <w:rPr>
                <w:sz w:val="24"/>
                <w:szCs w:val="24"/>
                <w:color w:val="auto"/>
              </w:rPr>
            </w:pP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Salaries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304,408</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Management fee expense</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195,941</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Taxes and license</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174,778</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Insurance</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174,377</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Legal and professional</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78,683</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Office expense</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68,937</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Telephone and utilities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65,833</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Rents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65,331</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operating expenses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31,964</w:t>
            </w:r>
          </w:p>
        </w:tc>
      </w:tr>
      <w:tr>
        <w:trPr>
          <w:trHeight w:val="168"/>
        </w:trPr>
        <w:tc>
          <w:tcPr>
            <w:tcW w:w="51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1,160,252</w:t>
            </w:r>
          </w:p>
        </w:tc>
      </w:tr>
      <w:tr>
        <w:trPr>
          <w:trHeight w:val="168"/>
        </w:trPr>
        <w:tc>
          <w:tcPr>
            <w:tcW w:w="51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Income from operations</w:t>
            </w:r>
          </w:p>
        </w:tc>
        <w:tc>
          <w:tcPr>
            <w:tcW w:w="1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579,153</w:t>
            </w:r>
          </w:p>
        </w:tc>
      </w:tr>
      <w:tr>
        <w:trPr>
          <w:trHeight w:val="168"/>
        </w:trPr>
        <w:tc>
          <w:tcPr>
            <w:tcW w:w="51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1220" w:type="dxa"/>
            <w:vAlign w:val="bottom"/>
          </w:tcPr>
          <w:p>
            <w:pPr>
              <w:spacing w:after="0"/>
              <w:rPr>
                <w:sz w:val="14"/>
                <w:szCs w:val="14"/>
                <w:color w:val="auto"/>
              </w:rPr>
            </w:pP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(600,748)</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Loss on sale of assets</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(21,753)</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Miscellaneous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34,058</w:t>
            </w:r>
          </w:p>
        </w:tc>
      </w:tr>
      <w:tr>
        <w:trPr>
          <w:trHeight w:val="168"/>
        </w:trPr>
        <w:tc>
          <w:tcPr>
            <w:tcW w:w="51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(588,443)</w:t>
            </w:r>
          </w:p>
        </w:tc>
      </w:tr>
      <w:tr>
        <w:trPr>
          <w:trHeight w:val="168"/>
        </w:trPr>
        <w:tc>
          <w:tcPr>
            <w:tcW w:w="51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Net loss</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(9,290)</w:t>
            </w:r>
          </w:p>
        </w:tc>
      </w:tr>
    </w:tbl>
    <w:p>
      <w:pPr>
        <w:ind w:left="544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39"/>
          </w:cols>
          <w:pgMar w:left="220" w:top="281"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5"/>
          <w:szCs w:val="15"/>
          <w:color w:val="auto"/>
        </w:rPr>
        <w:t>96</w:t>
      </w:r>
    </w:p>
    <w:p>
      <w:pPr>
        <w:jc w:val="center"/>
        <w:ind w:right="3219"/>
        <w:spacing w:after="0" w:line="237" w:lineRule="auto"/>
        <w:rPr>
          <w:sz w:val="20"/>
          <w:szCs w:val="20"/>
          <w:color w:val="auto"/>
        </w:rPr>
      </w:pPr>
      <w:r>
        <w:rPr>
          <w:rFonts w:ascii="Courier New" w:cs="Courier New" w:eastAsia="Courier New" w:hAnsi="Courier New"/>
          <w:sz w:val="15"/>
          <w:szCs w:val="15"/>
          <w:color w:val="auto"/>
        </w:rPr>
        <w:t>THE ORANGE GROUP</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COMBINED STATEMENT OF RETAINED EARNINGS</w:t>
      </w:r>
    </w:p>
    <w:p>
      <w:pPr>
        <w:ind w:left="2280"/>
        <w:spacing w:after="0" w:line="237" w:lineRule="auto"/>
        <w:rPr>
          <w:sz w:val="20"/>
          <w:szCs w:val="20"/>
          <w:color w:val="auto"/>
        </w:rPr>
      </w:pPr>
      <w:r>
        <w:rPr>
          <w:rFonts w:ascii="Courier New" w:cs="Courier New" w:eastAsia="Courier New" w:hAnsi="Courier New"/>
          <w:sz w:val="15"/>
          <w:szCs w:val="15"/>
          <w:color w:val="auto"/>
        </w:rPr>
        <w:t>Year Ended December 31, 1995</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Retained earnings, beginning</w:t>
            </w:r>
          </w:p>
        </w:tc>
        <w:tc>
          <w:tcPr>
            <w:tcW w:w="2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$ 345,309</w:t>
            </w:r>
          </w:p>
        </w:tc>
      </w:tr>
      <w:tr>
        <w:trPr>
          <w:trHeight w:val="336"/>
        </w:trPr>
        <w:tc>
          <w:tcPr>
            <w:tcW w:w="4160" w:type="dxa"/>
            <w:vAlign w:val="bottom"/>
          </w:tcPr>
          <w:p>
            <w:pPr>
              <w:ind w:left="360"/>
              <w:spacing w:after="0"/>
              <w:rPr>
                <w:sz w:val="20"/>
                <w:szCs w:val="20"/>
                <w:color w:val="auto"/>
              </w:rPr>
            </w:pPr>
            <w:r>
              <w:rPr>
                <w:rFonts w:ascii="Courier New" w:cs="Courier New" w:eastAsia="Courier New" w:hAnsi="Courier New"/>
                <w:sz w:val="15"/>
                <w:szCs w:val="15"/>
                <w:color w:val="auto"/>
              </w:rPr>
              <w:t>Net loss</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(9,290)</w:t>
            </w:r>
          </w:p>
        </w:tc>
      </w:tr>
      <w:tr>
        <w:trPr>
          <w:trHeight w:val="336"/>
        </w:trPr>
        <w:tc>
          <w:tcPr>
            <w:tcW w:w="4160" w:type="dxa"/>
            <w:vAlign w:val="bottom"/>
          </w:tcPr>
          <w:p>
            <w:pPr>
              <w:ind w:left="360"/>
              <w:spacing w:after="0"/>
              <w:rPr>
                <w:sz w:val="20"/>
                <w:szCs w:val="20"/>
                <w:color w:val="auto"/>
              </w:rPr>
            </w:pPr>
            <w:r>
              <w:rPr>
                <w:rFonts w:ascii="Courier New" w:cs="Courier New" w:eastAsia="Courier New" w:hAnsi="Courier New"/>
                <w:sz w:val="15"/>
                <w:szCs w:val="15"/>
                <w:color w:val="auto"/>
              </w:rPr>
              <w:t>Dividends</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(819,211)</w:t>
            </w:r>
          </w:p>
        </w:tc>
      </w:tr>
      <w:tr>
        <w:trPr>
          <w:trHeight w:val="168"/>
        </w:trPr>
        <w:tc>
          <w:tcPr>
            <w:tcW w:w="4160" w:type="dxa"/>
            <w:vAlign w:val="bottom"/>
          </w:tcPr>
          <w:p>
            <w:pPr>
              <w:spacing w:after="0"/>
              <w:rPr>
                <w:sz w:val="14"/>
                <w:szCs w:val="14"/>
                <w:color w:val="auto"/>
              </w:rPr>
            </w:pPr>
          </w:p>
        </w:tc>
        <w:tc>
          <w:tcPr>
            <w:tcW w:w="2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 (deficit), ending</w:t>
            </w:r>
          </w:p>
        </w:tc>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(483,192)</w:t>
            </w:r>
          </w:p>
        </w:tc>
      </w:tr>
    </w:tbl>
    <w:p>
      <w:pPr>
        <w:ind w:left="526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39"/>
          </w:cols>
          <w:pgMar w:left="220" w:top="281"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5"/>
          <w:szCs w:val="15"/>
          <w:color w:val="auto"/>
        </w:rPr>
        <w:t>97</w:t>
      </w:r>
    </w:p>
    <w:tbl>
      <w:tblPr>
        <w:tblLayout w:type="fixed"/>
        <w:tblInd w:w="0" w:type="dxa"/>
        <w:tblCellMar>
          <w:top w:w="0" w:type="dxa"/>
          <w:left w:w="0" w:type="dxa"/>
          <w:bottom w:w="0" w:type="dxa"/>
          <w:right w:w="0" w:type="dxa"/>
        </w:tblCellMar>
      </w:tblPr>
      <w:tr>
        <w:trPr>
          <w:trHeight w:val="168"/>
        </w:trPr>
        <w:tc>
          <w:tcPr>
            <w:tcW w:w="5860" w:type="dxa"/>
            <w:vAlign w:val="bottom"/>
          </w:tcPr>
          <w:p>
            <w:pPr>
              <w:jc w:val="center"/>
              <w:ind w:left="1067"/>
              <w:spacing w:after="0" w:line="168" w:lineRule="exact"/>
              <w:rPr>
                <w:sz w:val="20"/>
                <w:szCs w:val="20"/>
                <w:color w:val="auto"/>
              </w:rPr>
            </w:pPr>
            <w:r>
              <w:rPr>
                <w:rFonts w:ascii="Courier New" w:cs="Courier New" w:eastAsia="Courier New" w:hAnsi="Courier New"/>
                <w:sz w:val="15"/>
                <w:szCs w:val="15"/>
                <w:color w:val="auto"/>
                <w:w w:val="97"/>
              </w:rPr>
              <w:t>THE ORANGE GROUP</w:t>
            </w:r>
          </w:p>
        </w:tc>
        <w:tc>
          <w:tcPr>
            <w:tcW w:w="1400" w:type="dxa"/>
            <w:vAlign w:val="bottom"/>
          </w:tcPr>
          <w:p>
            <w:pPr>
              <w:spacing w:after="0"/>
              <w:rPr>
                <w:sz w:val="14"/>
                <w:szCs w:val="14"/>
                <w:color w:val="auto"/>
              </w:rPr>
            </w:pPr>
          </w:p>
        </w:tc>
      </w:tr>
      <w:tr>
        <w:trPr>
          <w:trHeight w:val="336"/>
        </w:trPr>
        <w:tc>
          <w:tcPr>
            <w:tcW w:w="5860" w:type="dxa"/>
            <w:vAlign w:val="bottom"/>
          </w:tcPr>
          <w:p>
            <w:pPr>
              <w:jc w:val="center"/>
              <w:ind w:left="1067"/>
              <w:spacing w:after="0"/>
              <w:rPr>
                <w:sz w:val="20"/>
                <w:szCs w:val="20"/>
                <w:color w:val="auto"/>
              </w:rPr>
            </w:pPr>
            <w:r>
              <w:rPr>
                <w:rFonts w:ascii="Courier New" w:cs="Courier New" w:eastAsia="Courier New" w:hAnsi="Courier New"/>
                <w:sz w:val="15"/>
                <w:szCs w:val="15"/>
                <w:color w:val="auto"/>
                <w:w w:val="97"/>
              </w:rPr>
              <w:t>COMBINED STATEMENT OF CASH FLOWS</w:t>
            </w:r>
          </w:p>
        </w:tc>
        <w:tc>
          <w:tcPr>
            <w:tcW w:w="1400" w:type="dxa"/>
            <w:vAlign w:val="bottom"/>
          </w:tcPr>
          <w:p>
            <w:pPr>
              <w:spacing w:after="0"/>
              <w:rPr>
                <w:sz w:val="24"/>
                <w:szCs w:val="24"/>
                <w:color w:val="auto"/>
              </w:rPr>
            </w:pPr>
          </w:p>
        </w:tc>
      </w:tr>
      <w:tr>
        <w:trPr>
          <w:trHeight w:val="168"/>
        </w:trPr>
        <w:tc>
          <w:tcPr>
            <w:tcW w:w="5860" w:type="dxa"/>
            <w:vAlign w:val="bottom"/>
          </w:tcPr>
          <w:p>
            <w:pPr>
              <w:jc w:val="center"/>
              <w:ind w:left="1087"/>
              <w:spacing w:after="0" w:line="168" w:lineRule="exact"/>
              <w:rPr>
                <w:sz w:val="20"/>
                <w:szCs w:val="20"/>
                <w:color w:val="auto"/>
              </w:rPr>
            </w:pPr>
            <w:r>
              <w:rPr>
                <w:rFonts w:ascii="Courier New" w:cs="Courier New" w:eastAsia="Courier New" w:hAnsi="Courier New"/>
                <w:sz w:val="15"/>
                <w:szCs w:val="15"/>
                <w:color w:val="auto"/>
                <w:w w:val="97"/>
              </w:rPr>
              <w:t>Year Ended December 31, 1995</w:t>
            </w:r>
          </w:p>
        </w:tc>
        <w:tc>
          <w:tcPr>
            <w:tcW w:w="1400" w:type="dxa"/>
            <w:vAlign w:val="bottom"/>
          </w:tcPr>
          <w:p>
            <w:pPr>
              <w:spacing w:after="0"/>
              <w:rPr>
                <w:sz w:val="14"/>
                <w:szCs w:val="14"/>
                <w:color w:val="auto"/>
              </w:rPr>
            </w:pPr>
          </w:p>
        </w:tc>
      </w:tr>
      <w:tr>
        <w:trPr>
          <w:trHeight w:val="673"/>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400" w:type="dxa"/>
            <w:vAlign w:val="bottom"/>
          </w:tcPr>
          <w:p>
            <w:pPr>
              <w:spacing w:after="0"/>
              <w:rPr>
                <w:sz w:val="24"/>
                <w:szCs w:val="24"/>
                <w:color w:val="auto"/>
              </w:rPr>
            </w:pP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loss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(9,290)</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Adjustments to reconcile net loss to net cash provided by</w:t>
            </w:r>
          </w:p>
        </w:tc>
        <w:tc>
          <w:tcPr>
            <w:tcW w:w="1400" w:type="dxa"/>
            <w:vAlign w:val="bottom"/>
          </w:tcPr>
          <w:p>
            <w:pPr>
              <w:spacing w:after="0"/>
              <w:rPr>
                <w:sz w:val="14"/>
                <w:szCs w:val="14"/>
                <w:color w:val="auto"/>
              </w:rPr>
            </w:pPr>
          </w:p>
        </w:tc>
      </w:tr>
      <w:tr>
        <w:trPr>
          <w:trHeight w:val="168"/>
        </w:trPr>
        <w:tc>
          <w:tcPr>
            <w:tcW w:w="58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1400" w:type="dxa"/>
            <w:vAlign w:val="bottom"/>
          </w:tcPr>
          <w:p>
            <w:pPr>
              <w:spacing w:after="0"/>
              <w:rPr>
                <w:sz w:val="14"/>
                <w:szCs w:val="14"/>
                <w:color w:val="auto"/>
              </w:rPr>
            </w:pPr>
          </w:p>
        </w:tc>
      </w:tr>
      <w:tr>
        <w:trPr>
          <w:trHeight w:val="168"/>
        </w:trPr>
        <w:tc>
          <w:tcPr>
            <w:tcW w:w="58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Amortization</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3,600</w:t>
            </w:r>
          </w:p>
        </w:tc>
      </w:tr>
      <w:tr>
        <w:trPr>
          <w:trHeight w:val="168"/>
        </w:trPr>
        <w:tc>
          <w:tcPr>
            <w:tcW w:w="58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Depletion</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32,247</w:t>
            </w:r>
          </w:p>
        </w:tc>
      </w:tr>
      <w:tr>
        <w:trPr>
          <w:trHeight w:val="168"/>
        </w:trPr>
        <w:tc>
          <w:tcPr>
            <w:tcW w:w="58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Depreciation</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645,925</w:t>
            </w:r>
          </w:p>
        </w:tc>
      </w:tr>
      <w:tr>
        <w:trPr>
          <w:trHeight w:val="168"/>
        </w:trPr>
        <w:tc>
          <w:tcPr>
            <w:tcW w:w="58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Loss on sale of assets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21,753</w:t>
            </w:r>
          </w:p>
        </w:tc>
      </w:tr>
      <w:tr>
        <w:trPr>
          <w:trHeight w:val="168"/>
        </w:trPr>
        <w:tc>
          <w:tcPr>
            <w:tcW w:w="58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Provision for post-closure costs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154,046</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Increase in:</w:t>
            </w:r>
          </w:p>
        </w:tc>
        <w:tc>
          <w:tcPr>
            <w:tcW w:w="1400" w:type="dxa"/>
            <w:vAlign w:val="bottom"/>
          </w:tcPr>
          <w:p>
            <w:pPr>
              <w:spacing w:after="0"/>
              <w:rPr>
                <w:sz w:val="14"/>
                <w:szCs w:val="14"/>
                <w:color w:val="auto"/>
              </w:rPr>
            </w:pPr>
          </w:p>
        </w:tc>
      </w:tr>
      <w:tr>
        <w:trPr>
          <w:trHeight w:val="168"/>
        </w:trPr>
        <w:tc>
          <w:tcPr>
            <w:tcW w:w="58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(131,035)</w:t>
            </w:r>
          </w:p>
        </w:tc>
      </w:tr>
      <w:tr>
        <w:trPr>
          <w:trHeight w:val="168"/>
        </w:trPr>
        <w:tc>
          <w:tcPr>
            <w:tcW w:w="58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Other assets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(9,221)</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Increase in:</w:t>
            </w:r>
          </w:p>
        </w:tc>
        <w:tc>
          <w:tcPr>
            <w:tcW w:w="1400" w:type="dxa"/>
            <w:vAlign w:val="bottom"/>
          </w:tcPr>
          <w:p>
            <w:pPr>
              <w:spacing w:after="0"/>
              <w:rPr>
                <w:sz w:val="14"/>
                <w:szCs w:val="14"/>
                <w:color w:val="auto"/>
              </w:rPr>
            </w:pPr>
          </w:p>
        </w:tc>
      </w:tr>
      <w:tr>
        <w:trPr>
          <w:trHeight w:val="168"/>
        </w:trPr>
        <w:tc>
          <w:tcPr>
            <w:tcW w:w="58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242,739</w:t>
            </w:r>
          </w:p>
        </w:tc>
      </w:tr>
      <w:tr>
        <w:trPr>
          <w:trHeight w:val="168"/>
        </w:trPr>
        <w:tc>
          <w:tcPr>
            <w:tcW w:w="58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950,764</w:t>
            </w:r>
          </w:p>
        </w:tc>
      </w:tr>
      <w:tr>
        <w:trPr>
          <w:trHeight w:val="168"/>
        </w:trPr>
        <w:tc>
          <w:tcPr>
            <w:tcW w:w="58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400" w:type="dxa"/>
            <w:vAlign w:val="bottom"/>
          </w:tcPr>
          <w:p>
            <w:pPr>
              <w:spacing w:after="0"/>
              <w:rPr>
                <w:sz w:val="24"/>
                <w:szCs w:val="24"/>
                <w:color w:val="auto"/>
              </w:rPr>
            </w:pP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Purchase of equipment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(311,621)</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sale of assets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265,976</w:t>
            </w:r>
          </w:p>
        </w:tc>
      </w:tr>
      <w:tr>
        <w:trPr>
          <w:trHeight w:val="168"/>
        </w:trPr>
        <w:tc>
          <w:tcPr>
            <w:tcW w:w="58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(45,645)</w:t>
            </w:r>
          </w:p>
        </w:tc>
      </w:tr>
      <w:tr>
        <w:trPr>
          <w:trHeight w:val="168"/>
        </w:trPr>
        <w:tc>
          <w:tcPr>
            <w:tcW w:w="58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400" w:type="dxa"/>
            <w:vAlign w:val="bottom"/>
          </w:tcPr>
          <w:p>
            <w:pPr>
              <w:spacing w:after="0"/>
              <w:rPr>
                <w:sz w:val="24"/>
                <w:szCs w:val="24"/>
                <w:color w:val="auto"/>
              </w:rPr>
            </w:pP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long-term notes payable</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474,073</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Repayment of long-term notes payable</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(826,343)</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notes payable - stockholders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348,000</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Repayment of notes payable - stockholders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(147,603)</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note payable to bank</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30,000</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Repayment of related party advances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(4,958)</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Dividends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(819,211)</w:t>
            </w:r>
          </w:p>
        </w:tc>
      </w:tr>
      <w:tr>
        <w:trPr>
          <w:trHeight w:val="168"/>
        </w:trPr>
        <w:tc>
          <w:tcPr>
            <w:tcW w:w="58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Net cash used in financing activities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(946,042)</w:t>
            </w:r>
          </w:p>
        </w:tc>
      </w:tr>
      <w:tr>
        <w:trPr>
          <w:trHeight w:val="168"/>
        </w:trPr>
        <w:tc>
          <w:tcPr>
            <w:tcW w:w="58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NET DECREASE IN CASH</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(40,923)</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BEGINNING</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187,244</w:t>
            </w:r>
          </w:p>
        </w:tc>
      </w:tr>
      <w:tr>
        <w:trPr>
          <w:trHeight w:val="168"/>
        </w:trPr>
        <w:tc>
          <w:tcPr>
            <w:tcW w:w="58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ENDING</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$ 146,321</w:t>
            </w:r>
          </w:p>
        </w:tc>
      </w:tr>
      <w:tr>
        <w:trPr>
          <w:trHeight w:val="168"/>
        </w:trPr>
        <w:tc>
          <w:tcPr>
            <w:tcW w:w="58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 of cash flow information:</w:t>
            </w:r>
          </w:p>
        </w:tc>
        <w:tc>
          <w:tcPr>
            <w:tcW w:w="1400" w:type="dxa"/>
            <w:vAlign w:val="bottom"/>
          </w:tcPr>
          <w:p>
            <w:pPr>
              <w:spacing w:after="0"/>
              <w:rPr>
                <w:sz w:val="14"/>
                <w:szCs w:val="14"/>
                <w:color w:val="auto"/>
              </w:rPr>
            </w:pP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paid during the year for interest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$ 517,917</w:t>
            </w:r>
          </w:p>
        </w:tc>
      </w:tr>
      <w:tr>
        <w:trPr>
          <w:trHeight w:val="168"/>
        </w:trPr>
        <w:tc>
          <w:tcPr>
            <w:tcW w:w="58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Supplemental disclosure of non cash investing and</w:t>
            </w:r>
          </w:p>
        </w:tc>
        <w:tc>
          <w:tcPr>
            <w:tcW w:w="1400" w:type="dxa"/>
            <w:vAlign w:val="bottom"/>
          </w:tcPr>
          <w:p>
            <w:pPr>
              <w:spacing w:after="0"/>
              <w:rPr>
                <w:sz w:val="24"/>
                <w:szCs w:val="24"/>
                <w:color w:val="auto"/>
              </w:rPr>
            </w:pP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1400" w:type="dxa"/>
            <w:vAlign w:val="bottom"/>
          </w:tcPr>
          <w:p>
            <w:pPr>
              <w:spacing w:after="0"/>
              <w:rPr>
                <w:sz w:val="14"/>
                <w:szCs w:val="14"/>
                <w:color w:val="auto"/>
              </w:rPr>
            </w:pPr>
          </w:p>
        </w:tc>
      </w:tr>
      <w:tr>
        <w:trPr>
          <w:trHeight w:val="168"/>
        </w:trPr>
        <w:tc>
          <w:tcPr>
            <w:tcW w:w="58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Purchase of equipment with proceeds of notes payable</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$ 157,167</w:t>
            </w:r>
          </w:p>
        </w:tc>
      </w:tr>
      <w:tr>
        <w:trPr>
          <w:trHeight w:val="168"/>
        </w:trPr>
        <w:tc>
          <w:tcPr>
            <w:tcW w:w="58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ind w:left="620"/>
              <w:spacing w:after="0"/>
              <w:rPr>
                <w:sz w:val="20"/>
                <w:szCs w:val="20"/>
                <w:color w:val="auto"/>
              </w:rPr>
            </w:pPr>
            <w:r>
              <w:rPr>
                <w:rFonts w:ascii="Courier New" w:cs="Courier New" w:eastAsia="Courier New" w:hAnsi="Courier New"/>
                <w:sz w:val="15"/>
                <w:szCs w:val="15"/>
                <w:color w:val="auto"/>
              </w:rPr>
              <w:t>Reduction of notes payable through sale of asset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$ 107,110</w:t>
            </w:r>
          </w:p>
        </w:tc>
      </w:tr>
    </w:tbl>
    <w:p>
      <w:pPr>
        <w:ind w:left="640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39"/>
          </w:cols>
          <w:pgMar w:left="220" w:top="281"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5"/>
          <w:szCs w:val="15"/>
          <w:color w:val="auto"/>
        </w:rPr>
        <w:t>98</w:t>
      </w:r>
    </w:p>
    <w:p>
      <w:pPr>
        <w:jc w:val="center"/>
        <w:ind w:right="3219"/>
        <w:spacing w:after="0" w:line="237" w:lineRule="auto"/>
        <w:rPr>
          <w:sz w:val="20"/>
          <w:szCs w:val="20"/>
          <w:color w:val="auto"/>
        </w:rPr>
      </w:pPr>
      <w:r>
        <w:rPr>
          <w:rFonts w:ascii="Courier New" w:cs="Courier New" w:eastAsia="Courier New" w:hAnsi="Courier New"/>
          <w:sz w:val="15"/>
          <w:szCs w:val="15"/>
          <w:color w:val="auto"/>
        </w:rPr>
        <w:t>THE ORANGE GROUP</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Principles of Combination</w:t>
      </w:r>
    </w:p>
    <w:p>
      <w:pPr>
        <w:spacing w:after="0" w:line="173" w:lineRule="exact"/>
        <w:rPr>
          <w:sz w:val="20"/>
          <w:szCs w:val="20"/>
          <w:color w:val="auto"/>
        </w:rPr>
      </w:pPr>
    </w:p>
    <w:p>
      <w:pPr>
        <w:ind w:left="800" w:right="3399"/>
        <w:spacing w:after="0" w:line="236" w:lineRule="auto"/>
        <w:rPr>
          <w:sz w:val="20"/>
          <w:szCs w:val="20"/>
          <w:color w:val="auto"/>
        </w:rPr>
      </w:pPr>
      <w:r>
        <w:rPr>
          <w:rFonts w:ascii="Courier New" w:cs="Courier New" w:eastAsia="Courier New" w:hAnsi="Courier New"/>
          <w:sz w:val="15"/>
          <w:szCs w:val="15"/>
          <w:color w:val="auto"/>
        </w:rPr>
        <w:t>The combined financial statements of The Orange Group (the Group) include the financial statements of Orange Waste, Recycling &amp; Materials, Inc. (OWR), Orange Soil Cement, Inc. (OSC), Orange Trucking, Inc. (OTI), and Orange Transportation Corp. (OTC). OWR, OSC and OTI are owned fifty percent each by Randy Burden and Douglas Hooker. OTC is owned fifty percent by Messrs. Burden and Hooker, and fifty percent by a third party. The financial statements of the companies have been combined on the basis of common ownership and management. All significant balances and transactions between the companies have been eliminated in the accompanying combined financial statements.</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Business Activity and Organization</w:t>
      </w:r>
    </w:p>
    <w:p>
      <w:pPr>
        <w:spacing w:after="0" w:line="173" w:lineRule="exact"/>
        <w:rPr>
          <w:sz w:val="20"/>
          <w:szCs w:val="20"/>
          <w:color w:val="auto"/>
        </w:rPr>
      </w:pPr>
    </w:p>
    <w:p>
      <w:pPr>
        <w:ind w:left="800" w:right="3319"/>
        <w:spacing w:after="0" w:line="255" w:lineRule="auto"/>
        <w:rPr>
          <w:sz w:val="20"/>
          <w:szCs w:val="20"/>
          <w:color w:val="auto"/>
        </w:rPr>
      </w:pPr>
      <w:r>
        <w:rPr>
          <w:rFonts w:ascii="Courier New" w:cs="Courier New" w:eastAsia="Courier New" w:hAnsi="Courier New"/>
          <w:sz w:val="14"/>
          <w:szCs w:val="14"/>
          <w:color w:val="auto"/>
        </w:rPr>
        <w:t>OWR was incorporated in 1981. Its principal business activity is the operation of a 70 acre Class III landfill and a 70 acre C &amp; D landfill in Orange County, Florida. OWR also owns adjacent acreage which, when fully permitted, is expected to increase the size of the landfill by 50 acres. Its revenues are derived from the sale of soil excavated from the landfill (export), and the collection of fees from customers depositing qualifying waste into the landfill (import).</w:t>
      </w:r>
    </w:p>
    <w:p>
      <w:pPr>
        <w:spacing w:after="0" w:line="166" w:lineRule="exact"/>
        <w:rPr>
          <w:sz w:val="20"/>
          <w:szCs w:val="20"/>
          <w:color w:val="auto"/>
        </w:rPr>
      </w:pPr>
    </w:p>
    <w:p>
      <w:pPr>
        <w:ind w:left="800" w:right="3319"/>
        <w:spacing w:after="0" w:line="235" w:lineRule="auto"/>
        <w:rPr>
          <w:sz w:val="20"/>
          <w:szCs w:val="20"/>
          <w:color w:val="auto"/>
        </w:rPr>
      </w:pPr>
      <w:r>
        <w:rPr>
          <w:rFonts w:ascii="Courier New" w:cs="Courier New" w:eastAsia="Courier New" w:hAnsi="Courier New"/>
          <w:sz w:val="15"/>
          <w:szCs w:val="15"/>
          <w:color w:val="auto"/>
        </w:rPr>
        <w:t>OSC was incorporated in 1989. Its principal business activity is the mixing and sale of soil cement to road paving companies in the Central Florida area.</w:t>
      </w:r>
    </w:p>
    <w:p>
      <w:pPr>
        <w:spacing w:after="0" w:line="174" w:lineRule="exact"/>
        <w:rPr>
          <w:sz w:val="20"/>
          <w:szCs w:val="20"/>
          <w:color w:val="auto"/>
        </w:rPr>
      </w:pPr>
    </w:p>
    <w:p>
      <w:pPr>
        <w:ind w:left="800" w:right="3499"/>
        <w:spacing w:after="0" w:line="234" w:lineRule="auto"/>
        <w:rPr>
          <w:sz w:val="20"/>
          <w:szCs w:val="20"/>
          <w:color w:val="auto"/>
        </w:rPr>
      </w:pPr>
      <w:r>
        <w:rPr>
          <w:rFonts w:ascii="Courier New" w:cs="Courier New" w:eastAsia="Courier New" w:hAnsi="Courier New"/>
          <w:sz w:val="15"/>
          <w:szCs w:val="15"/>
          <w:color w:val="auto"/>
        </w:rPr>
        <w:t>OTI was incorporated in 1988. Its principal business activity is the hauling of soil for customers in the Central Florida area.</w:t>
      </w:r>
    </w:p>
    <w:p>
      <w:pPr>
        <w:spacing w:after="0" w:line="173" w:lineRule="exact"/>
        <w:rPr>
          <w:sz w:val="20"/>
          <w:szCs w:val="20"/>
          <w:color w:val="auto"/>
        </w:rPr>
      </w:pPr>
    </w:p>
    <w:p>
      <w:pPr>
        <w:ind w:left="800" w:right="3499"/>
        <w:spacing w:after="0" w:line="258" w:lineRule="auto"/>
        <w:rPr>
          <w:sz w:val="20"/>
          <w:szCs w:val="20"/>
          <w:color w:val="auto"/>
        </w:rPr>
      </w:pPr>
      <w:r>
        <w:rPr>
          <w:rFonts w:ascii="Courier New" w:cs="Courier New" w:eastAsia="Courier New" w:hAnsi="Courier New"/>
          <w:sz w:val="14"/>
          <w:szCs w:val="14"/>
          <w:color w:val="auto"/>
        </w:rPr>
        <w:t>OTC was incorporated in November, 1994. Its principal business activity is the hauling of waste materials from a collection site in South Florida and an OWR Orlando transfer station to OWR's landfill.</w:t>
      </w:r>
    </w:p>
    <w:p>
      <w:pPr>
        <w:spacing w:after="0" w:line="161" w:lineRule="exact"/>
        <w:rPr>
          <w:sz w:val="20"/>
          <w:szCs w:val="20"/>
          <w:color w:val="auto"/>
        </w:rPr>
      </w:pPr>
    </w:p>
    <w:p>
      <w:pPr>
        <w:ind w:left="800" w:right="3319"/>
        <w:spacing w:after="0" w:line="256" w:lineRule="auto"/>
        <w:rPr>
          <w:sz w:val="20"/>
          <w:szCs w:val="20"/>
          <w:color w:val="auto"/>
        </w:rPr>
      </w:pPr>
      <w:r>
        <w:rPr>
          <w:rFonts w:ascii="Courier New" w:cs="Courier New" w:eastAsia="Courier New" w:hAnsi="Courier New"/>
          <w:sz w:val="14"/>
          <w:szCs w:val="14"/>
          <w:color w:val="auto"/>
        </w:rPr>
        <w:t>Messrs. Burden and Hooker own another company, DTR, with which the Group has occasional financing transactions. Because of the common ownership of the Group and DTR, a note payable to DTR has been classified in the financial statements as note payable - stockholders.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39"/>
          </w:cols>
          <w:pgMar w:left="220" w:top="281"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5"/>
          <w:szCs w:val="15"/>
          <w:color w:val="auto"/>
        </w:rPr>
        <w:t>99</w:t>
      </w:r>
    </w:p>
    <w:p>
      <w:pPr>
        <w:jc w:val="center"/>
        <w:ind w:right="3219"/>
        <w:spacing w:after="0" w:line="237" w:lineRule="auto"/>
        <w:rPr>
          <w:sz w:val="20"/>
          <w:szCs w:val="20"/>
          <w:color w:val="auto"/>
        </w:rPr>
      </w:pPr>
      <w:r>
        <w:rPr>
          <w:rFonts w:ascii="Courier New" w:cs="Courier New" w:eastAsia="Courier New" w:hAnsi="Courier New"/>
          <w:sz w:val="15"/>
          <w:szCs w:val="15"/>
          <w:color w:val="auto"/>
        </w:rPr>
        <w:t>THE ORANGE GROUP</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Summary of Significant Accounting Policies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Sales</w:t>
      </w:r>
    </w:p>
    <w:p>
      <w:pPr>
        <w:spacing w:after="0" w:line="173" w:lineRule="exact"/>
        <w:rPr>
          <w:sz w:val="20"/>
          <w:szCs w:val="20"/>
          <w:color w:val="auto"/>
        </w:rPr>
      </w:pPr>
    </w:p>
    <w:p>
      <w:pPr>
        <w:ind w:left="980" w:right="3499"/>
        <w:spacing w:after="0" w:line="235" w:lineRule="auto"/>
        <w:rPr>
          <w:sz w:val="20"/>
          <w:szCs w:val="20"/>
          <w:color w:val="auto"/>
        </w:rPr>
      </w:pPr>
      <w:r>
        <w:rPr>
          <w:rFonts w:ascii="Courier New" w:cs="Courier New" w:eastAsia="Courier New" w:hAnsi="Courier New"/>
          <w:sz w:val="15"/>
          <w:szCs w:val="15"/>
          <w:color w:val="auto"/>
        </w:rPr>
        <w:t>The companies comprising the Group use the accrual method of accounting. Sales are recognized upon product or service delivery. Cost of sales are recorded when sales are recognized.</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Accounts Receivable</w:t>
      </w:r>
    </w:p>
    <w:p>
      <w:pPr>
        <w:spacing w:after="0" w:line="173" w:lineRule="exact"/>
        <w:rPr>
          <w:sz w:val="20"/>
          <w:szCs w:val="20"/>
          <w:color w:val="auto"/>
        </w:rPr>
      </w:pPr>
    </w:p>
    <w:p>
      <w:pPr>
        <w:ind w:left="980" w:right="3499"/>
        <w:spacing w:after="0" w:line="236" w:lineRule="auto"/>
        <w:rPr>
          <w:sz w:val="20"/>
          <w:szCs w:val="20"/>
          <w:color w:val="auto"/>
        </w:rPr>
      </w:pPr>
      <w:r>
        <w:rPr>
          <w:rFonts w:ascii="Courier New" w:cs="Courier New" w:eastAsia="Courier New" w:hAnsi="Courier New"/>
          <w:sz w:val="15"/>
          <w:szCs w:val="15"/>
          <w:color w:val="auto"/>
        </w:rPr>
        <w:t>Accounts receivable are recorded net of the allowance for doubtful accounts that management deems necessary to allow for potentially uncollectible accounts. Based on its review of the detail of accounts comprising accounts receivable at December 31, 1995, management concluded no allowance was needed.</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Land and Equipment</w:t>
      </w:r>
    </w:p>
    <w:p>
      <w:pPr>
        <w:spacing w:after="0" w:line="173" w:lineRule="exact"/>
        <w:rPr>
          <w:sz w:val="20"/>
          <w:szCs w:val="20"/>
          <w:color w:val="auto"/>
        </w:rPr>
      </w:pPr>
    </w:p>
    <w:p>
      <w:pPr>
        <w:ind w:left="980" w:right="3499"/>
        <w:spacing w:after="0" w:line="258" w:lineRule="auto"/>
        <w:rPr>
          <w:sz w:val="20"/>
          <w:szCs w:val="20"/>
          <w:color w:val="auto"/>
        </w:rPr>
      </w:pPr>
      <w:r>
        <w:rPr>
          <w:rFonts w:ascii="Courier New" w:cs="Courier New" w:eastAsia="Courier New" w:hAnsi="Courier New"/>
          <w:sz w:val="14"/>
          <w:szCs w:val="14"/>
          <w:color w:val="auto"/>
        </w:rPr>
        <w:t>Land is recorded at cost, less accumulated depletion as related to the landfill. Depletion is recorded based on an estimate of soil removed as a percentage of the total soil available for removal.</w:t>
      </w:r>
    </w:p>
    <w:p>
      <w:pPr>
        <w:spacing w:after="0" w:line="161" w:lineRule="exact"/>
        <w:rPr>
          <w:sz w:val="20"/>
          <w:szCs w:val="20"/>
          <w:color w:val="auto"/>
        </w:rPr>
      </w:pPr>
    </w:p>
    <w:p>
      <w:pPr>
        <w:ind w:left="980" w:right="3399"/>
        <w:spacing w:after="0" w:line="235" w:lineRule="auto"/>
        <w:rPr>
          <w:sz w:val="20"/>
          <w:szCs w:val="20"/>
          <w:color w:val="auto"/>
        </w:rPr>
      </w:pPr>
      <w:r>
        <w:rPr>
          <w:rFonts w:ascii="Courier New" w:cs="Courier New" w:eastAsia="Courier New" w:hAnsi="Courier New"/>
          <w:sz w:val="15"/>
          <w:szCs w:val="15"/>
          <w:color w:val="auto"/>
        </w:rPr>
        <w:t>Equipment is recorded at cost, less accumulated depreciation. Depreciation is recorded based on the estimated useful lives of the assets using the straight-line method.</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Closure and Post-Closure Costs</w:t>
      </w:r>
    </w:p>
    <w:p>
      <w:pPr>
        <w:spacing w:after="0" w:line="173" w:lineRule="exact"/>
        <w:rPr>
          <w:sz w:val="20"/>
          <w:szCs w:val="20"/>
          <w:color w:val="auto"/>
        </w:rPr>
      </w:pPr>
    </w:p>
    <w:p>
      <w:pPr>
        <w:ind w:left="980" w:right="3319"/>
        <w:spacing w:after="0" w:line="236" w:lineRule="auto"/>
        <w:rPr>
          <w:sz w:val="20"/>
          <w:szCs w:val="20"/>
          <w:color w:val="auto"/>
        </w:rPr>
      </w:pPr>
      <w:r>
        <w:rPr>
          <w:rFonts w:ascii="Courier New" w:cs="Courier New" w:eastAsia="Courier New" w:hAnsi="Courier New"/>
          <w:sz w:val="15"/>
          <w:szCs w:val="15"/>
          <w:color w:val="auto"/>
        </w:rPr>
        <w:t>The Group member (OWR) which owns and operates the landfills accrues remaining estimated closure and post-closure costs on a unit-of-production method based on the landfills' estimated remaining airspace. The estimated accrual is treated as a long-term liability in the accompanying combined financial statements. See Note 7 for further discussion of these costs and accruals.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10239"/>
          </w:cols>
          <w:pgMar w:left="220" w:top="281"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5"/>
          <w:szCs w:val="15"/>
          <w:color w:val="auto"/>
        </w:rPr>
        <w:t>100</w:t>
      </w:r>
    </w:p>
    <w:p>
      <w:pPr>
        <w:jc w:val="center"/>
        <w:ind w:right="3219"/>
        <w:spacing w:after="0" w:line="237" w:lineRule="auto"/>
        <w:rPr>
          <w:sz w:val="20"/>
          <w:szCs w:val="20"/>
          <w:color w:val="auto"/>
        </w:rPr>
      </w:pPr>
      <w:r>
        <w:rPr>
          <w:rFonts w:ascii="Courier New" w:cs="Courier New" w:eastAsia="Courier New" w:hAnsi="Courier New"/>
          <w:sz w:val="15"/>
          <w:szCs w:val="15"/>
          <w:color w:val="auto"/>
        </w:rPr>
        <w:t>THE ORANGE GROUP</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Summary of Significant Accounting Policies - (Continued)</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left="980" w:right="3319"/>
        <w:spacing w:after="0" w:line="236" w:lineRule="auto"/>
        <w:rPr>
          <w:sz w:val="20"/>
          <w:szCs w:val="20"/>
          <w:color w:val="auto"/>
        </w:rPr>
      </w:pPr>
      <w:r>
        <w:rPr>
          <w:rFonts w:ascii="Courier New" w:cs="Courier New" w:eastAsia="Courier New" w:hAnsi="Courier New"/>
          <w:sz w:val="15"/>
          <w:szCs w:val="15"/>
          <w:color w:val="auto"/>
        </w:rPr>
        <w:t>The members of the Group, with the consent of their stockholders, have elected to have their income or loss taxed under Section 1372 of the Internal Revenue Code, which provides that, in lieu of corporate income taxes, the stockholders are taxed on or receive deduction for their proportionate share of the income or loss. Accordingly, no income tax provision or benefit has been made in the accompanying combined financial statements.</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Land and Equipment</w:t>
      </w:r>
    </w:p>
    <w:p>
      <w:pPr>
        <w:spacing w:after="0" w:line="173" w:lineRule="exact"/>
        <w:rPr>
          <w:sz w:val="20"/>
          <w:szCs w:val="20"/>
          <w:color w:val="auto"/>
        </w:rPr>
      </w:pPr>
    </w:p>
    <w:p>
      <w:pPr>
        <w:ind w:left="800" w:right="4199"/>
        <w:spacing w:after="0" w:line="234" w:lineRule="auto"/>
        <w:rPr>
          <w:sz w:val="20"/>
          <w:szCs w:val="20"/>
          <w:color w:val="auto"/>
        </w:rPr>
      </w:pPr>
      <w:r>
        <w:rPr>
          <w:rFonts w:ascii="Courier New" w:cs="Courier New" w:eastAsia="Courier New" w:hAnsi="Courier New"/>
          <w:sz w:val="15"/>
          <w:szCs w:val="15"/>
          <w:color w:val="auto"/>
        </w:rPr>
        <w:t>Land and equipment at December 31, 1995 are comprised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OWR</w:t>
            </w:r>
          </w:p>
        </w:tc>
        <w:tc>
          <w:tcPr>
            <w:tcW w:w="1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OSC</w:t>
            </w:r>
          </w:p>
        </w:tc>
        <w:tc>
          <w:tcPr>
            <w:tcW w:w="22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OTI</w:t>
            </w:r>
          </w:p>
        </w:tc>
        <w:tc>
          <w:tcPr>
            <w:tcW w:w="160" w:type="dxa"/>
            <w:vAlign w:val="bottom"/>
          </w:tcPr>
          <w:p>
            <w:pPr>
              <w:spacing w:after="0"/>
              <w:rPr>
                <w:sz w:val="14"/>
                <w:szCs w:val="14"/>
                <w:color w:val="auto"/>
              </w:rPr>
            </w:pPr>
          </w:p>
        </w:tc>
        <w:tc>
          <w:tcPr>
            <w:tcW w:w="11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OTC</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Combined</w:t>
            </w:r>
          </w:p>
        </w:tc>
      </w:tr>
      <w:tr>
        <w:trPr>
          <w:trHeight w:val="168"/>
        </w:trPr>
        <w:tc>
          <w:tcPr>
            <w:tcW w:w="1840" w:type="dxa"/>
            <w:vAlign w:val="bottom"/>
          </w:tcPr>
          <w:p>
            <w:pPr>
              <w:spacing w:after="0"/>
              <w:rPr>
                <w:sz w:val="14"/>
                <w:szCs w:val="14"/>
                <w:color w:val="auto"/>
              </w:rPr>
            </w:pP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759,513</w:t>
            </w: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$124,747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884,260</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1,205,612</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333,509</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915,518</w:t>
            </w:r>
          </w:p>
        </w:tc>
        <w:tc>
          <w:tcPr>
            <w:tcW w:w="1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2,581,685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5,036,324</w:t>
            </w:r>
          </w:p>
        </w:tc>
      </w:tr>
      <w:tr>
        <w:trPr>
          <w:trHeight w:val="168"/>
        </w:trPr>
        <w:tc>
          <w:tcPr>
            <w:tcW w:w="1840" w:type="dxa"/>
            <w:vAlign w:val="bottom"/>
          </w:tcPr>
          <w:p>
            <w:pPr>
              <w:spacing w:after="0"/>
              <w:rPr>
                <w:sz w:val="14"/>
                <w:szCs w:val="14"/>
                <w:color w:val="auto"/>
              </w:rPr>
            </w:pP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spacing w:after="0"/>
              <w:rPr>
                <w:sz w:val="14"/>
                <w:szCs w:val="14"/>
                <w:color w:val="auto"/>
              </w:rPr>
            </w:pP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1,965,125</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458,256</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915,518</w:t>
            </w:r>
          </w:p>
        </w:tc>
        <w:tc>
          <w:tcPr>
            <w:tcW w:w="1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2,581,685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5,920,584</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Accumulated</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(290,584)</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(205,172)</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(297,105)</w:t>
            </w:r>
          </w:p>
        </w:tc>
        <w:tc>
          <w:tcPr>
            <w:tcW w:w="1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(346,000)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(1,138,861)</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w:t>
            </w: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depletion</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(220,928)</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(220,928)</w:t>
            </w:r>
          </w:p>
        </w:tc>
      </w:tr>
      <w:tr>
        <w:trPr>
          <w:trHeight w:val="168"/>
        </w:trPr>
        <w:tc>
          <w:tcPr>
            <w:tcW w:w="1840" w:type="dxa"/>
            <w:vAlign w:val="bottom"/>
          </w:tcPr>
          <w:p>
            <w:pPr>
              <w:spacing w:after="0"/>
              <w:rPr>
                <w:sz w:val="14"/>
                <w:szCs w:val="14"/>
                <w:color w:val="auto"/>
              </w:rPr>
            </w:pP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Land and</w:t>
            </w: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equipment,</w:t>
            </w: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$1,453,613</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$253,084</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$618,413</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$2,235,685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$4,560,795</w:t>
            </w:r>
          </w:p>
        </w:tc>
      </w:tr>
      <w:tr>
        <w:trPr>
          <w:trHeight w:val="168"/>
        </w:trPr>
        <w:tc>
          <w:tcPr>
            <w:tcW w:w="1840" w:type="dxa"/>
            <w:vAlign w:val="bottom"/>
          </w:tcPr>
          <w:p>
            <w:pPr>
              <w:spacing w:after="0"/>
              <w:rPr>
                <w:sz w:val="14"/>
                <w:szCs w:val="14"/>
                <w:color w:val="auto"/>
              </w:rPr>
            </w:pP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4459"/>
        <w:spacing w:after="0" w:line="234" w:lineRule="auto"/>
        <w:rPr>
          <w:sz w:val="20"/>
          <w:szCs w:val="20"/>
          <w:color w:val="auto"/>
        </w:rPr>
      </w:pPr>
      <w:r>
        <w:rPr>
          <w:rFonts w:ascii="Courier New" w:cs="Courier New" w:eastAsia="Courier New" w:hAnsi="Courier New"/>
          <w:sz w:val="15"/>
          <w:szCs w:val="15"/>
          <w:color w:val="auto"/>
        </w:rPr>
        <w:t>Depreciation and depletion in 1995 were $645,925 and $32,247, respectively.</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Note Payable to Bank</w:t>
      </w:r>
    </w:p>
    <w:p>
      <w:pPr>
        <w:spacing w:after="0" w:line="173" w:lineRule="exact"/>
        <w:rPr>
          <w:sz w:val="20"/>
          <w:szCs w:val="20"/>
          <w:color w:val="auto"/>
        </w:rPr>
      </w:pPr>
    </w:p>
    <w:p>
      <w:pPr>
        <w:ind w:left="800" w:right="3319"/>
        <w:spacing w:after="0" w:line="235" w:lineRule="auto"/>
        <w:rPr>
          <w:sz w:val="20"/>
          <w:szCs w:val="20"/>
          <w:color w:val="auto"/>
        </w:rPr>
      </w:pPr>
      <w:r>
        <w:rPr>
          <w:rFonts w:ascii="Courier New" w:cs="Courier New" w:eastAsia="Courier New" w:hAnsi="Courier New"/>
          <w:sz w:val="15"/>
          <w:szCs w:val="15"/>
          <w:color w:val="auto"/>
        </w:rPr>
        <w:t>OSC has a $50,000 line of credit with a bank. The line bears interest at the rate of prime plus 1.5% and matures May 1, 1996. The loan is secured by the accounts receivable of OSC which totalled approximately $198,000 at December 31, 1995.</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239"/>
          </w:cols>
          <w:pgMar w:left="220" w:top="281"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5"/>
          <w:szCs w:val="15"/>
          <w:color w:val="auto"/>
        </w:rPr>
        <w:t>101</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THE ORANGE GROUP</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Long-Term Notes Payable</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Long-term notes payable at December 31, 1995 consist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AmSouth Bank; due $12,450 monthly, including interest</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at 8% until September, 1996; thereafter, at prime</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plus 1.5%; matures April 13, 1998; collateralized</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by landfill</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$1,217,613</w:t>
            </w:r>
          </w:p>
        </w:tc>
      </w:tr>
      <w:tr>
        <w:trPr>
          <w:trHeight w:val="336"/>
        </w:trPr>
        <w:tc>
          <w:tcPr>
            <w:tcW w:w="5280" w:type="dxa"/>
            <w:vAlign w:val="bottom"/>
          </w:tcPr>
          <w:p>
            <w:pPr>
              <w:spacing w:after="0"/>
              <w:rPr>
                <w:sz w:val="20"/>
                <w:szCs w:val="20"/>
                <w:color w:val="auto"/>
              </w:rPr>
            </w:pPr>
            <w:r>
              <w:rPr>
                <w:rFonts w:ascii="Courier New" w:cs="Courier New" w:eastAsia="Courier New" w:hAnsi="Courier New"/>
                <w:sz w:val="15"/>
                <w:szCs w:val="15"/>
                <w:color w:val="auto"/>
              </w:rPr>
              <w:t>Equipment notes in original amount of $1,404,903;</w:t>
            </w:r>
          </w:p>
        </w:tc>
        <w:tc>
          <w:tcPr>
            <w:tcW w:w="1620" w:type="dxa"/>
            <w:vAlign w:val="bottom"/>
          </w:tcPr>
          <w:p>
            <w:pPr>
              <w:spacing w:after="0"/>
              <w:rPr>
                <w:sz w:val="24"/>
                <w:szCs w:val="2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payable $29,273 per month principal and interest</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(9.365%); maturing January, 2000; collateralized</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by rolling stock with a carrying value at 12/31/95</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of $1,205,880</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1,196,929</w:t>
            </w:r>
          </w:p>
        </w:tc>
      </w:tr>
      <w:tr>
        <w:trPr>
          <w:trHeight w:val="336"/>
        </w:trPr>
        <w:tc>
          <w:tcPr>
            <w:tcW w:w="5280" w:type="dxa"/>
            <w:vAlign w:val="bottom"/>
          </w:tcPr>
          <w:p>
            <w:pPr>
              <w:spacing w:after="0"/>
              <w:rPr>
                <w:sz w:val="20"/>
                <w:szCs w:val="20"/>
                <w:color w:val="auto"/>
              </w:rPr>
            </w:pPr>
            <w:r>
              <w:rPr>
                <w:rFonts w:ascii="Courier New" w:cs="Courier New" w:eastAsia="Courier New" w:hAnsi="Courier New"/>
                <w:sz w:val="15"/>
                <w:szCs w:val="15"/>
                <w:color w:val="auto"/>
              </w:rPr>
              <w:t>Equipment note of $1,156,213; payable $19,120 per</w:t>
            </w:r>
          </w:p>
        </w:tc>
        <w:tc>
          <w:tcPr>
            <w:tcW w:w="1620" w:type="dxa"/>
            <w:vAlign w:val="bottom"/>
          </w:tcPr>
          <w:p>
            <w:pPr>
              <w:spacing w:after="0"/>
              <w:rPr>
                <w:sz w:val="24"/>
                <w:szCs w:val="2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month principal and interest (8.273%); payments</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beginning January, 1995; maturing January, 2000;</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collateralized by trailers with a carrying value</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at 12/31/95 of $1,011,685</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994,076</w:t>
            </w:r>
          </w:p>
        </w:tc>
      </w:tr>
      <w:tr>
        <w:trPr>
          <w:trHeight w:val="336"/>
        </w:trPr>
        <w:tc>
          <w:tcPr>
            <w:tcW w:w="5280" w:type="dxa"/>
            <w:vAlign w:val="bottom"/>
          </w:tcPr>
          <w:p>
            <w:pPr>
              <w:spacing w:after="0"/>
              <w:rPr>
                <w:sz w:val="20"/>
                <w:szCs w:val="20"/>
                <w:color w:val="auto"/>
              </w:rPr>
            </w:pPr>
            <w:r>
              <w:rPr>
                <w:rFonts w:ascii="Courier New" w:cs="Courier New" w:eastAsia="Courier New" w:hAnsi="Courier New"/>
                <w:sz w:val="15"/>
                <w:szCs w:val="15"/>
                <w:color w:val="auto"/>
              </w:rPr>
              <w:t>Equipment notes payable at approximately $28,500</w:t>
            </w:r>
          </w:p>
        </w:tc>
        <w:tc>
          <w:tcPr>
            <w:tcW w:w="1620" w:type="dxa"/>
            <w:vAlign w:val="bottom"/>
          </w:tcPr>
          <w:p>
            <w:pPr>
              <w:spacing w:after="0"/>
              <w:rPr>
                <w:sz w:val="24"/>
                <w:szCs w:val="2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per month; at rates ranging from 7.33% to 14.94%;</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maturing from March, 1996 to March, 1998;</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collateralized by equipment with a carrying value</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at 12/31/95 of $699,233</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631,662</w:t>
            </w:r>
          </w:p>
        </w:tc>
      </w:tr>
      <w:tr>
        <w:trPr>
          <w:trHeight w:val="336"/>
        </w:trPr>
        <w:tc>
          <w:tcPr>
            <w:tcW w:w="5280" w:type="dxa"/>
            <w:vAlign w:val="bottom"/>
          </w:tcPr>
          <w:p>
            <w:pPr>
              <w:spacing w:after="0"/>
              <w:rPr>
                <w:sz w:val="20"/>
                <w:szCs w:val="20"/>
                <w:color w:val="auto"/>
              </w:rPr>
            </w:pPr>
            <w:r>
              <w:rPr>
                <w:rFonts w:ascii="Courier New" w:cs="Courier New" w:eastAsia="Courier New" w:hAnsi="Courier New"/>
                <w:sz w:val="15"/>
                <w:szCs w:val="15"/>
                <w:color w:val="auto"/>
              </w:rPr>
              <w:t>Two equipment notes in original amount of $481,969;</w:t>
            </w:r>
          </w:p>
        </w:tc>
        <w:tc>
          <w:tcPr>
            <w:tcW w:w="1620" w:type="dxa"/>
            <w:vAlign w:val="bottom"/>
          </w:tcPr>
          <w:p>
            <w:pPr>
              <w:spacing w:after="0"/>
              <w:rPr>
                <w:sz w:val="24"/>
                <w:szCs w:val="2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payable $10,541 per month principal and interest</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(8.65% and 11.1%); maturing April, 1998 and March,</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1999; collateralized by rolling stock with a</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carrying value at 12/31/95 of $359,810</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348,387</w:t>
            </w:r>
          </w:p>
        </w:tc>
      </w:tr>
      <w:tr>
        <w:trPr>
          <w:trHeight w:val="336"/>
        </w:trPr>
        <w:tc>
          <w:tcPr>
            <w:tcW w:w="5280" w:type="dxa"/>
            <w:vAlign w:val="bottom"/>
          </w:tcPr>
          <w:p>
            <w:pPr>
              <w:spacing w:after="0"/>
              <w:rPr>
                <w:sz w:val="20"/>
                <w:szCs w:val="20"/>
                <w:color w:val="auto"/>
              </w:rPr>
            </w:pPr>
            <w:r>
              <w:rPr>
                <w:rFonts w:ascii="Courier New" w:cs="Courier New" w:eastAsia="Courier New" w:hAnsi="Courier New"/>
                <w:sz w:val="15"/>
                <w:szCs w:val="15"/>
                <w:color w:val="auto"/>
              </w:rPr>
              <w:t>Two mortgages payable at various intervals</w:t>
            </w:r>
          </w:p>
        </w:tc>
        <w:tc>
          <w:tcPr>
            <w:tcW w:w="1620" w:type="dxa"/>
            <w:vAlign w:val="bottom"/>
          </w:tcPr>
          <w:p>
            <w:pPr>
              <w:spacing w:after="0"/>
              <w:rPr>
                <w:sz w:val="24"/>
                <w:szCs w:val="2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equalling approximately $33,000 per year; at rates</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of 8% and 8.5%; maturing April, 1996 and</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December, 1998; collateralized by land</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60,351</w:t>
            </w:r>
          </w:p>
        </w:tc>
      </w:tr>
      <w:tr>
        <w:trPr>
          <w:trHeight w:val="336"/>
        </w:trPr>
        <w:tc>
          <w:tcPr>
            <w:tcW w:w="5280" w:type="dxa"/>
            <w:vAlign w:val="bottom"/>
          </w:tcPr>
          <w:p>
            <w:pPr>
              <w:spacing w:after="0"/>
              <w:rPr>
                <w:sz w:val="20"/>
                <w:szCs w:val="20"/>
                <w:color w:val="auto"/>
              </w:rPr>
            </w:pPr>
            <w:r>
              <w:rPr>
                <w:rFonts w:ascii="Courier New" w:cs="Courier New" w:eastAsia="Courier New" w:hAnsi="Courier New"/>
                <w:sz w:val="15"/>
                <w:szCs w:val="15"/>
                <w:color w:val="auto"/>
              </w:rPr>
              <w:t>Stockholder notes; unsecured; interest rates</w:t>
            </w:r>
          </w:p>
        </w:tc>
        <w:tc>
          <w:tcPr>
            <w:tcW w:w="1620" w:type="dxa"/>
            <w:vAlign w:val="bottom"/>
          </w:tcPr>
          <w:p>
            <w:pPr>
              <w:spacing w:after="0"/>
              <w:rPr>
                <w:sz w:val="24"/>
                <w:szCs w:val="2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ranging from 11.75% to 12.65%; aggregate monthly</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payment totalling $12,674; any unpaid balances</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due November, 2003</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765,817</w:t>
            </w:r>
          </w:p>
        </w:tc>
      </w:tr>
      <w:tr>
        <w:trPr>
          <w:trHeight w:val="336"/>
        </w:trPr>
        <w:tc>
          <w:tcPr>
            <w:tcW w:w="5280" w:type="dxa"/>
            <w:vAlign w:val="bottom"/>
          </w:tcPr>
          <w:p>
            <w:pPr>
              <w:spacing w:after="0"/>
              <w:rPr>
                <w:sz w:val="20"/>
                <w:szCs w:val="20"/>
                <w:color w:val="auto"/>
              </w:rPr>
            </w:pPr>
            <w:r>
              <w:rPr>
                <w:rFonts w:ascii="Courier New" w:cs="Courier New" w:eastAsia="Courier New" w:hAnsi="Courier New"/>
                <w:sz w:val="15"/>
                <w:szCs w:val="15"/>
                <w:color w:val="auto"/>
              </w:rPr>
              <w:t>Stockholder advances at 10% due on demand</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373,000</w:t>
            </w:r>
          </w:p>
        </w:tc>
      </w:tr>
      <w:tr>
        <w:trPr>
          <w:trHeight w:val="168"/>
        </w:trPr>
        <w:tc>
          <w:tcPr>
            <w:tcW w:w="5280" w:type="dxa"/>
            <w:vAlign w:val="bottom"/>
          </w:tcPr>
          <w:p>
            <w:pPr>
              <w:spacing w:after="0"/>
              <w:rPr>
                <w:sz w:val="14"/>
                <w:szCs w:val="14"/>
                <w:color w:val="auto"/>
              </w:rPr>
            </w:pP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80" w:type="dxa"/>
            <w:vAlign w:val="bottom"/>
          </w:tcPr>
          <w:p>
            <w:pPr>
              <w:spacing w:after="0"/>
              <w:rPr>
                <w:sz w:val="14"/>
                <w:szCs w:val="14"/>
                <w:color w:val="auto"/>
              </w:rPr>
            </w:pP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5,587,835</w:t>
            </w:r>
          </w:p>
        </w:tc>
      </w:tr>
      <w:tr>
        <w:trPr>
          <w:trHeight w:val="168"/>
        </w:trPr>
        <w:tc>
          <w:tcPr>
            <w:tcW w:w="52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current maturities</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(1,387,353)</w:t>
            </w:r>
          </w:p>
        </w:tc>
      </w:tr>
    </w:tbl>
    <w:p>
      <w:pPr>
        <w:ind w:left="6920"/>
        <w:spacing w:after="0" w:line="237" w:lineRule="auto"/>
        <w:rPr>
          <w:sz w:val="20"/>
          <w:szCs w:val="20"/>
          <w:color w:val="auto"/>
        </w:rPr>
      </w:pPr>
      <w:r>
        <w:rPr>
          <w:rFonts w:ascii="Courier New" w:cs="Courier New" w:eastAsia="Courier New" w:hAnsi="Courier New"/>
          <w:sz w:val="15"/>
          <w:szCs w:val="15"/>
          <w:color w:val="auto"/>
        </w:rPr>
        <w:t>----------</w:t>
      </w:r>
    </w:p>
    <w:p>
      <w:pPr>
        <w:ind w:left="6920"/>
        <w:spacing w:after="0" w:line="238" w:lineRule="auto"/>
        <w:rPr>
          <w:sz w:val="20"/>
          <w:szCs w:val="20"/>
          <w:color w:val="auto"/>
        </w:rPr>
      </w:pPr>
      <w:r>
        <w:rPr>
          <w:rFonts w:ascii="Courier New" w:cs="Courier New" w:eastAsia="Courier New" w:hAnsi="Courier New"/>
          <w:sz w:val="15"/>
          <w:szCs w:val="15"/>
          <w:color w:val="auto"/>
        </w:rPr>
        <w:t>$4,200,482</w:t>
      </w:r>
    </w:p>
    <w:p>
      <w:pPr>
        <w:ind w:left="692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CONTINUED ON NEXT PAGE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101</w:t>
      </w:r>
    </w:p>
    <w:p>
      <w:pPr>
        <w:sectPr>
          <w:pgSz w:w="11900" w:h="16838" w:orient="portrait"/>
          <w:cols w:equalWidth="0" w:num="1">
            <w:col w:w="10239"/>
          </w:cols>
          <w:pgMar w:left="220" w:top="281" w:right="1440" w:bottom="1440" w:gutter="0" w:footer="0" w:header="0"/>
        </w:sectPr>
      </w:pPr>
    </w:p>
    <w:bookmarkStart w:id="102" w:name="page103"/>
    <w:bookmarkEnd w:id="102"/>
    <w:p>
      <w:pPr>
        <w:ind w:left="280"/>
        <w:spacing w:after="0"/>
        <w:rPr>
          <w:sz w:val="20"/>
          <w:szCs w:val="20"/>
          <w:color w:val="auto"/>
        </w:rPr>
      </w:pPr>
      <w:r>
        <w:rPr>
          <w:rFonts w:ascii="Courier New" w:cs="Courier New" w:eastAsia="Courier New" w:hAnsi="Courier New"/>
          <w:sz w:val="15"/>
          <w:szCs w:val="15"/>
          <w:color w:val="auto"/>
        </w:rPr>
        <w:t>102</w:t>
      </w:r>
    </w:p>
    <w:p>
      <w:pPr>
        <w:jc w:val="center"/>
        <w:ind w:right="3219"/>
        <w:spacing w:after="0" w:line="237" w:lineRule="auto"/>
        <w:rPr>
          <w:sz w:val="20"/>
          <w:szCs w:val="20"/>
          <w:color w:val="auto"/>
        </w:rPr>
      </w:pPr>
      <w:r>
        <w:rPr>
          <w:rFonts w:ascii="Courier New" w:cs="Courier New" w:eastAsia="Courier New" w:hAnsi="Courier New"/>
          <w:sz w:val="15"/>
          <w:szCs w:val="15"/>
          <w:color w:val="auto"/>
        </w:rPr>
        <w:t>THE ORANGE GROUP</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Long-Term Notes Payable - (Continued)</w:t>
      </w:r>
    </w:p>
    <w:p>
      <w:pPr>
        <w:spacing w:after="0" w:line="173" w:lineRule="exact"/>
        <w:rPr>
          <w:sz w:val="20"/>
          <w:szCs w:val="20"/>
          <w:color w:val="auto"/>
        </w:rPr>
      </w:pPr>
    </w:p>
    <w:p>
      <w:pPr>
        <w:ind w:left="800" w:right="3499"/>
        <w:spacing w:after="0" w:line="234" w:lineRule="auto"/>
        <w:rPr>
          <w:sz w:val="20"/>
          <w:szCs w:val="20"/>
          <w:color w:val="auto"/>
        </w:rPr>
      </w:pPr>
      <w:r>
        <w:rPr>
          <w:rFonts w:ascii="Courier New" w:cs="Courier New" w:eastAsia="Courier New" w:hAnsi="Courier New"/>
          <w:sz w:val="15"/>
          <w:szCs w:val="15"/>
          <w:color w:val="auto"/>
        </w:rPr>
        <w:t>Maturities of long-term notes payable as of December 31, 1995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Unrelated</w:t>
            </w: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Parties</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Stockholders</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114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958,914</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428,439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$1,387,353</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876,198</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69,965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946,163</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1,808,323</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78,908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1,887,231</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576,138</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88,996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665,134</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229,446</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100,374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329,820</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372,134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372,134</w:t>
            </w:r>
          </w:p>
        </w:tc>
      </w:tr>
      <w:tr>
        <w:trPr>
          <w:trHeight w:val="168"/>
        </w:trPr>
        <w:tc>
          <w:tcPr>
            <w:tcW w:w="114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$4,449,019</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$1,138,816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$5,587,835</w:t>
            </w:r>
          </w:p>
        </w:tc>
      </w:tr>
      <w:tr>
        <w:trPr>
          <w:trHeight w:val="168"/>
        </w:trPr>
        <w:tc>
          <w:tcPr>
            <w:tcW w:w="114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Composition of long-term notes payable by company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1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Unrelated</w:t>
            </w: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820" w:type="dxa"/>
            <w:vAlign w:val="bottom"/>
          </w:tcPr>
          <w:p>
            <w:pPr>
              <w:spacing w:after="0"/>
              <w:rPr>
                <w:sz w:val="14"/>
                <w:szCs w:val="14"/>
                <w:color w:val="auto"/>
              </w:rPr>
            </w:pP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Parties</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Stockholders</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820" w:type="dxa"/>
            <w:vAlign w:val="bottom"/>
          </w:tcPr>
          <w:p>
            <w:pPr>
              <w:spacing w:after="0"/>
              <w:rPr>
                <w:sz w:val="14"/>
                <w:szCs w:val="14"/>
                <w:color w:val="auto"/>
              </w:rPr>
            </w:pPr>
          </w:p>
        </w:tc>
        <w:tc>
          <w:tcPr>
            <w:tcW w:w="17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OWR</w:t>
            </w:r>
          </w:p>
        </w:tc>
        <w:tc>
          <w:tcPr>
            <w:tcW w:w="1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$1,885,768</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237,635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$2,123,403</w:t>
            </w:r>
          </w:p>
        </w:tc>
      </w:tr>
      <w:tr>
        <w:trPr>
          <w:trHeight w:val="168"/>
        </w:trPr>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OSC</w:t>
            </w:r>
          </w:p>
        </w:tc>
        <w:tc>
          <w:tcPr>
            <w:tcW w:w="17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6,198</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237,015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243,213</w:t>
            </w:r>
          </w:p>
        </w:tc>
      </w:tr>
      <w:tr>
        <w:trPr>
          <w:trHeight w:val="168"/>
        </w:trPr>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OTI</w:t>
            </w:r>
          </w:p>
        </w:tc>
        <w:tc>
          <w:tcPr>
            <w:tcW w:w="17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348,386</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291,166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639,552</w:t>
            </w:r>
          </w:p>
        </w:tc>
      </w:tr>
      <w:tr>
        <w:trPr>
          <w:trHeight w:val="168"/>
        </w:trPr>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OTC</w:t>
            </w:r>
          </w:p>
        </w:tc>
        <w:tc>
          <w:tcPr>
            <w:tcW w:w="17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2,208,667</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373,000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2,581,667</w:t>
            </w:r>
          </w:p>
        </w:tc>
      </w:tr>
      <w:tr>
        <w:trPr>
          <w:trHeight w:val="168"/>
        </w:trPr>
        <w:tc>
          <w:tcPr>
            <w:tcW w:w="820" w:type="dxa"/>
            <w:vAlign w:val="bottom"/>
          </w:tcPr>
          <w:p>
            <w:pPr>
              <w:spacing w:after="0"/>
              <w:rPr>
                <w:sz w:val="14"/>
                <w:szCs w:val="14"/>
                <w:color w:val="auto"/>
              </w:rPr>
            </w:pPr>
          </w:p>
        </w:tc>
        <w:tc>
          <w:tcPr>
            <w:tcW w:w="17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0" w:type="dxa"/>
            <w:vAlign w:val="bottom"/>
          </w:tcPr>
          <w:p>
            <w:pPr>
              <w:spacing w:after="0"/>
              <w:rPr>
                <w:sz w:val="14"/>
                <w:szCs w:val="14"/>
                <w:color w:val="auto"/>
              </w:rPr>
            </w:pPr>
          </w:p>
        </w:tc>
        <w:tc>
          <w:tcPr>
            <w:tcW w:w="17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$4,449,019</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$1,138,816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$5,587,835</w:t>
            </w:r>
          </w:p>
        </w:tc>
      </w:tr>
      <w:tr>
        <w:trPr>
          <w:trHeight w:val="168"/>
        </w:trPr>
        <w:tc>
          <w:tcPr>
            <w:tcW w:w="820" w:type="dxa"/>
            <w:vAlign w:val="bottom"/>
          </w:tcPr>
          <w:p>
            <w:pPr>
              <w:spacing w:after="0"/>
              <w:rPr>
                <w:sz w:val="14"/>
                <w:szCs w:val="14"/>
                <w:color w:val="auto"/>
              </w:rPr>
            </w:pPr>
          </w:p>
        </w:tc>
        <w:tc>
          <w:tcPr>
            <w:tcW w:w="17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0" w:right="3679"/>
        <w:spacing w:after="0" w:line="236" w:lineRule="auto"/>
        <w:rPr>
          <w:sz w:val="20"/>
          <w:szCs w:val="20"/>
          <w:color w:val="auto"/>
        </w:rPr>
      </w:pPr>
      <w:r>
        <w:rPr>
          <w:rFonts w:ascii="Courier New" w:cs="Courier New" w:eastAsia="Courier New" w:hAnsi="Courier New"/>
          <w:sz w:val="15"/>
          <w:szCs w:val="15"/>
          <w:color w:val="auto"/>
        </w:rPr>
        <w:t>All of the above debt, as well as a $54,000 early pay-off penalty, was paid in February, 1996 upon the sale of the business discussed in Note 15. The early pay-off penalty has been expensed in these financial statements, and is included in accounts payable in the accompanying balance sheet.</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Closure and Post-Closure Costs</w:t>
      </w:r>
    </w:p>
    <w:p>
      <w:pPr>
        <w:spacing w:after="0" w:line="173" w:lineRule="exact"/>
        <w:rPr>
          <w:sz w:val="20"/>
          <w:szCs w:val="20"/>
          <w:color w:val="auto"/>
        </w:rPr>
      </w:pPr>
    </w:p>
    <w:p>
      <w:pPr>
        <w:ind w:left="800" w:right="3319"/>
        <w:spacing w:after="0" w:line="255" w:lineRule="auto"/>
        <w:rPr>
          <w:sz w:val="20"/>
          <w:szCs w:val="20"/>
          <w:color w:val="auto"/>
        </w:rPr>
      </w:pPr>
      <w:r>
        <w:rPr>
          <w:rFonts w:ascii="Courier New" w:cs="Courier New" w:eastAsia="Courier New" w:hAnsi="Courier New"/>
          <w:sz w:val="14"/>
          <w:szCs w:val="14"/>
          <w:color w:val="auto"/>
        </w:rPr>
        <w:t>The Group (OWR) has material future financial obligations relating to the closure of the filled areas of its landfills during their productive lives, and the final closure and post-closure care at the end of their productive lives. Landfills are typically developed in a series of cells, each of which is constructed, filled and capped in sequence over the productive life of the landfill. When the final cell is filled, it must be capped, the entire site closed, and the post-closure care and monitoring activities begin. As of December 31, 1995, the Group estimated the capping costs expected to occur and be expensed over the landfills' useful lives to be $2,423,000. At December 31, 1995, the Group expects total costs for final closure and post-closure activities, including cap maintenance, groundwater monitoring and other maintenance activities for up to thirty years after closure, will approximate $1,827,000.</w:t>
      </w:r>
    </w:p>
    <w:p>
      <w:pPr>
        <w:spacing w:after="0" w:line="164" w:lineRule="exact"/>
        <w:rPr>
          <w:sz w:val="20"/>
          <w:szCs w:val="20"/>
          <w:color w:val="auto"/>
        </w:rPr>
      </w:pPr>
    </w:p>
    <w:p>
      <w:pPr>
        <w:ind w:left="800" w:right="3399"/>
        <w:spacing w:after="0" w:line="235" w:lineRule="auto"/>
        <w:rPr>
          <w:sz w:val="20"/>
          <w:szCs w:val="20"/>
          <w:color w:val="auto"/>
        </w:rPr>
      </w:pPr>
      <w:r>
        <w:rPr>
          <w:rFonts w:ascii="Courier New" w:cs="Courier New" w:eastAsia="Courier New" w:hAnsi="Courier New"/>
          <w:sz w:val="15"/>
          <w:szCs w:val="15"/>
          <w:color w:val="auto"/>
        </w:rPr>
        <w:t>The $632,974 closure and post-closure accrual at December 31, 1995 is based on the above estimated total costs factored by the estimated remaining airspace at December 31, 1995.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CONTINUED ON NEXT PAGE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239"/>
          </w:cols>
          <w:pgMar w:left="220" w:top="281"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5"/>
          <w:szCs w:val="15"/>
          <w:color w:val="auto"/>
        </w:rPr>
        <w:t>103</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THE ORANGE GROUP</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Closure and Post-Closure Costs - (Continued)</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Pursuant to applicable State of Florida regulations, a portion of the</w:t>
      </w:r>
    </w:p>
    <w:p>
      <w:pPr>
        <w:ind w:left="800"/>
        <w:spacing w:after="0" w:line="237" w:lineRule="auto"/>
        <w:rPr>
          <w:sz w:val="20"/>
          <w:szCs w:val="20"/>
          <w:color w:val="auto"/>
        </w:rPr>
      </w:pPr>
      <w:r>
        <w:rPr>
          <w:rFonts w:ascii="Courier New" w:cs="Courier New" w:eastAsia="Courier New" w:hAnsi="Courier New"/>
          <w:sz w:val="15"/>
          <w:szCs w:val="15"/>
          <w:color w:val="auto"/>
        </w:rPr>
        <w:t>post-closure costs as estimated under a regulatory method must either</w:t>
      </w:r>
    </w:p>
    <w:p>
      <w:pPr>
        <w:ind w:left="800"/>
        <w:spacing w:after="0" w:line="238" w:lineRule="auto"/>
        <w:rPr>
          <w:sz w:val="20"/>
          <w:szCs w:val="20"/>
          <w:color w:val="auto"/>
        </w:rPr>
      </w:pPr>
      <w:r>
        <w:rPr>
          <w:rFonts w:ascii="Courier New" w:cs="Courier New" w:eastAsia="Courier New" w:hAnsi="Courier New"/>
          <w:sz w:val="15"/>
          <w:szCs w:val="15"/>
          <w:color w:val="auto"/>
        </w:rPr>
        <w:t>be funded and escrowed currently, or a letter of credit or surety bond</w:t>
      </w:r>
    </w:p>
    <w:p>
      <w:pPr>
        <w:ind w:left="800"/>
        <w:spacing w:after="0" w:line="237" w:lineRule="auto"/>
        <w:rPr>
          <w:sz w:val="20"/>
          <w:szCs w:val="20"/>
          <w:color w:val="auto"/>
        </w:rPr>
      </w:pPr>
      <w:r>
        <w:rPr>
          <w:rFonts w:ascii="Courier New" w:cs="Courier New" w:eastAsia="Courier New" w:hAnsi="Courier New"/>
          <w:sz w:val="15"/>
          <w:szCs w:val="15"/>
          <w:color w:val="auto"/>
        </w:rPr>
        <w:t>placed with the State to assure the long-term care required. OWR has</w:t>
      </w:r>
    </w:p>
    <w:p>
      <w:pPr>
        <w:ind w:left="800"/>
        <w:spacing w:after="0" w:line="238" w:lineRule="auto"/>
        <w:rPr>
          <w:sz w:val="20"/>
          <w:szCs w:val="20"/>
          <w:color w:val="auto"/>
        </w:rPr>
      </w:pPr>
      <w:r>
        <w:rPr>
          <w:rFonts w:ascii="Courier New" w:cs="Courier New" w:eastAsia="Courier New" w:hAnsi="Courier New"/>
          <w:sz w:val="15"/>
          <w:szCs w:val="15"/>
          <w:color w:val="auto"/>
        </w:rPr>
        <w:t>met this obligation primarily by the funding of a separate, restricted</w:t>
      </w:r>
    </w:p>
    <w:p>
      <w:pPr>
        <w:ind w:left="800"/>
        <w:spacing w:after="0" w:line="237" w:lineRule="auto"/>
        <w:rPr>
          <w:sz w:val="20"/>
          <w:szCs w:val="20"/>
          <w:color w:val="auto"/>
        </w:rPr>
      </w:pPr>
      <w:r>
        <w:rPr>
          <w:rFonts w:ascii="Courier New" w:cs="Courier New" w:eastAsia="Courier New" w:hAnsi="Courier New"/>
          <w:sz w:val="15"/>
          <w:szCs w:val="15"/>
          <w:color w:val="auto"/>
        </w:rPr>
        <w:t>escrow cash account. Restricted cash escrowed for this purpose was</w:t>
      </w:r>
    </w:p>
    <w:p>
      <w:pPr>
        <w:ind w:left="800"/>
        <w:spacing w:after="0" w:line="238" w:lineRule="auto"/>
        <w:rPr>
          <w:sz w:val="20"/>
          <w:szCs w:val="20"/>
          <w:color w:val="auto"/>
        </w:rPr>
      </w:pPr>
      <w:r>
        <w:rPr>
          <w:rFonts w:ascii="Courier New" w:cs="Courier New" w:eastAsia="Courier New" w:hAnsi="Courier New"/>
          <w:sz w:val="15"/>
          <w:szCs w:val="15"/>
          <w:color w:val="auto"/>
        </w:rPr>
        <w:t>$61,358 at December 31, 1995, and is included in other assets on the</w:t>
      </w:r>
    </w:p>
    <w:p>
      <w:pPr>
        <w:ind w:left="800"/>
        <w:spacing w:after="0" w:line="237" w:lineRule="auto"/>
        <w:rPr>
          <w:sz w:val="20"/>
          <w:szCs w:val="20"/>
          <w:color w:val="auto"/>
        </w:rPr>
      </w:pPr>
      <w:r>
        <w:rPr>
          <w:rFonts w:ascii="Courier New" w:cs="Courier New" w:eastAsia="Courier New" w:hAnsi="Courier New"/>
          <w:sz w:val="15"/>
          <w:szCs w:val="15"/>
          <w:color w:val="auto"/>
        </w:rPr>
        <w:t>accompanying combined balance sheet. In addition, OWR has posted a</w:t>
      </w:r>
    </w:p>
    <w:p>
      <w:pPr>
        <w:ind w:left="800"/>
        <w:spacing w:after="0" w:line="238" w:lineRule="auto"/>
        <w:rPr>
          <w:sz w:val="20"/>
          <w:szCs w:val="20"/>
          <w:color w:val="auto"/>
        </w:rPr>
      </w:pPr>
      <w:r>
        <w:rPr>
          <w:rFonts w:ascii="Courier New" w:cs="Courier New" w:eastAsia="Courier New" w:hAnsi="Courier New"/>
          <w:sz w:val="15"/>
          <w:szCs w:val="15"/>
          <w:color w:val="auto"/>
        </w:rPr>
        <w:t>$25,000 letter of credit related to the estimated post-closure</w:t>
      </w:r>
    </w:p>
    <w:p>
      <w:pPr>
        <w:ind w:left="800"/>
        <w:spacing w:after="0" w:line="238" w:lineRule="auto"/>
        <w:rPr>
          <w:sz w:val="20"/>
          <w:szCs w:val="20"/>
          <w:color w:val="auto"/>
        </w:rPr>
      </w:pPr>
      <w:r>
        <w:rPr>
          <w:rFonts w:ascii="Courier New" w:cs="Courier New" w:eastAsia="Courier New" w:hAnsi="Courier New"/>
          <w:sz w:val="15"/>
          <w:szCs w:val="15"/>
          <w:color w:val="auto"/>
        </w:rPr>
        <w:t>activities.</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Components of Sales and Cost of Sales</w:t>
      </w:r>
    </w:p>
    <w:p>
      <w:pPr>
        <w:spacing w:after="0" w:line="173" w:lineRule="exact"/>
        <w:rPr>
          <w:sz w:val="20"/>
          <w:szCs w:val="20"/>
          <w:color w:val="auto"/>
        </w:rPr>
      </w:pPr>
    </w:p>
    <w:p>
      <w:pPr>
        <w:ind w:left="800" w:right="4199"/>
        <w:spacing w:after="0" w:line="261" w:lineRule="auto"/>
        <w:rPr>
          <w:sz w:val="20"/>
          <w:szCs w:val="20"/>
          <w:color w:val="auto"/>
        </w:rPr>
      </w:pPr>
      <w:r>
        <w:rPr>
          <w:rFonts w:ascii="Courier New" w:cs="Courier New" w:eastAsia="Courier New" w:hAnsi="Courier New"/>
          <w:sz w:val="14"/>
          <w:szCs w:val="14"/>
          <w:color w:val="auto"/>
        </w:rPr>
        <w:t>Components of 1995 sales and cost of sales by company, after elimination of intercompany transactions, are as follows:</w:t>
      </w:r>
    </w:p>
    <w:p>
      <w:pPr>
        <w:spacing w:after="0" w:line="200" w:lineRule="exact"/>
        <w:rPr>
          <w:sz w:val="20"/>
          <w:szCs w:val="20"/>
          <w:color w:val="auto"/>
        </w:rPr>
      </w:pPr>
    </w:p>
    <w:p>
      <w:pPr>
        <w:spacing w:after="0" w:line="290"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OWR</w:t>
            </w:r>
          </w:p>
        </w:tc>
        <w:tc>
          <w:tcPr>
            <w:tcW w:w="26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OSC</w:t>
            </w:r>
          </w:p>
        </w:tc>
        <w:tc>
          <w:tcPr>
            <w:tcW w:w="22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OTI</w:t>
            </w:r>
          </w:p>
        </w:tc>
        <w:tc>
          <w:tcPr>
            <w:tcW w:w="220" w:type="dxa"/>
            <w:vAlign w:val="bottom"/>
          </w:tcPr>
          <w:p>
            <w:pPr>
              <w:spacing w:after="0"/>
              <w:rPr>
                <w:sz w:val="14"/>
                <w:szCs w:val="1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OTC</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Combined</w:t>
            </w:r>
          </w:p>
        </w:tc>
      </w:tr>
      <w:tr>
        <w:trPr>
          <w:trHeight w:val="168"/>
        </w:trPr>
        <w:tc>
          <w:tcPr>
            <w:tcW w:w="22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Landfill import</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and export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$ 2,584,793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$2,584,793</w:t>
            </w:r>
          </w:p>
        </w:tc>
      </w:tr>
      <w:tr>
        <w:trPr>
          <w:trHeight w:val="168"/>
        </w:trPr>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Soil cement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1,622,527</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1,622,527</w:t>
            </w:r>
          </w:p>
        </w:tc>
      </w:tr>
      <w:tr>
        <w:trPr>
          <w:trHeight w:val="168"/>
        </w:trPr>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Trucking</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1,110,471</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2,480,309</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3,590,780</w:t>
            </w:r>
          </w:p>
        </w:tc>
      </w:tr>
      <w:tr>
        <w:trPr>
          <w:trHeight w:val="168"/>
        </w:trPr>
        <w:tc>
          <w:tcPr>
            <w:tcW w:w="22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2,584,793</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1,622,527</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1,110,471</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2,480,309</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7,798,100</w:t>
            </w:r>
          </w:p>
        </w:tc>
      </w:tr>
      <w:tr>
        <w:trPr>
          <w:trHeight w:val="168"/>
        </w:trPr>
        <w:tc>
          <w:tcPr>
            <w:tcW w:w="22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Labor</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300,869</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50,665</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244,274</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689,882</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1,285,690</w:t>
            </w:r>
          </w:p>
        </w:tc>
      </w:tr>
      <w:tr>
        <w:trPr>
          <w:trHeight w:val="168"/>
        </w:trPr>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Gas and oil</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79,674</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7,184</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125,168</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644,655</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856,681</w:t>
            </w:r>
          </w:p>
        </w:tc>
      </w:tr>
      <w:tr>
        <w:trPr>
          <w:trHeight w:val="168"/>
        </w:trPr>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Materials</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777,637</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777,637</w:t>
            </w:r>
          </w:p>
        </w:tc>
      </w:tr>
      <w:tr>
        <w:trPr>
          <w:trHeight w:val="168"/>
        </w:trPr>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 and</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depletion</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200,846</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36,572</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118,169</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322,585</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678,172</w:t>
            </w:r>
          </w:p>
        </w:tc>
      </w:tr>
      <w:tr>
        <w:trPr>
          <w:trHeight w:val="168"/>
        </w:trPr>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Repairs and</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maintenance</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207,074</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145,049</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74,670</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226,890</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653,683</w:t>
            </w:r>
          </w:p>
        </w:tc>
      </w:tr>
      <w:tr>
        <w:trPr>
          <w:trHeight w:val="168"/>
        </w:trPr>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Trucking and hauling</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1,524</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76,405</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371,636</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48,512</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498,077</w:t>
            </w:r>
          </w:p>
        </w:tc>
      </w:tr>
      <w:tr>
        <w:trPr>
          <w:trHeight w:val="168"/>
        </w:trPr>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Insurance</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33,243</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8,717</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89,675</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283,719</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415,354</w:t>
            </w:r>
          </w:p>
        </w:tc>
      </w:tr>
      <w:tr>
        <w:trPr>
          <w:trHeight w:val="168"/>
        </w:trPr>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Equipment rental</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126,272</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6,100</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142,248</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274,620</w:t>
            </w:r>
          </w:p>
        </w:tc>
      </w:tr>
      <w:tr>
        <w:trPr>
          <w:trHeight w:val="168"/>
        </w:trPr>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Closure and post-</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closure accrual</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154,046</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154,046</w:t>
            </w:r>
          </w:p>
        </w:tc>
      </w:tr>
      <w:tr>
        <w:trPr>
          <w:trHeight w:val="168"/>
        </w:trPr>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direct costs</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215,747</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26,782</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75,728</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146,478</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464,735</w:t>
            </w:r>
          </w:p>
        </w:tc>
      </w:tr>
      <w:tr>
        <w:trPr>
          <w:trHeight w:val="168"/>
        </w:trPr>
        <w:tc>
          <w:tcPr>
            <w:tcW w:w="22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1,319,295</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1,135,111</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1,099,320</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2,504,969</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6,058,695</w:t>
            </w:r>
          </w:p>
        </w:tc>
      </w:tr>
      <w:tr>
        <w:trPr>
          <w:trHeight w:val="168"/>
        </w:trPr>
        <w:tc>
          <w:tcPr>
            <w:tcW w:w="22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Gross profit (loss)</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$ 1,265,498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487,416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11,151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(24,660)</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$1,739,405</w:t>
            </w:r>
          </w:p>
        </w:tc>
      </w:tr>
      <w:tr>
        <w:trPr>
          <w:trHeight w:val="168"/>
        </w:trPr>
        <w:tc>
          <w:tcPr>
            <w:tcW w:w="22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103</w:t>
      </w:r>
    </w:p>
    <w:p>
      <w:pPr>
        <w:sectPr>
          <w:pgSz w:w="11900" w:h="16838" w:orient="portrait"/>
          <w:cols w:equalWidth="0" w:num="1">
            <w:col w:w="10239"/>
          </w:cols>
          <w:pgMar w:left="220" w:top="281" w:right="1440" w:bottom="1440" w:gutter="0" w:footer="0" w:header="0"/>
        </w:sectPr>
      </w:pPr>
    </w:p>
    <w:bookmarkStart w:id="104" w:name="page105"/>
    <w:bookmarkEnd w:id="104"/>
    <w:p>
      <w:pPr>
        <w:ind w:left="280"/>
        <w:spacing w:after="0"/>
        <w:rPr>
          <w:sz w:val="20"/>
          <w:szCs w:val="20"/>
          <w:color w:val="auto"/>
        </w:rPr>
      </w:pPr>
      <w:r>
        <w:rPr>
          <w:rFonts w:ascii="Courier New" w:cs="Courier New" w:eastAsia="Courier New" w:hAnsi="Courier New"/>
          <w:sz w:val="15"/>
          <w:szCs w:val="15"/>
          <w:color w:val="auto"/>
        </w:rPr>
        <w:t>104</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THE ORANGE GROUP</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Stockholders' Equity (Deficit)</w:t>
      </w:r>
    </w:p>
    <w:p>
      <w:pPr>
        <w:spacing w:after="0" w:line="173" w:lineRule="exact"/>
        <w:rPr>
          <w:sz w:val="20"/>
          <w:szCs w:val="20"/>
          <w:color w:val="auto"/>
        </w:rPr>
      </w:pPr>
    </w:p>
    <w:p>
      <w:pPr>
        <w:ind w:left="800" w:right="3579"/>
        <w:spacing w:after="0" w:line="234" w:lineRule="auto"/>
        <w:rPr>
          <w:sz w:val="20"/>
          <w:szCs w:val="20"/>
          <w:color w:val="auto"/>
        </w:rPr>
      </w:pPr>
      <w:r>
        <w:rPr>
          <w:rFonts w:ascii="Courier New" w:cs="Courier New" w:eastAsia="Courier New" w:hAnsi="Courier New"/>
          <w:sz w:val="15"/>
          <w:szCs w:val="15"/>
          <w:color w:val="auto"/>
        </w:rPr>
        <w:t>Components of stockholders' equity (deficit) by Company at December 31, 1995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OWR</w:t>
            </w:r>
          </w:p>
        </w:tc>
        <w:tc>
          <w:tcPr>
            <w:tcW w:w="180" w:type="dxa"/>
            <w:vAlign w:val="bottom"/>
          </w:tcPr>
          <w:p>
            <w:pPr>
              <w:spacing w:after="0"/>
              <w:rPr>
                <w:sz w:val="14"/>
                <w:szCs w:val="14"/>
                <w:color w:val="auto"/>
              </w:rPr>
            </w:pPr>
          </w:p>
        </w:tc>
        <w:tc>
          <w:tcPr>
            <w:tcW w:w="9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OSC</w:t>
            </w:r>
          </w:p>
        </w:tc>
        <w:tc>
          <w:tcPr>
            <w:tcW w:w="12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OTI</w:t>
            </w:r>
          </w:p>
        </w:tc>
        <w:tc>
          <w:tcPr>
            <w:tcW w:w="220" w:type="dxa"/>
            <w:vAlign w:val="bottom"/>
          </w:tcPr>
          <w:p>
            <w:pPr>
              <w:spacing w:after="0"/>
              <w:rPr>
                <w:sz w:val="14"/>
                <w:szCs w:val="14"/>
                <w:color w:val="auto"/>
              </w:rPr>
            </w:pPr>
          </w:p>
        </w:tc>
        <w:tc>
          <w:tcPr>
            <w:tcW w:w="12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OTC</w:t>
            </w:r>
          </w:p>
        </w:tc>
        <w:tc>
          <w:tcPr>
            <w:tcW w:w="2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Combined</w:t>
            </w:r>
          </w:p>
        </w:tc>
      </w:tr>
      <w:tr>
        <w:trPr>
          <w:trHeight w:val="168"/>
        </w:trPr>
        <w:tc>
          <w:tcPr>
            <w:tcW w:w="1840" w:type="dxa"/>
            <w:vAlign w:val="bottom"/>
          </w:tcPr>
          <w:p>
            <w:pPr>
              <w:spacing w:after="0"/>
              <w:rPr>
                <w:sz w:val="14"/>
                <w:szCs w:val="14"/>
                <w:color w:val="auto"/>
              </w:rPr>
            </w:pPr>
          </w:p>
        </w:tc>
        <w:tc>
          <w:tcPr>
            <w:tcW w:w="19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 par)</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7,500 (a)</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120(b)</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3,000 (c)</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 (d)</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10,720</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w:t>
            </w: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paid-in</w:t>
            </w: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capital</w:t>
            </w:r>
          </w:p>
        </w:tc>
        <w:tc>
          <w:tcPr>
            <w:tcW w:w="700" w:type="dxa"/>
            <w:vAlign w:val="bottom"/>
          </w:tcPr>
          <w:p>
            <w:pPr>
              <w:spacing w:after="0"/>
              <w:rPr>
                <w:sz w:val="14"/>
                <w:szCs w:val="14"/>
                <w:color w:val="auto"/>
              </w:rPr>
            </w:pPr>
          </w:p>
        </w:tc>
        <w:tc>
          <w:tcPr>
            <w:tcW w:w="12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108,500</w:t>
            </w:r>
          </w:p>
        </w:tc>
        <w:tc>
          <w:tcPr>
            <w:tcW w:w="1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37,880</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146,380</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w:t>
            </w: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earnings</w:t>
            </w: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(deficit)</w:t>
            </w:r>
          </w:p>
        </w:tc>
        <w:tc>
          <w:tcPr>
            <w:tcW w:w="7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(387,204)</w:t>
            </w:r>
          </w:p>
        </w:tc>
        <w:tc>
          <w:tcPr>
            <w:tcW w:w="1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122,986</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134,000</w:t>
            </w:r>
          </w:p>
        </w:tc>
        <w:tc>
          <w:tcPr>
            <w:tcW w:w="2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(352,974)</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(483,192)</w:t>
            </w:r>
          </w:p>
        </w:tc>
      </w:tr>
      <w:tr>
        <w:trPr>
          <w:trHeight w:val="168"/>
        </w:trPr>
        <w:tc>
          <w:tcPr>
            <w:tcW w:w="1840" w:type="dxa"/>
            <w:vAlign w:val="bottom"/>
          </w:tcPr>
          <w:p>
            <w:pPr>
              <w:spacing w:after="0"/>
              <w:rPr>
                <w:sz w:val="14"/>
                <w:szCs w:val="14"/>
                <w:color w:val="auto"/>
              </w:rPr>
            </w:pPr>
          </w:p>
        </w:tc>
        <w:tc>
          <w:tcPr>
            <w:tcW w:w="19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40" w:type="dxa"/>
            <w:vAlign w:val="bottom"/>
          </w:tcPr>
          <w:p>
            <w:pPr>
              <w:ind w:left="360"/>
              <w:spacing w:after="0"/>
              <w:rPr>
                <w:sz w:val="20"/>
                <w:szCs w:val="20"/>
                <w:color w:val="auto"/>
              </w:rPr>
            </w:pPr>
            <w:r>
              <w:rPr>
                <w:rFonts w:ascii="Courier New" w:cs="Courier New" w:eastAsia="Courier New" w:hAnsi="Courier New"/>
                <w:sz w:val="15"/>
                <w:szCs w:val="15"/>
                <w:color w:val="auto"/>
              </w:rPr>
              <w:t>Subtotal</w:t>
            </w:r>
          </w:p>
        </w:tc>
        <w:tc>
          <w:tcPr>
            <w:tcW w:w="70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(271,204)</w:t>
            </w:r>
          </w:p>
        </w:tc>
        <w:tc>
          <w:tcPr>
            <w:tcW w:w="180" w:type="dxa"/>
            <w:vAlign w:val="bottom"/>
          </w:tcPr>
          <w:p>
            <w:pPr>
              <w:spacing w:after="0"/>
              <w:rPr>
                <w:sz w:val="24"/>
                <w:szCs w:val="2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160,986</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137,000</w:t>
            </w:r>
          </w:p>
        </w:tc>
        <w:tc>
          <w:tcPr>
            <w:tcW w:w="22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(352,874)</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(326,092)</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Less treasury</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stock</w:t>
            </w:r>
          </w:p>
        </w:tc>
        <w:tc>
          <w:tcPr>
            <w:tcW w:w="70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(730,907)(e)</w:t>
            </w:r>
          </w:p>
        </w:tc>
        <w:tc>
          <w:tcPr>
            <w:tcW w:w="1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(30,000)(f)</w:t>
            </w:r>
          </w:p>
        </w:tc>
        <w:tc>
          <w:tcPr>
            <w:tcW w:w="22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(760,907)</w:t>
            </w:r>
          </w:p>
        </w:tc>
      </w:tr>
      <w:tr>
        <w:trPr>
          <w:trHeight w:val="168"/>
        </w:trPr>
        <w:tc>
          <w:tcPr>
            <w:tcW w:w="1840" w:type="dxa"/>
            <w:vAlign w:val="bottom"/>
          </w:tcPr>
          <w:p>
            <w:pPr>
              <w:spacing w:after="0"/>
              <w:rPr>
                <w:sz w:val="14"/>
                <w:szCs w:val="14"/>
                <w:color w:val="auto"/>
              </w:rPr>
            </w:pPr>
          </w:p>
        </w:tc>
        <w:tc>
          <w:tcPr>
            <w:tcW w:w="19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40" w:type="dxa"/>
            <w:vAlign w:val="bottom"/>
          </w:tcPr>
          <w:p>
            <w:pPr>
              <w:ind w:left="360"/>
              <w:spacing w:after="0"/>
              <w:rPr>
                <w:sz w:val="20"/>
                <w:szCs w:val="20"/>
                <w:color w:val="auto"/>
              </w:rPr>
            </w:pPr>
            <w:r>
              <w:rPr>
                <w:rFonts w:ascii="Courier New" w:cs="Courier New" w:eastAsia="Courier New" w:hAnsi="Courier New"/>
                <w:sz w:val="15"/>
                <w:szCs w:val="15"/>
                <w:color w:val="auto"/>
              </w:rPr>
              <w:t>Total</w:t>
            </w:r>
          </w:p>
        </w:tc>
        <w:tc>
          <w:tcPr>
            <w:tcW w:w="19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$(1,002,111)</w:t>
            </w:r>
          </w:p>
        </w:tc>
        <w:tc>
          <w:tcPr>
            <w:tcW w:w="11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$160,986</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$107,000</w:t>
            </w:r>
          </w:p>
        </w:tc>
        <w:tc>
          <w:tcPr>
            <w:tcW w:w="14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$(352,874)</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$(1,086,999)</w:t>
            </w:r>
          </w:p>
        </w:tc>
      </w:tr>
      <w:tr>
        <w:trPr>
          <w:trHeight w:val="168"/>
        </w:trPr>
        <w:tc>
          <w:tcPr>
            <w:tcW w:w="1840" w:type="dxa"/>
            <w:vAlign w:val="bottom"/>
          </w:tcPr>
          <w:p>
            <w:pPr>
              <w:spacing w:after="0"/>
              <w:rPr>
                <w:sz w:val="14"/>
                <w:szCs w:val="14"/>
                <w:color w:val="auto"/>
              </w:rPr>
            </w:pPr>
          </w:p>
        </w:tc>
        <w:tc>
          <w:tcPr>
            <w:tcW w:w="19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980" w:hanging="533"/>
        <w:spacing w:after="0"/>
        <w:tabs>
          <w:tab w:leader="none" w:pos="9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7,500 shares authorized and issued; 2,000 shares outstanding</w:t>
      </w:r>
    </w:p>
    <w:p>
      <w:pPr>
        <w:ind w:left="980" w:hanging="533"/>
        <w:spacing w:after="0" w:line="237" w:lineRule="auto"/>
        <w:tabs>
          <w:tab w:leader="none" w:pos="9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3,000 shares authorized; 120 shares issued and outstanding</w:t>
      </w:r>
    </w:p>
    <w:p>
      <w:pPr>
        <w:ind w:left="980" w:hanging="533"/>
        <w:spacing w:after="0" w:line="237" w:lineRule="auto"/>
        <w:tabs>
          <w:tab w:leader="none" w:pos="9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3,000 shares authorized and issued; 2,000 shares outstanding</w:t>
      </w:r>
    </w:p>
    <w:p>
      <w:pPr>
        <w:ind w:left="980" w:hanging="533"/>
        <w:spacing w:after="0" w:line="237" w:lineRule="auto"/>
        <w:tabs>
          <w:tab w:leader="none" w:pos="9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 shares authorized; 100 shares issued and outstanding</w:t>
      </w:r>
    </w:p>
    <w:p>
      <w:pPr>
        <w:ind w:left="980" w:hanging="533"/>
        <w:spacing w:after="0" w:line="237" w:lineRule="auto"/>
        <w:tabs>
          <w:tab w:leader="none" w:pos="9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5,500 shares, at cost</w:t>
      </w:r>
    </w:p>
    <w:p>
      <w:pPr>
        <w:ind w:left="980" w:hanging="533"/>
        <w:spacing w:after="0" w:line="237" w:lineRule="auto"/>
        <w:tabs>
          <w:tab w:leader="none" w:pos="9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 shares, at cost</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4"/>
          <w:szCs w:val="14"/>
          <w:color w:val="auto"/>
        </w:rPr>
        <w:t>Related Party Transactions</w:t>
      </w:r>
    </w:p>
    <w:p>
      <w:pPr>
        <w:spacing w:after="0" w:line="173" w:lineRule="exact"/>
        <w:rPr>
          <w:sz w:val="20"/>
          <w:szCs w:val="20"/>
          <w:color w:val="auto"/>
        </w:rPr>
      </w:pPr>
    </w:p>
    <w:p>
      <w:pPr>
        <w:ind w:left="980" w:right="3319"/>
        <w:spacing w:after="0" w:line="255" w:lineRule="auto"/>
        <w:rPr>
          <w:sz w:val="20"/>
          <w:szCs w:val="20"/>
          <w:color w:val="auto"/>
        </w:rPr>
      </w:pPr>
      <w:r>
        <w:rPr>
          <w:rFonts w:ascii="Courier New" w:cs="Courier New" w:eastAsia="Courier New" w:hAnsi="Courier New"/>
          <w:sz w:val="14"/>
          <w:szCs w:val="14"/>
          <w:color w:val="auto"/>
        </w:rPr>
        <w:t>The members of the Group have ongoing dealings with other affiliated companies which do not belong to the Group. Specifically, among other things, certain of these affiliates provide management and accounting services and rent equipment to and from the Group. The amounts charged (or not charged) for the above services and rentals are informally determined by management, and are influenced by the existence of the related party affiliations.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CONTINUED ON NEXT PAGE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104</w:t>
      </w:r>
    </w:p>
    <w:p>
      <w:pPr>
        <w:sectPr>
          <w:pgSz w:w="11900" w:h="16838" w:orient="portrait"/>
          <w:cols w:equalWidth="0" w:num="1">
            <w:col w:w="10239"/>
          </w:cols>
          <w:pgMar w:left="220" w:top="281"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5"/>
          <w:szCs w:val="15"/>
          <w:color w:val="auto"/>
        </w:rPr>
        <w:t>105</w:t>
      </w:r>
    </w:p>
    <w:p>
      <w:pPr>
        <w:jc w:val="center"/>
        <w:ind w:right="3219"/>
        <w:spacing w:after="0" w:line="237" w:lineRule="auto"/>
        <w:rPr>
          <w:sz w:val="20"/>
          <w:szCs w:val="20"/>
          <w:color w:val="auto"/>
        </w:rPr>
      </w:pPr>
      <w:r>
        <w:rPr>
          <w:rFonts w:ascii="Courier New" w:cs="Courier New" w:eastAsia="Courier New" w:hAnsi="Courier New"/>
          <w:sz w:val="15"/>
          <w:szCs w:val="15"/>
          <w:color w:val="auto"/>
        </w:rPr>
        <w:t>THE ORANGE GROUP</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4"/>
          <w:szCs w:val="14"/>
          <w:color w:val="auto"/>
        </w:rPr>
        <w:t>Related Party Transactions - (Continued)</w:t>
      </w:r>
    </w:p>
    <w:p>
      <w:pPr>
        <w:spacing w:after="0" w:line="173" w:lineRule="exact"/>
        <w:rPr>
          <w:sz w:val="20"/>
          <w:szCs w:val="20"/>
          <w:color w:val="auto"/>
        </w:rPr>
      </w:pPr>
    </w:p>
    <w:p>
      <w:pPr>
        <w:ind w:left="980" w:right="3319"/>
        <w:spacing w:after="0" w:line="236" w:lineRule="auto"/>
        <w:rPr>
          <w:sz w:val="20"/>
          <w:szCs w:val="20"/>
          <w:color w:val="auto"/>
        </w:rPr>
      </w:pPr>
      <w:r>
        <w:rPr>
          <w:rFonts w:ascii="Courier New" w:cs="Courier New" w:eastAsia="Courier New" w:hAnsi="Courier New"/>
          <w:sz w:val="15"/>
          <w:szCs w:val="15"/>
          <w:color w:val="auto"/>
        </w:rPr>
        <w:t>During 1995, rental income of $39,574 was received from Orange Waste East, rent expense and repairs expense of $176,063 was paid to Southeast Rental and Leasing, Inc. (SRL), and management fees of $195,941 were paid to ROBCO, EOM, and CFCD, Inc. - all related parties by common ownership. Accounts payable on December 31, 1995 includes a $50,367 payable to SRL.</w:t>
      </w:r>
    </w:p>
    <w:p>
      <w:pPr>
        <w:spacing w:after="0" w:line="175" w:lineRule="exact"/>
        <w:rPr>
          <w:sz w:val="20"/>
          <w:szCs w:val="20"/>
          <w:color w:val="auto"/>
        </w:rPr>
      </w:pPr>
    </w:p>
    <w:p>
      <w:pPr>
        <w:ind w:left="980" w:right="3499"/>
        <w:spacing w:after="0" w:line="255" w:lineRule="auto"/>
        <w:rPr>
          <w:sz w:val="20"/>
          <w:szCs w:val="20"/>
          <w:color w:val="auto"/>
        </w:rPr>
      </w:pPr>
      <w:r>
        <w:rPr>
          <w:rFonts w:ascii="Courier New" w:cs="Courier New" w:eastAsia="Courier New" w:hAnsi="Courier New"/>
          <w:sz w:val="14"/>
          <w:szCs w:val="14"/>
          <w:color w:val="auto"/>
        </w:rPr>
        <w:t>As mentioned in Note 1, OTC is jointly owned with a third party. This third party owns an otherwise unrelated corporation, Waste Magic Recyclers, Inc. (WMR), with which the Group conducts ongoing business transactions. Sales revenue of $3,349,133 from WMR was recorded during 1995. Accounts receivable on December 31, 1995 includes a $295,539 receivable from WMR.</w:t>
      </w:r>
    </w:p>
    <w:p>
      <w:pPr>
        <w:spacing w:after="0" w:line="166" w:lineRule="exact"/>
        <w:rPr>
          <w:sz w:val="20"/>
          <w:szCs w:val="20"/>
          <w:color w:val="auto"/>
        </w:rPr>
      </w:pPr>
    </w:p>
    <w:p>
      <w:pPr>
        <w:ind w:left="980" w:right="3399"/>
        <w:spacing w:after="0" w:line="234" w:lineRule="auto"/>
        <w:rPr>
          <w:sz w:val="20"/>
          <w:szCs w:val="20"/>
          <w:color w:val="auto"/>
        </w:rPr>
      </w:pPr>
      <w:r>
        <w:rPr>
          <w:rFonts w:ascii="Courier New" w:cs="Courier New" w:eastAsia="Courier New" w:hAnsi="Courier New"/>
          <w:sz w:val="15"/>
          <w:szCs w:val="15"/>
          <w:color w:val="auto"/>
        </w:rPr>
        <w:t>All sales of equipment and related gains and losses were to related parties.</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11.</w:t>
      </w:r>
      <w:r>
        <w:rPr>
          <w:sz w:val="20"/>
          <w:szCs w:val="20"/>
          <w:color w:val="auto"/>
        </w:rPr>
        <w:tab/>
      </w:r>
      <w:r>
        <w:rPr>
          <w:rFonts w:ascii="Courier New" w:cs="Courier New" w:eastAsia="Courier New" w:hAnsi="Courier New"/>
          <w:sz w:val="14"/>
          <w:szCs w:val="14"/>
          <w:color w:val="auto"/>
        </w:rPr>
        <w:t>Leases</w:t>
      </w:r>
    </w:p>
    <w:p>
      <w:pPr>
        <w:spacing w:after="0" w:line="173" w:lineRule="exact"/>
        <w:rPr>
          <w:sz w:val="20"/>
          <w:szCs w:val="20"/>
          <w:color w:val="auto"/>
        </w:rPr>
      </w:pPr>
    </w:p>
    <w:p>
      <w:pPr>
        <w:jc w:val="both"/>
        <w:ind w:left="980" w:right="3939"/>
        <w:spacing w:after="0" w:line="235" w:lineRule="auto"/>
        <w:rPr>
          <w:sz w:val="20"/>
          <w:szCs w:val="20"/>
          <w:color w:val="auto"/>
        </w:rPr>
      </w:pPr>
      <w:r>
        <w:rPr>
          <w:rFonts w:ascii="Courier New" w:cs="Courier New" w:eastAsia="Courier New" w:hAnsi="Courier New"/>
          <w:sz w:val="15"/>
          <w:szCs w:val="15"/>
          <w:color w:val="auto"/>
        </w:rPr>
        <w:t>The Group leases equipment, vehicles and trailers under seven separate operating leases. The required future minimum lease payments at December 31, 1995 are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2000" w:type="dxa"/>
            <w:vAlign w:val="bottom"/>
          </w:tcPr>
          <w:p>
            <w:pPr>
              <w:spacing w:after="0"/>
              <w:rPr>
                <w:sz w:val="14"/>
                <w:szCs w:val="14"/>
                <w:color w:val="auto"/>
              </w:rPr>
            </w:pPr>
          </w:p>
        </w:tc>
        <w:tc>
          <w:tcPr>
            <w:tcW w:w="2460" w:type="dxa"/>
            <w:vAlign w:val="bottom"/>
          </w:tcPr>
          <w:p>
            <w:pPr>
              <w:ind w:left="1760"/>
              <w:spacing w:after="0"/>
              <w:rPr>
                <w:sz w:val="20"/>
                <w:szCs w:val="20"/>
                <w:color w:val="auto"/>
              </w:rPr>
            </w:pPr>
            <w:r>
              <w:rPr>
                <w:rFonts w:ascii="Courier New" w:cs="Courier New" w:eastAsia="Courier New" w:hAnsi="Courier New"/>
                <w:sz w:val="15"/>
                <w:szCs w:val="15"/>
                <w:color w:val="auto"/>
              </w:rPr>
              <w:t>Annual</w:t>
            </w:r>
          </w:p>
        </w:tc>
      </w:tr>
      <w:tr>
        <w:trPr>
          <w:trHeight w:val="168"/>
        </w:trPr>
        <w:tc>
          <w:tcPr>
            <w:tcW w:w="2000" w:type="dxa"/>
            <w:vAlign w:val="bottom"/>
          </w:tcPr>
          <w:p>
            <w:pPr>
              <w:spacing w:after="0"/>
              <w:rPr>
                <w:sz w:val="14"/>
                <w:szCs w:val="14"/>
                <w:color w:val="auto"/>
              </w:rPr>
            </w:pPr>
          </w:p>
        </w:tc>
        <w:tc>
          <w:tcPr>
            <w:tcW w:w="246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Payment</w:t>
            </w:r>
          </w:p>
        </w:tc>
      </w:tr>
      <w:tr>
        <w:trPr>
          <w:trHeight w:val="168"/>
        </w:trPr>
        <w:tc>
          <w:tcPr>
            <w:tcW w:w="2000" w:type="dxa"/>
            <w:vAlign w:val="bottom"/>
          </w:tcPr>
          <w:p>
            <w:pPr>
              <w:spacing w:after="0"/>
              <w:rPr>
                <w:sz w:val="14"/>
                <w:szCs w:val="14"/>
                <w:color w:val="auto"/>
              </w:rPr>
            </w:pPr>
          </w:p>
        </w:tc>
        <w:tc>
          <w:tcPr>
            <w:tcW w:w="2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00" w:type="dxa"/>
            <w:vAlign w:val="bottom"/>
          </w:tcPr>
          <w:p>
            <w:pPr>
              <w:jc w:val="right"/>
              <w:ind w:right="1587"/>
              <w:spacing w:after="0"/>
              <w:rPr>
                <w:sz w:val="20"/>
                <w:szCs w:val="20"/>
                <w:color w:val="auto"/>
              </w:rPr>
            </w:pPr>
            <w:r>
              <w:rPr>
                <w:rFonts w:ascii="Courier New" w:cs="Courier New" w:eastAsia="Courier New" w:hAnsi="Courier New"/>
                <w:sz w:val="15"/>
                <w:szCs w:val="15"/>
                <w:color w:val="auto"/>
                <w:w w:val="88"/>
              </w:rPr>
              <w:t>1996</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$ 390,878</w:t>
            </w:r>
          </w:p>
        </w:tc>
      </w:tr>
      <w:tr>
        <w:trPr>
          <w:trHeight w:val="168"/>
        </w:trPr>
        <w:tc>
          <w:tcPr>
            <w:tcW w:w="2000" w:type="dxa"/>
            <w:vAlign w:val="bottom"/>
          </w:tcPr>
          <w:p>
            <w:pPr>
              <w:jc w:val="right"/>
              <w:ind w:right="1587"/>
              <w:spacing w:after="0" w:line="168" w:lineRule="exact"/>
              <w:rPr>
                <w:sz w:val="20"/>
                <w:szCs w:val="20"/>
                <w:color w:val="auto"/>
              </w:rPr>
            </w:pPr>
            <w:r>
              <w:rPr>
                <w:rFonts w:ascii="Courier New" w:cs="Courier New" w:eastAsia="Courier New" w:hAnsi="Courier New"/>
                <w:sz w:val="15"/>
                <w:szCs w:val="15"/>
                <w:color w:val="auto"/>
                <w:w w:val="88"/>
              </w:rPr>
              <w:t>1997</w:t>
            </w:r>
          </w:p>
        </w:tc>
        <w:tc>
          <w:tcPr>
            <w:tcW w:w="2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304,378</w:t>
            </w:r>
          </w:p>
        </w:tc>
      </w:tr>
      <w:tr>
        <w:trPr>
          <w:trHeight w:val="168"/>
        </w:trPr>
        <w:tc>
          <w:tcPr>
            <w:tcW w:w="2000" w:type="dxa"/>
            <w:vAlign w:val="bottom"/>
          </w:tcPr>
          <w:p>
            <w:pPr>
              <w:jc w:val="right"/>
              <w:ind w:right="1587"/>
              <w:spacing w:after="0" w:line="168" w:lineRule="exact"/>
              <w:rPr>
                <w:sz w:val="20"/>
                <w:szCs w:val="20"/>
                <w:color w:val="auto"/>
              </w:rPr>
            </w:pPr>
            <w:r>
              <w:rPr>
                <w:rFonts w:ascii="Courier New" w:cs="Courier New" w:eastAsia="Courier New" w:hAnsi="Courier New"/>
                <w:sz w:val="15"/>
                <w:szCs w:val="15"/>
                <w:color w:val="auto"/>
                <w:w w:val="88"/>
              </w:rPr>
              <w:t>1998</w:t>
            </w:r>
          </w:p>
        </w:tc>
        <w:tc>
          <w:tcPr>
            <w:tcW w:w="2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270,694</w:t>
            </w:r>
          </w:p>
        </w:tc>
      </w:tr>
      <w:tr>
        <w:trPr>
          <w:trHeight w:val="168"/>
        </w:trPr>
        <w:tc>
          <w:tcPr>
            <w:tcW w:w="2000" w:type="dxa"/>
            <w:vAlign w:val="bottom"/>
          </w:tcPr>
          <w:p>
            <w:pPr>
              <w:jc w:val="right"/>
              <w:ind w:right="1587"/>
              <w:spacing w:after="0" w:line="168" w:lineRule="exact"/>
              <w:rPr>
                <w:sz w:val="20"/>
                <w:szCs w:val="20"/>
                <w:color w:val="auto"/>
              </w:rPr>
            </w:pPr>
            <w:r>
              <w:rPr>
                <w:rFonts w:ascii="Courier New" w:cs="Courier New" w:eastAsia="Courier New" w:hAnsi="Courier New"/>
                <w:sz w:val="15"/>
                <w:szCs w:val="15"/>
                <w:color w:val="auto"/>
                <w:w w:val="88"/>
              </w:rPr>
              <w:t>1999</w:t>
            </w:r>
          </w:p>
        </w:tc>
        <w:tc>
          <w:tcPr>
            <w:tcW w:w="2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174,308</w:t>
            </w:r>
          </w:p>
        </w:tc>
      </w:tr>
      <w:tr>
        <w:trPr>
          <w:trHeight w:val="168"/>
        </w:trPr>
        <w:tc>
          <w:tcPr>
            <w:tcW w:w="2000" w:type="dxa"/>
            <w:vAlign w:val="bottom"/>
          </w:tcPr>
          <w:p>
            <w:pPr>
              <w:jc w:val="right"/>
              <w:ind w:right="1587"/>
              <w:spacing w:after="0" w:line="168" w:lineRule="exact"/>
              <w:rPr>
                <w:sz w:val="20"/>
                <w:szCs w:val="20"/>
                <w:color w:val="auto"/>
              </w:rPr>
            </w:pPr>
            <w:r>
              <w:rPr>
                <w:rFonts w:ascii="Courier New" w:cs="Courier New" w:eastAsia="Courier New" w:hAnsi="Courier New"/>
                <w:sz w:val="15"/>
                <w:szCs w:val="15"/>
                <w:color w:val="auto"/>
                <w:w w:val="88"/>
              </w:rPr>
              <w:t>2000</w:t>
            </w:r>
          </w:p>
        </w:tc>
        <w:tc>
          <w:tcPr>
            <w:tcW w:w="2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14,526</w:t>
            </w:r>
          </w:p>
        </w:tc>
      </w:tr>
    </w:tbl>
    <w:p>
      <w:pPr>
        <w:spacing w:after="0" w:line="33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12.</w:t>
      </w:r>
      <w:r>
        <w:rPr>
          <w:sz w:val="20"/>
          <w:szCs w:val="20"/>
          <w:color w:val="auto"/>
        </w:rPr>
        <w:tab/>
      </w:r>
      <w:r>
        <w:rPr>
          <w:rFonts w:ascii="Courier New" w:cs="Courier New" w:eastAsia="Courier New" w:hAnsi="Courier New"/>
          <w:sz w:val="14"/>
          <w:szCs w:val="14"/>
          <w:color w:val="auto"/>
        </w:rPr>
        <w:t>Concentrations</w:t>
      </w:r>
    </w:p>
    <w:p>
      <w:pPr>
        <w:spacing w:after="0" w:line="173" w:lineRule="exact"/>
        <w:rPr>
          <w:sz w:val="20"/>
          <w:szCs w:val="20"/>
          <w:color w:val="auto"/>
        </w:rPr>
      </w:pPr>
    </w:p>
    <w:p>
      <w:pPr>
        <w:ind w:left="980" w:right="3319"/>
        <w:spacing w:after="0" w:line="236" w:lineRule="auto"/>
        <w:rPr>
          <w:sz w:val="20"/>
          <w:szCs w:val="20"/>
          <w:color w:val="auto"/>
        </w:rPr>
      </w:pPr>
      <w:r>
        <w:rPr>
          <w:rFonts w:ascii="Courier New" w:cs="Courier New" w:eastAsia="Courier New" w:hAnsi="Courier New"/>
          <w:sz w:val="15"/>
          <w:szCs w:val="15"/>
          <w:color w:val="auto"/>
        </w:rPr>
        <w:t>Financial statement instruments which potentially subject the Group to concentrations of credit risk consist principally of temporary cash investments and trade receivables. The Group places its temporary cash investments with high quality financial institutions. Concentrations of credit risk with respect to trade receivables are limited due to the large number of customers and generally short payment terms. However, substantially all of the Group's credit customers are Central Florida businesses and are thus susceptible to changes in that economy.</w:t>
      </w:r>
    </w:p>
    <w:p>
      <w:pPr>
        <w:spacing w:after="0" w:line="178" w:lineRule="exact"/>
        <w:rPr>
          <w:sz w:val="20"/>
          <w:szCs w:val="20"/>
          <w:color w:val="auto"/>
        </w:rPr>
      </w:pPr>
    </w:p>
    <w:p>
      <w:pPr>
        <w:ind w:left="980" w:right="3399"/>
        <w:spacing w:after="0" w:line="235" w:lineRule="auto"/>
        <w:rPr>
          <w:sz w:val="20"/>
          <w:szCs w:val="20"/>
          <w:color w:val="auto"/>
        </w:rPr>
      </w:pPr>
      <w:r>
        <w:rPr>
          <w:rFonts w:ascii="Courier New" w:cs="Courier New" w:eastAsia="Courier New" w:hAnsi="Courier New"/>
          <w:sz w:val="15"/>
          <w:szCs w:val="15"/>
          <w:color w:val="auto"/>
        </w:rPr>
        <w:t>A significant portion of the Group's sales during 1995 were to WMR. The loss of this customer could have a significant impact on the Group's operations.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105</w:t>
      </w:r>
    </w:p>
    <w:p>
      <w:pPr>
        <w:sectPr>
          <w:pgSz w:w="11900" w:h="16838" w:orient="portrait"/>
          <w:cols w:equalWidth="0" w:num="1">
            <w:col w:w="10239"/>
          </w:cols>
          <w:pgMar w:left="220" w:top="281"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5"/>
          <w:szCs w:val="15"/>
          <w:color w:val="auto"/>
        </w:rPr>
        <w:t>106</w:t>
      </w:r>
    </w:p>
    <w:p>
      <w:pPr>
        <w:jc w:val="center"/>
        <w:ind w:right="3219"/>
        <w:spacing w:after="0" w:line="237" w:lineRule="auto"/>
        <w:rPr>
          <w:sz w:val="20"/>
          <w:szCs w:val="20"/>
          <w:color w:val="auto"/>
        </w:rPr>
      </w:pPr>
      <w:r>
        <w:rPr>
          <w:rFonts w:ascii="Courier New" w:cs="Courier New" w:eastAsia="Courier New" w:hAnsi="Courier New"/>
          <w:sz w:val="15"/>
          <w:szCs w:val="15"/>
          <w:color w:val="auto"/>
        </w:rPr>
        <w:t>THE ORANGE GROUP</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4"/>
          <w:szCs w:val="14"/>
          <w:color w:val="auto"/>
        </w:rPr>
        <w:t>Significant Risks And Uncertainties</w:t>
      </w:r>
    </w:p>
    <w:p>
      <w:pPr>
        <w:spacing w:after="0" w:line="173" w:lineRule="exact"/>
        <w:rPr>
          <w:sz w:val="20"/>
          <w:szCs w:val="20"/>
          <w:color w:val="auto"/>
        </w:rPr>
      </w:pPr>
    </w:p>
    <w:p>
      <w:pPr>
        <w:ind w:left="980" w:right="3399"/>
        <w:spacing w:after="0" w:line="255" w:lineRule="auto"/>
        <w:rPr>
          <w:sz w:val="20"/>
          <w:szCs w:val="20"/>
          <w:color w:val="auto"/>
        </w:rPr>
      </w:pPr>
      <w:r>
        <w:rPr>
          <w:rFonts w:ascii="Courier New" w:cs="Courier New" w:eastAsia="Courier New" w:hAnsi="Courier New"/>
          <w:sz w:val="14"/>
          <w:szCs w:val="14"/>
          <w:color w:val="auto"/>
        </w:rPr>
        <w:t>The process of preparing financial statements in conformity with generally accepted accounting principles requires the use of estimates and assumptions regarding certain types of assets, liabilities, revenues and expenses. For the Group, such estimates significantly affect the recovery period of long-lived assets and the expense accrual for landfill closure and post-closure costs. Since such estimates relate to unsettled transactions and events as of the balance sheet date, actual results, upon settlement, will differ from those estimated in preparing the financial statements.</w:t>
      </w:r>
    </w:p>
    <w:p>
      <w:pPr>
        <w:spacing w:after="0" w:line="165" w:lineRule="exact"/>
        <w:rPr>
          <w:sz w:val="20"/>
          <w:szCs w:val="20"/>
          <w:color w:val="auto"/>
        </w:rPr>
      </w:pPr>
    </w:p>
    <w:p>
      <w:pPr>
        <w:ind w:left="980" w:right="3319"/>
        <w:spacing w:after="0" w:line="237" w:lineRule="auto"/>
        <w:rPr>
          <w:sz w:val="20"/>
          <w:szCs w:val="20"/>
          <w:color w:val="auto"/>
        </w:rPr>
      </w:pPr>
      <w:r>
        <w:rPr>
          <w:rFonts w:ascii="Courier New" w:cs="Courier New" w:eastAsia="Courier New" w:hAnsi="Courier New"/>
          <w:sz w:val="15"/>
          <w:szCs w:val="15"/>
          <w:color w:val="auto"/>
        </w:rPr>
        <w:t>The Group's landfill activities are conducted under governmental permits with fixed durations. Upon expiration of the permit period, the permits are typically renewed, although the renewal review period may be protracted. It is possible that the terms and conditions of a renewed permit could differ from those of the former permit, thus potentially affecting the comparability of the results of operations currently to those in the future. At December 31, 1995 and February 5, 1996, two of the Group's several landfill operation permits were in the renewal review process. Management expects these permits to be renewed in due course and is unaware of any pending changes that might have a significant adverse affect on the landfill operations.</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14.</w:t>
      </w:r>
      <w:r>
        <w:rPr>
          <w:sz w:val="20"/>
          <w:szCs w:val="20"/>
          <w:color w:val="auto"/>
        </w:rPr>
        <w:tab/>
      </w:r>
      <w:r>
        <w:rPr>
          <w:rFonts w:ascii="Courier New" w:cs="Courier New" w:eastAsia="Courier New" w:hAnsi="Courier New"/>
          <w:sz w:val="14"/>
          <w:szCs w:val="14"/>
          <w:color w:val="auto"/>
        </w:rPr>
        <w:t>Fair Value of Financial Instruments</w:t>
      </w:r>
    </w:p>
    <w:p>
      <w:pPr>
        <w:spacing w:after="0" w:line="173" w:lineRule="exact"/>
        <w:rPr>
          <w:sz w:val="20"/>
          <w:szCs w:val="20"/>
          <w:color w:val="auto"/>
        </w:rPr>
      </w:pPr>
    </w:p>
    <w:p>
      <w:pPr>
        <w:ind w:left="980" w:right="3319"/>
        <w:spacing w:after="0" w:line="236" w:lineRule="auto"/>
        <w:rPr>
          <w:sz w:val="20"/>
          <w:szCs w:val="20"/>
          <w:color w:val="auto"/>
        </w:rPr>
      </w:pPr>
      <w:r>
        <w:rPr>
          <w:rFonts w:ascii="Courier New" w:cs="Courier New" w:eastAsia="Courier New" w:hAnsi="Courier New"/>
          <w:sz w:val="15"/>
          <w:szCs w:val="15"/>
          <w:color w:val="auto"/>
        </w:rPr>
        <w:t>There were no material differences in the recorded accounts of financial instruments and their related fair values at December 31, 1995. The estimated fair value of the note payable to bank, long-term notes payable, and long-term notes payable to stockholders was determined based on the pay off of such indebtedness at face value in connection with the February 5, 1996 sale discussed in Note 15 to the financial statements.</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106</w:t>
      </w:r>
    </w:p>
    <w:p>
      <w:pPr>
        <w:sectPr>
          <w:pgSz w:w="11900" w:h="16838" w:orient="portrait"/>
          <w:cols w:equalWidth="0" w:num="1">
            <w:col w:w="10239"/>
          </w:cols>
          <w:pgMar w:left="220" w:top="281" w:right="1440" w:bottom="1440" w:gutter="0" w:footer="0" w:header="0"/>
        </w:sectPr>
      </w:pPr>
    </w:p>
    <w:bookmarkStart w:id="107" w:name="page108"/>
    <w:bookmarkEnd w:id="107"/>
    <w:p>
      <w:pPr>
        <w:ind w:left="280"/>
        <w:spacing w:after="0"/>
        <w:rPr>
          <w:sz w:val="20"/>
          <w:szCs w:val="20"/>
          <w:color w:val="auto"/>
        </w:rPr>
      </w:pPr>
      <w:r>
        <w:rPr>
          <w:rFonts w:ascii="Courier New" w:cs="Courier New" w:eastAsia="Courier New" w:hAnsi="Courier New"/>
          <w:sz w:val="15"/>
          <w:szCs w:val="15"/>
          <w:color w:val="auto"/>
        </w:rPr>
        <w:t>107</w:t>
      </w:r>
    </w:p>
    <w:p>
      <w:pPr>
        <w:jc w:val="center"/>
        <w:ind w:right="3219"/>
        <w:spacing w:after="0" w:line="237" w:lineRule="auto"/>
        <w:rPr>
          <w:sz w:val="20"/>
          <w:szCs w:val="20"/>
          <w:color w:val="auto"/>
        </w:rPr>
      </w:pPr>
      <w:r>
        <w:rPr>
          <w:rFonts w:ascii="Courier New" w:cs="Courier New" w:eastAsia="Courier New" w:hAnsi="Courier New"/>
          <w:sz w:val="15"/>
          <w:szCs w:val="15"/>
          <w:color w:val="auto"/>
        </w:rPr>
        <w:t>THE ORANGE GROUP</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15.</w:t>
      </w:r>
      <w:r>
        <w:rPr>
          <w:sz w:val="20"/>
          <w:szCs w:val="20"/>
          <w:color w:val="auto"/>
        </w:rPr>
        <w:tab/>
      </w:r>
      <w:r>
        <w:rPr>
          <w:rFonts w:ascii="Courier New" w:cs="Courier New" w:eastAsia="Courier New" w:hAnsi="Courier New"/>
          <w:sz w:val="14"/>
          <w:szCs w:val="14"/>
          <w:color w:val="auto"/>
        </w:rPr>
        <w:t>Event Subsequent to December 31, 1995</w:t>
      </w:r>
    </w:p>
    <w:p>
      <w:pPr>
        <w:spacing w:after="0" w:line="173" w:lineRule="exact"/>
        <w:rPr>
          <w:sz w:val="20"/>
          <w:szCs w:val="20"/>
          <w:color w:val="auto"/>
        </w:rPr>
      </w:pPr>
    </w:p>
    <w:p>
      <w:pPr>
        <w:ind w:left="980" w:right="3319"/>
        <w:spacing w:after="0" w:line="236" w:lineRule="auto"/>
        <w:rPr>
          <w:sz w:val="20"/>
          <w:szCs w:val="20"/>
          <w:color w:val="auto"/>
        </w:rPr>
      </w:pPr>
      <w:r>
        <w:rPr>
          <w:rFonts w:ascii="Courier New" w:cs="Courier New" w:eastAsia="Courier New" w:hAnsi="Courier New"/>
          <w:sz w:val="15"/>
          <w:szCs w:val="15"/>
          <w:color w:val="auto"/>
        </w:rPr>
        <w:t>On February 5, 1996 the Group sold substantially all of its tangible and real property. A portion of the purchase price was in the form of assumption and/or liquidation of debt and leases associated with such assets, as well as pay-off of indebtedness to the Group's stockholders. The balance of the purchase price was allocated between cash and stock of the purchaser.</w:t>
      </w:r>
    </w:p>
    <w:p>
      <w:pPr>
        <w:spacing w:after="0" w:line="175" w:lineRule="exact"/>
        <w:rPr>
          <w:sz w:val="20"/>
          <w:szCs w:val="20"/>
          <w:color w:val="auto"/>
        </w:rPr>
      </w:pPr>
    </w:p>
    <w:p>
      <w:pPr>
        <w:ind w:left="980" w:right="3319"/>
        <w:spacing w:after="0" w:line="236" w:lineRule="auto"/>
        <w:rPr>
          <w:sz w:val="20"/>
          <w:szCs w:val="20"/>
          <w:color w:val="auto"/>
        </w:rPr>
      </w:pPr>
      <w:r>
        <w:rPr>
          <w:rFonts w:ascii="Courier New" w:cs="Courier New" w:eastAsia="Courier New" w:hAnsi="Courier New"/>
          <w:sz w:val="15"/>
          <w:szCs w:val="15"/>
          <w:color w:val="auto"/>
        </w:rPr>
        <w:t>In addition to their operating assets, the members of the Group sold other contractual rights and their business names, and the stockholders agreed not to compete with the businesses after the transaction is consummated. Accordingly, the business purpose of the members of the Group under the current management and ownership has ceased and none of the Group remains viable in the business activity they conducted during 1995.</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107</w:t>
      </w:r>
    </w:p>
    <w:p>
      <w:pPr>
        <w:sectPr>
          <w:pgSz w:w="11900" w:h="16838" w:orient="portrait"/>
          <w:cols w:equalWidth="0" w:num="1">
            <w:col w:w="10239"/>
          </w:cols>
          <w:pgMar w:left="220" w:top="281" w:right="1440"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5"/>
          <w:szCs w:val="15"/>
          <w:color w:val="auto"/>
        </w:rPr>
        <w:t>108</w:t>
      </w:r>
    </w:p>
    <w:p>
      <w:pPr>
        <w:ind w:left="1760"/>
        <w:spacing w:after="0" w:line="237" w:lineRule="auto"/>
        <w:rPr>
          <w:sz w:val="20"/>
          <w:szCs w:val="20"/>
          <w:color w:val="auto"/>
        </w:rPr>
      </w:pPr>
      <w:r>
        <w:rPr>
          <w:rFonts w:ascii="Courier New" w:cs="Courier New" w:eastAsia="Courier New" w:hAnsi="Courier New"/>
          <w:sz w:val="15"/>
          <w:szCs w:val="15"/>
          <w:color w:val="auto"/>
        </w:rPr>
        <w:t>REPORT OF INDEPENDENT PUBLIC ACCOUNTANTS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 of the Combined Companies: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We have audited the accompanying combined balance sheet of the Combined Companies, as defined in Note 1, as of December 31, 1995, and the related combined statements of operations, stockholders' equity and partners' capital and cash flows for the year then ended. These financial statements are the responsibility of the Combined Companies' managements. Our responsibility is to express an opinion on these financial statements based on our audit.</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8"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the Combined Companies as of December 31, 1995, and the results of their operations and their cash flows for the year then ended in conformity with generally accepted accounting principles.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37" w:lineRule="auto"/>
        <w:rPr>
          <w:sz w:val="20"/>
          <w:szCs w:val="20"/>
          <w:color w:val="auto"/>
        </w:rPr>
      </w:pPr>
      <w:r>
        <w:rPr>
          <w:rFonts w:ascii="Courier New" w:cs="Courier New" w:eastAsia="Courier New" w:hAnsi="Courier New"/>
          <w:sz w:val="15"/>
          <w:szCs w:val="15"/>
          <w:color w:val="auto"/>
        </w:rPr>
        <w:t>September 13, 1996</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108</w:t>
      </w:r>
    </w:p>
    <w:p>
      <w:pPr>
        <w:sectPr>
          <w:pgSz w:w="11900" w:h="16838" w:orient="portrait"/>
          <w:cols w:equalWidth="0" w:num="1">
            <w:col w:w="10239"/>
          </w:cols>
          <w:pgMar w:left="220" w:top="281"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5"/>
          <w:szCs w:val="15"/>
          <w:color w:val="auto"/>
        </w:rPr>
        <w:t>109</w:t>
      </w:r>
    </w:p>
    <w:tbl>
      <w:tblPr>
        <w:tblLayout w:type="fixed"/>
        <w:tblInd w:w="0" w:type="dxa"/>
        <w:tblCellMar>
          <w:top w:w="0" w:type="dxa"/>
          <w:left w:w="0" w:type="dxa"/>
          <w:bottom w:w="0" w:type="dxa"/>
          <w:right w:w="0" w:type="dxa"/>
        </w:tblCellMar>
      </w:tblPr>
      <w:tr>
        <w:trPr>
          <w:trHeight w:val="168"/>
        </w:trPr>
        <w:tc>
          <w:tcPr>
            <w:tcW w:w="5440" w:type="dxa"/>
            <w:vAlign w:val="bottom"/>
          </w:tcPr>
          <w:p>
            <w:pPr>
              <w:ind w:left="1680"/>
              <w:spacing w:after="0" w:line="168" w:lineRule="exact"/>
              <w:rPr>
                <w:sz w:val="20"/>
                <w:szCs w:val="20"/>
                <w:color w:val="auto"/>
              </w:rPr>
            </w:pPr>
            <w:r>
              <w:rPr>
                <w:rFonts w:ascii="Courier New" w:cs="Courier New" w:eastAsia="Courier New" w:hAnsi="Courier New"/>
                <w:sz w:val="15"/>
                <w:szCs w:val="15"/>
                <w:color w:val="auto"/>
              </w:rPr>
              <w:t>COMBINED COMPANIES (CITY, ALPINE AND LGI)</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5440" w:type="dxa"/>
            <w:vAlign w:val="bottom"/>
          </w:tcPr>
          <w:p>
            <w:pPr>
              <w:jc w:val="center"/>
              <w:ind w:left="1507"/>
              <w:spacing w:after="0"/>
              <w:rPr>
                <w:sz w:val="20"/>
                <w:szCs w:val="20"/>
                <w:color w:val="auto"/>
              </w:rPr>
            </w:pPr>
            <w:r>
              <w:rPr>
                <w:rFonts w:ascii="Courier New" w:cs="Courier New" w:eastAsia="Courier New" w:hAnsi="Courier New"/>
                <w:sz w:val="15"/>
                <w:szCs w:val="15"/>
                <w:color w:val="auto"/>
                <w:w w:val="97"/>
              </w:rPr>
              <w:t>COMBINED BALANCE SHEET</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44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DECEMBER 31, 1995</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5440" w:type="dxa"/>
            <w:vAlign w:val="bottom"/>
          </w:tcPr>
          <w:p>
            <w:pPr>
              <w:jc w:val="center"/>
              <w:ind w:left="1507"/>
              <w:spacing w:after="0"/>
              <w:rPr>
                <w:sz w:val="20"/>
                <w:szCs w:val="20"/>
                <w:color w:val="auto"/>
              </w:rPr>
            </w:pPr>
            <w:r>
              <w:rPr>
                <w:rFonts w:ascii="Courier New" w:cs="Courier New" w:eastAsia="Courier New" w:hAnsi="Courier New"/>
                <w:sz w:val="15"/>
                <w:szCs w:val="15"/>
                <w:color w:val="auto"/>
                <w:w w:val="99"/>
              </w:rPr>
              <w:t>ASSETS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729,867</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 net of allowance for doubtful</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accounts of $25,468</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199,602</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16,303</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99,479</w:t>
            </w:r>
          </w:p>
        </w:tc>
      </w:tr>
      <w:tr>
        <w:trPr>
          <w:trHeight w:val="168"/>
        </w:trPr>
        <w:tc>
          <w:tcPr>
            <w:tcW w:w="544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1,045,251</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1,271,183</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29,959</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assets, net</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578,234</w:t>
            </w:r>
          </w:p>
        </w:tc>
      </w:tr>
      <w:tr>
        <w:trPr>
          <w:trHeight w:val="168"/>
        </w:trPr>
        <w:tc>
          <w:tcPr>
            <w:tcW w:w="544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Total assets</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$2,924,627</w:t>
            </w:r>
          </w:p>
        </w:tc>
      </w:tr>
      <w:tr>
        <w:trPr>
          <w:trHeight w:val="168"/>
        </w:trPr>
        <w:tc>
          <w:tcPr>
            <w:tcW w:w="544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480" w:type="dxa"/>
            <w:vAlign w:val="bottom"/>
            <w:gridSpan w:val="3"/>
          </w:tcPr>
          <w:p>
            <w:pPr>
              <w:jc w:val="center"/>
              <w:ind w:left="467"/>
              <w:spacing w:after="0"/>
              <w:rPr>
                <w:sz w:val="20"/>
                <w:szCs w:val="20"/>
                <w:color w:val="auto"/>
              </w:rPr>
            </w:pPr>
            <w:r>
              <w:rPr>
                <w:rFonts w:ascii="Courier New" w:cs="Courier New" w:eastAsia="Courier New" w:hAnsi="Courier New"/>
                <w:sz w:val="15"/>
                <w:szCs w:val="15"/>
                <w:color w:val="auto"/>
                <w:w w:val="96"/>
              </w:rPr>
              <w:t>LIABILITIES AND STOCKHOLDERS' EQUITY AND PARTNERS' CAPITAL</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Current maturities of long-term debt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319,973</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Current maturities of notes payable to</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related parties</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16,879</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172,712</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63,944</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revenue</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180,445</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119,300</w:t>
            </w:r>
          </w:p>
        </w:tc>
      </w:tr>
      <w:tr>
        <w:trPr>
          <w:trHeight w:val="168"/>
        </w:trPr>
        <w:tc>
          <w:tcPr>
            <w:tcW w:w="544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873,253</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LONG-TERM DEBT, net of current maturities</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1,195,694</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NOTES PAYABLE TO RELATED PARTIES, net of</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current maturities</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86,353</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REVENUES</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232,456</w:t>
            </w:r>
          </w:p>
        </w:tc>
      </w:tr>
      <w:tr>
        <w:trPr>
          <w:trHeight w:val="168"/>
        </w:trPr>
        <w:tc>
          <w:tcPr>
            <w:tcW w:w="544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2,387,756</w:t>
            </w:r>
          </w:p>
        </w:tc>
      </w:tr>
      <w:tr>
        <w:trPr>
          <w:trHeight w:val="168"/>
        </w:trPr>
        <w:tc>
          <w:tcPr>
            <w:tcW w:w="544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STOCKHOLDERS' EQUITY AND PARTNERS' CAPITAL:</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stock</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1,100</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Retained earnings and partners' capital</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535,771</w:t>
            </w:r>
          </w:p>
        </w:tc>
      </w:tr>
      <w:tr>
        <w:trPr>
          <w:trHeight w:val="168"/>
        </w:trPr>
        <w:tc>
          <w:tcPr>
            <w:tcW w:w="544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Total stockholders' equity and</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440" w:type="dxa"/>
            <w:vAlign w:val="bottom"/>
          </w:tcPr>
          <w:p>
            <w:pPr>
              <w:ind w:left="1680"/>
              <w:spacing w:after="0" w:line="168" w:lineRule="exact"/>
              <w:rPr>
                <w:sz w:val="20"/>
                <w:szCs w:val="20"/>
                <w:color w:val="auto"/>
              </w:rPr>
            </w:pPr>
            <w:r>
              <w:rPr>
                <w:rFonts w:ascii="Courier New" w:cs="Courier New" w:eastAsia="Courier New" w:hAnsi="Courier New"/>
                <w:sz w:val="15"/>
                <w:szCs w:val="15"/>
                <w:color w:val="auto"/>
              </w:rPr>
              <w:t>partners' capital</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536,871</w:t>
            </w:r>
          </w:p>
        </w:tc>
      </w:tr>
      <w:tr>
        <w:trPr>
          <w:trHeight w:val="168"/>
        </w:trPr>
        <w:tc>
          <w:tcPr>
            <w:tcW w:w="544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Total liabilities and stockholders'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440" w:type="dxa"/>
            <w:vAlign w:val="bottom"/>
          </w:tcPr>
          <w:p>
            <w:pPr>
              <w:ind w:left="1680"/>
              <w:spacing w:after="0" w:line="168" w:lineRule="exact"/>
              <w:rPr>
                <w:sz w:val="20"/>
                <w:szCs w:val="20"/>
                <w:color w:val="auto"/>
              </w:rPr>
            </w:pPr>
            <w:r>
              <w:rPr>
                <w:rFonts w:ascii="Courier New" w:cs="Courier New" w:eastAsia="Courier New" w:hAnsi="Courier New"/>
                <w:sz w:val="15"/>
                <w:szCs w:val="15"/>
                <w:color w:val="auto"/>
              </w:rPr>
              <w:t>equity and partners' capital</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$2,924,627</w:t>
            </w:r>
          </w:p>
        </w:tc>
      </w:tr>
      <w:tr>
        <w:trPr>
          <w:trHeight w:val="168"/>
        </w:trPr>
        <w:tc>
          <w:tcPr>
            <w:tcW w:w="544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this</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combined financial statement.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109</w:t>
      </w:r>
    </w:p>
    <w:p>
      <w:pPr>
        <w:sectPr>
          <w:pgSz w:w="11900" w:h="16838" w:orient="portrait"/>
          <w:cols w:equalWidth="0" w:num="1">
            <w:col w:w="10239"/>
          </w:cols>
          <w:pgMar w:left="220" w:top="281" w:right="1440" w:bottom="1440" w:gutter="0" w:footer="0" w:header="0"/>
        </w:sectPr>
      </w:pPr>
    </w:p>
    <w:bookmarkStart w:id="110" w:name="page111"/>
    <w:bookmarkEnd w:id="110"/>
    <w:p>
      <w:pPr>
        <w:ind w:left="280"/>
        <w:spacing w:after="0"/>
        <w:rPr>
          <w:sz w:val="20"/>
          <w:szCs w:val="20"/>
          <w:color w:val="auto"/>
        </w:rPr>
      </w:pPr>
      <w:r>
        <w:rPr>
          <w:rFonts w:ascii="Courier New" w:cs="Courier New" w:eastAsia="Courier New" w:hAnsi="Courier New"/>
          <w:sz w:val="15"/>
          <w:szCs w:val="15"/>
          <w:color w:val="auto"/>
        </w:rPr>
        <w:t>110</w:t>
      </w:r>
    </w:p>
    <w:tbl>
      <w:tblPr>
        <w:tblLayout w:type="fixed"/>
        <w:tblInd w:w="0" w:type="dxa"/>
        <w:tblCellMar>
          <w:top w:w="0" w:type="dxa"/>
          <w:left w:w="0" w:type="dxa"/>
          <w:bottom w:w="0" w:type="dxa"/>
          <w:right w:w="0" w:type="dxa"/>
        </w:tblCellMar>
      </w:tblPr>
      <w:tr>
        <w:trPr>
          <w:trHeight w:val="168"/>
        </w:trPr>
        <w:tc>
          <w:tcPr>
            <w:tcW w:w="566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COMBINED COMPANIES (CITY, ALPINE AND LGI)</w:t>
            </w:r>
          </w:p>
        </w:tc>
        <w:tc>
          <w:tcPr>
            <w:tcW w:w="1260" w:type="dxa"/>
            <w:vAlign w:val="bottom"/>
          </w:tcPr>
          <w:p>
            <w:pPr>
              <w:spacing w:after="0"/>
              <w:rPr>
                <w:sz w:val="14"/>
                <w:szCs w:val="14"/>
                <w:color w:val="auto"/>
              </w:rPr>
            </w:pPr>
          </w:p>
        </w:tc>
      </w:tr>
      <w:tr>
        <w:trPr>
          <w:trHeight w:val="336"/>
        </w:trPr>
        <w:tc>
          <w:tcPr>
            <w:tcW w:w="5660" w:type="dxa"/>
            <w:vAlign w:val="bottom"/>
          </w:tcPr>
          <w:p>
            <w:pPr>
              <w:ind w:left="2100"/>
              <w:spacing w:after="0"/>
              <w:rPr>
                <w:sz w:val="20"/>
                <w:szCs w:val="20"/>
                <w:color w:val="auto"/>
              </w:rPr>
            </w:pPr>
            <w:r>
              <w:rPr>
                <w:rFonts w:ascii="Courier New" w:cs="Courier New" w:eastAsia="Courier New" w:hAnsi="Courier New"/>
                <w:sz w:val="15"/>
                <w:szCs w:val="15"/>
                <w:color w:val="auto"/>
              </w:rPr>
              <w:t>COMBINED STATEMENT OF OPERATIONS</w:t>
            </w:r>
          </w:p>
        </w:tc>
        <w:tc>
          <w:tcPr>
            <w:tcW w:w="1260" w:type="dxa"/>
            <w:vAlign w:val="bottom"/>
          </w:tcPr>
          <w:p>
            <w:pPr>
              <w:spacing w:after="0"/>
              <w:rPr>
                <w:sz w:val="24"/>
                <w:szCs w:val="24"/>
                <w:color w:val="auto"/>
              </w:rPr>
            </w:pPr>
          </w:p>
        </w:tc>
      </w:tr>
      <w:tr>
        <w:trPr>
          <w:trHeight w:val="336"/>
        </w:trPr>
        <w:tc>
          <w:tcPr>
            <w:tcW w:w="5660" w:type="dxa"/>
            <w:vAlign w:val="bottom"/>
          </w:tcPr>
          <w:p>
            <w:pPr>
              <w:ind w:left="1940"/>
              <w:spacing w:after="0"/>
              <w:rPr>
                <w:sz w:val="20"/>
                <w:szCs w:val="20"/>
                <w:color w:val="auto"/>
              </w:rPr>
            </w:pPr>
            <w:r>
              <w:rPr>
                <w:rFonts w:ascii="Courier New" w:cs="Courier New" w:eastAsia="Courier New" w:hAnsi="Courier New"/>
                <w:sz w:val="15"/>
                <w:szCs w:val="15"/>
                <w:color w:val="auto"/>
              </w:rPr>
              <w:t>FOR THE YEAR ENDED DECEMBER 31, 1995</w:t>
            </w:r>
          </w:p>
        </w:tc>
        <w:tc>
          <w:tcPr>
            <w:tcW w:w="1260" w:type="dxa"/>
            <w:vAlign w:val="bottom"/>
          </w:tcPr>
          <w:p>
            <w:pPr>
              <w:spacing w:after="0"/>
              <w:rPr>
                <w:sz w:val="24"/>
                <w:szCs w:val="24"/>
                <w:color w:val="auto"/>
              </w:rPr>
            </w:pP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$5,223,327</w:t>
            </w: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260" w:type="dxa"/>
            <w:vAlign w:val="bottom"/>
          </w:tcPr>
          <w:p>
            <w:pPr>
              <w:spacing w:after="0"/>
              <w:rPr>
                <w:sz w:val="24"/>
                <w:szCs w:val="24"/>
                <w:color w:val="auto"/>
              </w:rPr>
            </w:pPr>
          </w:p>
        </w:tc>
      </w:tr>
      <w:tr>
        <w:trPr>
          <w:trHeight w:val="168"/>
        </w:trPr>
        <w:tc>
          <w:tcPr>
            <w:tcW w:w="5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2,928,279</w:t>
            </w:r>
          </w:p>
        </w:tc>
      </w:tr>
      <w:tr>
        <w:trPr>
          <w:trHeight w:val="168"/>
        </w:trPr>
        <w:tc>
          <w:tcPr>
            <w:tcW w:w="5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1,362,885</w:t>
            </w:r>
          </w:p>
        </w:tc>
      </w:tr>
      <w:tr>
        <w:trPr>
          <w:trHeight w:val="168"/>
        </w:trPr>
        <w:tc>
          <w:tcPr>
            <w:tcW w:w="5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462,252</w:t>
            </w:r>
          </w:p>
        </w:tc>
      </w:tr>
      <w:tr>
        <w:trPr>
          <w:trHeight w:val="168"/>
        </w:trPr>
        <w:tc>
          <w:tcPr>
            <w:tcW w:w="566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4,753,416</w:t>
            </w:r>
          </w:p>
        </w:tc>
      </w:tr>
      <w:tr>
        <w:trPr>
          <w:trHeight w:val="168"/>
        </w:trPr>
        <w:tc>
          <w:tcPr>
            <w:tcW w:w="5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469,911</w:t>
            </w: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260" w:type="dxa"/>
            <w:vAlign w:val="bottom"/>
          </w:tcPr>
          <w:p>
            <w:pPr>
              <w:spacing w:after="0"/>
              <w:rPr>
                <w:sz w:val="24"/>
                <w:szCs w:val="24"/>
                <w:color w:val="auto"/>
              </w:rPr>
            </w:pPr>
          </w:p>
        </w:tc>
      </w:tr>
      <w:tr>
        <w:trPr>
          <w:trHeight w:val="168"/>
        </w:trPr>
        <w:tc>
          <w:tcPr>
            <w:tcW w:w="5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(135,265)</w:t>
            </w:r>
          </w:p>
        </w:tc>
      </w:tr>
      <w:tr>
        <w:trPr>
          <w:trHeight w:val="168"/>
        </w:trPr>
        <w:tc>
          <w:tcPr>
            <w:tcW w:w="5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expense</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(45,601)</w:t>
            </w:r>
          </w:p>
        </w:tc>
      </w:tr>
      <w:tr>
        <w:trPr>
          <w:trHeight w:val="168"/>
        </w:trPr>
        <w:tc>
          <w:tcPr>
            <w:tcW w:w="5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25,269</w:t>
            </w:r>
          </w:p>
        </w:tc>
      </w:tr>
      <w:tr>
        <w:trPr>
          <w:trHeight w:val="168"/>
        </w:trPr>
        <w:tc>
          <w:tcPr>
            <w:tcW w:w="566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(155,597)</w:t>
            </w:r>
          </w:p>
        </w:tc>
      </w:tr>
      <w:tr>
        <w:trPr>
          <w:trHeight w:val="168"/>
        </w:trPr>
        <w:tc>
          <w:tcPr>
            <w:tcW w:w="566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314,314</w:t>
            </w: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49,098</w:t>
            </w:r>
          </w:p>
        </w:tc>
      </w:tr>
      <w:tr>
        <w:trPr>
          <w:trHeight w:val="168"/>
        </w:trPr>
        <w:tc>
          <w:tcPr>
            <w:tcW w:w="566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income</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265,216</w:t>
            </w:r>
          </w:p>
        </w:tc>
      </w:tr>
      <w:tr>
        <w:trPr>
          <w:trHeight w:val="168"/>
        </w:trPr>
        <w:tc>
          <w:tcPr>
            <w:tcW w:w="566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this</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combined financial statement.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110</w:t>
      </w:r>
    </w:p>
    <w:p>
      <w:pPr>
        <w:sectPr>
          <w:pgSz w:w="11900" w:h="16838" w:orient="portrait"/>
          <w:cols w:equalWidth="0" w:num="1">
            <w:col w:w="10239"/>
          </w:cols>
          <w:pgMar w:left="220" w:top="281" w:right="1440" w:bottom="1440" w:gutter="0" w:footer="0" w:header="0"/>
        </w:sectPr>
      </w:pPr>
    </w:p>
    <w:bookmarkStart w:id="111" w:name="page112"/>
    <w:bookmarkEnd w:id="111"/>
    <w:p>
      <w:pPr>
        <w:ind w:left="280"/>
        <w:spacing w:after="0"/>
        <w:rPr>
          <w:sz w:val="20"/>
          <w:szCs w:val="20"/>
          <w:color w:val="auto"/>
        </w:rPr>
      </w:pPr>
      <w:r>
        <w:rPr>
          <w:rFonts w:ascii="Courier New" w:cs="Courier New" w:eastAsia="Courier New" w:hAnsi="Courier New"/>
          <w:sz w:val="15"/>
          <w:szCs w:val="15"/>
          <w:color w:val="auto"/>
        </w:rPr>
        <w:t>111</w:t>
      </w:r>
    </w:p>
    <w:p>
      <w:pPr>
        <w:spacing w:after="0" w:line="200" w:lineRule="exact"/>
        <w:rPr>
          <w:sz w:val="20"/>
          <w:szCs w:val="20"/>
          <w:color w:val="auto"/>
        </w:rPr>
      </w:pPr>
    </w:p>
    <w:p>
      <w:pPr>
        <w:spacing w:after="0" w:line="303"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COMBINED COMPANIES (CITY, ALPINE AND LGI)</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COMBINED STATEMENT OF STOCKHOLDERS' EQUITY AND PARTNERS' CAPITAL</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FOR THE YEAR ENDED DECEMBER 31, 1995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Retained</w:t>
            </w:r>
          </w:p>
        </w:tc>
        <w:tc>
          <w:tcPr>
            <w:tcW w:w="11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98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Common Stock</w:t>
            </w:r>
          </w:p>
        </w:tc>
        <w:tc>
          <w:tcPr>
            <w:tcW w:w="1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Earnings and</w:t>
            </w:r>
          </w:p>
        </w:tc>
        <w:tc>
          <w:tcPr>
            <w:tcW w:w="11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9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Partners'</w:t>
            </w:r>
          </w:p>
        </w:tc>
        <w:tc>
          <w:tcPr>
            <w:tcW w:w="11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Shares</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Amount</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Capital</w:t>
            </w:r>
          </w:p>
        </w:tc>
        <w:tc>
          <w:tcPr>
            <w:tcW w:w="11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800" w:type="dxa"/>
            <w:vAlign w:val="bottom"/>
          </w:tcPr>
          <w:p>
            <w:pPr>
              <w:spacing w:after="0"/>
              <w:rPr>
                <w:sz w:val="14"/>
                <w:szCs w:val="14"/>
                <w:color w:val="auto"/>
              </w:rPr>
            </w:pPr>
          </w:p>
        </w:tc>
        <w:tc>
          <w:tcPr>
            <w:tcW w:w="158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BALANCE, December 31, 1994</w:t>
            </w:r>
          </w:p>
        </w:tc>
        <w:tc>
          <w:tcPr>
            <w:tcW w:w="15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10,100</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$1,100</w:t>
            </w:r>
          </w:p>
        </w:tc>
        <w:tc>
          <w:tcPr>
            <w:tcW w:w="18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$368,019</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$369,119</w:t>
            </w: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265,216</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265,216</w:t>
            </w: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Distributions</w:t>
            </w:r>
          </w:p>
        </w:tc>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(97,464)</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4"/>
              </w:rPr>
              <w:t>(97,464)</w:t>
            </w:r>
          </w:p>
        </w:tc>
      </w:tr>
      <w:tr>
        <w:trPr>
          <w:trHeight w:val="168"/>
        </w:trPr>
        <w:tc>
          <w:tcPr>
            <w:tcW w:w="2800" w:type="dxa"/>
            <w:vAlign w:val="bottom"/>
          </w:tcPr>
          <w:p>
            <w:pPr>
              <w:spacing w:after="0"/>
              <w:rPr>
                <w:sz w:val="14"/>
                <w:szCs w:val="14"/>
                <w:color w:val="auto"/>
              </w:rPr>
            </w:pPr>
          </w:p>
        </w:tc>
        <w:tc>
          <w:tcPr>
            <w:tcW w:w="158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December 31,1995</w:t>
            </w:r>
          </w:p>
        </w:tc>
        <w:tc>
          <w:tcPr>
            <w:tcW w:w="158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10,100</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$1,100</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$535,771</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4"/>
              </w:rPr>
              <w:t>$536,871</w:t>
            </w:r>
          </w:p>
        </w:tc>
      </w:tr>
      <w:tr>
        <w:trPr>
          <w:trHeight w:val="168"/>
        </w:trPr>
        <w:tc>
          <w:tcPr>
            <w:tcW w:w="2800" w:type="dxa"/>
            <w:vAlign w:val="bottom"/>
          </w:tcPr>
          <w:p>
            <w:pPr>
              <w:spacing w:after="0"/>
              <w:rPr>
                <w:sz w:val="14"/>
                <w:szCs w:val="14"/>
                <w:color w:val="auto"/>
              </w:rPr>
            </w:pPr>
          </w:p>
        </w:tc>
        <w:tc>
          <w:tcPr>
            <w:tcW w:w="158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335"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The accompanying notes are an integral part of this</w:t>
      </w:r>
    </w:p>
    <w:p>
      <w:pPr>
        <w:jc w:val="center"/>
        <w:ind w:right="3479"/>
        <w:spacing w:after="0" w:line="237" w:lineRule="auto"/>
        <w:rPr>
          <w:sz w:val="20"/>
          <w:szCs w:val="20"/>
          <w:color w:val="auto"/>
        </w:rPr>
      </w:pPr>
      <w:r>
        <w:rPr>
          <w:rFonts w:ascii="Courier New" w:cs="Courier New" w:eastAsia="Courier New" w:hAnsi="Courier New"/>
          <w:sz w:val="15"/>
          <w:szCs w:val="15"/>
          <w:color w:val="auto"/>
        </w:rPr>
        <w:t>combined financial statement.</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111</w:t>
      </w:r>
    </w:p>
    <w:p>
      <w:pPr>
        <w:sectPr>
          <w:pgSz w:w="11900" w:h="16838" w:orient="portrait"/>
          <w:cols w:equalWidth="0" w:num="1">
            <w:col w:w="10239"/>
          </w:cols>
          <w:pgMar w:left="220" w:top="281" w:right="1440" w:bottom="1440" w:gutter="0" w:footer="0" w:header="0"/>
        </w:sectPr>
      </w:pPr>
    </w:p>
    <w:bookmarkStart w:id="112" w:name="page113"/>
    <w:bookmarkEnd w:id="112"/>
    <w:p>
      <w:pPr>
        <w:ind w:left="280"/>
        <w:spacing w:after="0"/>
        <w:rPr>
          <w:sz w:val="20"/>
          <w:szCs w:val="20"/>
          <w:color w:val="auto"/>
        </w:rPr>
      </w:pPr>
      <w:r>
        <w:rPr>
          <w:rFonts w:ascii="Courier New" w:cs="Courier New" w:eastAsia="Courier New" w:hAnsi="Courier New"/>
          <w:sz w:val="15"/>
          <w:szCs w:val="15"/>
          <w:color w:val="auto"/>
        </w:rPr>
        <w:t>112</w:t>
      </w:r>
    </w:p>
    <w:p>
      <w:pPr>
        <w:ind w:left="1580"/>
        <w:spacing w:after="0" w:line="237" w:lineRule="auto"/>
        <w:rPr>
          <w:sz w:val="20"/>
          <w:szCs w:val="20"/>
          <w:color w:val="auto"/>
        </w:rPr>
      </w:pPr>
      <w:r>
        <w:rPr>
          <w:rFonts w:ascii="Courier New" w:cs="Courier New" w:eastAsia="Courier New" w:hAnsi="Courier New"/>
          <w:sz w:val="15"/>
          <w:szCs w:val="15"/>
          <w:color w:val="auto"/>
        </w:rPr>
        <w:t>COMBINED COMPANIES (CITY, ALPINE AND LGI)</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COMBINED STATEMENT OF CASH FLOWS</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FOR THE YEAR ENDED DECEMBER 31, 1995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$ 265,216</w:t>
            </w:r>
          </w:p>
        </w:tc>
      </w:tr>
      <w:tr>
        <w:trPr>
          <w:trHeight w:val="168"/>
        </w:trPr>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income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Adjustments to reconcile net income to net cash provided by</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462,252</w:t>
            </w: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Provision for doubtful accounts</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25,468</w:t>
            </w: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(78,611)</w:t>
            </w: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Loss on sale of assets</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6,316</w:t>
            </w: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(16,521)</w:t>
            </w:r>
          </w:p>
        </w:tc>
      </w:tr>
      <w:tr>
        <w:trPr>
          <w:trHeight w:val="168"/>
        </w:trPr>
        <w:tc>
          <w:tcPr>
            <w:tcW w:w="5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20,159</w:t>
            </w:r>
          </w:p>
        </w:tc>
      </w:tr>
      <w:tr>
        <w:trPr>
          <w:trHeight w:val="168"/>
        </w:trPr>
        <w:tc>
          <w:tcPr>
            <w:tcW w:w="5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18,407</w:t>
            </w:r>
          </w:p>
        </w:tc>
      </w:tr>
      <w:tr>
        <w:trPr>
          <w:trHeight w:val="168"/>
        </w:trPr>
        <w:tc>
          <w:tcPr>
            <w:tcW w:w="5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revenue</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278,417</w:t>
            </w:r>
          </w:p>
        </w:tc>
      </w:tr>
      <w:tr>
        <w:trPr>
          <w:trHeight w:val="168"/>
        </w:trPr>
        <w:tc>
          <w:tcPr>
            <w:tcW w:w="5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88,819</w:t>
            </w:r>
          </w:p>
        </w:tc>
      </w:tr>
      <w:tr>
        <w:trPr>
          <w:trHeight w:val="168"/>
        </w:trPr>
        <w:tc>
          <w:tcPr>
            <w:tcW w:w="574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1,069,922</w:t>
            </w:r>
          </w:p>
        </w:tc>
      </w:tr>
      <w:tr>
        <w:trPr>
          <w:trHeight w:val="168"/>
        </w:trPr>
        <w:tc>
          <w:tcPr>
            <w:tcW w:w="574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Purchases of property and equipment</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(477,910)</w:t>
            </w:r>
          </w:p>
        </w:tc>
      </w:tr>
      <w:tr>
        <w:trPr>
          <w:trHeight w:val="168"/>
        </w:trPr>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Purchase of service route</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(253,317)</w:t>
            </w:r>
          </w:p>
        </w:tc>
      </w:tr>
      <w:tr>
        <w:trPr>
          <w:trHeight w:val="168"/>
        </w:trPr>
        <w:tc>
          <w:tcPr>
            <w:tcW w:w="574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(731,227)</w:t>
            </w:r>
          </w:p>
        </w:tc>
      </w:tr>
      <w:tr>
        <w:trPr>
          <w:trHeight w:val="168"/>
        </w:trPr>
        <w:tc>
          <w:tcPr>
            <w:tcW w:w="574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Proceeds from borrowings</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616,700</w:t>
            </w:r>
          </w:p>
        </w:tc>
      </w:tr>
      <w:tr>
        <w:trPr>
          <w:trHeight w:val="168"/>
        </w:trPr>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Repayments of borrowings</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(392,370)</w:t>
            </w:r>
          </w:p>
        </w:tc>
      </w:tr>
      <w:tr>
        <w:trPr>
          <w:trHeight w:val="168"/>
        </w:trPr>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Distributions to partners</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(97,464)</w:t>
            </w:r>
          </w:p>
        </w:tc>
      </w:tr>
      <w:tr>
        <w:trPr>
          <w:trHeight w:val="168"/>
        </w:trPr>
        <w:tc>
          <w:tcPr>
            <w:tcW w:w="574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126,866</w:t>
            </w:r>
          </w:p>
        </w:tc>
      </w:tr>
      <w:tr>
        <w:trPr>
          <w:trHeight w:val="168"/>
        </w:trPr>
        <w:tc>
          <w:tcPr>
            <w:tcW w:w="574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NET INCREASE IN CASH</w:t>
            </w:r>
          </w:p>
        </w:tc>
        <w:tc>
          <w:tcPr>
            <w:tcW w:w="4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465,561</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CASH AT BEGINNING OF PERIOD</w:t>
            </w:r>
          </w:p>
        </w:tc>
        <w:tc>
          <w:tcPr>
            <w:tcW w:w="4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264,306</w:t>
            </w:r>
          </w:p>
        </w:tc>
      </w:tr>
      <w:tr>
        <w:trPr>
          <w:trHeight w:val="168"/>
        </w:trPr>
        <w:tc>
          <w:tcPr>
            <w:tcW w:w="574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AT END OF PERIOD</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$ 729,867</w:t>
            </w:r>
          </w:p>
        </w:tc>
      </w:tr>
      <w:tr>
        <w:trPr>
          <w:trHeight w:val="168"/>
        </w:trPr>
        <w:tc>
          <w:tcPr>
            <w:tcW w:w="574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paid for taxes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paid for interest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$ 135,575</w:t>
            </w:r>
          </w:p>
        </w:tc>
      </w:tr>
      <w:tr>
        <w:trPr>
          <w:trHeight w:val="168"/>
        </w:trPr>
        <w:tc>
          <w:tcPr>
            <w:tcW w:w="574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The accompanying notes are an integral part of this combined financial</w:t>
      </w:r>
    </w:p>
    <w:p>
      <w:pPr>
        <w:jc w:val="center"/>
        <w:ind w:right="3399"/>
        <w:spacing w:after="0" w:line="237" w:lineRule="auto"/>
        <w:rPr>
          <w:sz w:val="20"/>
          <w:szCs w:val="20"/>
          <w:color w:val="auto"/>
        </w:rPr>
      </w:pPr>
      <w:r>
        <w:rPr>
          <w:rFonts w:ascii="Courier New" w:cs="Courier New" w:eastAsia="Courier New" w:hAnsi="Courier New"/>
          <w:sz w:val="15"/>
          <w:szCs w:val="15"/>
          <w:color w:val="auto"/>
        </w:rPr>
        <w:t>statement.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112</w:t>
      </w:r>
    </w:p>
    <w:p>
      <w:pPr>
        <w:sectPr>
          <w:pgSz w:w="11900" w:h="16838" w:orient="portrait"/>
          <w:cols w:equalWidth="0" w:num="1">
            <w:col w:w="10239"/>
          </w:cols>
          <w:pgMar w:left="220" w:top="281"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5"/>
          <w:szCs w:val="15"/>
          <w:color w:val="auto"/>
        </w:rPr>
        <w:t>113</w:t>
      </w:r>
    </w:p>
    <w:p>
      <w:pPr>
        <w:ind w:left="1580"/>
        <w:spacing w:after="0" w:line="237" w:lineRule="auto"/>
        <w:rPr>
          <w:sz w:val="20"/>
          <w:szCs w:val="20"/>
          <w:color w:val="auto"/>
        </w:rPr>
      </w:pPr>
      <w:r>
        <w:rPr>
          <w:rFonts w:ascii="Courier New" w:cs="Courier New" w:eastAsia="Courier New" w:hAnsi="Courier New"/>
          <w:sz w:val="15"/>
          <w:szCs w:val="15"/>
          <w:color w:val="auto"/>
        </w:rPr>
        <w:t>COMBINED COMPANIES (CITY, ALPINE AND LGI)</w:t>
      </w:r>
    </w:p>
    <w:p>
      <w:pPr>
        <w:spacing w:after="0" w:line="33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DECEMBER 31, 1995</w:t>
      </w:r>
    </w:p>
    <w:p>
      <w:pPr>
        <w:spacing w:after="0" w:line="335" w:lineRule="exact"/>
        <w:rPr>
          <w:sz w:val="20"/>
          <w:szCs w:val="20"/>
          <w:color w:val="auto"/>
        </w:rPr>
      </w:pPr>
    </w:p>
    <w:p>
      <w:pPr>
        <w:ind w:left="360" w:hanging="350"/>
        <w:spacing w:after="0"/>
        <w:tabs>
          <w:tab w:leader="none" w:pos="3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BUSINESS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accompanying combined balance sheet and related combined statements of operations, stockholders' equity and partners' capital and cash flows include the following companies (collectively, the Combined Companies).</w:t>
      </w:r>
    </w:p>
    <w:p>
      <w:pPr>
        <w:spacing w:after="0" w:line="174"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City Disposal, Inc. (City), provides waste collection and recycling services primarily in Denver, Colorado.</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Alpine Disposal and Recycling, Inc. (Alpine), provides waste collection and recycling services in Portland, Oregon.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L.G. Industries, Inc. (LGI), operates a construction and demolition waste transfer station and holds a 50 percent interest in a joint venture with Garnet of Maryland (a subsidiary of Sanifill, Inc.). This joint venture operates a municipal solid waste transfer station. LGI and the joint venture operate in the same facility in Washington, D.C., and serve customers primarily in the Washington, D.C., and Annapolis, Maryland, markets.</w:t>
      </w:r>
    </w:p>
    <w:p>
      <w:pPr>
        <w:spacing w:after="0" w:line="175"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In February, May and August 1996, Sanifill, Inc. (Sanifill), acquired City, Alpine and LGI, respectively. The purchase price for each of these companies is sufficient to allow each company to recover the recorded value of its assets.</w:t>
      </w:r>
    </w:p>
    <w:p>
      <w:pPr>
        <w:spacing w:after="0" w:line="161"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Sanifill intends to integrate the Combined Companies into its existing operations.</w:t>
      </w:r>
    </w:p>
    <w:p>
      <w:pPr>
        <w:spacing w:after="0" w:line="173" w:lineRule="exact"/>
        <w:rPr>
          <w:sz w:val="20"/>
          <w:szCs w:val="20"/>
          <w:color w:val="auto"/>
        </w:rPr>
      </w:pPr>
    </w:p>
    <w:p>
      <w:pPr>
        <w:ind w:left="360" w:right="7959" w:hanging="350"/>
        <w:spacing w:after="0" w:line="261" w:lineRule="auto"/>
        <w:tabs>
          <w:tab w:leader="none" w:pos="3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Although the accompanying combined financial statements are dated as of and for the year ended December 31, 1995, one of the companies has a fiscal year-end of October 31, 1995. The combined financial statements include 12 months of the Combined Companies' operations, the fiscal year-ends of which are all within 93 days of the December 31, 1995, year-end.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jc w:val="both"/>
        <w:ind w:right="3679"/>
        <w:spacing w:after="0" w:line="258" w:lineRule="auto"/>
        <w:rPr>
          <w:sz w:val="20"/>
          <w:szCs w:val="20"/>
          <w:color w:val="auto"/>
        </w:rPr>
      </w:pPr>
      <w:r>
        <w:rPr>
          <w:rFonts w:ascii="Courier New" w:cs="Courier New" w:eastAsia="Courier New" w:hAnsi="Courier New"/>
          <w:sz w:val="14"/>
          <w:szCs w:val="14"/>
          <w:color w:val="auto"/>
        </w:rPr>
        <w:t>The Combined Companies' revenues are comprised primarily of collection fees charged to customers and sales of recyclables. Revenues are recorded in the combined financial statements as the services are performed.</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Costs</w:t>
      </w:r>
    </w:p>
    <w:p>
      <w:pPr>
        <w:spacing w:after="0" w:line="173"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Operating costs include labor, fuel, equipment maintenance, disposal fees and other direct costs of operating the collection and recycling operations.</w:t>
      </w:r>
    </w:p>
    <w:p>
      <w:pPr>
        <w:spacing w:after="0" w:line="32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113</w:t>
      </w:r>
    </w:p>
    <w:p>
      <w:pPr>
        <w:sectPr>
          <w:pgSz w:w="11900" w:h="16838" w:orient="portrait"/>
          <w:cols w:equalWidth="0" w:num="1">
            <w:col w:w="10239"/>
          </w:cols>
          <w:pgMar w:left="220" w:top="281"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5"/>
          <w:szCs w:val="15"/>
          <w:color w:val="auto"/>
        </w:rPr>
        <w:t>114</w:t>
      </w:r>
    </w:p>
    <w:p>
      <w:pPr>
        <w:ind w:left="3240"/>
        <w:spacing w:after="0" w:line="237" w:lineRule="auto"/>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and Administrative Expenses</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General and administrative expenses include corporate management salaries, clerical and other administrative overhead.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Property and equipment are recorded at cost. Expenditures for major additions and improvements are capitalized. Minor replacements, maintenance and repairs which do not improve or extend the life of such assets are charged to operations as incurred. Disposals are removed at cost less accumulated depreciation and amortization, and any resulting gain or loss is reflected in current operations. The Combined Companies have computed depreciation for financial reporting purposes on the straight-line method. The estimated lives used in computing depreciation are as follows: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YEARS</w:t>
      </w:r>
    </w:p>
    <w:tbl>
      <w:tblPr>
        <w:tblLayout w:type="fixed"/>
        <w:tblInd w:w="1320" w:type="dxa"/>
        <w:tblCellMar>
          <w:top w:w="0" w:type="dxa"/>
          <w:left w:w="0" w:type="dxa"/>
          <w:bottom w:w="0" w:type="dxa"/>
          <w:right w:w="0" w:type="dxa"/>
        </w:tblCellMar>
      </w:tblPr>
      <w:tr>
        <w:trPr>
          <w:trHeight w:val="168"/>
        </w:trPr>
        <w:tc>
          <w:tcPr>
            <w:tcW w:w="11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72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Machinery and</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equipment</w:t>
            </w:r>
          </w:p>
        </w:tc>
        <w:tc>
          <w:tcPr>
            <w:tcW w:w="1240" w:type="dxa"/>
            <w:vAlign w:val="bottom"/>
          </w:tcPr>
          <w:p>
            <w:pPr>
              <w:ind w:left="840"/>
              <w:spacing w:after="0"/>
              <w:rPr>
                <w:sz w:val="20"/>
                <w:szCs w:val="20"/>
                <w:color w:val="auto"/>
              </w:rPr>
            </w:pPr>
            <w:r>
              <w:rPr>
                <w:rFonts w:ascii="Courier New" w:cs="Courier New" w:eastAsia="Courier New" w:hAnsi="Courier New"/>
                <w:sz w:val="15"/>
                <w:szCs w:val="15"/>
                <w:color w:val="auto"/>
              </w:rPr>
              <w:t>3-10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Buildings and</w:t>
            </w:r>
          </w:p>
        </w:tc>
        <w:tc>
          <w:tcPr>
            <w:tcW w:w="1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improvements</w:t>
            </w:r>
          </w:p>
        </w:tc>
        <w:tc>
          <w:tcPr>
            <w:tcW w:w="124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3-31</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Assets</w:t>
      </w:r>
    </w:p>
    <w:p>
      <w:pPr>
        <w:spacing w:after="0" w:line="173"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Other assets consist primarily of contracts purchased by one of the Combined Companies (Alpine) to provide trash collection services to residential and commercial customers within the city of Portland, Oregon. The purchased contracts are accounted for using the purchase method of accounting and are amortized over the life of each contract, ranging from three to 15 years.</w:t>
      </w:r>
    </w:p>
    <w:p>
      <w:pPr>
        <w:spacing w:after="0" w:line="16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financial results of the purchased contracts have been included in the combined financial statements of the Combined Companies from the date each contract was purchased. During the year ended December 31, 1995, Alpine purchased one contract from the city of Portland, Oregon, for $253,317 which is being amortized over the life of the contract, three years. The pro forma effect of the purchased contract for the full year was not material to the results of operations or financial position for the Combined Companies.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principles requires the Combined Companies to make estimates and assumptions that affect the reported amounts of assets and liabilities and disclosure of contingent assets and liabilities at the date of the financial statements, and affect the reported amounts of revenues and expenses during the reporting period.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Alpine is a partnership for federal income tax purposes. In accordance with the partnership provisions of the Internal Revenue Code, the earnings of Alpine are included in the personal tax returns of the partners; therefore, no federal or state income tax expense is recorded in the accompanying combined financial statements for the income of this entity.</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City and LGI are C Corporations for federal income tax purposes. City and LGI use the liability method in accounting for income taxes. Under this method, deferred taxes are recorded based upon differences between the financial reporting basis and tax basis of assets and liabilities and are measured using the enacted tax rates and laws that will be in effect when the differences are expected to reverse.</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114</w:t>
      </w:r>
    </w:p>
    <w:p>
      <w:pPr>
        <w:sectPr>
          <w:pgSz w:w="11900" w:h="16838" w:orient="portrait"/>
          <w:cols w:equalWidth="0" w:num="1">
            <w:col w:w="10239"/>
          </w:cols>
          <w:pgMar w:left="220" w:top="281" w:right="1440" w:bottom="1440" w:gutter="0" w:footer="0" w:header="0"/>
        </w:sectPr>
      </w:pPr>
    </w:p>
    <w:bookmarkStart w:id="115" w:name="page116"/>
    <w:bookmarkEnd w:id="115"/>
    <w:p>
      <w:pPr>
        <w:ind w:left="280"/>
        <w:spacing w:after="0"/>
        <w:rPr>
          <w:sz w:val="20"/>
          <w:szCs w:val="20"/>
          <w:color w:val="auto"/>
        </w:rPr>
      </w:pPr>
      <w:r>
        <w:rPr>
          <w:rFonts w:ascii="Courier New" w:cs="Courier New" w:eastAsia="Courier New" w:hAnsi="Courier New"/>
          <w:sz w:val="15"/>
          <w:szCs w:val="15"/>
          <w:color w:val="auto"/>
        </w:rPr>
        <w:t>115</w:t>
      </w:r>
    </w:p>
    <w:p>
      <w:pPr>
        <w:ind w:left="3240"/>
        <w:spacing w:after="0" w:line="237" w:lineRule="auto"/>
        <w:rPr>
          <w:sz w:val="20"/>
          <w:szCs w:val="20"/>
          <w:color w:val="auto"/>
        </w:rPr>
      </w:pPr>
      <w:r>
        <w:rPr>
          <w:rFonts w:ascii="Courier New" w:cs="Courier New" w:eastAsia="Courier New" w:hAnsi="Courier New"/>
          <w:sz w:val="15"/>
          <w:szCs w:val="15"/>
          <w:color w:val="auto"/>
        </w:rPr>
        <w:t>-3-</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STOCKHOLDERS' EQUITY:</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Common stock of the corporate entities as of December 31, 1995, consists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Shares</w:t>
            </w:r>
          </w:p>
        </w:tc>
      </w:tr>
      <w:tr>
        <w:trPr>
          <w:trHeight w:val="168"/>
        </w:trPr>
        <w:tc>
          <w:tcPr>
            <w:tcW w:w="1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Shares</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Issued and</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Combined Company</w:t>
            </w:r>
          </w:p>
        </w:tc>
        <w:tc>
          <w:tcPr>
            <w:tcW w:w="14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Par Value</w:t>
            </w:r>
          </w:p>
        </w:tc>
        <w:tc>
          <w:tcPr>
            <w:tcW w:w="16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Authorized</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4"/>
              </w:rPr>
              <w:t>Outstanding</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City Disposal, Inc.</w:t>
            </w:r>
          </w:p>
        </w:tc>
        <w:tc>
          <w:tcPr>
            <w:tcW w:w="1440" w:type="dxa"/>
            <w:vAlign w:val="bottom"/>
          </w:tcPr>
          <w:p>
            <w:pPr>
              <w:ind w:left="300"/>
              <w:spacing w:after="0"/>
              <w:rPr>
                <w:sz w:val="20"/>
                <w:szCs w:val="20"/>
                <w:color w:val="auto"/>
              </w:rPr>
            </w:pPr>
            <w:r>
              <w:rPr>
                <w:rFonts w:ascii="Courier New" w:cs="Courier New" w:eastAsia="Courier New" w:hAnsi="Courier New"/>
                <w:sz w:val="15"/>
                <w:szCs w:val="15"/>
                <w:color w:val="auto"/>
              </w:rPr>
              <w:t>No par</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50,000</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10,000</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L.G. Industries, Inc.</w:t>
            </w:r>
          </w:p>
        </w:tc>
        <w:tc>
          <w:tcPr>
            <w:tcW w:w="1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No par</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10,000</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PROPERTY AND EQUIPMENT: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summary of property and equipment as of December 31, 1995,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$1,972,347</w:t>
            </w:r>
          </w:p>
        </w:tc>
      </w:tr>
      <w:tr>
        <w:trPr>
          <w:trHeight w:val="168"/>
        </w:trPr>
        <w:tc>
          <w:tcPr>
            <w:tcW w:w="370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 and improvements</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157,134</w:t>
            </w:r>
          </w:p>
        </w:tc>
      </w:tr>
      <w:tr>
        <w:trPr>
          <w:trHeight w:val="168"/>
        </w:trPr>
        <w:tc>
          <w:tcPr>
            <w:tcW w:w="37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2,129,481</w:t>
            </w:r>
          </w:p>
        </w:tc>
      </w:tr>
      <w:tr>
        <w:trPr>
          <w:trHeight w:val="336"/>
        </w:trPr>
        <w:tc>
          <w:tcPr>
            <w:tcW w:w="3700" w:type="dxa"/>
            <w:vAlign w:val="bottom"/>
          </w:tcPr>
          <w:p>
            <w:pPr>
              <w:spacing w:after="0"/>
              <w:rPr>
                <w:sz w:val="20"/>
                <w:szCs w:val="20"/>
                <w:color w:val="auto"/>
              </w:rPr>
            </w:pPr>
            <w:r>
              <w:rPr>
                <w:rFonts w:ascii="Courier New" w:cs="Courier New" w:eastAsia="Courier New" w:hAnsi="Courier New"/>
                <w:sz w:val="15"/>
                <w:szCs w:val="15"/>
                <w:color w:val="auto"/>
              </w:rPr>
              <w:t>Less-Accumulated depreciation</w:t>
            </w:r>
          </w:p>
        </w:tc>
        <w:tc>
          <w:tcPr>
            <w:tcW w:w="1100" w:type="dxa"/>
            <w:vAlign w:val="bottom"/>
          </w:tcPr>
          <w:p>
            <w:pPr>
              <w:spacing w:after="0"/>
              <w:rPr>
                <w:sz w:val="24"/>
                <w:szCs w:val="24"/>
                <w:color w:val="auto"/>
              </w:rPr>
            </w:pPr>
          </w:p>
        </w:tc>
      </w:tr>
      <w:tr>
        <w:trPr>
          <w:trHeight w:val="168"/>
        </w:trPr>
        <w:tc>
          <w:tcPr>
            <w:tcW w:w="3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and amortization</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858,298</w:t>
            </w:r>
          </w:p>
        </w:tc>
      </w:tr>
      <w:tr>
        <w:trPr>
          <w:trHeight w:val="168"/>
        </w:trPr>
        <w:tc>
          <w:tcPr>
            <w:tcW w:w="37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Total Property and equipment, net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$1,271,183</w:t>
            </w:r>
          </w:p>
        </w:tc>
      </w:tr>
      <w:tr>
        <w:trPr>
          <w:trHeight w:val="168"/>
        </w:trPr>
        <w:tc>
          <w:tcPr>
            <w:tcW w:w="37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Maintenance and repairs charged to operations during 1995 were approximately $227,287.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OTHER ASSETS:</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 summary of other assets, net of accumulated amortization, as of December 31, 1995, is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2960" w:type="dxa"/>
            <w:vAlign w:val="bottom"/>
          </w:tcPr>
          <w:p>
            <w:pPr>
              <w:spacing w:after="0"/>
              <w:rPr>
                <w:sz w:val="20"/>
                <w:szCs w:val="20"/>
                <w:color w:val="auto"/>
              </w:rPr>
            </w:pPr>
            <w:r>
              <w:rPr>
                <w:rFonts w:ascii="Courier New" w:cs="Courier New" w:eastAsia="Courier New" w:hAnsi="Courier New"/>
                <w:sz w:val="15"/>
                <w:szCs w:val="15"/>
                <w:color w:val="auto"/>
              </w:rPr>
              <w:t>Route Costs</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569,160</w:t>
            </w:r>
          </w:p>
        </w:tc>
      </w:tr>
      <w:tr>
        <w:trPr>
          <w:trHeight w:val="168"/>
        </w:trPr>
        <w:tc>
          <w:tcPr>
            <w:tcW w:w="29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9,074</w:t>
            </w:r>
          </w:p>
        </w:tc>
      </w:tr>
      <w:tr>
        <w:trPr>
          <w:trHeight w:val="168"/>
        </w:trPr>
        <w:tc>
          <w:tcPr>
            <w:tcW w:w="2960" w:type="dxa"/>
            <w:vAlign w:val="bottom"/>
          </w:tcPr>
          <w:p>
            <w:pPr>
              <w:spacing w:after="0"/>
              <w:rPr>
                <w:sz w:val="14"/>
                <w:szCs w:val="14"/>
                <w:color w:val="auto"/>
              </w:rPr>
            </w:pP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Total other assets</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578,234</w:t>
            </w:r>
          </w:p>
        </w:tc>
      </w:tr>
      <w:tr>
        <w:trPr>
          <w:trHeight w:val="168"/>
        </w:trPr>
        <w:tc>
          <w:tcPr>
            <w:tcW w:w="2960" w:type="dxa"/>
            <w:vAlign w:val="bottom"/>
          </w:tcPr>
          <w:p>
            <w:pPr>
              <w:spacing w:after="0"/>
              <w:rPr>
                <w:sz w:val="14"/>
                <w:szCs w:val="14"/>
                <w:color w:val="auto"/>
              </w:rPr>
            </w:pP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ACCRUED LIABILITIES: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Accrued liabilities and other consist of the following at December 31, 1995: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Accrued wages</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13,134</w:t>
            </w:r>
          </w:p>
        </w:tc>
      </w:tr>
      <w:tr>
        <w:trPr>
          <w:trHeight w:val="168"/>
        </w:trPr>
        <w:tc>
          <w:tcPr>
            <w:tcW w:w="37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accruals</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50,810</w:t>
            </w:r>
          </w:p>
        </w:tc>
      </w:tr>
      <w:tr>
        <w:trPr>
          <w:trHeight w:val="168"/>
        </w:trPr>
        <w:tc>
          <w:tcPr>
            <w:tcW w:w="370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Total accrued liabilities and other</w:t>
            </w:r>
          </w:p>
        </w:tc>
        <w:tc>
          <w:tcPr>
            <w:tcW w:w="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63,944</w:t>
            </w:r>
          </w:p>
        </w:tc>
      </w:tr>
      <w:tr>
        <w:trPr>
          <w:trHeight w:val="168"/>
        </w:trPr>
        <w:tc>
          <w:tcPr>
            <w:tcW w:w="370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8039" w:firstLine="10"/>
        <w:spacing w:after="0" w:line="509" w:lineRule="auto"/>
        <w:tabs>
          <w:tab w:leader="none" w:pos="262"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OBLIGATIONS: Long-Term Debt</w:t>
      </w: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Long-term debt consists of the following as of December 31, 1995: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spacing w:after="0"/>
              <w:rPr>
                <w:sz w:val="20"/>
                <w:szCs w:val="20"/>
                <w:color w:val="auto"/>
              </w:rPr>
            </w:pPr>
            <w:r>
              <w:rPr>
                <w:rFonts w:ascii="Courier New" w:cs="Courier New" w:eastAsia="Courier New" w:hAnsi="Courier New"/>
                <w:sz w:val="15"/>
                <w:szCs w:val="15"/>
                <w:color w:val="auto"/>
              </w:rPr>
              <w:t>Notes payable, maturing in varying amounts from December 1996</w:t>
            </w:r>
          </w:p>
        </w:tc>
        <w:tc>
          <w:tcPr>
            <w:tcW w:w="1180" w:type="dxa"/>
            <w:vAlign w:val="bottom"/>
          </w:tcPr>
          <w:p>
            <w:pPr>
              <w:spacing w:after="0"/>
              <w:rPr>
                <w:sz w:val="14"/>
                <w:szCs w:val="14"/>
                <w:color w:val="auto"/>
              </w:rPr>
            </w:pP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through July 2004, with interest ranging from 7.8% to 10.5%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$1,089,572</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payable, due in March 2001, with interest at prime</w:t>
            </w:r>
          </w:p>
        </w:tc>
        <w:tc>
          <w:tcPr>
            <w:tcW w:w="1180" w:type="dxa"/>
            <w:vAlign w:val="bottom"/>
          </w:tcPr>
          <w:p>
            <w:pPr>
              <w:spacing w:after="0"/>
              <w:rPr>
                <w:sz w:val="14"/>
                <w:szCs w:val="14"/>
                <w:color w:val="auto"/>
              </w:rPr>
            </w:pP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plus 2.75%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371,095</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Line of credit with a bank, due in January 1996, with interest</w:t>
            </w:r>
          </w:p>
        </w:tc>
        <w:tc>
          <w:tcPr>
            <w:tcW w:w="1180" w:type="dxa"/>
            <w:vAlign w:val="bottom"/>
          </w:tcPr>
          <w:p>
            <w:pPr>
              <w:spacing w:after="0"/>
              <w:rPr>
                <w:sz w:val="14"/>
                <w:szCs w:val="14"/>
                <w:color w:val="auto"/>
              </w:rPr>
            </w:pP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 prime plus 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55,000</w:t>
            </w:r>
          </w:p>
        </w:tc>
      </w:tr>
      <w:tr>
        <w:trPr>
          <w:trHeight w:val="168"/>
        </w:trPr>
        <w:tc>
          <w:tcPr>
            <w:tcW w:w="574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1,515,667</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Less-Current maturities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319,973</w:t>
            </w:r>
          </w:p>
        </w:tc>
      </w:tr>
      <w:tr>
        <w:trPr>
          <w:trHeight w:val="168"/>
        </w:trPr>
        <w:tc>
          <w:tcPr>
            <w:tcW w:w="574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Long-term debt, net of current maturities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$1,195,694</w:t>
            </w:r>
          </w:p>
        </w:tc>
      </w:tr>
      <w:tr>
        <w:trPr>
          <w:trHeight w:val="168"/>
        </w:trPr>
        <w:tc>
          <w:tcPr>
            <w:tcW w:w="574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39"/>
          </w:cols>
          <w:pgMar w:left="220" w:top="281" w:right="1440" w:bottom="185" w:gutter="0" w:footer="0" w:header="0"/>
        </w:sectPr>
      </w:pPr>
    </w:p>
    <w:p>
      <w:pPr>
        <w:spacing w:after="0" w:line="1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115</w:t>
      </w:r>
    </w:p>
    <w:p>
      <w:pPr>
        <w:sectPr>
          <w:pgSz w:w="11900" w:h="16838" w:orient="portrait"/>
          <w:cols w:equalWidth="0" w:num="1">
            <w:col w:w="10239"/>
          </w:cols>
          <w:pgMar w:left="220" w:top="281" w:right="1440" w:bottom="185" w:gutter="0" w:footer="0" w:header="0"/>
          <w:type w:val="continuous"/>
        </w:sectPr>
      </w:pPr>
    </w:p>
    <w:bookmarkStart w:id="116" w:name="page117"/>
    <w:bookmarkEnd w:id="116"/>
    <w:p>
      <w:pPr>
        <w:ind w:left="280"/>
        <w:spacing w:after="0"/>
        <w:rPr>
          <w:sz w:val="20"/>
          <w:szCs w:val="20"/>
          <w:color w:val="auto"/>
        </w:rPr>
      </w:pPr>
      <w:r>
        <w:rPr>
          <w:rFonts w:ascii="Courier New" w:cs="Courier New" w:eastAsia="Courier New" w:hAnsi="Courier New"/>
          <w:sz w:val="15"/>
          <w:szCs w:val="15"/>
          <w:color w:val="auto"/>
        </w:rPr>
        <w:t>116</w:t>
      </w:r>
    </w:p>
    <w:tbl>
      <w:tblPr>
        <w:tblLayout w:type="fixed"/>
        <w:tblInd w:w="0" w:type="dxa"/>
        <w:tblCellMar>
          <w:top w:w="0" w:type="dxa"/>
          <w:left w:w="0" w:type="dxa"/>
          <w:bottom w:w="0" w:type="dxa"/>
          <w:right w:w="0" w:type="dxa"/>
        </w:tblCellMar>
      </w:tblPr>
      <w:tr>
        <w:trPr>
          <w:trHeight w:val="168"/>
        </w:trPr>
        <w:tc>
          <w:tcPr>
            <w:tcW w:w="6000" w:type="dxa"/>
            <w:vAlign w:val="bottom"/>
          </w:tcPr>
          <w:p>
            <w:pPr>
              <w:ind w:left="3340"/>
              <w:spacing w:after="0" w:line="168" w:lineRule="exact"/>
              <w:rPr>
                <w:sz w:val="20"/>
                <w:szCs w:val="20"/>
                <w:color w:val="auto"/>
              </w:rPr>
            </w:pPr>
            <w:r>
              <w:rPr>
                <w:rFonts w:ascii="Courier New" w:cs="Courier New" w:eastAsia="Courier New" w:hAnsi="Courier New"/>
                <w:sz w:val="15"/>
                <w:szCs w:val="15"/>
                <w:color w:val="auto"/>
              </w:rPr>
              <w:t>-4-</w:t>
            </w:r>
          </w:p>
        </w:tc>
        <w:tc>
          <w:tcPr>
            <w:tcW w:w="1000" w:type="dxa"/>
            <w:vAlign w:val="bottom"/>
          </w:tcPr>
          <w:p>
            <w:pPr>
              <w:spacing w:after="0"/>
              <w:rPr>
                <w:sz w:val="14"/>
                <w:szCs w:val="14"/>
                <w:color w:val="auto"/>
              </w:rPr>
            </w:pPr>
          </w:p>
        </w:tc>
      </w:tr>
      <w:tr>
        <w:trPr>
          <w:trHeight w:val="505"/>
        </w:trPr>
        <w:tc>
          <w:tcPr>
            <w:tcW w:w="6000" w:type="dxa"/>
            <w:vAlign w:val="bottom"/>
          </w:tcPr>
          <w:p>
            <w:pPr>
              <w:spacing w:after="0"/>
              <w:rPr>
                <w:sz w:val="20"/>
                <w:szCs w:val="20"/>
                <w:color w:val="auto"/>
              </w:rPr>
            </w:pPr>
            <w:r>
              <w:rPr>
                <w:rFonts w:ascii="Courier New" w:cs="Courier New" w:eastAsia="Courier New" w:hAnsi="Courier New"/>
                <w:sz w:val="15"/>
                <w:szCs w:val="15"/>
                <w:color w:val="auto"/>
              </w:rPr>
              <w:t>Notes Payable to Related Parties</w:t>
            </w:r>
          </w:p>
        </w:tc>
        <w:tc>
          <w:tcPr>
            <w:tcW w:w="1000" w:type="dxa"/>
            <w:vAlign w:val="bottom"/>
          </w:tcPr>
          <w:p>
            <w:pPr>
              <w:spacing w:after="0"/>
              <w:rPr>
                <w:sz w:val="24"/>
                <w:szCs w:val="24"/>
                <w:color w:val="auto"/>
              </w:rPr>
            </w:pP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Notes payable to related parties consists of the following as of</w:t>
            </w:r>
          </w:p>
        </w:tc>
        <w:tc>
          <w:tcPr>
            <w:tcW w:w="1000" w:type="dxa"/>
            <w:vAlign w:val="bottom"/>
          </w:tcPr>
          <w:p>
            <w:pPr>
              <w:spacing w:after="0"/>
              <w:rPr>
                <w:sz w:val="24"/>
                <w:szCs w:val="24"/>
                <w:color w:val="auto"/>
              </w:rPr>
            </w:pP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1995:</w:t>
            </w:r>
          </w:p>
        </w:tc>
        <w:tc>
          <w:tcPr>
            <w:tcW w:w="1000" w:type="dxa"/>
            <w:vAlign w:val="bottom"/>
          </w:tcPr>
          <w:p>
            <w:pPr>
              <w:spacing w:after="0"/>
              <w:rPr>
                <w:sz w:val="14"/>
                <w:szCs w:val="14"/>
                <w:color w:val="auto"/>
              </w:rPr>
            </w:pPr>
          </w:p>
        </w:tc>
      </w:tr>
      <w:tr>
        <w:trPr>
          <w:trHeight w:val="336"/>
        </w:trPr>
        <w:tc>
          <w:tcPr>
            <w:tcW w:w="6000" w:type="dxa"/>
            <w:vAlign w:val="bottom"/>
          </w:tcPr>
          <w:p>
            <w:pPr>
              <w:ind w:left="180"/>
              <w:spacing w:after="0"/>
              <w:rPr>
                <w:sz w:val="20"/>
                <w:szCs w:val="20"/>
                <w:color w:val="auto"/>
              </w:rPr>
            </w:pPr>
            <w:r>
              <w:rPr>
                <w:rFonts w:ascii="Courier New" w:cs="Courier New" w:eastAsia="Courier New" w:hAnsi="Courier New"/>
                <w:sz w:val="15"/>
                <w:szCs w:val="15"/>
                <w:color w:val="auto"/>
              </w:rPr>
              <w:t>Notes payable, maturing in varying amounts from December 1997</w:t>
            </w:r>
          </w:p>
        </w:tc>
        <w:tc>
          <w:tcPr>
            <w:tcW w:w="1000" w:type="dxa"/>
            <w:vAlign w:val="bottom"/>
          </w:tcPr>
          <w:p>
            <w:pPr>
              <w:spacing w:after="0"/>
              <w:rPr>
                <w:sz w:val="24"/>
                <w:szCs w:val="24"/>
                <w:color w:val="auto"/>
              </w:rPr>
            </w:pPr>
          </w:p>
        </w:tc>
      </w:tr>
      <w:tr>
        <w:trPr>
          <w:trHeight w:val="168"/>
        </w:trPr>
        <w:tc>
          <w:tcPr>
            <w:tcW w:w="6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through November 2004, with interest ranging from 8% to 10%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$103,232</w:t>
            </w: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Less-Current maturities</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16,879</w:t>
            </w:r>
          </w:p>
        </w:tc>
      </w:tr>
      <w:tr>
        <w:trPr>
          <w:trHeight w:val="168"/>
        </w:trPr>
        <w:tc>
          <w:tcPr>
            <w:tcW w:w="60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debt to related parties, net of current maturities</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$ 86,353</w:t>
            </w:r>
          </w:p>
        </w:tc>
      </w:tr>
      <w:tr>
        <w:trPr>
          <w:trHeight w:val="168"/>
        </w:trPr>
        <w:tc>
          <w:tcPr>
            <w:tcW w:w="60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 for 1995 on related-party debt totaled $6,962.</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Aggregate maturities of long-term debt and notes payable to related parties are as follows:</w:t>
      </w:r>
    </w:p>
    <w:p>
      <w:pPr>
        <w:spacing w:after="0" w:line="16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Year ending December 31</w:t>
            </w:r>
          </w:p>
        </w:tc>
        <w:tc>
          <w:tcPr>
            <w:tcW w:w="2540" w:type="dxa"/>
            <w:vAlign w:val="bottom"/>
          </w:tcPr>
          <w:p>
            <w:pPr>
              <w:spacing w:after="0"/>
              <w:rPr>
                <w:sz w:val="14"/>
                <w:szCs w:val="14"/>
                <w:color w:val="auto"/>
              </w:rPr>
            </w:pPr>
          </w:p>
        </w:tc>
      </w:tr>
      <w:tr>
        <w:trPr>
          <w:trHeight w:val="168"/>
        </w:trPr>
        <w:tc>
          <w:tcPr>
            <w:tcW w:w="36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1996</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336,852</w:t>
            </w:r>
          </w:p>
        </w:tc>
      </w:tr>
      <w:tr>
        <w:trPr>
          <w:trHeight w:val="168"/>
        </w:trPr>
        <w:tc>
          <w:tcPr>
            <w:tcW w:w="36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1997</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264,923</w:t>
            </w:r>
          </w:p>
        </w:tc>
      </w:tr>
      <w:tr>
        <w:trPr>
          <w:trHeight w:val="168"/>
        </w:trPr>
        <w:tc>
          <w:tcPr>
            <w:tcW w:w="36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1998</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238,039</w:t>
            </w:r>
          </w:p>
        </w:tc>
      </w:tr>
      <w:tr>
        <w:trPr>
          <w:trHeight w:val="168"/>
        </w:trPr>
        <w:tc>
          <w:tcPr>
            <w:tcW w:w="36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1999</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233,155</w:t>
            </w:r>
          </w:p>
        </w:tc>
      </w:tr>
      <w:tr>
        <w:trPr>
          <w:trHeight w:val="168"/>
        </w:trPr>
        <w:tc>
          <w:tcPr>
            <w:tcW w:w="36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2000</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235,924</w:t>
            </w:r>
          </w:p>
        </w:tc>
      </w:tr>
      <w:tr>
        <w:trPr>
          <w:trHeight w:val="168"/>
        </w:trPr>
        <w:tc>
          <w:tcPr>
            <w:tcW w:w="36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Thereafter</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310,006</w:t>
            </w:r>
          </w:p>
        </w:tc>
      </w:tr>
      <w:tr>
        <w:trPr>
          <w:trHeight w:val="168"/>
        </w:trPr>
        <w:tc>
          <w:tcPr>
            <w:tcW w:w="3680" w:type="dxa"/>
            <w:vAlign w:val="bottom"/>
          </w:tcPr>
          <w:p>
            <w:pPr>
              <w:spacing w:after="0"/>
              <w:rPr>
                <w:sz w:val="14"/>
                <w:szCs w:val="14"/>
                <w:color w:val="auto"/>
              </w:rPr>
            </w:pP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$1,618,899</w:t>
            </w:r>
          </w:p>
        </w:tc>
      </w:tr>
      <w:tr>
        <w:trPr>
          <w:trHeight w:val="168"/>
        </w:trPr>
        <w:tc>
          <w:tcPr>
            <w:tcW w:w="3680" w:type="dxa"/>
            <w:vAlign w:val="bottom"/>
          </w:tcPr>
          <w:p>
            <w:pPr>
              <w:spacing w:after="0"/>
              <w:rPr>
                <w:sz w:val="14"/>
                <w:szCs w:val="14"/>
                <w:color w:val="auto"/>
              </w:rPr>
            </w:pP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notes payable are collateralized by various property and equipment of the Combined Companies.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RELATED-PARTY TRANSACTIONS: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February 1995, LGI entered into a joint venture agreement with Garnet of Maryland (GOM) for the operation of a municipal solid waste transfer station in Washington, D.C. Under the terms of this agreement, the joint venture (LGI/GOM) is operated in a Washington, D.C. facility leased by LGI. LGI leases this facility to LGI/GOM under a sublease agreement. Furthermore, under the terms of the joint venture agreement, LGI receives reimbursement of various operating expenses and receives a guaranteed royalty of at least $25,000 per month. In the event that LGI/GOM's net income exceeds $25,000 per month, LGI and GOM participate in profits on a 50/50 basis, with any amounts paid to LGI under the $25,000 guarantee, reducing the amount of profit allocable to LGI. As a condition to entering into the joint venture agreement, LGI received a payment of $250,000 from GOM as an access fee. This amount is recorded in deferred revenue and is being amortized over the life of the agreement (10 years). The table below details LGI's related-party transactions for 1995:</w:t>
      </w:r>
    </w:p>
    <w:p>
      <w:pPr>
        <w:spacing w:after="0" w:line="15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Guaranteed royalties</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Reimbursement of operating expenses</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14,400</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Reimbursement of rent expense</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192,984</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 from LGI/GOM</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160,800</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FEDERAL INCOME TAXES: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Deferred tax assets and liabilities are recognized and presented considering the future consequences of temporary differences between the financial statement basis and the tax basis of assets and liabilities using the tax rates in effect during the period when taxes are actually paid or recovered.</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116</w:t>
      </w:r>
    </w:p>
    <w:p>
      <w:pPr>
        <w:sectPr>
          <w:pgSz w:w="11900" w:h="16838" w:orient="portrait"/>
          <w:cols w:equalWidth="0" w:num="1">
            <w:col w:w="10239"/>
          </w:cols>
          <w:pgMar w:left="220" w:top="281" w:right="1440" w:bottom="1440" w:gutter="0" w:footer="0" w:header="0"/>
        </w:sectPr>
      </w:pPr>
    </w:p>
    <w:bookmarkStart w:id="117" w:name="page118"/>
    <w:bookmarkEnd w:id="117"/>
    <w:p>
      <w:pPr>
        <w:ind w:left="280"/>
        <w:spacing w:after="0"/>
        <w:rPr>
          <w:sz w:val="20"/>
          <w:szCs w:val="20"/>
          <w:color w:val="auto"/>
        </w:rPr>
      </w:pPr>
      <w:r>
        <w:rPr>
          <w:rFonts w:ascii="Courier New" w:cs="Courier New" w:eastAsia="Courier New" w:hAnsi="Courier New"/>
          <w:sz w:val="15"/>
          <w:szCs w:val="15"/>
          <w:color w:val="auto"/>
        </w:rPr>
        <w:t>117</w:t>
      </w:r>
    </w:p>
    <w:p>
      <w:pPr>
        <w:ind w:left="3340"/>
        <w:spacing w:after="0" w:line="237" w:lineRule="auto"/>
        <w:rPr>
          <w:sz w:val="20"/>
          <w:szCs w:val="20"/>
          <w:color w:val="auto"/>
        </w:rPr>
      </w:pPr>
      <w:r>
        <w:rPr>
          <w:rFonts w:ascii="Courier New" w:cs="Courier New" w:eastAsia="Courier New" w:hAnsi="Courier New"/>
          <w:sz w:val="15"/>
          <w:szCs w:val="15"/>
          <w:color w:val="auto"/>
        </w:rPr>
        <w:t>-5-</w:t>
      </w:r>
    </w:p>
    <w:p>
      <w:pPr>
        <w:spacing w:after="0" w:line="342"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Federal income taxes have been provided based on the statutory rate of 34 percent plus applicable state taxes. Components of the income tax provision reflected in the accompanying combined statement of operations for the year ended December 31, 1995, consist of the following:</w:t>
      </w:r>
    </w:p>
    <w:p>
      <w:pPr>
        <w:spacing w:after="0" w:line="200" w:lineRule="exact"/>
        <w:rPr>
          <w:sz w:val="20"/>
          <w:szCs w:val="20"/>
          <w:color w:val="auto"/>
        </w:rPr>
      </w:pPr>
    </w:p>
    <w:p>
      <w:pPr>
        <w:spacing w:after="0" w:line="305"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Current -</w:t>
            </w:r>
          </w:p>
        </w:tc>
        <w:tc>
          <w:tcPr>
            <w:tcW w:w="1960" w:type="dxa"/>
            <w:vAlign w:val="bottom"/>
          </w:tcPr>
          <w:p>
            <w:pPr>
              <w:spacing w:after="0"/>
              <w:rPr>
                <w:sz w:val="14"/>
                <w:szCs w:val="14"/>
                <w:color w:val="auto"/>
              </w:rPr>
            </w:pPr>
          </w:p>
        </w:tc>
      </w:tr>
      <w:tr>
        <w:trPr>
          <w:trHeight w:val="168"/>
        </w:trPr>
        <w:tc>
          <w:tcPr>
            <w:tcW w:w="4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Federal</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$ 31,348</w:t>
            </w:r>
          </w:p>
        </w:tc>
      </w:tr>
      <w:tr>
        <w:trPr>
          <w:trHeight w:val="168"/>
        </w:trPr>
        <w:tc>
          <w:tcPr>
            <w:tcW w:w="4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State</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96,361</w:t>
            </w:r>
          </w:p>
        </w:tc>
      </w:tr>
      <w:tr>
        <w:trPr>
          <w:trHeight w:val="168"/>
        </w:trPr>
        <w:tc>
          <w:tcPr>
            <w:tcW w:w="406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Total</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127,709</w:t>
            </w:r>
          </w:p>
        </w:tc>
      </w:tr>
      <w:tr>
        <w:trPr>
          <w:trHeight w:val="168"/>
        </w:trPr>
        <w:tc>
          <w:tcPr>
            <w:tcW w:w="406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w:t>
            </w:r>
          </w:p>
        </w:tc>
        <w:tc>
          <w:tcPr>
            <w:tcW w:w="1960" w:type="dxa"/>
            <w:vAlign w:val="bottom"/>
          </w:tcPr>
          <w:p>
            <w:pPr>
              <w:spacing w:after="0"/>
              <w:rPr>
                <w:sz w:val="14"/>
                <w:szCs w:val="14"/>
                <w:color w:val="auto"/>
              </w:rPr>
            </w:pPr>
          </w:p>
        </w:tc>
      </w:tr>
      <w:tr>
        <w:trPr>
          <w:trHeight w:val="168"/>
        </w:trPr>
        <w:tc>
          <w:tcPr>
            <w:tcW w:w="4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Federal</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(63,492)</w:t>
            </w:r>
          </w:p>
        </w:tc>
      </w:tr>
      <w:tr>
        <w:trPr>
          <w:trHeight w:val="168"/>
        </w:trPr>
        <w:tc>
          <w:tcPr>
            <w:tcW w:w="4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State</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(15,119)</w:t>
            </w:r>
          </w:p>
        </w:tc>
      </w:tr>
      <w:tr>
        <w:trPr>
          <w:trHeight w:val="168"/>
        </w:trPr>
        <w:tc>
          <w:tcPr>
            <w:tcW w:w="406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Total</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(78,611)</w:t>
            </w:r>
          </w:p>
        </w:tc>
      </w:tr>
      <w:tr>
        <w:trPr>
          <w:trHeight w:val="168"/>
        </w:trPr>
        <w:tc>
          <w:tcPr>
            <w:tcW w:w="406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Total income tax provision</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$ 49,098</w:t>
            </w:r>
          </w:p>
        </w:tc>
      </w:tr>
      <w:tr>
        <w:trPr>
          <w:trHeight w:val="168"/>
        </w:trPr>
        <w:tc>
          <w:tcPr>
            <w:tcW w:w="406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A reconciliation of the total income tax provision to the amounts calculated by applying the federal statutory tax rate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Tax at</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statutory rate</w:t>
            </w:r>
          </w:p>
        </w:tc>
        <w:tc>
          <w:tcPr>
            <w:tcW w:w="1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$106,867</w:t>
            </w:r>
          </w:p>
        </w:tc>
      </w:tr>
      <w:tr>
        <w:trPr>
          <w:trHeight w:val="168"/>
        </w:trPr>
        <w:tc>
          <w:tcPr>
            <w:tcW w:w="4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State taxes</w:t>
            </w:r>
          </w:p>
        </w:tc>
        <w:tc>
          <w:tcPr>
            <w:tcW w:w="1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7,463</w:t>
            </w:r>
          </w:p>
        </w:tc>
      </w:tr>
      <w:tr>
        <w:trPr>
          <w:trHeight w:val="168"/>
        </w:trPr>
        <w:tc>
          <w:tcPr>
            <w:tcW w:w="4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Utilization of prior-year net operating losses</w:t>
            </w:r>
          </w:p>
        </w:tc>
        <w:tc>
          <w:tcPr>
            <w:tcW w:w="1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(31,654)</w:t>
            </w:r>
          </w:p>
        </w:tc>
      </w:tr>
      <w:tr>
        <w:trPr>
          <w:trHeight w:val="168"/>
        </w:trPr>
        <w:tc>
          <w:tcPr>
            <w:tcW w:w="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Effect</w:t>
            </w:r>
          </w:p>
        </w:tc>
        <w:tc>
          <w:tcPr>
            <w:tcW w:w="4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excluding income of partnership</w:t>
            </w:r>
          </w:p>
        </w:tc>
        <w:tc>
          <w:tcPr>
            <w:tcW w:w="1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(33,578)</w:t>
            </w:r>
          </w:p>
        </w:tc>
      </w:tr>
      <w:tr>
        <w:trPr>
          <w:trHeight w:val="168"/>
        </w:trPr>
        <w:tc>
          <w:tcPr>
            <w:tcW w:w="5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 w:type="dxa"/>
            <w:vAlign w:val="bottom"/>
          </w:tcPr>
          <w:p>
            <w:pPr>
              <w:spacing w:after="0"/>
              <w:rPr>
                <w:sz w:val="14"/>
                <w:szCs w:val="14"/>
                <w:color w:val="auto"/>
              </w:rPr>
            </w:pPr>
          </w:p>
        </w:tc>
        <w:tc>
          <w:tcPr>
            <w:tcW w:w="4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Total income tax provision</w:t>
            </w:r>
          </w:p>
        </w:tc>
        <w:tc>
          <w:tcPr>
            <w:tcW w:w="1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$ 49,098</w:t>
            </w:r>
          </w:p>
        </w:tc>
      </w:tr>
      <w:tr>
        <w:trPr>
          <w:trHeight w:val="168"/>
        </w:trPr>
        <w:tc>
          <w:tcPr>
            <w:tcW w:w="5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components of deferred income tax assets and liabilities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Current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Long-Term</w:t>
            </w:r>
          </w:p>
        </w:tc>
      </w:tr>
      <w:tr>
        <w:trPr>
          <w:trHeight w:val="168"/>
        </w:trPr>
        <w:tc>
          <w:tcPr>
            <w:tcW w:w="38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80" w:type="dxa"/>
            <w:vAlign w:val="bottom"/>
          </w:tcPr>
          <w:p>
            <w:pPr>
              <w:spacing w:after="0"/>
              <w:rPr>
                <w:sz w:val="20"/>
                <w:szCs w:val="20"/>
                <w:color w:val="auto"/>
              </w:rPr>
            </w:pPr>
            <w:r>
              <w:rPr>
                <w:rFonts w:ascii="Courier New" w:cs="Courier New" w:eastAsia="Courier New" w:hAnsi="Courier New"/>
                <w:sz w:val="15"/>
                <w:szCs w:val="15"/>
                <w:color w:val="auto"/>
              </w:rPr>
              <w:t>Deferred income tax assets -</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8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Deferred revenue</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$59,429</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$95,019</w:t>
            </w:r>
          </w:p>
        </w:tc>
      </w:tr>
      <w:tr>
        <w:trPr>
          <w:trHeight w:val="168"/>
        </w:trPr>
        <w:tc>
          <w:tcPr>
            <w:tcW w:w="38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Cash to accrual conversions</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20,625</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State tax credits</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19,425</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80" w:type="dxa"/>
            <w:vAlign w:val="bottom"/>
          </w:tcPr>
          <w:p>
            <w:pPr>
              <w:spacing w:after="0"/>
              <w:rPr>
                <w:sz w:val="14"/>
                <w:szCs w:val="14"/>
                <w:color w:val="auto"/>
              </w:rPr>
            </w:pP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Total deferred income tax assets</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99,479</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95,019</w:t>
            </w:r>
          </w:p>
        </w:tc>
      </w:tr>
      <w:tr>
        <w:trPr>
          <w:trHeight w:val="168"/>
        </w:trPr>
        <w:tc>
          <w:tcPr>
            <w:tcW w:w="3880" w:type="dxa"/>
            <w:vAlign w:val="bottom"/>
          </w:tcPr>
          <w:p>
            <w:pPr>
              <w:spacing w:after="0"/>
              <w:rPr>
                <w:sz w:val="14"/>
                <w:szCs w:val="14"/>
                <w:color w:val="auto"/>
              </w:rPr>
            </w:pP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 liabilities -</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8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1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65,060</w:t>
            </w:r>
          </w:p>
        </w:tc>
      </w:tr>
      <w:tr>
        <w:trPr>
          <w:trHeight w:val="168"/>
        </w:trPr>
        <w:tc>
          <w:tcPr>
            <w:tcW w:w="3880" w:type="dxa"/>
            <w:vAlign w:val="bottom"/>
          </w:tcPr>
          <w:p>
            <w:pPr>
              <w:spacing w:after="0"/>
              <w:rPr>
                <w:sz w:val="14"/>
                <w:szCs w:val="14"/>
                <w:color w:val="auto"/>
              </w:rPr>
            </w:pP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Total deferred income tax liabilities</w:t>
            </w:r>
          </w:p>
        </w:tc>
        <w:tc>
          <w:tcPr>
            <w:tcW w:w="1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65,060</w:t>
            </w:r>
          </w:p>
        </w:tc>
      </w:tr>
      <w:tr>
        <w:trPr>
          <w:trHeight w:val="168"/>
        </w:trPr>
        <w:tc>
          <w:tcPr>
            <w:tcW w:w="3880" w:type="dxa"/>
            <w:vAlign w:val="bottom"/>
          </w:tcPr>
          <w:p>
            <w:pPr>
              <w:spacing w:after="0"/>
              <w:rPr>
                <w:sz w:val="14"/>
                <w:szCs w:val="14"/>
                <w:color w:val="auto"/>
              </w:rPr>
            </w:pP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deferred income tax asset</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$99,479</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$29,959</w:t>
            </w:r>
          </w:p>
        </w:tc>
      </w:tr>
      <w:tr>
        <w:trPr>
          <w:trHeight w:val="168"/>
        </w:trPr>
        <w:tc>
          <w:tcPr>
            <w:tcW w:w="3880" w:type="dxa"/>
            <w:vAlign w:val="bottom"/>
          </w:tcPr>
          <w:p>
            <w:pPr>
              <w:spacing w:after="0"/>
              <w:rPr>
                <w:sz w:val="14"/>
                <w:szCs w:val="14"/>
                <w:color w:val="auto"/>
              </w:rPr>
            </w:pP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components of deferred income tax benefit for 1995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Deferred revenues</w:t>
            </w: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$(56,982)</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w:t>
            </w:r>
          </w:p>
        </w:tc>
        <w:tc>
          <w:tcPr>
            <w:tcW w:w="3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22,231</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to accrual conversions</w:t>
            </w:r>
          </w:p>
        </w:tc>
        <w:tc>
          <w:tcPr>
            <w:tcW w:w="3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(43,860)</w:t>
            </w:r>
          </w:p>
        </w:tc>
      </w:tr>
      <w:tr>
        <w:trPr>
          <w:trHeight w:val="168"/>
        </w:trPr>
        <w:tc>
          <w:tcPr>
            <w:tcW w:w="2580" w:type="dxa"/>
            <w:vAlign w:val="bottom"/>
          </w:tcPr>
          <w:p>
            <w:pPr>
              <w:spacing w:after="0"/>
              <w:rPr>
                <w:sz w:val="14"/>
                <w:szCs w:val="14"/>
                <w:color w:val="auto"/>
              </w:rPr>
            </w:pPr>
          </w:p>
        </w:tc>
        <w:tc>
          <w:tcPr>
            <w:tcW w:w="3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 benefit</w:t>
            </w:r>
          </w:p>
        </w:tc>
        <w:tc>
          <w:tcPr>
            <w:tcW w:w="3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$(78,611)</w:t>
            </w:r>
          </w:p>
        </w:tc>
      </w:tr>
      <w:tr>
        <w:trPr>
          <w:trHeight w:val="168"/>
        </w:trPr>
        <w:tc>
          <w:tcPr>
            <w:tcW w:w="2580" w:type="dxa"/>
            <w:vAlign w:val="bottom"/>
          </w:tcPr>
          <w:p>
            <w:pPr>
              <w:spacing w:after="0"/>
              <w:rPr>
                <w:sz w:val="14"/>
                <w:szCs w:val="14"/>
                <w:color w:val="auto"/>
              </w:rPr>
            </w:pPr>
          </w:p>
        </w:tc>
        <w:tc>
          <w:tcPr>
            <w:tcW w:w="3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2580" w:type="dxa"/>
            <w:vAlign w:val="bottom"/>
          </w:tcPr>
          <w:p>
            <w:pPr>
              <w:spacing w:after="0"/>
              <w:rPr>
                <w:sz w:val="24"/>
                <w:szCs w:val="24"/>
                <w:color w:val="auto"/>
              </w:rPr>
            </w:pPr>
          </w:p>
        </w:tc>
        <w:tc>
          <w:tcPr>
            <w:tcW w:w="3100" w:type="dxa"/>
            <w:vAlign w:val="bottom"/>
          </w:tcPr>
          <w:p>
            <w:pPr>
              <w:jc w:val="right"/>
              <w:ind w:right="2547"/>
              <w:spacing w:after="0"/>
              <w:rPr>
                <w:sz w:val="20"/>
                <w:szCs w:val="20"/>
                <w:color w:val="auto"/>
              </w:rPr>
            </w:pPr>
            <w:r>
              <w:rPr>
                <w:rFonts w:ascii="Courier New" w:cs="Courier New" w:eastAsia="Courier New" w:hAnsi="Courier New"/>
                <w:sz w:val="15"/>
                <w:szCs w:val="15"/>
                <w:color w:val="auto"/>
              </w:rPr>
              <w:t>117</w:t>
            </w:r>
          </w:p>
        </w:tc>
      </w:tr>
    </w:tbl>
    <w:p>
      <w:pPr>
        <w:sectPr>
          <w:pgSz w:w="11900" w:h="16838" w:orient="portrait"/>
          <w:cols w:equalWidth="0" w:num="1">
            <w:col w:w="10239"/>
          </w:cols>
          <w:pgMar w:left="220" w:top="281" w:right="1440" w:bottom="1440" w:gutter="0" w:footer="0" w:header="0"/>
        </w:sectPr>
      </w:pPr>
    </w:p>
    <w:bookmarkStart w:id="118" w:name="page119"/>
    <w:bookmarkEnd w:id="118"/>
    <w:p>
      <w:pPr>
        <w:ind w:left="280"/>
        <w:spacing w:after="0"/>
        <w:rPr>
          <w:sz w:val="20"/>
          <w:szCs w:val="20"/>
          <w:color w:val="auto"/>
        </w:rPr>
      </w:pPr>
      <w:r>
        <w:rPr>
          <w:rFonts w:ascii="Courier New" w:cs="Courier New" w:eastAsia="Courier New" w:hAnsi="Courier New"/>
          <w:sz w:val="15"/>
          <w:szCs w:val="15"/>
          <w:color w:val="auto"/>
        </w:rPr>
        <w:t>118</w:t>
      </w:r>
    </w:p>
    <w:p>
      <w:pPr>
        <w:ind w:left="3340"/>
        <w:spacing w:after="0" w:line="237" w:lineRule="auto"/>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10" w:lineRule="exact"/>
        <w:rPr>
          <w:sz w:val="20"/>
          <w:szCs w:val="20"/>
          <w:color w:val="auto"/>
        </w:rPr>
      </w:pPr>
    </w:p>
    <w:p>
      <w:pPr>
        <w:ind w:right="7259" w:firstLine="10"/>
        <w:spacing w:after="0" w:line="465" w:lineRule="auto"/>
        <w:tabs>
          <w:tab w:leader="none" w:pos="35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Leases</w:t>
      </w:r>
    </w:p>
    <w:p>
      <w:pPr>
        <w:spacing w:after="0" w:line="14"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The Combined Companies have various operating leases for facilities and equipment. Rental expense under operating and month-to-month leases, net of subleases, was $118,142 for the year ended December 31, 1995.</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LGI entered into an operating lease for the Washington, D.C., coliseum for the purpose of operating a construction and demolition transfer station. As discussed in Note 8, LGI entered into a sublease agreement for this property whereby rent expense is 100 percent reimbursed by LGI/GOM. Future minimum lease payments, net of subleases, are as follows:</w:t>
      </w:r>
    </w:p>
    <w:p>
      <w:pPr>
        <w:spacing w:after="0" w:line="167"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  153,500</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163,000</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172,900</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181,545</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190,622</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757,204</w:t>
            </w:r>
          </w:p>
        </w:tc>
      </w:tr>
      <w:tr>
        <w:trPr>
          <w:trHeight w:val="168"/>
        </w:trPr>
        <w:tc>
          <w:tcPr>
            <w:tcW w:w="246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Total</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$1,618,771</w:t>
            </w:r>
          </w:p>
        </w:tc>
      </w:tr>
      <w:tr>
        <w:trPr>
          <w:trHeight w:val="168"/>
        </w:trPr>
        <w:tc>
          <w:tcPr>
            <w:tcW w:w="246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4279"/>
        <w:spacing w:after="0" w:line="261" w:lineRule="auto"/>
        <w:rPr>
          <w:sz w:val="20"/>
          <w:szCs w:val="20"/>
          <w:color w:val="auto"/>
        </w:rPr>
      </w:pPr>
      <w:r>
        <w:rPr>
          <w:rFonts w:ascii="Courier New" w:cs="Courier New" w:eastAsia="Courier New" w:hAnsi="Courier New"/>
          <w:sz w:val="14"/>
          <w:szCs w:val="14"/>
          <w:color w:val="auto"/>
        </w:rPr>
        <w:t>Other than the lease described above, the Combined Companies have no significant long-term noncancelable operating lease obligations.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Combined Companies are involved in certain claims and litigation arising in the normal course of business. Management believes the outcome of such matters will not have an adverse effect on the Combined Companies' combined financial position or 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SUBSEQUENT EVENTS:</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On August 30, 1996, Sanifill merged into USA Waste, Inc. (USA). Under the terms of the merger, each share of Sanifill's outstanding common stock was exchanged for 1.70 shares of USA common stock. In addition, USA assumed all of Sanifill's options and warrants outstanding.</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118</w:t>
      </w:r>
    </w:p>
    <w:p>
      <w:pPr>
        <w:sectPr>
          <w:pgSz w:w="11900" w:h="16838" w:orient="portrait"/>
          <w:cols w:equalWidth="0" w:num="1">
            <w:col w:w="10239"/>
          </w:cols>
          <w:pgMar w:left="220" w:top="281" w:right="1440" w:bottom="1440" w:gutter="0" w:footer="0" w:header="0"/>
        </w:sectPr>
      </w:pPr>
    </w:p>
    <w:bookmarkStart w:id="119" w:name="page120"/>
    <w:bookmarkEnd w:id="119"/>
    <w:p>
      <w:pPr>
        <w:ind w:left="280"/>
        <w:spacing w:after="0"/>
        <w:rPr>
          <w:sz w:val="20"/>
          <w:szCs w:val="20"/>
          <w:color w:val="auto"/>
        </w:rPr>
      </w:pPr>
      <w:r>
        <w:rPr>
          <w:rFonts w:ascii="Courier New" w:cs="Courier New" w:eastAsia="Courier New" w:hAnsi="Courier New"/>
          <w:sz w:val="15"/>
          <w:szCs w:val="15"/>
          <w:color w:val="auto"/>
        </w:rPr>
        <w:t>119</w:t>
      </w:r>
    </w:p>
    <w:p>
      <w:pPr>
        <w:ind w:left="3080"/>
        <w:spacing w:after="0" w:line="237" w:lineRule="auto"/>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319" w:firstLine="612"/>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USA WASTE SERVICES, INC.</w:t>
      </w:r>
    </w:p>
    <w:p>
      <w:pPr>
        <w:spacing w:after="0" w:line="335" w:lineRule="exact"/>
        <w:rPr>
          <w:sz w:val="20"/>
          <w:szCs w:val="20"/>
          <w:color w:val="auto"/>
        </w:rPr>
      </w:pPr>
    </w:p>
    <w:p>
      <w:pPr>
        <w:ind w:left="3500"/>
        <w:spacing w:after="0"/>
        <w:tabs>
          <w:tab w:leader="none" w:pos="3920" w:val="left"/>
        </w:tabs>
        <w:rPr>
          <w:sz w:val="20"/>
          <w:szCs w:val="20"/>
          <w:color w:val="auto"/>
        </w:rPr>
      </w:pPr>
      <w:r>
        <w:rPr>
          <w:rFonts w:ascii="Courier New" w:cs="Courier New" w:eastAsia="Courier New" w:hAnsi="Courier New"/>
          <w:sz w:val="15"/>
          <w:szCs w:val="15"/>
          <w:color w:val="auto"/>
        </w:rPr>
        <w:t>By</w:t>
        <w:tab/>
        <w:t>/s/ GREGORY T. SANGALIS</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Gregory T. Sangalis</w:t>
      </w:r>
    </w:p>
    <w:p>
      <w:pPr>
        <w:ind w:left="3940"/>
        <w:spacing w:after="0" w:line="237" w:lineRule="auto"/>
        <w:rPr>
          <w:sz w:val="20"/>
          <w:szCs w:val="20"/>
          <w:color w:val="auto"/>
        </w:rPr>
      </w:pPr>
      <w:r>
        <w:rPr>
          <w:rFonts w:ascii="Courier New" w:cs="Courier New" w:eastAsia="Courier New" w:hAnsi="Courier New"/>
          <w:sz w:val="15"/>
          <w:szCs w:val="15"/>
          <w:color w:val="auto"/>
        </w:rPr>
        <w:t>Vice President, General Counsel</w:t>
      </w:r>
    </w:p>
    <w:p>
      <w:pPr>
        <w:ind w:left="3940"/>
        <w:spacing w:after="0" w:line="238" w:lineRule="auto"/>
        <w:rPr>
          <w:sz w:val="20"/>
          <w:szCs w:val="20"/>
          <w:color w:val="auto"/>
        </w:rPr>
      </w:pPr>
      <w:r>
        <w:rPr>
          <w:rFonts w:ascii="Courier New" w:cs="Courier New" w:eastAsia="Courier New" w:hAnsi="Courier New"/>
          <w:sz w:val="15"/>
          <w:szCs w:val="15"/>
          <w:color w:val="auto"/>
        </w:rPr>
        <w:t>&amp; Secretary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13, 1996</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119</w:t>
      </w:r>
    </w:p>
    <w:p>
      <w:pPr>
        <w:sectPr>
          <w:pgSz w:w="11900" w:h="16838" w:orient="portrait"/>
          <w:cols w:equalWidth="0" w:num="1">
            <w:col w:w="10239"/>
          </w:cols>
          <w:pgMar w:left="220" w:top="281" w:right="1440" w:bottom="1440" w:gutter="0" w:footer="0" w:header="0"/>
        </w:sectPr>
      </w:pPr>
    </w:p>
    <w:bookmarkStart w:id="120" w:name="page121"/>
    <w:bookmarkEnd w:id="120"/>
    <w:p>
      <w:pPr>
        <w:ind w:left="280"/>
        <w:spacing w:after="0"/>
        <w:rPr>
          <w:sz w:val="20"/>
          <w:szCs w:val="20"/>
          <w:color w:val="auto"/>
        </w:rPr>
      </w:pPr>
      <w:r>
        <w:rPr>
          <w:rFonts w:ascii="Courier New" w:cs="Courier New" w:eastAsia="Courier New" w:hAnsi="Courier New"/>
          <w:sz w:val="15"/>
          <w:szCs w:val="15"/>
          <w:color w:val="auto"/>
        </w:rPr>
        <w:t>120</w:t>
      </w:r>
    </w:p>
    <w:tbl>
      <w:tblPr>
        <w:tblLayout w:type="fixed"/>
        <w:tblInd w:w="0" w:type="dxa"/>
        <w:tblCellMar>
          <w:top w:w="0" w:type="dxa"/>
          <w:left w:w="0" w:type="dxa"/>
          <w:bottom w:w="0" w:type="dxa"/>
          <w:right w:w="0" w:type="dxa"/>
        </w:tblCellMar>
      </w:tblPr>
      <w:tr>
        <w:trPr>
          <w:trHeight w:val="168"/>
        </w:trPr>
        <w:tc>
          <w:tcPr>
            <w:tcW w:w="1100" w:type="dxa"/>
            <w:vAlign w:val="bottom"/>
          </w:tcPr>
          <w:p>
            <w:pPr>
              <w:spacing w:after="0"/>
              <w:rPr>
                <w:sz w:val="14"/>
                <w:szCs w:val="14"/>
                <w:color w:val="auto"/>
              </w:rPr>
            </w:pPr>
          </w:p>
        </w:tc>
        <w:tc>
          <w:tcPr>
            <w:tcW w:w="390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rPr>
              <w:t>USA WASTE SERVICES, INC.</w:t>
            </w:r>
          </w:p>
        </w:tc>
      </w:tr>
      <w:tr>
        <w:trPr>
          <w:trHeight w:val="336"/>
        </w:trPr>
        <w:tc>
          <w:tcPr>
            <w:tcW w:w="1100" w:type="dxa"/>
            <w:vAlign w:val="bottom"/>
          </w:tcPr>
          <w:p>
            <w:pPr>
              <w:spacing w:after="0"/>
              <w:rPr>
                <w:sz w:val="24"/>
                <w:szCs w:val="24"/>
                <w:color w:val="auto"/>
              </w:rPr>
            </w:pPr>
          </w:p>
        </w:tc>
        <w:tc>
          <w:tcPr>
            <w:tcW w:w="3900" w:type="dxa"/>
            <w:vAlign w:val="bottom"/>
          </w:tcPr>
          <w:p>
            <w:pPr>
              <w:ind w:left="1800"/>
              <w:spacing w:after="0"/>
              <w:rPr>
                <w:sz w:val="20"/>
                <w:szCs w:val="20"/>
                <w:color w:val="auto"/>
              </w:rPr>
            </w:pPr>
            <w:r>
              <w:rPr>
                <w:rFonts w:ascii="Courier New" w:cs="Courier New" w:eastAsia="Courier New" w:hAnsi="Courier New"/>
                <w:sz w:val="15"/>
                <w:szCs w:val="15"/>
                <w:color w:val="auto"/>
              </w:rPr>
              <w:t>EXHIBIT INDEX</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3900" w:type="dxa"/>
            <w:vAlign w:val="bottom"/>
          </w:tcPr>
          <w:p>
            <w:pPr>
              <w:spacing w:after="0"/>
              <w:rPr>
                <w:sz w:val="24"/>
                <w:szCs w:val="24"/>
                <w:color w:val="auto"/>
              </w:rPr>
            </w:pPr>
          </w:p>
        </w:tc>
      </w:tr>
      <w:tr>
        <w:trPr>
          <w:trHeight w:val="168"/>
        </w:trPr>
        <w:tc>
          <w:tcPr>
            <w:tcW w:w="110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99"/>
              </w:rPr>
              <w:t>NUMBER</w:t>
            </w:r>
          </w:p>
        </w:tc>
        <w:tc>
          <w:tcPr>
            <w:tcW w:w="390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DESCRIPTION OF EXHIBIT</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900" w:type="dxa"/>
            <w:vAlign w:val="bottom"/>
          </w:tcPr>
          <w:p>
            <w:pPr>
              <w:ind w:left="12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94"/>
              </w:rPr>
              <w:t>23.1</w:t>
            </w:r>
          </w:p>
        </w:tc>
        <w:tc>
          <w:tcPr>
            <w:tcW w:w="3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Consent of Independent Auditors</w:t>
            </w:r>
          </w:p>
        </w:tc>
      </w:tr>
      <w:tr>
        <w:trPr>
          <w:trHeight w:val="168"/>
        </w:trPr>
        <w:tc>
          <w:tcPr>
            <w:tcW w:w="110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94"/>
              </w:rPr>
              <w:t>23.2</w:t>
            </w:r>
          </w:p>
        </w:tc>
        <w:tc>
          <w:tcPr>
            <w:tcW w:w="3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Consent of Independent Accountants</w:t>
            </w:r>
          </w:p>
        </w:tc>
      </w:tr>
      <w:tr>
        <w:trPr>
          <w:trHeight w:val="168"/>
        </w:trPr>
        <w:tc>
          <w:tcPr>
            <w:tcW w:w="110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94"/>
              </w:rPr>
              <w:t>23.3</w:t>
            </w:r>
          </w:p>
        </w:tc>
        <w:tc>
          <w:tcPr>
            <w:tcW w:w="3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Consent of Independent Auditors</w:t>
            </w:r>
          </w:p>
        </w:tc>
      </w:tr>
      <w:tr>
        <w:trPr>
          <w:trHeight w:val="168"/>
        </w:trPr>
        <w:tc>
          <w:tcPr>
            <w:tcW w:w="110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94"/>
              </w:rPr>
              <w:t>23.4</w:t>
            </w:r>
          </w:p>
        </w:tc>
        <w:tc>
          <w:tcPr>
            <w:tcW w:w="3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Consent of Independent Auditors</w:t>
            </w:r>
          </w:p>
        </w:tc>
      </w:tr>
      <w:tr>
        <w:trPr>
          <w:trHeight w:val="168"/>
        </w:trPr>
        <w:tc>
          <w:tcPr>
            <w:tcW w:w="110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94"/>
              </w:rPr>
              <w:t>23.5</w:t>
            </w:r>
          </w:p>
        </w:tc>
        <w:tc>
          <w:tcPr>
            <w:tcW w:w="3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Consent of Independent Auditors</w:t>
            </w:r>
          </w:p>
        </w:tc>
      </w:tr>
      <w:tr>
        <w:trPr>
          <w:trHeight w:val="168"/>
        </w:trPr>
        <w:tc>
          <w:tcPr>
            <w:tcW w:w="110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94"/>
              </w:rPr>
              <w:t>23.6</w:t>
            </w:r>
          </w:p>
        </w:tc>
        <w:tc>
          <w:tcPr>
            <w:tcW w:w="3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7"/>
              </w:rPr>
              <w:t>Consent of Independent Public Accountants</w:t>
            </w:r>
          </w:p>
        </w:tc>
      </w:tr>
      <w:tr>
        <w:trPr>
          <w:trHeight w:val="168"/>
        </w:trPr>
        <w:tc>
          <w:tcPr>
            <w:tcW w:w="110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94"/>
              </w:rPr>
              <w:t>23.7</w:t>
            </w:r>
          </w:p>
        </w:tc>
        <w:tc>
          <w:tcPr>
            <w:tcW w:w="3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Consent of Independent Auditors</w:t>
            </w:r>
          </w:p>
        </w:tc>
      </w:tr>
    </w:tbl>
    <w:p>
      <w:pPr>
        <w:sectPr>
          <w:pgSz w:w="11900" w:h="16838" w:orient="portrait"/>
          <w:cols w:equalWidth="0" w:num="1">
            <w:col w:w="10239"/>
          </w:cols>
          <w:pgMar w:left="220" w:top="281" w:right="1440" w:bottom="1440" w:gutter="0" w:footer="0" w:header="0"/>
        </w:sectPr>
      </w:pPr>
    </w:p>
    <w:bookmarkStart w:id="121" w:name="page122"/>
    <w:bookmarkEnd w:id="121"/>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341" w:lineRule="exact"/>
        <w:rPr>
          <w:sz w:val="20"/>
          <w:szCs w:val="20"/>
          <w:color w:val="auto"/>
        </w:rPr>
      </w:pPr>
    </w:p>
    <w:p>
      <w:pPr>
        <w:jc w:val="both"/>
        <w:ind w:right="3579"/>
        <w:spacing w:after="0" w:line="254" w:lineRule="auto"/>
        <w:rPr>
          <w:sz w:val="20"/>
          <w:szCs w:val="20"/>
          <w:color w:val="auto"/>
        </w:rPr>
      </w:pPr>
      <w:r>
        <w:rPr>
          <w:rFonts w:ascii="Courier New" w:cs="Courier New" w:eastAsia="Courier New" w:hAnsi="Courier New"/>
          <w:sz w:val="14"/>
          <w:szCs w:val="14"/>
          <w:color w:val="auto"/>
        </w:rPr>
        <w:t>We consent to the incorporation by reference in the USA Waste Services, Inc. Registration Statements on Form S-4 (File Nos. 33-77110, 33-59259, 33-60103,</w:t>
      </w:r>
    </w:p>
    <w:p>
      <w:pPr>
        <w:spacing w:after="0" w:line="1"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33-63981, 333-02181 and 333-08161), Registration Statements on Form S-3 (File Nos. 33-42988, 33-43809, 33-76226, 33-85018, 333-00097, and 333-08573), and Registration Statements on Form S-8 (File Nos. 33-43619, 33-72436, 33-84988, 33-84990, 33-59807, 33-61621, 33-61625, 33-61627, 333-14115, and 333-14613), of our report dated October 25, 1996, on our audit of the balance sheet of Les Entreprises de Rebuts Sanipan Inc. as of December 31, 1995, and the related statements of earnings and retained earnings and changes in financial position for the year then ended, our report dated October 25, 1996, on our audit of the balance sheet of Transport Sanico Ltee as of December 31, 1995, and the related statements of earnings and retained earnings and changes in financial position for the year then ended, our report dated November 8, 1996, on our audit of the historical summary of revenues and direct operating expenses of the Combined Ontario and Michigan Operations of the Solid Waste Division of Philip Environmental Inc. for the year ended December 31, 1995, and our report dated November 8, 1996, on our audit of the historical summary of the net book value of property, plant and equipment of the Combined Ontario and Michigan Operations of the Solid Waste Division of Philip Environmental Inc. for the year ended December 31, 1995, which are included in this Current Report on Form 8-K/A.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/s/ DELOITTE &amp; TOUCHE</w:t>
      </w:r>
    </w:p>
    <w:p>
      <w:pPr>
        <w:spacing w:after="0" w:line="200" w:lineRule="exact"/>
        <w:rPr>
          <w:sz w:val="20"/>
          <w:szCs w:val="20"/>
          <w:color w:val="auto"/>
        </w:rPr>
      </w:pPr>
    </w:p>
    <w:p>
      <w:pPr>
        <w:spacing w:after="0" w:line="30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DELOITTE &amp; TOUCHE</w:t>
      </w:r>
    </w:p>
    <w:p>
      <w:pPr>
        <w:spacing w:after="0" w:line="16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Chartered Accountants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Mississauga, Ontario</w:t>
      </w:r>
    </w:p>
    <w:p>
      <w:pPr>
        <w:spacing w:after="0" w:line="237" w:lineRule="auto"/>
        <w:rPr>
          <w:sz w:val="20"/>
          <w:szCs w:val="20"/>
          <w:color w:val="auto"/>
        </w:rPr>
      </w:pPr>
      <w:r>
        <w:rPr>
          <w:rFonts w:ascii="Courier New" w:cs="Courier New" w:eastAsia="Courier New" w:hAnsi="Courier New"/>
          <w:sz w:val="15"/>
          <w:szCs w:val="15"/>
          <w:color w:val="auto"/>
        </w:rPr>
        <w:t>November 13, 1996</w:t>
      </w:r>
    </w:p>
    <w:p>
      <w:pPr>
        <w:sectPr>
          <w:pgSz w:w="11900" w:h="16838" w:orient="portrait"/>
          <w:cols w:equalWidth="0" w:num="1">
            <w:col w:w="10239"/>
          </w:cols>
          <w:pgMar w:left="220" w:top="135" w:right="1440" w:bottom="1440" w:gutter="0" w:footer="0" w:header="0"/>
        </w:sectPr>
      </w:pPr>
    </w:p>
    <w:bookmarkStart w:id="122" w:name="page123"/>
    <w:bookmarkEnd w:id="122"/>
    <w:p>
      <w:pPr>
        <w:ind w:left="280"/>
        <w:spacing w:after="0"/>
        <w:rPr>
          <w:sz w:val="20"/>
          <w:szCs w:val="20"/>
          <w:color w:val="auto"/>
        </w:rPr>
      </w:pPr>
      <w:r>
        <w:rPr>
          <w:rFonts w:ascii="Courier New" w:cs="Courier New" w:eastAsia="Courier New" w:hAnsi="Courier New"/>
          <w:sz w:val="15"/>
          <w:szCs w:val="15"/>
          <w:color w:val="auto"/>
        </w:rPr>
        <w:t>1</w:t>
      </w:r>
    </w:p>
    <w:p>
      <w:pPr>
        <w:ind w:left="5780"/>
        <w:spacing w:after="0" w:line="237" w:lineRule="auto"/>
        <w:rPr>
          <w:sz w:val="20"/>
          <w:szCs w:val="20"/>
          <w:color w:val="auto"/>
        </w:rPr>
      </w:pPr>
      <w:r>
        <w:rPr>
          <w:rFonts w:ascii="Courier New" w:cs="Courier New" w:eastAsia="Courier New" w:hAnsi="Courier New"/>
          <w:sz w:val="15"/>
          <w:szCs w:val="15"/>
          <w:color w:val="auto"/>
        </w:rPr>
        <w:t>EXHIBIT 23.2</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3"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We consent to the incorporation by reference in the USA Waste Services, Inc. Registration Statements on Form S-4 (File Nos. 33-77110, 33-59259,</w:t>
      </w:r>
    </w:p>
    <w:p>
      <w:pPr>
        <w:spacing w:after="0" w:line="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33-60103, 33-63981, 333-02181, and 333-08161), Registration Statements on Form S-3 (File Nos. 33-42988, 33-43809, 33-76226, 33-85018, 333-00097, and</w:t>
      </w:r>
    </w:p>
    <w:p>
      <w:pPr>
        <w:spacing w:after="0" w:line="237" w:lineRule="auto"/>
        <w:rPr>
          <w:sz w:val="20"/>
          <w:szCs w:val="20"/>
          <w:color w:val="auto"/>
        </w:rPr>
      </w:pPr>
      <w:r>
        <w:rPr>
          <w:rFonts w:ascii="Courier New" w:cs="Courier New" w:eastAsia="Courier New" w:hAnsi="Courier New"/>
          <w:sz w:val="15"/>
          <w:szCs w:val="15"/>
          <w:color w:val="auto"/>
        </w:rPr>
        <w:t>333-08573), and Registration Statements on Form S-8 (File Nos. 33-43619,</w:t>
      </w:r>
    </w:p>
    <w:p>
      <w:pPr>
        <w:spacing w:after="0" w:line="238" w:lineRule="auto"/>
        <w:rPr>
          <w:sz w:val="20"/>
          <w:szCs w:val="20"/>
          <w:color w:val="auto"/>
        </w:rPr>
      </w:pPr>
      <w:r>
        <w:rPr>
          <w:rFonts w:ascii="Courier New" w:cs="Courier New" w:eastAsia="Courier New" w:hAnsi="Courier New"/>
          <w:sz w:val="15"/>
          <w:szCs w:val="15"/>
          <w:color w:val="auto"/>
        </w:rPr>
        <w:t>33-72436, 33-84988, 33-84990, 33-59807, 33-61621, 33-61625, 33-61627,</w:t>
      </w:r>
    </w:p>
    <w:p>
      <w:pPr>
        <w:spacing w:after="0" w:line="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333-14115, and 333-14613), of our report dated October 15, 1996, on our audit of the balance sheet of Kasper Brothers, Inc. as of September 30, 1995 and the related statements of operations and retained earnings and cash flows for the fiscal year then ended, which is included in this Current Report on Form 8-K/A.</w:t>
      </w:r>
    </w:p>
    <w:p>
      <w:pPr>
        <w:spacing w:after="0" w:line="200" w:lineRule="exact"/>
        <w:rPr>
          <w:sz w:val="20"/>
          <w:szCs w:val="20"/>
          <w:color w:val="auto"/>
        </w:rPr>
      </w:pPr>
    </w:p>
    <w:p>
      <w:pPr>
        <w:spacing w:after="0" w:line="29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COOPERS &amp; LYBRAND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237" w:lineRule="auto"/>
        <w:rPr>
          <w:sz w:val="20"/>
          <w:szCs w:val="20"/>
          <w:color w:val="auto"/>
        </w:rPr>
      </w:pPr>
      <w:r>
        <w:rPr>
          <w:rFonts w:ascii="Courier New" w:cs="Courier New" w:eastAsia="Courier New" w:hAnsi="Courier New"/>
          <w:sz w:val="15"/>
          <w:szCs w:val="15"/>
          <w:color w:val="auto"/>
        </w:rPr>
        <w:t>November 13, 1996</w:t>
      </w:r>
    </w:p>
    <w:p>
      <w:pPr>
        <w:sectPr>
          <w:pgSz w:w="11900" w:h="16838" w:orient="portrait"/>
          <w:cols w:equalWidth="0" w:num="1">
            <w:col w:w="10239"/>
          </w:cols>
          <w:pgMar w:left="220" w:top="135" w:right="1440" w:bottom="1440" w:gutter="0" w:footer="0" w:header="0"/>
        </w:sectPr>
      </w:pPr>
    </w:p>
    <w:bookmarkStart w:id="123" w:name="page124"/>
    <w:bookmarkEnd w:id="123"/>
    <w:p>
      <w:pPr>
        <w:ind w:left="280"/>
        <w:spacing w:after="0"/>
        <w:rPr>
          <w:sz w:val="20"/>
          <w:szCs w:val="20"/>
          <w:color w:val="auto"/>
        </w:rPr>
      </w:pPr>
      <w:r>
        <w:rPr>
          <w:rFonts w:ascii="Courier New" w:cs="Courier New" w:eastAsia="Courier New" w:hAnsi="Courier New"/>
          <w:sz w:val="15"/>
          <w:szCs w:val="15"/>
          <w:color w:val="auto"/>
        </w:rPr>
        <w:t>1</w:t>
      </w:r>
    </w:p>
    <w:p>
      <w:pPr>
        <w:ind w:left="5780"/>
        <w:spacing w:after="0" w:line="237" w:lineRule="auto"/>
        <w:rPr>
          <w:sz w:val="20"/>
          <w:szCs w:val="20"/>
          <w:color w:val="auto"/>
        </w:rPr>
      </w:pPr>
      <w:r>
        <w:rPr>
          <w:rFonts w:ascii="Courier New" w:cs="Courier New" w:eastAsia="Courier New" w:hAnsi="Courier New"/>
          <w:sz w:val="15"/>
          <w:szCs w:val="15"/>
          <w:color w:val="auto"/>
        </w:rPr>
        <w:t>EXHIBIT 23.3</w:t>
      </w:r>
    </w:p>
    <w:p>
      <w:pPr>
        <w:spacing w:after="0" w:line="33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3"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We consent to the incorporation by reference in the USA Waste Services, Inc. Registration Statements on Form S-4 (File Nos. 33-77110, 33-59259,</w:t>
      </w:r>
    </w:p>
    <w:p>
      <w:pPr>
        <w:spacing w:after="0" w:line="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33-60103, 33-63981, 333-02181, and 333-08161), Registration Statements on Form S-3 (File Nos. 33-42988, 33-43809, 33-76226, 33-85018, 333-00097, and</w:t>
      </w:r>
    </w:p>
    <w:p>
      <w:pPr>
        <w:spacing w:after="0" w:line="237" w:lineRule="auto"/>
        <w:rPr>
          <w:sz w:val="20"/>
          <w:szCs w:val="20"/>
          <w:color w:val="auto"/>
        </w:rPr>
      </w:pPr>
      <w:r>
        <w:rPr>
          <w:rFonts w:ascii="Courier New" w:cs="Courier New" w:eastAsia="Courier New" w:hAnsi="Courier New"/>
          <w:sz w:val="15"/>
          <w:szCs w:val="15"/>
          <w:color w:val="auto"/>
        </w:rPr>
        <w:t>333-08573), and Registration Statements on Form S-8 (File Nos. 33-43619,</w:t>
      </w:r>
    </w:p>
    <w:p>
      <w:pPr>
        <w:spacing w:after="0" w:line="238" w:lineRule="auto"/>
        <w:rPr>
          <w:sz w:val="20"/>
          <w:szCs w:val="20"/>
          <w:color w:val="auto"/>
        </w:rPr>
      </w:pPr>
      <w:r>
        <w:rPr>
          <w:rFonts w:ascii="Courier New" w:cs="Courier New" w:eastAsia="Courier New" w:hAnsi="Courier New"/>
          <w:sz w:val="15"/>
          <w:szCs w:val="15"/>
          <w:color w:val="auto"/>
        </w:rPr>
        <w:t>33-72436, 33-84988, 33-84990, 33-59807, 33-61621, 33-61625, 33-61627,</w:t>
      </w:r>
    </w:p>
    <w:p>
      <w:pPr>
        <w:spacing w:after="0" w:line="238" w:lineRule="auto"/>
        <w:rPr>
          <w:sz w:val="20"/>
          <w:szCs w:val="20"/>
          <w:color w:val="auto"/>
        </w:rPr>
      </w:pPr>
      <w:r>
        <w:rPr>
          <w:rFonts w:ascii="Courier New" w:cs="Courier New" w:eastAsia="Courier New" w:hAnsi="Courier New"/>
          <w:sz w:val="15"/>
          <w:szCs w:val="15"/>
          <w:color w:val="auto"/>
        </w:rPr>
        <w:t>333-14115, and 333-14613), of our report dated March 11, 1996, on our audit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of the balance sheets of The Arnoni Group of Companies (consisting of The Arnoni Group, Inc., M.C. Arnoni Company, South Hills Disposal Company, Cochran Mill Associates, Inc. and Arnoni Family Partnership) as of December 31, 1995, and the related combined statement of income and retained earnings and combined statement of cash flows for the year then ended, which is included in this Current Report on Form 8-K/A.</w:t>
      </w:r>
    </w:p>
    <w:p>
      <w:pPr>
        <w:spacing w:after="0" w:line="200" w:lineRule="exact"/>
        <w:rPr>
          <w:sz w:val="20"/>
          <w:szCs w:val="20"/>
          <w:color w:val="auto"/>
        </w:rPr>
      </w:pPr>
    </w:p>
    <w:p>
      <w:pPr>
        <w:spacing w:after="0" w:line="30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KAPLAN SIPOS &amp; ASSOCIATES</w:t>
      </w:r>
    </w:p>
    <w:p>
      <w:pPr>
        <w:ind w:left="3500"/>
        <w:spacing w:after="0" w:line="237" w:lineRule="auto"/>
        <w:rPr>
          <w:sz w:val="20"/>
          <w:szCs w:val="20"/>
          <w:color w:val="auto"/>
        </w:rPr>
      </w:pPr>
      <w:r>
        <w:rPr>
          <w:rFonts w:ascii="Courier New" w:cs="Courier New" w:eastAsia="Courier New" w:hAnsi="Courier New"/>
          <w:sz w:val="15"/>
          <w:szCs w:val="15"/>
          <w:color w:val="auto"/>
        </w:rPr>
        <w:t>CERTIFIED PUBLIC ACCOUNTANTS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Pittsburgh, Pennsylvania</w:t>
      </w:r>
    </w:p>
    <w:p>
      <w:pPr>
        <w:spacing w:after="0" w:line="237" w:lineRule="auto"/>
        <w:rPr>
          <w:sz w:val="20"/>
          <w:szCs w:val="20"/>
          <w:color w:val="auto"/>
        </w:rPr>
      </w:pPr>
      <w:r>
        <w:rPr>
          <w:rFonts w:ascii="Courier New" w:cs="Courier New" w:eastAsia="Courier New" w:hAnsi="Courier New"/>
          <w:sz w:val="15"/>
          <w:szCs w:val="15"/>
          <w:color w:val="auto"/>
        </w:rPr>
        <w:t>November 13, 1996</w:t>
      </w:r>
    </w:p>
    <w:p>
      <w:pPr>
        <w:sectPr>
          <w:pgSz w:w="11900" w:h="16838" w:orient="portrait"/>
          <w:cols w:equalWidth="0" w:num="1">
            <w:col w:w="10239"/>
          </w:cols>
          <w:pgMar w:left="220" w:top="135" w:right="1440" w:bottom="1440" w:gutter="0" w:footer="0" w:header="0"/>
        </w:sectPr>
      </w:pPr>
    </w:p>
    <w:bookmarkStart w:id="124" w:name="page125"/>
    <w:bookmarkEnd w:id="124"/>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23.4</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3"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We consent to the incorporation by reference in the USA Waste Services, Inc. Registration Statements on Form S-4 (File Nos. 33-77110, 33-59259,</w:t>
      </w:r>
    </w:p>
    <w:p>
      <w:pPr>
        <w:spacing w:after="0" w:line="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33-60103, 33-63981, 333-02181, and 333-08161), Registration Statements on Form S-3 (File Nos. 33-42988, 33-43809, 33-76226, 33-85018, 333-00097, and</w:t>
      </w:r>
    </w:p>
    <w:p>
      <w:pPr>
        <w:spacing w:after="0" w:line="237" w:lineRule="auto"/>
        <w:rPr>
          <w:sz w:val="20"/>
          <w:szCs w:val="20"/>
          <w:color w:val="auto"/>
        </w:rPr>
      </w:pPr>
      <w:r>
        <w:rPr>
          <w:rFonts w:ascii="Courier New" w:cs="Courier New" w:eastAsia="Courier New" w:hAnsi="Courier New"/>
          <w:sz w:val="15"/>
          <w:szCs w:val="15"/>
          <w:color w:val="auto"/>
        </w:rPr>
        <w:t>333-08573), and Registration Statements on Form S-8 (File Nos. 33-43619,</w:t>
      </w:r>
    </w:p>
    <w:p>
      <w:pPr>
        <w:spacing w:after="0" w:line="238" w:lineRule="auto"/>
        <w:rPr>
          <w:sz w:val="20"/>
          <w:szCs w:val="20"/>
          <w:color w:val="auto"/>
        </w:rPr>
      </w:pPr>
      <w:r>
        <w:rPr>
          <w:rFonts w:ascii="Courier New" w:cs="Courier New" w:eastAsia="Courier New" w:hAnsi="Courier New"/>
          <w:sz w:val="15"/>
          <w:szCs w:val="15"/>
          <w:color w:val="auto"/>
        </w:rPr>
        <w:t>33-72436, 33-84988, 33-84990, 33-59807, 33-61621, 33-61625, 33-61627,</w:t>
      </w:r>
    </w:p>
    <w:p>
      <w:pPr>
        <w:spacing w:after="0" w:line="5"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333-14115, and 333-14613), of our report dated March 18, 1996, on our audit of the balance sheet of Jennings Environmental Services, Inc. (an S corporation) as of December 31, 1995 and the related statements of income and changes in stockholders' equity and the statement of cash flows for the year then ended, which is included in this Current Report on Form 8-K/A.</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BLAKE, KUEHLER, BABIONE &amp; POOL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Orlando, Florida</w:t>
      </w:r>
    </w:p>
    <w:p>
      <w:pPr>
        <w:spacing w:after="0" w:line="237" w:lineRule="auto"/>
        <w:rPr>
          <w:sz w:val="20"/>
          <w:szCs w:val="20"/>
          <w:color w:val="auto"/>
        </w:rPr>
      </w:pPr>
      <w:r>
        <w:rPr>
          <w:rFonts w:ascii="Courier New" w:cs="Courier New" w:eastAsia="Courier New" w:hAnsi="Courier New"/>
          <w:sz w:val="15"/>
          <w:szCs w:val="15"/>
          <w:color w:val="auto"/>
        </w:rPr>
        <w:t>November 13, 1996</w:t>
      </w:r>
    </w:p>
    <w:p>
      <w:pPr>
        <w:sectPr>
          <w:pgSz w:w="11900" w:h="16838" w:orient="portrait"/>
          <w:cols w:equalWidth="0" w:num="1">
            <w:col w:w="10239"/>
          </w:cols>
          <w:pgMar w:left="220" w:top="135" w:right="1440" w:bottom="1440" w:gutter="0" w:footer="0" w:header="0"/>
        </w:sectPr>
      </w:pPr>
    </w:p>
    <w:bookmarkStart w:id="125" w:name="page126"/>
    <w:bookmarkEnd w:id="125"/>
    <w:p>
      <w:pPr>
        <w:ind w:left="280"/>
        <w:spacing w:after="0"/>
        <w:rPr>
          <w:sz w:val="20"/>
          <w:szCs w:val="20"/>
          <w:color w:val="auto"/>
        </w:rPr>
      </w:pPr>
      <w:r>
        <w:rPr>
          <w:rFonts w:ascii="Courier New" w:cs="Courier New" w:eastAsia="Courier New" w:hAnsi="Courier New"/>
          <w:sz w:val="15"/>
          <w:szCs w:val="15"/>
          <w:color w:val="auto"/>
        </w:rPr>
        <w:t>1</w:t>
      </w:r>
    </w:p>
    <w:p>
      <w:pPr>
        <w:ind w:left="5700"/>
        <w:spacing w:after="0" w:line="237" w:lineRule="auto"/>
        <w:rPr>
          <w:sz w:val="20"/>
          <w:szCs w:val="20"/>
          <w:color w:val="auto"/>
        </w:rPr>
      </w:pPr>
      <w:r>
        <w:rPr>
          <w:rFonts w:ascii="Courier New" w:cs="Courier New" w:eastAsia="Courier New" w:hAnsi="Courier New"/>
          <w:sz w:val="15"/>
          <w:szCs w:val="15"/>
          <w:color w:val="auto"/>
        </w:rPr>
        <w:t>EXHIBIT 23.5</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3"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We consent to the incorporation by reference in the USA Waste Services, Inc. Registration Statements on Form S-4 (File Nos. 33-77110, 33-59259,</w:t>
      </w:r>
    </w:p>
    <w:p>
      <w:pPr>
        <w:spacing w:after="0" w:line="1" w:lineRule="exact"/>
        <w:rPr>
          <w:sz w:val="20"/>
          <w:szCs w:val="20"/>
          <w:color w:val="auto"/>
        </w:rPr>
      </w:pPr>
    </w:p>
    <w:p>
      <w:pPr>
        <w:ind w:right="3759"/>
        <w:spacing w:after="0" w:line="254" w:lineRule="auto"/>
        <w:rPr>
          <w:sz w:val="20"/>
          <w:szCs w:val="20"/>
          <w:color w:val="auto"/>
        </w:rPr>
      </w:pPr>
      <w:r>
        <w:rPr>
          <w:rFonts w:ascii="Courier New" w:cs="Courier New" w:eastAsia="Courier New" w:hAnsi="Courier New"/>
          <w:sz w:val="14"/>
          <w:szCs w:val="14"/>
          <w:color w:val="auto"/>
        </w:rPr>
        <w:t>33-60103, 33-63981, 333-02181, and 333-08161), Registration Statements on Form S-3 (File Nos. 33-42988, 33-43809, 33-76226, 33-85018, 333-00097, and 333-08573), and Registration Statements on Form S-8 (File Nos. 33-43619,</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33-72436, 33-84988, 33-84990, 33-59807, 33-61621, 33-61625, 33-61627, 333-14115, and 333-14613), of our report dated September 19, 1996, on our audits of the combined balance sheet of Grand Central Sanitation, Inc. and Related Companies as of December 31, 1995, and the related combined statements of income, stockholders' equity and cash flows for the year then ended, which is included in this Current Report on Form 8-K/A.</w:t>
      </w:r>
    </w:p>
    <w:p>
      <w:pPr>
        <w:spacing w:after="0" w:line="33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BUCKNO LISICKY &amp; COMPANY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Allentown, Pennsylvania</w:t>
      </w:r>
    </w:p>
    <w:p>
      <w:pPr>
        <w:spacing w:after="0" w:line="237" w:lineRule="auto"/>
        <w:rPr>
          <w:sz w:val="20"/>
          <w:szCs w:val="20"/>
          <w:color w:val="auto"/>
        </w:rPr>
      </w:pPr>
      <w:r>
        <w:rPr>
          <w:rFonts w:ascii="Courier New" w:cs="Courier New" w:eastAsia="Courier New" w:hAnsi="Courier New"/>
          <w:sz w:val="15"/>
          <w:szCs w:val="15"/>
          <w:color w:val="auto"/>
        </w:rPr>
        <w:t>November 13, 1996</w:t>
      </w:r>
    </w:p>
    <w:p>
      <w:pPr>
        <w:sectPr>
          <w:pgSz w:w="11900" w:h="16838" w:orient="portrait"/>
          <w:cols w:equalWidth="0" w:num="1">
            <w:col w:w="10239"/>
          </w:cols>
          <w:pgMar w:left="220" w:top="135" w:right="1440" w:bottom="1440" w:gutter="0" w:footer="0" w:header="0"/>
        </w:sectPr>
      </w:pPr>
    </w:p>
    <w:bookmarkStart w:id="126" w:name="page127"/>
    <w:bookmarkEnd w:id="126"/>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23.6</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3"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We consent to the incorporation by reference in the USA Waste Services, Inc. Registration Statements on Form S-4 (File Nos. 33-77110, 33-59259,</w:t>
      </w:r>
    </w:p>
    <w:p>
      <w:pPr>
        <w:spacing w:after="0" w:line="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33-60103, 33-63981, 333-02181, and 333-08161), Registration Statements on Form S-3 (File Nos. 33-42988, 33-43809, 33-76226, 33-85018, 333-00097, and</w:t>
      </w:r>
    </w:p>
    <w:p>
      <w:pPr>
        <w:spacing w:after="0" w:line="237" w:lineRule="auto"/>
        <w:rPr>
          <w:sz w:val="20"/>
          <w:szCs w:val="20"/>
          <w:color w:val="auto"/>
        </w:rPr>
      </w:pPr>
      <w:r>
        <w:rPr>
          <w:rFonts w:ascii="Courier New" w:cs="Courier New" w:eastAsia="Courier New" w:hAnsi="Courier New"/>
          <w:sz w:val="15"/>
          <w:szCs w:val="15"/>
          <w:color w:val="auto"/>
        </w:rPr>
        <w:t>333-08573), and Registration Statements on Form S-8 (File Nos. 33-43619,</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33-59807, 33-61621, 33-61625, 33-61627, 33-72436, 33-84988, 33-84990, 333-14115, and 333-14613), of our report dated February 2, 1996, on our audit of the Combined balance sheet of Garnet of Virginia, Inc., and Garnet of Maryland, Inc., as of December 31, 1995 and the related combined statements of operations, stockholders' deficit and cash flows for the year then ended, and our report dated September 13, 1996, on our audit of the combined balance sheet of the Combined Companies (consisting of City Disposal, Inc., Alpine Disposal and Recycling, Inc. and L.G. Industries, Inc.) as of December 31, 1995, and the related combined statements of operations, stockholders' equity and partners' capital and cash flows for the year then ended, which are included in this Current Report on Form 8-K/A.</w:t>
      </w:r>
    </w:p>
    <w:p>
      <w:pPr>
        <w:spacing w:after="0" w:line="174"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37" w:lineRule="auto"/>
        <w:rPr>
          <w:sz w:val="20"/>
          <w:szCs w:val="20"/>
          <w:color w:val="auto"/>
        </w:rPr>
      </w:pPr>
      <w:r>
        <w:rPr>
          <w:rFonts w:ascii="Courier New" w:cs="Courier New" w:eastAsia="Courier New" w:hAnsi="Courier New"/>
          <w:sz w:val="15"/>
          <w:szCs w:val="15"/>
          <w:color w:val="auto"/>
        </w:rPr>
        <w:t>November 13, 1996</w:t>
      </w:r>
    </w:p>
    <w:p>
      <w:pPr>
        <w:sectPr>
          <w:pgSz w:w="11900" w:h="16838" w:orient="portrait"/>
          <w:cols w:equalWidth="0" w:num="1">
            <w:col w:w="10239"/>
          </w:cols>
          <w:pgMar w:left="220" w:top="135" w:right="1440" w:bottom="1440" w:gutter="0" w:footer="0" w:header="0"/>
        </w:sectPr>
      </w:pPr>
    </w:p>
    <w:bookmarkStart w:id="127" w:name="page128"/>
    <w:bookmarkEnd w:id="127"/>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23.7</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3"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We consent to the incorporation by reference in the USA Waste Services, Inc. Registration Statements on Form S-4 (File Nos. 33-77110, 33-59259,</w:t>
      </w:r>
    </w:p>
    <w:p>
      <w:pPr>
        <w:spacing w:after="0" w:line="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33-60103, 33-63981, 333-02181, and 333-08161), Registration Statements on Form S-3 (File Nos. 33-42988, 33-43809, 33-76226, 33-85018, 333-00097, and</w:t>
      </w:r>
    </w:p>
    <w:p>
      <w:pPr>
        <w:spacing w:after="0" w:line="237" w:lineRule="auto"/>
        <w:rPr>
          <w:sz w:val="20"/>
          <w:szCs w:val="20"/>
          <w:color w:val="auto"/>
        </w:rPr>
      </w:pPr>
      <w:r>
        <w:rPr>
          <w:rFonts w:ascii="Courier New" w:cs="Courier New" w:eastAsia="Courier New" w:hAnsi="Courier New"/>
          <w:sz w:val="15"/>
          <w:szCs w:val="15"/>
          <w:color w:val="auto"/>
        </w:rPr>
        <w:t>333-08573), and Registration Statements on Form S-8 (File Nos. 33-43619,</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33-72436, 33-84988, 33-84990, 33-59807, 33-61621, 33-61625, 33-61627, 333-14115, and 333-14613), of our report dated July 13, 1996, on our audit of the combined balance sheet of The Orange Group (consisting of Orange Waste, Recycling &amp; Materials, Inc., Orange Soil Cement, Inc., Orange Trucking, Inc. and Orange Transportation Corp.), as of December 31, 1995, and the related combined statements of operations, retained earnings, and cash flows for the year then ended, which is included in this Current Report on Form 8-K/A.</w:t>
      </w:r>
    </w:p>
    <w:p>
      <w:pPr>
        <w:spacing w:after="0" w:line="169"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OSBURN, HENNING AND COMPANY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Orlando, Florida</w:t>
      </w:r>
    </w:p>
    <w:p>
      <w:pPr>
        <w:spacing w:after="0" w:line="237" w:lineRule="auto"/>
        <w:rPr>
          <w:sz w:val="20"/>
          <w:szCs w:val="20"/>
          <w:color w:val="auto"/>
        </w:rPr>
      </w:pPr>
      <w:r>
        <w:rPr>
          <w:rFonts w:ascii="Courier New" w:cs="Courier New" w:eastAsia="Courier New" w:hAnsi="Courier New"/>
          <w:sz w:val="15"/>
          <w:szCs w:val="15"/>
          <w:color w:val="auto"/>
        </w:rPr>
        <w:t>November 13, 1996</w:t>
      </w:r>
    </w:p>
    <w:sectPr>
      <w:pgSz w:w="11900" w:h="16838" w:orient="portrait"/>
      <w:cols w:equalWidth="0" w:num="1">
        <w:col w:w="10239"/>
      </w:cols>
      <w:pgMar w:left="2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lowerLetter"/>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4"/>
    </w:lvl>
  </w:abstractNum>
  <w:abstractNum w:abstractNumId="10">
    <w:nsid w:val="2CA88611"/>
    <w:multiLevelType w:val="hybridMultilevel"/>
    <w:lvl w:ilvl="0">
      <w:lvlJc w:val="left"/>
      <w:lvlText w:val="%1."/>
      <w:numFmt w:val="decimal"/>
      <w:start w:val="5"/>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
      <w:numFmt w:val="bullet"/>
      <w:start w:val="1"/>
    </w:lvl>
    <w:lvl w:ilvl="1">
      <w:lvlJc w:val="left"/>
      <w:lvlText w:val="--"/>
      <w:numFmt w:val="bullet"/>
      <w:start w:val="1"/>
    </w:lvl>
  </w:abstractNum>
  <w:abstractNum w:abstractNumId="20">
    <w:nsid w:val="4516DDE9"/>
    <w:multiLevelType w:val="hybridMultilevel"/>
    <w:lvl w:ilvl="0">
      <w:lvlJc w:val="left"/>
      <w:lvlText w:val="%1."/>
      <w:numFmt w:val="decimal"/>
      <w:start w:val="7"/>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2"/>
    </w:lvl>
  </w:abstractNum>
  <w:abstractNum w:abstractNumId="26">
    <w:nsid w:val="5072367"/>
    <w:multiLevelType w:val="hybridMultilevel"/>
    <w:lvl w:ilvl="0">
      <w:lvlJc w:val="left"/>
      <w:lvlText w:val="%1."/>
      <w:numFmt w:val="decimal"/>
      <w:start w:val="3"/>
    </w:lvl>
  </w:abstractNum>
  <w:abstractNum w:abstractNumId="27">
    <w:nsid w:val="3804823E"/>
    <w:multiLevelType w:val="hybridMultilevel"/>
    <w:lvl w:ilvl="0">
      <w:lvlJc w:val="left"/>
      <w:lvlText w:val="%1."/>
      <w:numFmt w:val="decimal"/>
      <w:start w:val="4"/>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2"/>
    </w:lvl>
  </w:abstractNum>
  <w:abstractNum w:abstractNumId="31">
    <w:nsid w:val="2463B9EA"/>
    <w:multiLevelType w:val="hybridMultilevel"/>
    <w:lvl w:ilvl="0">
      <w:lvlJc w:val="left"/>
      <w:lvlText w:val="%1."/>
      <w:numFmt w:val="decimal"/>
      <w:start w:val="3"/>
    </w:lvl>
  </w:abstractNum>
  <w:abstractNum w:abstractNumId="32">
    <w:nsid w:val="5E884ADC"/>
    <w:multiLevelType w:val="hybridMultilevel"/>
    <w:lvl w:ilvl="0">
      <w:lvlJc w:val="left"/>
      <w:lvlText w:val="%1."/>
      <w:numFmt w:val="decimal"/>
      <w:start w:val="4"/>
    </w:lvl>
  </w:abstractNum>
  <w:abstractNum w:abstractNumId="33">
    <w:nsid w:val="51EAD36B"/>
    <w:multiLevelType w:val="hybridMultilevel"/>
    <w:lvl w:ilvl="0">
      <w:lvlJc w:val="left"/>
      <w:lvlText w:val="%1."/>
      <w:numFmt w:val="decimal"/>
      <w:start w:val="5"/>
    </w:lvl>
  </w:abstractNum>
  <w:abstractNum w:abstractNumId="34">
    <w:nsid w:val="2D517796"/>
    <w:multiLevelType w:val="hybridMultilevel"/>
    <w:lvl w:ilvl="0">
      <w:lvlJc w:val="left"/>
      <w:lvlText w:val="%1."/>
      <w:numFmt w:val="decimal"/>
      <w:start w:val="6"/>
    </w:lvl>
  </w:abstractNum>
  <w:abstractNum w:abstractNumId="35">
    <w:nsid w:val="580BD78F"/>
    <w:multiLevelType w:val="hybridMultilevel"/>
    <w:lvl w:ilvl="0">
      <w:lvlJc w:val="left"/>
      <w:lvlText w:val="%1."/>
      <w:numFmt w:val="decimal"/>
      <w:start w:val="7"/>
    </w:lvl>
  </w:abstractNum>
  <w:abstractNum w:abstractNumId="36">
    <w:nsid w:val="153EA438"/>
    <w:multiLevelType w:val="hybridMultilevel"/>
    <w:lvl w:ilvl="0">
      <w:lvlJc w:val="left"/>
      <w:lvlText w:val="%1."/>
      <w:numFmt w:val="decimal"/>
      <w:start w:val="8"/>
    </w:lvl>
  </w:abstractNum>
  <w:abstractNum w:abstractNumId="37">
    <w:nsid w:val="3855585C"/>
    <w:multiLevelType w:val="hybridMultilevel"/>
    <w:lvl w:ilvl="0">
      <w:lvlJc w:val="left"/>
      <w:lvlText w:val="%1."/>
      <w:numFmt w:val="decimal"/>
      <w:start w:val="9"/>
    </w:lvl>
  </w:abstractNum>
  <w:abstractNum w:abstractNumId="38">
    <w:nsid w:val="70A64E2A"/>
    <w:multiLevelType w:val="hybridMultilevel"/>
    <w:lvl w:ilvl="0">
      <w:lvlJc w:val="left"/>
      <w:lvlText w:val="%1."/>
      <w:numFmt w:val="decimal"/>
      <w:start w:val="10"/>
    </w:lvl>
  </w:abstractNum>
  <w:abstractNum w:abstractNumId="39">
    <w:nsid w:val="6A2342EC"/>
    <w:multiLevelType w:val="hybridMultilevel"/>
    <w:lvl w:ilvl="0">
      <w:lvlJc w:val="left"/>
      <w:lvlText w:val="%1."/>
      <w:numFmt w:val="decimal"/>
      <w:start w:val="11"/>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1."/>
      <w:numFmt w:val="decimal"/>
      <w:start w:val="2"/>
    </w:lvl>
  </w:abstractNum>
  <w:abstractNum w:abstractNumId="43">
    <w:nsid w:val="2CD89A32"/>
    <w:multiLevelType w:val="hybridMultilevel"/>
    <w:lvl w:ilvl="0">
      <w:lvlJc w:val="left"/>
      <w:lvlText w:val="%1."/>
      <w:numFmt w:val="decimal"/>
      <w:start w:val="7"/>
    </w:lvl>
  </w:abstractNum>
  <w:abstractNum w:abstractNumId="44">
    <w:nsid w:val="57E4CCAF"/>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2019-12-20T04:30:10Z</dcterms:created>
  <dcterms:modified xsi:type="dcterms:W3CDTF">2019-12-20T04:30:10Z</dcterms:modified>
</cp:coreProperties>
</file>