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321764d1_8k.htm"/>
      <w:bookmarkStart w:id="1" w:name="kstm2321764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307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25,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3"/>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195"/>
        <w:gridCol w:w="60"/>
        <w:gridCol w:w="2210"/>
        <w:gridCol w:w="60"/>
        <w:gridCol w:w="1520"/>
      </w:tblGrid>
      <w:tr>
        <w:trPr/>
        <w:tc>
          <w:tcPr>
            <w:tcW w:w="2195" w:type="dxa"/>
            <w:tcBorders/>
            <w:vAlign w:val="center"/>
          </w:tcPr>
          <w:p>
            <w:pPr>
              <w:pStyle w:val="TableContents"/>
              <w:bidi w:val="0"/>
              <w:spacing w:before="0" w:after="283"/>
              <w:jc w:val="center"/>
              <w:rPr>
                <w:b/>
              </w:rPr>
            </w:pPr>
            <w:bookmarkStart w:id="5" w:name="xdx_904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30725"/>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73-1309529</w:t>
            </w:r>
          </w:p>
        </w:tc>
      </w:tr>
      <w:tr>
        <w:trPr/>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5_edei--EntityAddressAddressLine1_"/>
            <w:bookmarkEnd w:id="8"/>
            <w:r>
              <w:rPr>
                <w:rFonts w:ascii="Times New Roman;Times;Serif" w:hAnsi="Times New Roman;Times;Serif"/>
                <w:b/>
                <w:sz w:val="20"/>
              </w:rPr>
              <w:t xml:space="preserve">800 Capitol Street, </w:t>
            </w:r>
            <w:bookmarkStart w:id="9" w:name="xdx_90B_edei--EntityAddressAddressLine2_"/>
            <w:bookmarkEnd w:id="9"/>
            <w:r>
              <w:rPr>
                <w:rFonts w:ascii="Times New Roman;Times;Serif" w:hAnsi="Times New Roman;Times;Serif"/>
                <w:b/>
                <w:sz w:val="20"/>
              </w:rPr>
              <w:t xml:space="preserve">Suite 3000, </w:t>
            </w:r>
            <w:bookmarkStart w:id="10" w:name="xdx_90D_edei--EntityAddressCityOrTown_c2"/>
            <w:bookmarkEnd w:id="10"/>
            <w:r>
              <w:rPr>
                <w:rFonts w:ascii="Times New Roman;Times;Serif" w:hAnsi="Times New Roman;Times;Serif"/>
                <w:b/>
                <w:sz w:val="20"/>
              </w:rPr>
              <w:t xml:space="preserve">Houston, </w:t>
            </w:r>
            <w:bookmarkStart w:id="11" w:name="xdx_903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30725__20"/>
      <w:bookmarkEnd w:id="13"/>
      <w:r>
        <w:rPr>
          <w:rFonts w:ascii="Times New Roman;Times;Serif" w:hAnsi="Times New Roman;Times;Serif"/>
          <w:b/>
          <w:i w:val="false"/>
          <w:caps w:val="false"/>
          <w:smallCaps w:val="false"/>
          <w:sz w:val="20"/>
        </w:rPr>
        <w:t xml:space="preserve">713) </w:t>
      </w:r>
      <w:bookmarkStart w:id="14" w:name="xdx_900_edei--LocalPhoneNumber_c20230725"/>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D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bookmarkStart w:id="16" w:name="xdx_90B_edei--SolicitingMaterial_c202307"/>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bookmarkStart w:id="17" w:name="xdx_903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bookmarkStart w:id="18" w:name="xdx_908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Layout w:type="fixed"/>
        <w:tblCellMar>
          <w:top w:w="28"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3575" w:type="dxa"/>
            <w:tcBorders>
              <w:top w:val="single" w:sz="8" w:space="0" w:color="000000"/>
              <w:right w:val="single" w:sz="8" w:space="0" w:color="000000"/>
            </w:tcBorders>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19" w:name="xdx_90B_edei--Security12bTitle_c20230725"/>
            <w:bookmarkEnd w:id="19"/>
            <w:r>
              <w:rPr>
                <w:rFonts w:ascii="Times New Roman;Times;Serif" w:hAnsi="Times New Roman;Times;Serif"/>
                <w:sz w:val="20"/>
              </w:rPr>
              <w:t>Common Stock, $0.01 par value</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1535"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20" w:name="xdx_908_edei--TradingSymbol_c20230725__2"/>
            <w:bookmarkEnd w:id="20"/>
            <w:r>
              <w:rPr>
                <w:rFonts w:ascii="Times New Roman;Times;Serif" w:hAnsi="Times New Roman;Times;Serif"/>
                <w:sz w:val="20"/>
              </w:rPr>
              <w:t>WM</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3575" w:type="dxa"/>
            <w:tcBorders>
              <w:left w:val="single" w:sz="8" w:space="0" w:color="000000"/>
              <w:bottom w:val="single" w:sz="8" w:space="0" w:color="000000"/>
              <w:right w:val="single" w:sz="8" w:space="0" w:color="000000"/>
            </w:tcBorders>
            <w:tcMar>
              <w:top w:w="0" w:type="dxa"/>
              <w:left w:w="120" w:type="dxa"/>
              <w:bottom w:w="160" w:type="dxa"/>
              <w:right w:w="60" w:type="dxa"/>
            </w:tcMar>
            <w:vAlign w:val="center"/>
          </w:tcPr>
          <w:p>
            <w:pPr>
              <w:pStyle w:val="TableContents"/>
              <w:bidi w:val="0"/>
              <w:spacing w:before="0" w:after="283"/>
              <w:jc w:val="left"/>
              <w:rPr>
                <w:rFonts w:ascii="Times New Roman;Times;Serif" w:hAnsi="Times New Roman;Times;Serif"/>
                <w:sz w:val="20"/>
              </w:rPr>
            </w:pPr>
            <w:bookmarkStart w:id="21" w:name="xdx_903_edei--SecurityExchangeName_c2023"/>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5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(the “Company”) issued a press release today announcing its financial results for the second quarter of 2023, a copy of which is furnished as Exhibit 99.1 to this Form 8-K. The Company is conducting an audio webcast to discuss these results beginning at 9:00 a.m. Central Time on July 26, 2023. </w:t>
      </w:r>
      <w:r>
        <w:rPr>
          <w:rFonts w:ascii="Times New Roman;Times;Serif" w:hAnsi="Times New Roman;Times;Serif"/>
          <w:b w:val="false"/>
          <w:i w:val="false"/>
          <w:caps w:val="false"/>
          <w:smallCaps w:val="false"/>
          <w:color w:val="0A0A0A"/>
          <w:sz w:val="20"/>
        </w:rPr>
        <w:t xml:space="preserve">Listeners can access the live audio webcast by visiting investors.wm.com and selecting “Events &amp; Presentations” from the website menu. A replay of the audio webcast will be available at the same location.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tbl>
      <w:tblPr>
        <w:tblW w:w="8125" w:type="dxa"/>
        <w:jc w:val="left"/>
        <w:tblInd w:w="0" w:type="dxa"/>
        <w:tblLayout w:type="fixed"/>
        <w:tblCellMar>
          <w:top w:w="0" w:type="dxa"/>
          <w:left w:w="0" w:type="dxa"/>
          <w:bottom w:w="0" w:type="dxa"/>
          <w:right w:w="0" w:type="dxa"/>
        </w:tblCellMar>
      </w:tblPr>
      <w:tblGrid>
        <w:gridCol w:w="725"/>
        <w:gridCol w:w="60"/>
        <w:gridCol w:w="7340"/>
      </w:tblGrid>
      <w:tr>
        <w:trPr/>
        <w:tc>
          <w:tcPr>
            <w:tcW w:w="812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b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2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pPr>
            <w:hyperlink w:anchor="tm2321764d1_ex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40" w:type="dxa"/>
            <w:tcBorders/>
            <w:vAlign w:val="center"/>
          </w:tcPr>
          <w:p>
            <w:pPr>
              <w:pStyle w:val="TableContents"/>
              <w:bidi w:val="0"/>
              <w:spacing w:before="0" w:after="283"/>
              <w:jc w:val="left"/>
              <w:rPr/>
            </w:pPr>
            <w:hyperlink w:anchor="tm2321764d1_ex99-1.htm">
              <w:r>
                <w:rPr>
                  <w:rStyle w:val="InternetLink"/>
                  <w:rFonts w:ascii="Times New Roman;Times;Serif" w:hAnsi="Times New Roman;Times;Serif"/>
                  <w:b w:val="false"/>
                  <w:i w:val="false"/>
                  <w:caps w:val="false"/>
                  <w:smallCaps w:val="false"/>
                  <w:sz w:val="20"/>
                </w:rPr>
                <w:t>Press Release dated July 25, 2023</w:t>
              </w:r>
            </w:hyperlink>
          </w:p>
        </w:tc>
      </w:tr>
      <w:tr>
        <w:trPr/>
        <w:tc>
          <w:tcPr>
            <w:tcW w:w="812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1625"/>
        <w:gridCol w:w="320"/>
        <w:gridCol w:w="411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44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60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25,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Corporate Development</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Chief Legal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3" w:name="tm2321764d1_ex99-1.htm"/>
      <w:bookmarkStart w:id="24" w:name="kstm2321764d1_ex991"/>
      <w:bookmarkEnd w:id="23"/>
      <w:bookmarkEnd w:id="24"/>
      <w:r>
        <w:rPr/>
        <w:t> </w:t>
      </w:r>
      <w:r>
        <w:br w:type="page"/>
      </w:r>
    </w:p>
    <w:p>
      <w:pPr>
        <w:pStyle w:val="TextBody"/>
        <w:bidi w:val="0"/>
        <w:spacing w:before="0" w:after="0"/>
        <w:ind w:left="0" w:right="0" w:hanging="0"/>
        <w:jc w:val="right"/>
        <w:rPr>
          <w:rFonts w:ascii="Arial;Helvetica;Sans-Serif" w:hAnsi="Arial;Helvetica;Sans-Serif"/>
          <w:b/>
          <w:i w:val="false"/>
          <w:caps/>
          <w:sz w:val="24"/>
        </w:rPr>
      </w:pPr>
      <w:r>
        <w:rPr>
          <w:rFonts w:ascii="Arial;Helvetica;Sans-Serif" w:hAnsi="Arial;Helvetica;Sans-Serif"/>
          <w:b/>
          <w:i w:val="false"/>
          <w:caps/>
          <w:sz w:val="24"/>
        </w:rPr>
        <w:t>exhibit 99.1</w:t>
      </w:r>
    </w:p>
    <w:p>
      <w:pPr>
        <w:pStyle w:val="TextBody"/>
        <w:bidi w:val="0"/>
        <w:spacing w:before="0" w:after="0"/>
        <w:ind w:left="0" w:right="0" w:hanging="0"/>
        <w:jc w:val="lef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8120"/>
        <w:gridCol w:w="75"/>
      </w:tblGrid>
      <w:tr>
        <w:trPr/>
        <w:tc>
          <w:tcPr>
            <w:tcW w:w="8120" w:type="dxa"/>
            <w:tcBorders/>
            <w:vAlign w:val="center"/>
          </w:tcPr>
          <w:p>
            <w:pPr>
              <w:pStyle w:val="TableContents"/>
              <w:bidi w:val="0"/>
              <w:spacing w:before="0" w:after="0"/>
              <w:ind w:left="0" w:right="0" w:hanging="0"/>
              <w:jc w:val="left"/>
              <w:rPr>
                <w:rFonts w:ascii="Arial;Helvetica;Sans-Serif" w:hAnsi="Arial;Helvetica;Sans-Serif"/>
                <w:b/>
                <w:i w:val="false"/>
                <w:caps/>
                <w:sz w:val="18"/>
              </w:rPr>
            </w:pPr>
            <w:r>
              <w:rPr>
                <w:rFonts w:ascii="Arial;Helvetica;Sans-Serif" w:hAnsi="Arial;Helvetica;Sans-Serif"/>
                <w:b/>
                <w:i w:val="false"/>
                <w:caps/>
                <w:sz w:val="18"/>
              </w:rPr>
              <w:t>For Immediate Release</w:t>
            </w:r>
          </w:p>
          <w:p>
            <w:pPr>
              <w:pStyle w:val="TableContents"/>
              <w:bidi w:val="0"/>
              <w:spacing w:before="0" w:after="0"/>
              <w:ind w:left="0" w:right="0" w:firstLine="2325"/>
              <w:jc w:val="left"/>
              <w:rPr>
                <w:caps/>
                <w:color w:val="00693C"/>
              </w:rPr>
            </w:pPr>
            <w:r>
              <w:rPr>
                <w:caps/>
                <w:color w:val="00693C"/>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2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7AB800"/>
                <w:sz w:val="44"/>
              </w:rPr>
            </w:pPr>
            <w:r>
              <w:rPr>
                <w:rFonts w:ascii="Arial;Helvetica;Sans-Serif" w:hAnsi="Arial;Helvetica;Sans-Serif"/>
                <w:b w:val="false"/>
                <w:i w:val="false"/>
                <w:caps w:val="false"/>
                <w:smallCaps w:val="false"/>
                <w:color w:val="7AB800"/>
                <w:sz w:val="44"/>
              </w:rPr>
              <w:t>WM Announces Second Quarter Earnings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7"/>
        <w:gridCol w:w="1331"/>
        <w:gridCol w:w="1466"/>
        <w:gridCol w:w="81"/>
        <w:gridCol w:w="1331"/>
        <w:gridCol w:w="1466"/>
        <w:gridCol w:w="64"/>
        <w:gridCol w:w="1969"/>
      </w:tblGrid>
      <w:tr>
        <w:trPr/>
        <w:tc>
          <w:tcPr>
            <w:tcW w:w="8236" w:type="dxa"/>
            <w:gridSpan w:val="7"/>
            <w:tcBorders/>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Disciplined Pricing and Cost Optimization Lead to Strong Expansion in</w:t>
              <w:br/>
              <w:t>Operating EBITDA Margin</w:t>
            </w:r>
          </w:p>
        </w:tc>
        <w:tc>
          <w:tcPr>
            <w:tcW w:w="1969" w:type="dxa"/>
            <w:tcBorders/>
            <w:vAlign w:val="center"/>
          </w:tcPr>
          <w:p>
            <w:pPr>
              <w:pStyle w:val="TableContents"/>
              <w:bidi w:val="0"/>
              <w:spacing w:before="0" w:after="283"/>
              <w:jc w:val="center"/>
              <w:rPr/>
            </w:pPr>
            <w:r>
              <w:rPr/>
              <w:t> </w:t>
            </w:r>
          </w:p>
        </w:tc>
      </w:tr>
      <w:tr>
        <w:trPr/>
        <w:tc>
          <w:tcPr>
            <w:tcW w:w="8236" w:type="dxa"/>
            <w:gridSpan w:val="7"/>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left"/>
              <w:rPr>
                <w:rFonts w:ascii="Arial;Helvetica;Sans-Serif" w:hAnsi="Arial;Helvetica;Sans-Serif"/>
                <w:b/>
                <w:caps/>
                <w:sz w:val="18"/>
              </w:rPr>
            </w:pPr>
            <w:r>
              <w:rPr>
                <w:rFonts w:ascii="Arial;Helvetica;Sans-Serif" w:hAnsi="Arial;Helvetica;Sans-Serif"/>
                <w:b/>
                <w:caps/>
                <w:sz w:val="18"/>
              </w:rPr>
              <w:t>FOR MORE INFORMATION</w:t>
            </w:r>
          </w:p>
        </w:tc>
      </w:tr>
      <w:tr>
        <w:trPr/>
        <w:tc>
          <w:tcPr>
            <w:tcW w:w="8172" w:type="dxa"/>
            <w:gridSpan w:val="6"/>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caps/>
                <w:sz w:val="20"/>
              </w:rPr>
              <w:t xml:space="preserve">Houston </w:t>
            </w:r>
            <w:r>
              <w:rPr>
                <w:rFonts w:ascii="Arial;Helvetica;Sans-Serif" w:hAnsi="Arial;Helvetica;Sans-Serif"/>
              </w:rPr>
              <w:t xml:space="preserve">— </w:t>
            </w:r>
            <w:r>
              <w:rPr>
                <w:rFonts w:ascii="Arial;Helvetica;Sans-Serif" w:hAnsi="Arial;Helvetica;Sans-Serif"/>
                <w:b/>
                <w:sz w:val="20"/>
              </w:rPr>
              <w:t xml:space="preserve">Jul. 25, 2023 </w:t>
            </w:r>
            <w:r>
              <w:rPr>
                <w:rFonts w:ascii="Arial;Helvetica;Sans-Serif" w:hAnsi="Arial;Helvetica;Sans-Serif"/>
              </w:rPr>
              <w:t xml:space="preserve">— </w:t>
            </w:r>
            <w:r>
              <w:rPr>
                <w:rFonts w:ascii="Arial;Helvetica;Sans-Serif" w:hAnsi="Arial;Helvetica;Sans-Serif"/>
                <w:sz w:val="20"/>
              </w:rPr>
              <w:t>WM (NYSE: WM) today announced financial results for the quarter ended June 30, 2023.</w:t>
            </w:r>
          </w:p>
        </w:tc>
        <w:tc>
          <w:tcPr>
            <w:tcW w:w="64" w:type="dxa"/>
            <w:tcBorders/>
            <w:vAlign w:val="center"/>
          </w:tcPr>
          <w:p>
            <w:pPr>
              <w:pStyle w:val="TableContents"/>
              <w:bidi w:val="0"/>
              <w:spacing w:before="0" w:after="283"/>
              <w:jc w:val="both"/>
              <w:rPr/>
            </w:pPr>
            <w:r>
              <w:rPr/>
              <w:t> </w:t>
            </w:r>
          </w:p>
        </w:tc>
        <w:tc>
          <w:tcPr>
            <w:tcW w:w="196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Waste Management</w:t>
            </w:r>
          </w:p>
        </w:tc>
      </w:tr>
      <w:tr>
        <w:trPr/>
        <w:tc>
          <w:tcPr>
            <w:tcW w:w="8236" w:type="dxa"/>
            <w:gridSpan w:val="7"/>
            <w:tcBorders/>
            <w:vAlign w:val="center"/>
          </w:tcPr>
          <w:p>
            <w:pPr>
              <w:pStyle w:val="TableContents"/>
              <w:bidi w:val="0"/>
              <w:spacing w:before="0" w:after="283"/>
              <w:jc w:val="both"/>
              <w:rPr/>
            </w:pPr>
            <w:r>
              <w:rPr/>
              <w:t> </w:t>
            </w:r>
          </w:p>
        </w:tc>
        <w:tc>
          <w:tcPr>
            <w:tcW w:w="1969" w:type="dxa"/>
            <w:tcBorders/>
            <w:vAlign w:val="center"/>
          </w:tcPr>
          <w:p>
            <w:pPr>
              <w:pStyle w:val="TableContents"/>
              <w:bidi w:val="0"/>
              <w:spacing w:before="0" w:after="283"/>
              <w:jc w:val="left"/>
              <w:rPr/>
            </w:pPr>
            <w:r>
              <w:rPr/>
              <w:t> </w:t>
            </w:r>
          </w:p>
        </w:tc>
      </w:tr>
      <w:tr>
        <w:trPr/>
        <w:tc>
          <w:tcPr>
            <w:tcW w:w="2497" w:type="dxa"/>
            <w:tcBorders/>
            <w:vAlign w:val="center"/>
          </w:tcPr>
          <w:p>
            <w:pPr>
              <w:pStyle w:val="TableContents"/>
              <w:bidi w:val="0"/>
              <w:spacing w:before="0" w:after="283"/>
              <w:jc w:val="both"/>
              <w:rPr/>
            </w:pPr>
            <w:r>
              <w:rPr/>
              <w:t> </w:t>
            </w:r>
          </w:p>
        </w:tc>
        <w:tc>
          <w:tcPr>
            <w:tcW w:w="2797" w:type="dxa"/>
            <w:gridSpan w:val="2"/>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Three Months Ended</w:t>
            </w:r>
          </w:p>
        </w:tc>
        <w:tc>
          <w:tcPr>
            <w:tcW w:w="81" w:type="dxa"/>
            <w:tcBorders/>
            <w:vAlign w:val="center"/>
          </w:tcPr>
          <w:p>
            <w:pPr>
              <w:pStyle w:val="TableContents"/>
              <w:bidi w:val="0"/>
              <w:spacing w:before="0" w:after="283"/>
              <w:jc w:val="center"/>
              <w:rPr/>
            </w:pPr>
            <w:r>
              <w:rPr/>
              <w:t> </w:t>
            </w:r>
          </w:p>
        </w:tc>
        <w:tc>
          <w:tcPr>
            <w:tcW w:w="2797" w:type="dxa"/>
            <w:gridSpan w:val="2"/>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Three Months Ended</w:t>
            </w:r>
          </w:p>
        </w:tc>
        <w:tc>
          <w:tcPr>
            <w:tcW w:w="64" w:type="dxa"/>
            <w:tcBorders/>
            <w:vAlign w:val="center"/>
          </w:tcPr>
          <w:p>
            <w:pPr>
              <w:pStyle w:val="TableContents"/>
              <w:bidi w:val="0"/>
              <w:spacing w:before="0" w:after="283"/>
              <w:jc w:val="left"/>
              <w:rPr/>
            </w:pPr>
            <w:r>
              <w:rPr/>
              <w:t> </w:t>
            </w:r>
          </w:p>
        </w:tc>
        <w:tc>
          <w:tcPr>
            <w:tcW w:w="1969" w:type="dxa"/>
            <w:vMerge w:val="restart"/>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Website</w:t>
            </w:r>
          </w:p>
          <w:p>
            <w:pPr>
              <w:pStyle w:val="TableContents"/>
              <w:bidi w:val="0"/>
              <w:spacing w:before="0" w:after="0"/>
              <w:ind w:left="0" w:right="0" w:hanging="0"/>
              <w:jc w:val="left"/>
              <w:rPr>
                <w:rFonts w:ascii="Arial;Helvetica;Sans-Serif" w:hAnsi="Arial;Helvetica;Sans-Serif"/>
                <w:b/>
                <w:i w:val="false"/>
                <w:caps w:val="false"/>
                <w:smallCaps w:val="false"/>
                <w:color w:val="57584F"/>
                <w:sz w:val="18"/>
              </w:rPr>
            </w:pPr>
            <w:r>
              <w:rPr>
                <w:rFonts w:ascii="Arial;Helvetica;Sans-Serif" w:hAnsi="Arial;Helvetica;Sans-Serif"/>
                <w:b/>
                <w:i w:val="false"/>
                <w:caps w:val="false"/>
                <w:smallCaps w:val="false"/>
                <w:color w:val="57584F"/>
                <w:sz w:val="18"/>
              </w:rPr>
              <w:t>www.wm.com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Analysts</w:t>
            </w:r>
          </w:p>
          <w:p>
            <w:pPr>
              <w:pStyle w:val="TableContents"/>
              <w:bidi w:val="0"/>
              <w:spacing w:before="0" w:after="0"/>
              <w:ind w:left="0" w:right="0" w:hanging="0"/>
              <w:jc w:val="left"/>
              <w:rPr>
                <w:rFonts w:ascii="Arial;Helvetica;Sans-Serif" w:hAnsi="Arial;Helvetica;Sans-Serif"/>
                <w:b w:val="false"/>
                <w:i w:val="false"/>
                <w:caps w:val="false"/>
                <w:smallCaps w:val="false"/>
                <w:color w:val="57584F"/>
                <w:sz w:val="18"/>
              </w:rPr>
            </w:pPr>
            <w:r>
              <w:rPr>
                <w:rFonts w:ascii="Arial;Helvetica;Sans-Serif" w:hAnsi="Arial;Helvetica;Sans-Serif"/>
                <w:b w:val="false"/>
                <w:i w:val="false"/>
                <w:caps w:val="false"/>
                <w:smallCaps w:val="false"/>
                <w:color w:val="57584F"/>
                <w:sz w:val="18"/>
              </w:rPr>
              <w:t>Ed Egl</w:t>
            </w:r>
          </w:p>
          <w:p>
            <w:pPr>
              <w:pStyle w:val="TableContents"/>
              <w:bidi w:val="0"/>
              <w:spacing w:before="0" w:after="0"/>
              <w:ind w:left="0" w:right="0" w:hanging="0"/>
              <w:jc w:val="left"/>
              <w:rPr>
                <w:rFonts w:ascii="Arial;Helvetica;Sans-Serif" w:hAnsi="Arial;Helvetica;Sans-Serif"/>
                <w:b w:val="false"/>
                <w:i w:val="false"/>
                <w:caps w:val="false"/>
                <w:smallCaps w:val="false"/>
                <w:color w:val="57584F"/>
                <w:sz w:val="18"/>
              </w:rPr>
            </w:pPr>
            <w:r>
              <w:rPr>
                <w:rFonts w:ascii="Arial;Helvetica;Sans-Serif" w:hAnsi="Arial;Helvetica;Sans-Serif"/>
                <w:b w:val="false"/>
                <w:i w:val="false"/>
                <w:caps w:val="false"/>
                <w:smallCaps w:val="false"/>
                <w:color w:val="57584F"/>
                <w:sz w:val="18"/>
              </w:rPr>
              <w:t>713.265.1656</w:t>
            </w:r>
          </w:p>
          <w:p>
            <w:pPr>
              <w:pStyle w:val="TableContents"/>
              <w:bidi w:val="0"/>
              <w:spacing w:before="0" w:after="0"/>
              <w:ind w:left="0" w:right="0" w:hanging="0"/>
              <w:jc w:val="left"/>
              <w:rPr>
                <w:rFonts w:ascii="Arial;Helvetica;Sans-Serif" w:hAnsi="Arial;Helvetica;Sans-Serif"/>
                <w:b w:val="false"/>
                <w:i w:val="false"/>
                <w:caps w:val="false"/>
                <w:smallCaps w:val="false"/>
                <w:color w:val="57584F"/>
                <w:sz w:val="18"/>
              </w:rPr>
            </w:pPr>
            <w:r>
              <w:rPr>
                <w:rFonts w:ascii="Arial;Helvetica;Sans-Serif" w:hAnsi="Arial;Helvetica;Sans-Serif"/>
                <w:b w:val="false"/>
                <w:i w:val="false"/>
                <w:caps w:val="false"/>
                <w:smallCaps w:val="false"/>
                <w:color w:val="57584F"/>
                <w:sz w:val="18"/>
              </w:rPr>
              <w:t>eegl@wm.com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Media</w:t>
            </w:r>
          </w:p>
          <w:p>
            <w:pPr>
              <w:pStyle w:val="TableContents"/>
              <w:bidi w:val="0"/>
              <w:spacing w:before="0" w:after="0"/>
              <w:ind w:left="0" w:right="0" w:hanging="0"/>
              <w:jc w:val="left"/>
              <w:rPr>
                <w:rFonts w:ascii="Arial;Helvetica;Sans-Serif" w:hAnsi="Arial;Helvetica;Sans-Serif"/>
                <w:b w:val="false"/>
                <w:i w:val="false"/>
                <w:caps w:val="false"/>
                <w:smallCaps w:val="false"/>
                <w:color w:val="57584F"/>
                <w:sz w:val="18"/>
              </w:rPr>
            </w:pPr>
            <w:r>
              <w:rPr>
                <w:rFonts w:ascii="Arial;Helvetica;Sans-Serif" w:hAnsi="Arial;Helvetica;Sans-Serif"/>
                <w:b w:val="false"/>
                <w:i w:val="false"/>
                <w:caps w:val="false"/>
                <w:smallCaps w:val="false"/>
                <w:color w:val="57584F"/>
                <w:sz w:val="18"/>
              </w:rPr>
              <w:t>Toni Werner</w:t>
            </w:r>
          </w:p>
          <w:p>
            <w:pPr>
              <w:pStyle w:val="TableContents"/>
              <w:bidi w:val="0"/>
              <w:spacing w:before="0" w:after="0"/>
              <w:ind w:left="0" w:right="0" w:hanging="0"/>
              <w:jc w:val="left"/>
              <w:rPr>
                <w:rFonts w:ascii="Arial;Helvetica;Sans-Serif" w:hAnsi="Arial;Helvetica;Sans-Serif"/>
                <w:b w:val="false"/>
                <w:i w:val="false"/>
                <w:caps w:val="false"/>
                <w:smallCaps w:val="false"/>
                <w:color w:val="57584F"/>
                <w:sz w:val="18"/>
              </w:rPr>
            </w:pPr>
            <w:r>
              <w:rPr>
                <w:rFonts w:ascii="Arial;Helvetica;Sans-Serif" w:hAnsi="Arial;Helvetica;Sans-Serif"/>
                <w:b w:val="false"/>
                <w:i w:val="false"/>
                <w:caps w:val="false"/>
                <w:smallCaps w:val="false"/>
                <w:color w:val="57584F"/>
                <w:sz w:val="18"/>
              </w:rPr>
              <w:t>media@wm.com</w:t>
            </w:r>
          </w:p>
        </w:tc>
      </w:tr>
      <w:tr>
        <w:trPr/>
        <w:tc>
          <w:tcPr>
            <w:tcW w:w="2497" w:type="dxa"/>
            <w:tcBorders/>
            <w:vAlign w:val="center"/>
          </w:tcPr>
          <w:p>
            <w:pPr>
              <w:pStyle w:val="TableContents"/>
              <w:bidi w:val="0"/>
              <w:spacing w:before="0" w:after="283"/>
              <w:jc w:val="both"/>
              <w:rPr/>
            </w:pPr>
            <w:r>
              <w:rPr/>
              <w:t> </w:t>
            </w:r>
          </w:p>
        </w:tc>
        <w:tc>
          <w:tcPr>
            <w:tcW w:w="2797" w:type="dxa"/>
            <w:gridSpan w:val="2"/>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sz w:val="18"/>
                <w:u w:val="single"/>
              </w:rPr>
              <w:t>June 30, 2023</w:t>
              <w:br/>
            </w:r>
            <w:r>
              <w:rPr>
                <w:rFonts w:ascii="Arial;Helvetica;Sans-Serif" w:hAnsi="Arial;Helvetica;Sans-Serif"/>
                <w:sz w:val="16"/>
                <w:u w:val="single"/>
              </w:rPr>
              <w:t>(in millions, except per share amounts)</w:t>
            </w:r>
          </w:p>
        </w:tc>
        <w:tc>
          <w:tcPr>
            <w:tcW w:w="81" w:type="dxa"/>
            <w:tcBorders/>
            <w:vAlign w:val="center"/>
          </w:tcPr>
          <w:p>
            <w:pPr>
              <w:pStyle w:val="TableContents"/>
              <w:bidi w:val="0"/>
              <w:spacing w:before="0" w:after="283"/>
              <w:jc w:val="center"/>
              <w:rPr/>
            </w:pPr>
            <w:r>
              <w:rPr/>
              <w:t> </w:t>
            </w:r>
          </w:p>
        </w:tc>
        <w:tc>
          <w:tcPr>
            <w:tcW w:w="2797" w:type="dxa"/>
            <w:gridSpan w:val="2"/>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8"/>
                <w:u w:val="single"/>
              </w:rPr>
            </w:pPr>
            <w:r>
              <w:rPr>
                <w:rFonts w:ascii="Arial;Helvetica;Sans-Serif" w:hAnsi="Arial;Helvetica;Sans-Serif"/>
                <w:b w:val="false"/>
                <w:i w:val="false"/>
                <w:caps w:val="false"/>
                <w:smallCaps w:val="false"/>
                <w:sz w:val="18"/>
                <w:u w:val="single"/>
              </w:rPr>
              <w:t>June 30, 2022</w:t>
            </w:r>
          </w:p>
          <w:p>
            <w:pPr>
              <w:pStyle w:val="TableContents"/>
              <w:bidi w:val="0"/>
              <w:spacing w:before="0" w:after="0"/>
              <w:ind w:left="0" w:right="0" w:hanging="0"/>
              <w:jc w:val="center"/>
              <w:rPr>
                <w:rFonts w:ascii="Arial;Helvetica;Sans-Serif" w:hAnsi="Arial;Helvetica;Sans-Serif"/>
                <w:b w:val="false"/>
                <w:i w:val="false"/>
                <w:caps w:val="false"/>
                <w:smallCaps w:val="false"/>
                <w:sz w:val="16"/>
                <w:u w:val="single"/>
              </w:rPr>
            </w:pPr>
            <w:r>
              <w:rPr>
                <w:rFonts w:ascii="Arial;Helvetica;Sans-Serif" w:hAnsi="Arial;Helvetica;Sans-Serif"/>
                <w:b w:val="false"/>
                <w:i w:val="false"/>
                <w:caps w:val="false"/>
                <w:smallCaps w:val="false"/>
                <w:sz w:val="16"/>
                <w:u w:val="single"/>
              </w:rPr>
              <w:t>(in millions, except per share amounts)</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530" w:type="dxa"/>
            <w:gridSpan w:val="2"/>
            <w:tcBorders/>
            <w:vAlign w:val="center"/>
          </w:tcPr>
          <w:p>
            <w:pPr>
              <w:pStyle w:val="TableContents"/>
              <w:bidi w:val="0"/>
              <w:spacing w:before="0" w:after="283"/>
              <w:jc w:val="center"/>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both"/>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Reported</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Adjusted</w:t>
            </w:r>
            <w:r>
              <w:rPr>
                <w:rFonts w:ascii="Arial;Helvetica;Sans-Serif" w:hAnsi="Arial;Helvetica;Sans-Serif"/>
                <w:position w:val="6"/>
                <w:sz w:val="14"/>
                <w:sz w:val="18"/>
              </w:rPr>
              <w:t>(a)</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Reported</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Adjusted</w:t>
            </w:r>
            <w:r>
              <w:rPr>
                <w:rFonts w:ascii="Arial;Helvetica;Sans-Serif" w:hAnsi="Arial;Helvetica;Sans-Serif"/>
                <w:position w:val="6"/>
                <w:sz w:val="14"/>
                <w:sz w:val="18"/>
              </w:rPr>
              <w:t>(a)</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Revenue</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$5,119</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$5,119</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$5,027</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$5,027</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from Operations</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$944</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$946</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$890</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$907</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Operating EBITDA</w:t>
            </w:r>
            <w:r>
              <w:rPr>
                <w:rFonts w:ascii="Arial;Helvetica;Sans-Serif" w:hAnsi="Arial;Helvetica;Sans-Serif"/>
                <w:position w:val="6"/>
                <w:sz w:val="14"/>
                <w:sz w:val="18"/>
              </w:rPr>
              <w:t>(b)</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 xml:space="preserve">$1,465 </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$1,467</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 xml:space="preserve">$1,398 </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$1,415</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Operating EBITDA Margin</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28.6%</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28.7%</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27.8%</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28.1%</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Net Income</w:t>
            </w:r>
            <w:r>
              <w:rPr>
                <w:rFonts w:ascii="Arial;Helvetica;Sans-Serif" w:hAnsi="Arial;Helvetica;Sans-Serif"/>
                <w:position w:val="6"/>
                <w:sz w:val="14"/>
                <w:sz w:val="18"/>
              </w:rPr>
              <w:t>(c)</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$615</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$617</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$587</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$599</w:t>
            </w:r>
          </w:p>
        </w:tc>
        <w:tc>
          <w:tcPr>
            <w:tcW w:w="64" w:type="dxa"/>
            <w:tcBorders/>
            <w:vAlign w:val="center"/>
          </w:tcPr>
          <w:p>
            <w:pPr>
              <w:pStyle w:val="TableContents"/>
              <w:bidi w:val="0"/>
              <w:spacing w:before="0" w:after="283"/>
              <w:jc w:val="left"/>
              <w:rPr/>
            </w:pPr>
            <w:r>
              <w:rPr/>
              <w:t> </w:t>
            </w:r>
          </w:p>
        </w:tc>
        <w:tc>
          <w:tcPr>
            <w:tcW w:w="1969" w:type="dxa"/>
            <w:vMerge w:val="continue"/>
            <w:tcBorders/>
            <w:vAlign w:val="center"/>
          </w:tcPr>
          <w:p>
            <w:pPr>
              <w:pStyle w:val="Normal"/>
              <w:bidi w:val="0"/>
              <w:jc w:val="left"/>
              <w:rPr/>
            </w:pPr>
            <w:r>
              <w:rPr/>
            </w:r>
          </w:p>
        </w:tc>
      </w:tr>
      <w:tr>
        <w:trPr/>
        <w:tc>
          <w:tcPr>
            <w:tcW w:w="2497"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pPr>
            <w:r>
              <w:rPr/>
              <w:t> </w:t>
            </w:r>
          </w:p>
        </w:tc>
        <w:tc>
          <w:tcPr>
            <w:tcW w:w="146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r>
      <w:tr>
        <w:trPr/>
        <w:tc>
          <w:tcPr>
            <w:tcW w:w="24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Diluted EPS</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$1.51</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$1.51</w:t>
            </w:r>
          </w:p>
        </w:tc>
        <w:tc>
          <w:tcPr>
            <w:tcW w:w="81" w:type="dxa"/>
            <w:tcBorders/>
            <w:vAlign w:val="center"/>
          </w:tcPr>
          <w:p>
            <w:pPr>
              <w:pStyle w:val="TableContents"/>
              <w:bidi w:val="0"/>
              <w:spacing w:before="0" w:after="283"/>
              <w:jc w:val="center"/>
              <w:rPr/>
            </w:pPr>
            <w:r>
              <w:rPr/>
              <w:t> </w:t>
            </w:r>
          </w:p>
        </w:tc>
        <w:tc>
          <w:tcPr>
            <w:tcW w:w="133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$1.41</w:t>
            </w:r>
          </w:p>
        </w:tc>
        <w:tc>
          <w:tcPr>
            <w:tcW w:w="146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$1.44</w:t>
            </w:r>
          </w:p>
        </w:tc>
        <w:tc>
          <w:tcPr>
            <w:tcW w:w="6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313680" cy="4384675"/>
                <wp:effectExtent l="0" t="0" r="0" b="0"/>
                <wp:wrapSquare wrapText="right"/>
                <wp:docPr id="1" name="Frame1"/>
                <a:graphic xmlns:a="http://schemas.openxmlformats.org/drawingml/2006/main">
                  <a:graphicData uri="http://schemas.microsoft.com/office/word/2010/wordprocessingShape">
                    <wps:wsp>
                      <wps:cNvSpPr txBox="1"/>
                      <wps:spPr>
                        <a:xfrm>
                          <a:off x="0" y="0"/>
                          <a:ext cx="5313680" cy="4384675"/>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Our solid results in the second quarter reflect our continued focus on disciplined pricing and cost optimization across our business,” said Jim Fish, WM’s President and Chief Executive Officer. “This focus delivered a 60-basis-point expansion in adjusted operating EBITDA margin in the quarter, driven by the collection and disposal business and strong SG&amp;A cost control.”</w:t>
                            </w:r>
                            <w:r>
                              <w:rPr>
                                <w:rFonts w:ascii="Arial;Helvetica;Sans-Serif" w:hAnsi="Arial;Helvetica;Sans-Serif"/>
                                <w:b w:val="false"/>
                                <w:i w:val="false"/>
                                <w:caps w:val="false"/>
                                <w:smallCaps w:val="false"/>
                                <w:position w:val="7"/>
                                <w:sz w:val="16"/>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Fish continued, “Our teams have executed well during the first half of 2023, delivering solid results despite persistent inflation in many cost categories, lower-than-anticipated renewable energy prices, and slower-than-planned event-driven volumes. Considering these market-driven impacts and Hurricane Ian clean-up volumes that were significantly lower than expected, we are well positioned to deliver strong growth in the back half of the year as these pressures abate. We are pleased that our disciplined pricing is keeping pace with rising costs, we are achieving meaningful improvements in frontline turnover, and we are driving leverage on the SG&amp;A expense line. Our teams also continue to execute on our sustainability growth strategy, as three sustainability growth projects came online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0"/>
                              </w:rPr>
                            </w:pPr>
                            <w:r>
                              <w:rPr>
                                <w:rFonts w:ascii="Arial;Helvetica;Sans-Serif" w:hAnsi="Arial;Helvetica;Sans-Serif"/>
                                <w:b/>
                                <w:i w:val="false"/>
                                <w:caps/>
                                <w:sz w:val="20"/>
                              </w:rPr>
                              <w:t>Key Highlights for the SECOND Quarter OF 2023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Core price for the second quarter of 2023 was 6.9% compared to 7.5% in the second quarter of 2022.</w:t>
                                  </w:r>
                                  <w:r>
                                    <w:rPr>
                                      <w:rFonts w:ascii="Arial;Helvetica;Sans-Serif" w:hAnsi="Arial;Helvetica;Sans-Serif"/>
                                      <w:position w:val="8"/>
                                      <w:sz w:val="19"/>
                                    </w:rPr>
                                    <w:t>(d)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Collection and disposal yield was 5.8% in the second quarter of 2023 compared to 6.2% in the second quarter of 2022.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34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Our solid results in the second quarter reflect our continued focus on disciplined pricing and cost optimization across our business,” said Jim Fish, WM’s President and Chief Executive Officer. “This focus delivered a 60-basis-point expansion in adjusted operating EBITDA margin in the quarter, driven by the collection and disposal business and strong SG&amp;A cost control.”</w:t>
                      </w:r>
                      <w:r>
                        <w:rPr>
                          <w:rFonts w:ascii="Arial;Helvetica;Sans-Serif" w:hAnsi="Arial;Helvetica;Sans-Serif"/>
                          <w:b w:val="false"/>
                          <w:i w:val="false"/>
                          <w:caps w:val="false"/>
                          <w:smallCaps w:val="false"/>
                          <w:position w:val="7"/>
                          <w:sz w:val="16"/>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Fish continued, “Our teams have executed well during the first half of 2023, delivering solid results despite persistent inflation in many cost categories, lower-than-anticipated renewable energy prices, and slower-than-planned event-driven volumes. Considering these market-driven impacts and Hurricane Ian clean-up volumes that were significantly lower than expected, we are well positioned to deliver strong growth in the back half of the year as these pressures abate. We are pleased that our disciplined pricing is keeping pace with rising costs, we are achieving meaningful improvements in frontline turnover, and we are driving leverage on the SG&amp;A expense line. Our teams also continue to execute on our sustainability growth strategy, as three sustainability growth projects came online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0"/>
                        </w:rPr>
                      </w:pPr>
                      <w:r>
                        <w:rPr>
                          <w:rFonts w:ascii="Arial;Helvetica;Sans-Serif" w:hAnsi="Arial;Helvetica;Sans-Serif"/>
                          <w:b/>
                          <w:i w:val="false"/>
                          <w:caps/>
                          <w:sz w:val="20"/>
                        </w:rPr>
                        <w:t>Key Highlights for the SECOND Quarter OF 2023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Core price for the second quarter of 2023 was 6.9% compared to 7.5% in the second quarter of 2022.</w:t>
                            </w:r>
                            <w:r>
                              <w:rPr>
                                <w:rFonts w:ascii="Arial;Helvetica;Sans-Serif" w:hAnsi="Arial;Helvetica;Sans-Serif"/>
                                <w:position w:val="8"/>
                                <w:sz w:val="19"/>
                              </w:rPr>
                              <w:t>(d)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Collection and disposal yield was 5.8% in the second quarter of 2023 compared to 6.2% in the second quarter of 2022.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971550" cy="175260"/>
                <wp:effectExtent l="0" t="0" r="0" b="0"/>
                <wp:wrapSquare wrapText="left"/>
                <wp:docPr id="2" name="Frame2"/>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433.75pt;mso-position-horizontal:right;mso-position-horizontal-relative:text">
                <v:textbox>
                  <w:txbxContent>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5313680" cy="9972040"/>
                <wp:effectExtent l="0" t="0" r="0" b="0"/>
                <wp:wrapSquare wrapText="right"/>
                <wp:docPr id="3" name="Frame3"/>
                <a:graphic xmlns:a="http://schemas.openxmlformats.org/drawingml/2006/main">
                  <a:graphicData uri="http://schemas.microsoft.com/office/word/2010/wordprocessingShape">
                    <wps:wsp>
                      <wps:cNvSpPr txBox="1"/>
                      <wps:spPr>
                        <a:xfrm>
                          <a:off x="0" y="0"/>
                          <a:ext cx="5313680" cy="9972040"/>
                        </a:xfrm>
                        <a:prstGeom prst="rect"/>
                        <a:solidFill>
                          <a:srgbClr val="FFFFFF"/>
                        </a:solidFill>
                      </wps:spPr>
                      <wps:txb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Company and collection and disposal volumes each increased 0.2% in the second quarter of 2023 compared to 1.6% and 2.3%, respectively, in the second quarter of 2022.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Cost Management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expenses as a percentage of revenue were 62.2% in the second quarter of 2023 compared to 62.5% in the second quarter of 2022. On an adjusted basis, operating expenses as a percentage of revenue improved 20 basis points to 62.2% in the second quarter of 2023 from 62.4% in the second quarter of 2022.</w:t>
                                  </w:r>
                                  <w:r>
                                    <w:rPr>
                                      <w:rFonts w:ascii="Arial;Helvetica;Sans-Serif" w:hAnsi="Arial;Helvetica;Sans-Serif"/>
                                      <w:position w:val="8"/>
                                      <w:sz w:val="19"/>
                                    </w:rPr>
                                    <w:t>(a)</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SG&amp;A expenses were 9.1% of revenue in the second quarter of 2023 compared to 9.7% in the second quarter of 2022. SG&amp;A expenses as a percentage of revenue improved 30 basis points in the second quarter of 2023 from 9.4%, on an adjusted basis, in the second quarter of 2022.</w:t>
                                  </w:r>
                                  <w:r>
                                    <w:rPr>
                                      <w:rFonts w:ascii="Arial;Helvetica;Sans-Serif" w:hAnsi="Arial;Helvetica;Sans-Serif"/>
                                      <w:position w:val="8"/>
                                      <w:sz w:val="19"/>
                                    </w:rPr>
                                    <w:t>(a)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Profitability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Company’s collection and disposal business, adjusted on the same basis as total Company operating EBITDA, increased by approximately $95 million to $1.63 billion for the second quarter of 2023. Operating EBITDA as a percentage of revenue in the Company’s collection and disposal business was 31.6% for the second quarter of 2023 compared to 31.2% for the second quarter of 2022.</w:t>
                                  </w:r>
                                  <w:r>
                                    <w:rPr>
                                      <w:rFonts w:ascii="Arial;Helvetica;Sans-Serif" w:hAnsi="Arial;Helvetica;Sans-Serif"/>
                                      <w:position w:val="8"/>
                                      <w:sz w:val="19"/>
                                    </w:rPr>
                                    <w:t>(e)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Company’s recycling line of business declined by $41 million compared to the second quarter of 2022. The decline was driven by the approximately 55% decrease in market prices for single-stream recycled commodities. The Company’s automated facilities continue to see strong improvements in product quality, throughput, and labor costs, which is mitigating some of the recent commodity price pressures on earnings.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Company’s renewable energy business declined by $22 million compared to the second quarter of 2022, primarily driven by decreases in the value of renewable fuel standard credits and lower energy prices.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Free Cash Flow &amp; Capital Allocation</w:t>
                            </w:r>
                          </w:p>
                          <w:p>
                            <w:pPr>
                              <w:pStyle w:val="TextBody"/>
                              <w:bidi w:val="0"/>
                              <w:spacing w:before="0" w:after="0"/>
                              <w:ind w:left="0" w:right="0" w:hanging="0"/>
                              <w:jc w:val="left"/>
                              <w:rPr>
                                <w:caps w:val="false"/>
                                <w:smallCaps w:val="false"/>
                              </w:rPr>
                            </w:pPr>
                            <w:r>
                              <w:rPr>
                                <w:caps w:val="false"/>
                                <w:smallCaps w:val="false"/>
                              </w:rPr>
                              <w:t> </w:t>
                            </w:r>
                          </w:p>
                          <w:tbl>
                            <w:tblPr>
                              <w:tblW w:w="7673" w:type="dxa"/>
                              <w:jc w:val="left"/>
                              <w:tblInd w:w="0" w:type="dxa"/>
                              <w:tblLayout w:type="fixed"/>
                              <w:tblCellMar>
                                <w:top w:w="0" w:type="dxa"/>
                                <w:left w:w="0" w:type="dxa"/>
                                <w:bottom w:w="0" w:type="dxa"/>
                                <w:right w:w="0" w:type="dxa"/>
                              </w:tblCellMar>
                            </w:tblPr>
                            <w:tblGrid>
                              <w:gridCol w:w="5945"/>
                              <w:gridCol w:w="166"/>
                              <w:gridCol w:w="551"/>
                              <w:gridCol w:w="278"/>
                              <w:gridCol w:w="166"/>
                              <w:gridCol w:w="567"/>
                            </w:tblGrid>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5"/>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Three Months Ended</w:t>
                                  </w:r>
                                  <w:r>
                                    <w:rPr>
                                      <w:rFonts w:ascii="Arial;Helvetica;Sans-Serif" w:hAnsi="Arial;Helvetica;Sans-Serif"/>
                                      <w:b w:val="false"/>
                                      <w:i w:val="false"/>
                                      <w:caps w:val="false"/>
                                      <w:smallCaps w:val="false"/>
                                      <w:sz w:val="16"/>
                                    </w:rPr>
                                    <w:t> </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5"/>
                                  <w:tcBorders>
                                    <w:bottom w:val="single" w:sz="8" w:space="0" w:color="000000"/>
                                  </w:tcBorders>
                                  <w:tcMar>
                                    <w:bottom w:w="3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June 30,</w:t>
                                  </w:r>
                                </w:p>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(in millions)</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gridSpan w:val="2"/>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2023</w:t>
                                  </w:r>
                                  <w:r>
                                    <w:rPr>
                                      <w:rFonts w:ascii="Arial;Helvetica;Sans-Serif" w:hAnsi="Arial;Helvetica;Sans-Serif"/>
                                      <w:b w:val="false"/>
                                      <w:i w:val="false"/>
                                      <w:caps w:val="false"/>
                                      <w:smallCaps w:val="false"/>
                                      <w:sz w:val="16"/>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gridSpan w:val="2"/>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2022</w:t>
                                  </w:r>
                                  <w:r>
                                    <w:rPr>
                                      <w:rFonts w:ascii="Arial;Helvetica;Sans-Serif" w:hAnsi="Arial;Helvetica;Sans-Serif"/>
                                      <w:b w:val="false"/>
                                      <w:i w:val="false"/>
                                      <w:caps w:val="false"/>
                                      <w:smallCaps w:val="false"/>
                                      <w:sz w:val="16"/>
                                    </w:rPr>
                                    <w:t>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cash provided by operating activities</w:t>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55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1,030  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t>
                                  </w:r>
                                </w:p>
                              </w:tc>
                              <w:tc>
                                <w:tcPr>
                                  <w:tcW w:w="567"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1,047  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Capital expenditures to support the business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(459)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(485)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Proceeds from divestitures of businesses and other assets, net of cash divested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35  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6  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Free cash flow without sustainability growth investments</w:t>
                                  </w:r>
                                  <w:r>
                                    <w:rPr>
                                      <w:rFonts w:ascii="Arial;Helvetica;Sans-Serif" w:hAnsi="Arial;Helvetica;Sans-Serif"/>
                                      <w:b w:val="false"/>
                                      <w:i w:val="false"/>
                                      <w:caps w:val="false"/>
                                      <w:smallCaps w:val="false"/>
                                      <w:sz w:val="16"/>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606</w:t>
                                  </w:r>
                                  <w:r>
                                    <w:rPr>
                                      <w:rFonts w:ascii="Arial;Helvetica;Sans-Serif" w:hAnsi="Arial;Helvetica;Sans-Serif"/>
                                      <w:b w:val="false"/>
                                      <w:i w:val="false"/>
                                      <w:caps w:val="false"/>
                                      <w:smallCaps w:val="false"/>
                                      <w:sz w:val="16"/>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568 </w:t>
                                  </w:r>
                                  <w:r>
                                    <w:rPr>
                                      <w:rFonts w:ascii="Arial;Helvetica;Sans-Serif" w:hAnsi="Arial;Helvetica;Sans-Serif"/>
                                      <w:b w:val="false"/>
                                      <w:i w:val="false"/>
                                      <w:caps w:val="false"/>
                                      <w:smallCaps w:val="false"/>
                                      <w:sz w:val="16"/>
                                    </w:rPr>
                                    <w:t>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Capital expenditures - sustainability growth investments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(61)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(65)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Free cash flow</w:t>
                                  </w:r>
                                  <w:r>
                                    <w:rPr>
                                      <w:rFonts w:ascii="Arial;Helvetica;Sans-Serif" w:hAnsi="Arial;Helvetica;Sans-Serif"/>
                                      <w:b w:val="false"/>
                                      <w:i w:val="false"/>
                                      <w:caps w:val="false"/>
                                      <w:smallCaps w:val="false"/>
                                      <w:sz w:val="16"/>
                                    </w:rPr>
                                    <w:t> </w:t>
                                  </w:r>
                                </w:p>
                              </w:tc>
                              <w:tc>
                                <w:tcPr>
                                  <w:tcW w:w="166" w:type="dxa"/>
                                  <w:tcBorders>
                                    <w:bottom w:val="double" w:sz="6" w:space="0" w:color="000000"/>
                                  </w:tcBorders>
                                  <w:tcMar>
                                    <w:bottom w:w="3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t>
                                  </w:r>
                                </w:p>
                              </w:tc>
                              <w:tc>
                                <w:tcPr>
                                  <w:tcW w:w="551" w:type="dxa"/>
                                  <w:tcBorders>
                                    <w:bottom w:val="double" w:sz="6"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545</w:t>
                                  </w:r>
                                  <w:r>
                                    <w:rPr>
                                      <w:rFonts w:ascii="Arial;Helvetica;Sans-Serif" w:hAnsi="Arial;Helvetica;Sans-Serif"/>
                                      <w:b w:val="false"/>
                                      <w:i w:val="false"/>
                                      <w:caps w:val="false"/>
                                      <w:smallCaps w:val="false"/>
                                      <w:sz w:val="16"/>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tcMar>
                                    <w:bottom w:w="3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t>
                                  </w:r>
                                </w:p>
                              </w:tc>
                              <w:tc>
                                <w:tcPr>
                                  <w:tcW w:w="567" w:type="dxa"/>
                                  <w:tcBorders>
                                    <w:bottom w:val="double" w:sz="6"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503 </w:t>
                                  </w:r>
                                  <w:r>
                                    <w:rPr>
                                      <w:rFonts w:ascii="Arial;Helvetica;Sans-Serif" w:hAnsi="Arial;Helvetica;Sans-Serif"/>
                                      <w:b w:val="false"/>
                                      <w:i w:val="false"/>
                                      <w:caps w:val="false"/>
                                      <w:smallCaps w:val="false"/>
                                      <w:sz w:val="16"/>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During the second quarter of 2023, $553 million was returned to shareholders, including $283 million of cash dividends and $270 million of share repurchases.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SUSTAINABILITY GROWTH PROGRAM UPDATE</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As the Company advances its sustainability growth investments, management continues to expect that the projects will deliver approximately $740 million in incremental annual adjusted operating EBITDA contributions beginning in 2026, with approximately $500 million coming from renewable energy investments and approximately $240 million coming from recycling investments, with adjustments expected in the timing of adjusted operating EBITDA contributions from sustainability growth investments in the interim years leading up to 2026.</w:t>
                                  </w:r>
                                  <w:r>
                                    <w:rPr>
                                      <w:rFonts w:ascii="Arial;Helvetica;Sans-Serif" w:hAnsi="Arial;Helvetica;Sans-Serif"/>
                                      <w:position w:val="8"/>
                                      <w:sz w:val="19"/>
                                    </w:rPr>
                                    <w:t>(a)</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Company and collection and disposal volumes each increased 0.2% in the second quarter of 2023 compared to 1.6% and 2.3%, respectively, in the second quarter of 2022.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Cost Management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expenses as a percentage of revenue were 62.2% in the second quarter of 2023 compared to 62.5% in the second quarter of 2022. On an adjusted basis, operating expenses as a percentage of revenue improved 20 basis points to 62.2% in the second quarter of 2023 from 62.4% in the second quarter of 2022.</w:t>
                            </w:r>
                            <w:r>
                              <w:rPr>
                                <w:rFonts w:ascii="Arial;Helvetica;Sans-Serif" w:hAnsi="Arial;Helvetica;Sans-Serif"/>
                                <w:position w:val="8"/>
                                <w:sz w:val="19"/>
                              </w:rPr>
                              <w:t>(a)</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SG&amp;A expenses were 9.1% of revenue in the second quarter of 2023 compared to 9.7% in the second quarter of 2022. SG&amp;A expenses as a percentage of revenue improved 30 basis points in the second quarter of 2023 from 9.4%, on an adjusted basis, in the second quarter of 2022.</w:t>
                            </w:r>
                            <w:r>
                              <w:rPr>
                                <w:rFonts w:ascii="Arial;Helvetica;Sans-Serif" w:hAnsi="Arial;Helvetica;Sans-Serif"/>
                                <w:position w:val="8"/>
                                <w:sz w:val="19"/>
                              </w:rPr>
                              <w:t>(a)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Profitability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Company’s collection and disposal business, adjusted on the same basis as total Company operating EBITDA, increased by approximately $95 million to $1.63 billion for the second quarter of 2023. Operating EBITDA as a percentage of revenue in the Company’s collection and disposal business was 31.6% for the second quarter of 2023 compared to 31.2% for the second quarter of 2022.</w:t>
                            </w:r>
                            <w:r>
                              <w:rPr>
                                <w:rFonts w:ascii="Arial;Helvetica;Sans-Serif" w:hAnsi="Arial;Helvetica;Sans-Serif"/>
                                <w:position w:val="8"/>
                                <w:sz w:val="19"/>
                              </w:rPr>
                              <w:t>(e)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Company’s recycling line of business declined by $41 million compared to the second quarter of 2022. The decline was driven by the approximately 55% decrease in market prices for single-stream recycled commodities. The Company’s automated facilities continue to see strong improvements in product quality, throughput, and labor costs, which is mitigating some of the recent commodity price pressures on earnings.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Company’s renewable energy business declined by $22 million compared to the second quarter of 2022, primarily driven by decreases in the value of renewable fuel standard credits and lower energy prices.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Free Cash Flow &amp; Capital Allocation</w:t>
                      </w:r>
                    </w:p>
                    <w:p>
                      <w:pPr>
                        <w:pStyle w:val="TextBody"/>
                        <w:bidi w:val="0"/>
                        <w:spacing w:before="0" w:after="0"/>
                        <w:ind w:left="0" w:right="0" w:hanging="0"/>
                        <w:jc w:val="left"/>
                        <w:rPr>
                          <w:caps w:val="false"/>
                          <w:smallCaps w:val="false"/>
                        </w:rPr>
                      </w:pPr>
                      <w:r>
                        <w:rPr>
                          <w:caps w:val="false"/>
                          <w:smallCaps w:val="false"/>
                        </w:rPr>
                        <w:t> </w:t>
                      </w:r>
                    </w:p>
                    <w:tbl>
                      <w:tblPr>
                        <w:tblW w:w="7673" w:type="dxa"/>
                        <w:jc w:val="left"/>
                        <w:tblInd w:w="0" w:type="dxa"/>
                        <w:tblLayout w:type="fixed"/>
                        <w:tblCellMar>
                          <w:top w:w="0" w:type="dxa"/>
                          <w:left w:w="0" w:type="dxa"/>
                          <w:bottom w:w="0" w:type="dxa"/>
                          <w:right w:w="0" w:type="dxa"/>
                        </w:tblCellMar>
                      </w:tblPr>
                      <w:tblGrid>
                        <w:gridCol w:w="5945"/>
                        <w:gridCol w:w="166"/>
                        <w:gridCol w:w="551"/>
                        <w:gridCol w:w="278"/>
                        <w:gridCol w:w="166"/>
                        <w:gridCol w:w="567"/>
                      </w:tblGrid>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5"/>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Three Months Ended</w:t>
                            </w:r>
                            <w:r>
                              <w:rPr>
                                <w:rFonts w:ascii="Arial;Helvetica;Sans-Serif" w:hAnsi="Arial;Helvetica;Sans-Serif"/>
                                <w:b w:val="false"/>
                                <w:i w:val="false"/>
                                <w:caps w:val="false"/>
                                <w:smallCaps w:val="false"/>
                                <w:sz w:val="16"/>
                              </w:rPr>
                              <w:t> </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5"/>
                            <w:tcBorders>
                              <w:bottom w:val="single" w:sz="8" w:space="0" w:color="000000"/>
                            </w:tcBorders>
                            <w:tcMar>
                              <w:bottom w:w="3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June 30,</w:t>
                            </w:r>
                          </w:p>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(in millions)</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gridSpan w:val="2"/>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2023</w:t>
                            </w:r>
                            <w:r>
                              <w:rPr>
                                <w:rFonts w:ascii="Arial;Helvetica;Sans-Serif" w:hAnsi="Arial;Helvetica;Sans-Serif"/>
                                <w:b w:val="false"/>
                                <w:i w:val="false"/>
                                <w:caps w:val="false"/>
                                <w:smallCaps w:val="false"/>
                                <w:sz w:val="16"/>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gridSpan w:val="2"/>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2022</w:t>
                            </w:r>
                            <w:r>
                              <w:rPr>
                                <w:rFonts w:ascii="Arial;Helvetica;Sans-Serif" w:hAnsi="Arial;Helvetica;Sans-Serif"/>
                                <w:b w:val="false"/>
                                <w:i w:val="false"/>
                                <w:caps w:val="false"/>
                                <w:smallCaps w:val="false"/>
                                <w:sz w:val="16"/>
                              </w:rPr>
                              <w:t>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cash provided by operating activities</w:t>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55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1,030  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t>
                            </w:r>
                          </w:p>
                        </w:tc>
                        <w:tc>
                          <w:tcPr>
                            <w:tcW w:w="567"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1,047  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Capital expenditures to support the business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(459)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(485)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Proceeds from divestitures of businesses and other assets, net of cash divested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35  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6  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Free cash flow without sustainability growth investments</w:t>
                            </w:r>
                            <w:r>
                              <w:rPr>
                                <w:rFonts w:ascii="Arial;Helvetica;Sans-Serif" w:hAnsi="Arial;Helvetica;Sans-Serif"/>
                                <w:b w:val="false"/>
                                <w:i w:val="false"/>
                                <w:caps w:val="false"/>
                                <w:smallCaps w:val="false"/>
                                <w:sz w:val="16"/>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606</w:t>
                            </w:r>
                            <w:r>
                              <w:rPr>
                                <w:rFonts w:ascii="Arial;Helvetica;Sans-Serif" w:hAnsi="Arial;Helvetica;Sans-Serif"/>
                                <w:b w:val="false"/>
                                <w:i w:val="false"/>
                                <w:caps w:val="false"/>
                                <w:smallCaps w:val="false"/>
                                <w:sz w:val="16"/>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568 </w:t>
                            </w:r>
                            <w:r>
                              <w:rPr>
                                <w:rFonts w:ascii="Arial;Helvetica;Sans-Serif" w:hAnsi="Arial;Helvetica;Sans-Serif"/>
                                <w:b w:val="false"/>
                                <w:i w:val="false"/>
                                <w:caps w:val="false"/>
                                <w:smallCaps w:val="false"/>
                                <w:sz w:val="16"/>
                              </w:rPr>
                              <w:t>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Capital expenditures - sustainability growth investments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(61)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6"/>
                              </w:rPr>
                              <w:t>(65) </w:t>
                            </w:r>
                          </w:p>
                        </w:tc>
                      </w:tr>
                      <w:tr>
                        <w:trPr/>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Free cash flow</w:t>
                            </w:r>
                            <w:r>
                              <w:rPr>
                                <w:rFonts w:ascii="Arial;Helvetica;Sans-Serif" w:hAnsi="Arial;Helvetica;Sans-Serif"/>
                                <w:b w:val="false"/>
                                <w:i w:val="false"/>
                                <w:caps w:val="false"/>
                                <w:smallCaps w:val="false"/>
                                <w:sz w:val="16"/>
                              </w:rPr>
                              <w:t> </w:t>
                            </w:r>
                          </w:p>
                        </w:tc>
                        <w:tc>
                          <w:tcPr>
                            <w:tcW w:w="166" w:type="dxa"/>
                            <w:tcBorders>
                              <w:bottom w:val="double" w:sz="6" w:space="0" w:color="000000"/>
                            </w:tcBorders>
                            <w:tcMar>
                              <w:bottom w:w="3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t>
                            </w:r>
                          </w:p>
                        </w:tc>
                        <w:tc>
                          <w:tcPr>
                            <w:tcW w:w="551" w:type="dxa"/>
                            <w:tcBorders>
                              <w:bottom w:val="double" w:sz="6"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545</w:t>
                            </w:r>
                            <w:r>
                              <w:rPr>
                                <w:rFonts w:ascii="Arial;Helvetica;Sans-Serif" w:hAnsi="Arial;Helvetica;Sans-Serif"/>
                                <w:b w:val="false"/>
                                <w:i w:val="false"/>
                                <w:caps w:val="false"/>
                                <w:smallCaps w:val="false"/>
                                <w:sz w:val="16"/>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tcMar>
                              <w:bottom w:w="3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t>
                            </w:r>
                          </w:p>
                        </w:tc>
                        <w:tc>
                          <w:tcPr>
                            <w:tcW w:w="567" w:type="dxa"/>
                            <w:tcBorders>
                              <w:bottom w:val="double" w:sz="6" w:space="0" w:color="000000"/>
                            </w:tcBorders>
                            <w:tcMar>
                              <w:bottom w:w="3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6"/>
                              </w:rPr>
                              <w:t>503 </w:t>
                            </w:r>
                            <w:r>
                              <w:rPr>
                                <w:rFonts w:ascii="Arial;Helvetica;Sans-Serif" w:hAnsi="Arial;Helvetica;Sans-Serif"/>
                                <w:b w:val="false"/>
                                <w:i w:val="false"/>
                                <w:caps w:val="false"/>
                                <w:smallCaps w:val="false"/>
                                <w:sz w:val="16"/>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During the second quarter of 2023, $553 million was returned to shareholders, including $283 million of cash dividends and $270 million of share repurchases.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SUSTAINABILITY GROWTH PROGRAM UPDATE</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As the Company advances its sustainability growth investments, management continues to expect that the projects will deliver approximately $740 million in incremental annual adjusted operating EBITDA contributions beginning in 2026, with approximately $500 million coming from renewable energy investments and approximately $240 million coming from recycling investments, with adjustments expected in the timing of adjusted operating EBITDA contributions from sustainability growth investments in the interim years leading up to 2026.</w:t>
                            </w:r>
                            <w:r>
                              <w:rPr>
                                <w:rFonts w:ascii="Arial;Helvetica;Sans-Serif" w:hAnsi="Arial;Helvetica;Sans-Serif"/>
                                <w:position w:val="8"/>
                                <w:sz w:val="19"/>
                              </w:rPr>
                              <w:t>(a)</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971550" cy="175260"/>
                <wp:effectExtent l="0" t="0" r="0" b="0"/>
                <wp:wrapSquare wrapText="left"/>
                <wp:docPr id="4" name="Frame4"/>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433.75pt;mso-position-horizontal:right;mso-position-horizontal-relative:text">
                <v:textbox>
                  <w:txbxContent>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313680" cy="9972040"/>
                <wp:effectExtent l="0" t="0" r="0" b="0"/>
                <wp:wrapSquare wrapText="right"/>
                <wp:docPr id="5" name="Frame5"/>
                <a:graphic xmlns:a="http://schemas.openxmlformats.org/drawingml/2006/main">
                  <a:graphicData uri="http://schemas.microsoft.com/office/word/2010/wordprocessingShape">
                    <wps:wsp>
                      <wps:cNvSpPr txBox="1"/>
                      <wps:spPr>
                        <a:xfrm>
                          <a:off x="0" y="0"/>
                          <a:ext cx="5313680" cy="9972040"/>
                        </a:xfrm>
                        <a:prstGeom prst="rect"/>
                        <a:solidFill>
                          <a:srgbClr val="FFFFFF"/>
                        </a:solidFill>
                      </wps:spPr>
                      <wps:txb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Due to customary construction and permitting delays for certain projects, sustainability growth capital spending in 2023 is expected to be about $200 million lower than previously anticipated, with an increase in later years due to this timing shift, inflation, and other factors.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June, the U.S. EPA finalized renewable fuel volume obligations for 2023 through 2025, providing visibility and stability to the market for renewable fuel standard credits. Higher demand for renewable natural gas as a transportation fuel strongly supports the blended average pricing assumption of $26/MMBtu used to develop our investment strategy and strengthens the case for potential upside.</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the second quarter, WM opened its Eco Vista renewable natural gas (RNG) facility in Springdale, Ark., the sixth WM-owned RNG facility and the second of the Company’s planned 20 projects in its sustainability growth program.</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the second quarter, the Company completed two recycling growth projects, including technology and automation upgrades at its recycling facility in Surprise, Ariz. and the opening of a recycling facility in the Greater Toronto area. The Company’s recycling investments lower labor and processing costs, improve efficiency, and enhance material quality, driving benefits in any commodity market.</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 is focused on executing its sustainability growth strategy as these investments are an important part of WM’s growth trajectory, and management is excited about the long-term value these projects will create for the Company’s customers and shareholders.</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REVISED 2023 OUTLOOK</w:t>
                            </w:r>
                          </w:p>
                          <w:p>
                            <w:pPr>
                              <w:pStyle w:val="TextBody"/>
                              <w:bidi w:val="0"/>
                              <w:spacing w:before="0" w:after="0"/>
                              <w:ind w:left="0" w:right="0" w:hanging="0"/>
                              <w:jc w:val="left"/>
                              <w:rPr>
                                <w:caps/>
                              </w:rPr>
                            </w:pPr>
                            <w:r>
                              <w:rPr>
                                <w:caps/>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half of the year complete, the Company is updating its full-year outlook to modestly adjust its expectations for 2023. The revised financial outlook considers first half results relative to plan as well as a change in outlook for the second half of the year primarily due to expectations for slower recycled commodity price recovery and lower event-driven volumes.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Company revenue growth is expected to be between 3.25% and 4.25%, which is lower than prior expectations by 100 basis points at the midpoint. This revision is largely related to the sustainability businesses where electricity and natural gas prices are lower than expected and recycled commodity prices are now expected to be lower during the second half of the year than initially planned. Further, revenue contributions from recycling acquisitions are evolving at a slower pace than expected.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WM’s core price outlook remains strong at between 6.5% and 7.0%. Conversion of core price to yield is exceeding expectations and the Company now expects collection and disposal yield to exceed 5.5%.</w:t>
                                  </w:r>
                                  <w:r>
                                    <w:rPr>
                                      <w:rFonts w:ascii="Arial;Helvetica;Sans-Serif" w:hAnsi="Arial;Helvetica;Sans-Serif"/>
                                      <w:position w:val="8"/>
                                      <w:sz w:val="19"/>
                                    </w:rPr>
                                    <w:t>(d)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Company’s overall collection and disposal volume outlook is unchanged and expected to be flat to 2022, though stronger volume contributions are expected from the Company’s strategic accounts business while event-driven landfill volumes are developing slower than planned.</w:t>
                                  </w:r>
                                  <w:r>
                                    <w:rPr>
                                      <w:rFonts w:ascii="Arial;Helvetica;Sans-Serif" w:hAnsi="Arial;Helvetica;Sans-Serif"/>
                                      <w:position w:val="8"/>
                                      <w:sz w:val="19"/>
                                    </w:rPr>
                                    <w:t>(d)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Adjusted operating EBITDA is expected to be between $5.775 and $5.875 billion in 2023, which is below prior expectations by $75 million, or about 1%, at the midpoint, with about half of the decline attributed to the sustainability businesses and the remainder due to lower event-driven volumes.</w:t>
                                  </w:r>
                                  <w:r>
                                    <w:rPr>
                                      <w:rFonts w:ascii="Arial;Helvetica;Sans-Serif" w:hAnsi="Arial;Helvetica;Sans-Serif"/>
                                      <w:position w:val="6"/>
                                      <w:sz w:val="14"/>
                                      <w:sz w:val="18"/>
                                    </w:rPr>
                                    <w:t>(a)</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Pricing and cost optimization efforts remain on track to deliver targeted improvement in adjusted operating EBITDA margin of at least 40 basis points for the year. At the midpoint of the guidance range, adjusted operating EBITDA margin is expected to be 28.5%, an increase of 50 basis points compared to 2022.</w:t>
                                  </w:r>
                                  <w:r>
                                    <w:rPr>
                                      <w:rFonts w:ascii="Arial;Helvetica;Sans-Serif" w:hAnsi="Arial;Helvetica;Sans-Serif"/>
                                      <w:position w:val="6"/>
                                      <w:sz w:val="14"/>
                                      <w:sz w:val="18"/>
                                    </w:rPr>
                                    <w:t>(a)</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operating EBITDA contributions from the recycling and renewable energy businesses are expected to be between $115 and $135 million lower than 2022, which compares to the Company’s original outlook of a year-over-year decline of $70 to $100 million.</w:t>
                                  </w:r>
                                  <w:r>
                                    <w:rPr>
                                      <w:rFonts w:ascii="Arial;Helvetica;Sans-Serif" w:hAnsi="Arial;Helvetica;Sans-Serif"/>
                                      <w:position w:val="8"/>
                                      <w:sz w:val="19"/>
                                    </w:rPr>
                                    <w:t>(f)</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Free cash flow is projected to be between $1.675 and $1.775 billion, which is above prior expectations by $175 million at the midpoint. The increase in free cash flow is primarily driven by lower-than-expected capital spending on sustainability growth investments due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Due to customary construction and permitting delays for certain projects, sustainability growth capital spending in 2023 is expected to be about $200 million lower than previously anticipated, with an increase in later years due to this timing shift, inflation, and other factors.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June, the U.S. EPA finalized renewable fuel volume obligations for 2023 through 2025, providing visibility and stability to the market for renewable fuel standard credits. Higher demand for renewable natural gas as a transportation fuel strongly supports the blended average pricing assumption of $26/MMBtu used to develop our investment strategy and strengthens the case for potential upside.</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the second quarter, WM opened its Eco Vista renewable natural gas (RNG) facility in Springdale, Ark., the sixth WM-owned RNG facility and the second of the Company’s planned 20 projects in its sustainability growth program.</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the second quarter, the Company completed two recycling growth projects, including technology and automation upgrades at its recycling facility in Surprise, Ariz. and the opening of a recycling facility in the Greater Toronto area. The Company’s recycling investments lower labor and processing costs, improve efficiency, and enhance material quality, driving benefits in any commodity market.</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 is focused on executing its sustainability growth strategy as these investments are an important part of WM’s growth trajectory, and management is excited about the long-term value these projects will create for the Company’s customers and shareholders.</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REVISED 2023 OUTLOOK</w:t>
                      </w:r>
                    </w:p>
                    <w:p>
                      <w:pPr>
                        <w:pStyle w:val="TextBody"/>
                        <w:bidi w:val="0"/>
                        <w:spacing w:before="0" w:after="0"/>
                        <w:ind w:left="0" w:right="0" w:hanging="0"/>
                        <w:jc w:val="left"/>
                        <w:rPr>
                          <w:caps/>
                        </w:rPr>
                      </w:pPr>
                      <w:r>
                        <w:rPr>
                          <w:caps/>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half of the year complete, the Company is updating its full-year outlook to modestly adjust its expectations for 2023. The revised financial outlook considers first half results relative to plan as well as a change in outlook for the second half of the year primarily due to expectations for slower recycled commodity price recovery and lower event-driven volumes.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Company revenue growth is expected to be between 3.25% and 4.25%, which is lower than prior expectations by 100 basis points at the midpoint. This revision is largely related to the sustainability businesses where electricity and natural gas prices are lower than expected and recycled commodity prices are now expected to be lower during the second half of the year than initially planned. Further, revenue contributions from recycling acquisitions are evolving at a slower pace than expected.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WM’s core price outlook remains strong at between 6.5% and 7.0%. Conversion of core price to yield is exceeding expectations and the Company now expects collection and disposal yield to exceed 5.5%.</w:t>
                            </w:r>
                            <w:r>
                              <w:rPr>
                                <w:rFonts w:ascii="Arial;Helvetica;Sans-Serif" w:hAnsi="Arial;Helvetica;Sans-Serif"/>
                                <w:position w:val="8"/>
                                <w:sz w:val="19"/>
                              </w:rPr>
                              <w:t>(d)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Company’s overall collection and disposal volume outlook is unchanged and expected to be flat to 2022, though stronger volume contributions are expected from the Company’s strategic accounts business while event-driven landfill volumes are developing slower than planned.</w:t>
                            </w:r>
                            <w:r>
                              <w:rPr>
                                <w:rFonts w:ascii="Arial;Helvetica;Sans-Serif" w:hAnsi="Arial;Helvetica;Sans-Serif"/>
                                <w:position w:val="8"/>
                                <w:sz w:val="19"/>
                              </w:rPr>
                              <w:t>(d)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Adjusted operating EBITDA is expected to be between $5.775 and $5.875 billion in 2023, which is below prior expectations by $75 million, or about 1%, at the midpoint, with about half of the decline attributed to the sustainability businesses and the remainder due to lower event-driven volumes.</w:t>
                            </w:r>
                            <w:r>
                              <w:rPr>
                                <w:rFonts w:ascii="Arial;Helvetica;Sans-Serif" w:hAnsi="Arial;Helvetica;Sans-Serif"/>
                                <w:position w:val="6"/>
                                <w:sz w:val="14"/>
                                <w:sz w:val="18"/>
                              </w:rPr>
                              <w:t>(a)</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Pricing and cost optimization efforts remain on track to deliver targeted improvement in adjusted operating EBITDA margin of at least 40 basis points for the year. At the midpoint of the guidance range, adjusted operating EBITDA margin is expected to be 28.5%, an increase of 50 basis points compared to 2022.</w:t>
                            </w:r>
                            <w:r>
                              <w:rPr>
                                <w:rFonts w:ascii="Arial;Helvetica;Sans-Serif" w:hAnsi="Arial;Helvetica;Sans-Serif"/>
                                <w:position w:val="6"/>
                                <w:sz w:val="14"/>
                                <w:sz w:val="18"/>
                              </w:rPr>
                              <w:t>(a)</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operating EBITDA contributions from the recycling and renewable energy businesses are expected to be between $115 and $135 million lower than 2022, which compares to the Company’s original outlook of a year-over-year decline of $70 to $100 million.</w:t>
                            </w:r>
                            <w:r>
                              <w:rPr>
                                <w:rFonts w:ascii="Arial;Helvetica;Sans-Serif" w:hAnsi="Arial;Helvetica;Sans-Serif"/>
                                <w:position w:val="8"/>
                                <w:sz w:val="19"/>
                              </w:rPr>
                              <w:t>(f)</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Free cash flow is projected to be between $1.675 and $1.775 billion, which is above prior expectations by $175 million at the midpoint. The increase in free cash flow is primarily driven by lower-than-expected capital spending on sustainability growth investments due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971550" cy="175260"/>
                <wp:effectExtent l="0" t="0" r="0" b="0"/>
                <wp:wrapSquare wrapText="left"/>
                <wp:docPr id="6" name="Frame6"/>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433.75pt;mso-position-horizontal:right;mso-position-horizontal-relative:text">
                <v:textbox>
                  <w:txbxContent>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5313680" cy="9972040"/>
                <wp:effectExtent l="0" t="0" r="0" b="0"/>
                <wp:wrapSquare wrapText="right"/>
                <wp:docPr id="7" name="Frame7"/>
                <a:graphic xmlns:a="http://schemas.openxmlformats.org/drawingml/2006/main">
                  <a:graphicData uri="http://schemas.microsoft.com/office/word/2010/wordprocessingShape">
                    <wps:wsp>
                      <wps:cNvSpPr txBox="1"/>
                      <wps:spPr>
                        <a:xfrm>
                          <a:off x="0" y="0"/>
                          <a:ext cx="5313680" cy="9972040"/>
                        </a:xfrm>
                        <a:prstGeom prst="rect"/>
                        <a:solidFill>
                          <a:srgbClr val="FFFFFF"/>
                        </a:solidFill>
                      </wps:spPr>
                      <wps:txbx>
                        <w:txbxContent>
                          <w:p>
                            <w:pPr>
                              <w:pStyle w:val="TextBody"/>
                              <w:bidi w:val="0"/>
                              <w:ind w:left="0" w:right="0" w:hanging="0"/>
                              <w:jc w:val="both"/>
                              <w:rPr>
                                <w:caps w:val="false"/>
                                <w:smallCaps w:val="false"/>
                              </w:rPr>
                            </w:pPr>
                            <w:r>
                              <w:rPr>
                                <w:caps w:val="false"/>
                                <w:smallCaps w:val="false"/>
                              </w:rPr>
                              <w:t> </w:t>
                            </w:r>
                          </w:p>
                          <w:p>
                            <w:pPr>
                              <w:pStyle w:val="TextBody"/>
                              <w:bidi w:val="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 delay in the timing of certain construction projects. Free cash flow excluding targeted sustainability growth investments is expected to be between $2.575 and $2.675 billion, essentially in line with prior guidance.</w:t>
                            </w:r>
                            <w:r>
                              <w:rPr>
                                <w:rFonts w:ascii="Arial;Helvetica;Sans-Serif" w:hAnsi="Arial;Helvetica;Sans-Serif"/>
                                <w:b w:val="false"/>
                                <w:i w:val="false"/>
                                <w:caps w:val="false"/>
                                <w:smallCaps w:val="false"/>
                                <w:position w:val="6"/>
                                <w:sz w:val="14"/>
                                <w:sz w:val="18"/>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As we move into the back half of 2023, we remain focused on cost optimization, efficiency improvements, and solid execution on pricing to overcome top-line pressures from lower recycling commodity prices and slower than expected event-driven volumes. We expect this focus to continue to translate into strong margin expansion,” Fish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w:t>
                                  </w:r>
                                </w:p>
                              </w:tc>
                              <w:tc>
                                <w:tcPr>
                                  <w:tcW w:w="9911"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information labeled as adjusted in this press release, as well as free cash flow, are non-GAAP measures. Please see "Non-GAAP Financial Measures" below and the reconciliations in the accompanying schedules for more information.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(b)</w:t>
                                  </w:r>
                                </w:p>
                              </w:tc>
                              <w:tc>
                                <w:tcPr>
                                  <w:tcW w:w="9907"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Management defines operating EBITDA as GAAP income from operations before depreciation and amortization; this measure may not be comparable to similarly-titled measures reported by other companies.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w:t>
                                  </w:r>
                                </w:p>
                              </w:tc>
                              <w:tc>
                                <w:tcPr>
                                  <w:tcW w:w="991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For purposes of this press release, all references to "Net income" refer to the financial statement line item "Net income attributable to Waste Management,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w:t>
                                  </w:r>
                                </w:p>
                              </w:tc>
                              <w:tc>
                                <w:tcPr>
                                  <w:tcW w:w="992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w:t>
                                  </w:r>
                                </w:p>
                              </w:tc>
                              <w:tc>
                                <w:tcPr>
                                  <w:tcW w:w="9914"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 the first quarter of 2023, the Company updated its collection and disposal operating EBITDA calculation with a more accurate allocation of costs to this line of business. The Company has restated the prior periods to be consistent with the current year presentation.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w:t>
                                  </w:r>
                                </w:p>
                              </w:tc>
                              <w:tc>
                                <w:tcPr>
                                  <w:tcW w:w="1000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Company’s updated 2023 outlook includes an average recycled commodity price of about $60 per ton in 2023, which is a year-over-year decline of about 40% and compares to previous expectations of $70 per ton. The updated 2023 outlook includes the following renewable energy prices: an average value of renewable fuel standard credits of approximately $2.40, which is a year-over-year decline of more than 20% and compares to previous expectations of $2.30; an average natural gas price of about $2.35 per MMBtu, which is a year-over-year decline of nearly 60% and compares to previous expectations of $3.60 per MMBtu; and an average electricity price of about $65 per megawatt hour, which is a year-over-year decline of about 10% and compares to previous expectations of about $70 per megawatt hour.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host a conference call at 10 a.m. ET on July 26, 2023 to discuss the second quarter results. Information contained within this press release will be referenced and should be considered in conjunction with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Conference call participants must register to obtain their dial in and passcode details. This streamlined process improves security and eliminates wait times when joining the call.</w:t>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0" w:right="0" w:hanging="0"/>
                        <w:jc w:val="both"/>
                        <w:rPr>
                          <w:caps w:val="false"/>
                          <w:smallCaps w:val="false"/>
                        </w:rPr>
                      </w:pPr>
                      <w:r>
                        <w:rPr>
                          <w:caps w:val="false"/>
                          <w:smallCaps w:val="false"/>
                        </w:rPr>
                        <w:t> </w:t>
                      </w:r>
                    </w:p>
                    <w:p>
                      <w:pPr>
                        <w:pStyle w:val="TextBody"/>
                        <w:bidi w:val="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 delay in the timing of certain construction projects. Free cash flow excluding targeted sustainability growth investments is expected to be between $2.575 and $2.675 billion, essentially in line with prior guidance.</w:t>
                      </w:r>
                      <w:r>
                        <w:rPr>
                          <w:rFonts w:ascii="Arial;Helvetica;Sans-Serif" w:hAnsi="Arial;Helvetica;Sans-Serif"/>
                          <w:b w:val="false"/>
                          <w:i w:val="false"/>
                          <w:caps w:val="false"/>
                          <w:smallCaps w:val="false"/>
                          <w:position w:val="6"/>
                          <w:sz w:val="14"/>
                          <w:sz w:val="18"/>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As we move into the back half of 2023, we remain focused on cost optimization, efficiency improvements, and solid execution on pricing to overcome top-line pressures from lower recycling commodity prices and slower than expected event-driven volumes. We expect this focus to continue to translate into strong margin expansion,” Fish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w:t>
                            </w:r>
                          </w:p>
                        </w:tc>
                        <w:tc>
                          <w:tcPr>
                            <w:tcW w:w="9911"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information labeled as adjusted in this press release, as well as free cash flow, are non-GAAP measures. Please see "Non-GAAP Financial Measures" below and the reconciliations in the accompanying schedules for more information.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(b)</w:t>
                            </w:r>
                          </w:p>
                        </w:tc>
                        <w:tc>
                          <w:tcPr>
                            <w:tcW w:w="9907"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Management defines operating EBITDA as GAAP income from operations before depreciation and amortization; this measure may not be comparable to similarly-titled measures reported by other companies.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w:t>
                            </w:r>
                          </w:p>
                        </w:tc>
                        <w:tc>
                          <w:tcPr>
                            <w:tcW w:w="991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For purposes of this press release, all references to "Net income" refer to the financial statement line item "Net income attributable to Waste Management,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w:t>
                            </w:r>
                          </w:p>
                        </w:tc>
                        <w:tc>
                          <w:tcPr>
                            <w:tcW w:w="992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w:t>
                            </w:r>
                          </w:p>
                        </w:tc>
                        <w:tc>
                          <w:tcPr>
                            <w:tcW w:w="9914"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 the first quarter of 2023, the Company updated its collection and disposal operating EBITDA calculation with a more accurate allocation of costs to this line of business. The Company has restated the prior periods to be consistent with the current year presentation.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w:t>
                            </w:r>
                          </w:p>
                        </w:tc>
                        <w:tc>
                          <w:tcPr>
                            <w:tcW w:w="1000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Company’s updated 2023 outlook includes an average recycled commodity price of about $60 per ton in 2023, which is a year-over-year decline of about 40% and compares to previous expectations of $70 per ton. The updated 2023 outlook includes the following renewable energy prices: an average value of renewable fuel standard credits of approximately $2.40, which is a year-over-year decline of more than 20% and compares to previous expectations of $2.30; an average natural gas price of about $2.35 per MMBtu, which is a year-over-year decline of nearly 60% and compares to previous expectations of $3.60 per MMBtu; and an average electricity price of about $65 per megawatt hour, which is a year-over-year decline of about 10% and compares to previous expectations of about $70 per megawatt hour.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host a conference call at 10 a.m. ET on July 26, 2023 to discuss the second quarter results. Information contained within this press release will be referenced and should be considered in conjunction with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Conference call participants must register to obtain their dial in and passcode details. This streamlined process improves security and eliminates wait times when joining the call.</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971550" cy="175260"/>
                <wp:effectExtent l="0" t="0" r="0" b="0"/>
                <wp:wrapSquare wrapText="left"/>
                <wp:docPr id="8" name="Frame8"/>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433.75pt;mso-position-horizontal:right;mso-position-horizontal-relative:text">
                <v:textbox>
                  <w:txbxContent>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313680" cy="8675370"/>
                <wp:effectExtent l="0" t="0" r="0" b="0"/>
                <wp:wrapSquare wrapText="right"/>
                <wp:docPr id="9" name="Frame9"/>
                <a:graphic xmlns:a="http://schemas.openxmlformats.org/drawingml/2006/main">
                  <a:graphicData uri="http://schemas.microsoft.com/office/word/2010/wordprocessingShape">
                    <wps:wsp>
                      <wps:cNvSpPr txBox="1"/>
                      <wps:spPr>
                        <a:xfrm>
                          <a:off x="0" y="0"/>
                          <a:ext cx="5313680" cy="867537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about wm</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nearly 11,000 natural gas trucks – the largest heavy-duty natural gas truck fleet of its kind in North America. To learn more about WM and the company's sustainability progress and solutions, visit Sustainability.WM.com.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Forward-Looking Statements</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under the headings “Revised 2023 Outlook” and “Sustainability Growth Program Update” and all statements regarding future performance or financial results of our business; pricing results and margin expansion; commodity price trends and assumptions; cost optimization and efficiencies; future volumes; future execution of and investment in strategic priorities, including sustainability projects; and timing, outcomes and benefits from investment in strategic priorities.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(“ESG”), performance and disclosure;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w:t>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68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about wm</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nearly 11,000 natural gas trucks – the largest heavy-duty natural gas truck fleet of its kind in North America. To learn more about WM and the company's sustainability progress and solutions, visit Sustainability.WM.com.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Forward-Looking Statements</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under the headings “Revised 2023 Outlook” and “Sustainability Growth Program Update” and all statements regarding future performance or financial results of our business; pricing results and margin expansion; commodity price trends and assumptions; cost optimization and efficiencies; future volumes; future execution of and investment in strategic priorities, including sustainability projects; and timing, outcomes and benefits from investment in strategic priorities.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(“ESG”), performance and disclosure;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right</wp:align>
                </wp:positionH>
                <wp:positionV relativeFrom="line">
                  <wp:posOffset>635</wp:posOffset>
                </wp:positionV>
                <wp:extent cx="971550" cy="175260"/>
                <wp:effectExtent l="0" t="0" r="0" b="0"/>
                <wp:wrapSquare wrapText="left"/>
                <wp:docPr id="10" name="Frame10"/>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433.75pt;mso-position-horizontal:right;mso-position-horizontal-relative:text">
                <v:textbox>
                  <w:txbxContent>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5313680" cy="6893560"/>
                <wp:effectExtent l="0" t="0" r="0" b="0"/>
                <wp:wrapSquare wrapText="right"/>
                <wp:docPr id="11" name="Frame11"/>
                <a:graphic xmlns:a="http://schemas.openxmlformats.org/drawingml/2006/main">
                  <a:graphicData uri="http://schemas.microsoft.com/office/word/2010/wordprocessingShape">
                    <wps:wsp>
                      <wps:cNvSpPr txBox="1"/>
                      <wps:spPr>
                        <a:xfrm>
                          <a:off x="0" y="0"/>
                          <a:ext cx="5313680" cy="689356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assumes no obligation to update any forward-looking statement, including financial estimates and forecasts, whether as a result of future events, circumstances or developments or otherwise.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Non-GAAP Financial Measures</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supplement its financial information, the Company has presented, and/or may discuss on the conference call, adjusted earnings per diluted share, adjusted net income, adjusted income from operations, adjusted operating EBITDA, adjusted operating EBITDA margin, adjusted operating expenses, adjusted SG&amp;A expenses, and free cash flow, as well as projections of adjusted operating EBITDA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54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assumes no obligation to update any forward-looking statement, including financial estimates and forecasts, whether as a result of future events, circumstances or developments or otherwise.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Arial;Helvetica;Sans-Serif" w:hAnsi="Arial;Helvetica;Sans-Serif"/>
                          <w:b/>
                          <w:i w:val="false"/>
                          <w:caps/>
                          <w:sz w:val="20"/>
                        </w:rPr>
                      </w:pPr>
                      <w:r>
                        <w:rPr>
                          <w:rFonts w:ascii="Arial;Helvetica;Sans-Serif" w:hAnsi="Arial;Helvetica;Sans-Serif"/>
                          <w:b/>
                          <w:i w:val="false"/>
                          <w:caps/>
                          <w:sz w:val="20"/>
                        </w:rPr>
                        <w:t>Non-GAAP Financial Measures</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supplement its financial information, the Company has presented, and/or may discuss on the conference call, adjusted earnings per diluted share, adjusted net income, adjusted income from operations, adjusted operating EBITDA, adjusted operating EBITDA margin, adjusted operating expenses, adjusted SG&amp;A expenses, and free cash flow, as well as projections of adjusted operating EBITDA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right</wp:align>
                </wp:positionH>
                <wp:positionV relativeFrom="line">
                  <wp:posOffset>635</wp:posOffset>
                </wp:positionV>
                <wp:extent cx="971550" cy="175260"/>
                <wp:effectExtent l="0" t="0" r="0" b="0"/>
                <wp:wrapSquare wrapText="left"/>
                <wp:docPr id="12" name="Frame12"/>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433.75pt;mso-position-horizontal:right;mso-position-horizontal-relative:text">
                <v:textbox>
                  <w:txbxContent>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5705"/>
        <w:gridCol w:w="60"/>
        <w:gridCol w:w="164"/>
        <w:gridCol w:w="638"/>
        <w:gridCol w:w="105"/>
        <w:gridCol w:w="78"/>
        <w:gridCol w:w="164"/>
        <w:gridCol w:w="638"/>
        <w:gridCol w:w="80"/>
        <w:gridCol w:w="60"/>
        <w:gridCol w:w="132"/>
        <w:gridCol w:w="624"/>
        <w:gridCol w:w="84"/>
        <w:gridCol w:w="63"/>
        <w:gridCol w:w="132"/>
        <w:gridCol w:w="513"/>
        <w:gridCol w:w="9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5,119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10,011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9,688</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Operating</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3,186</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3,142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20"/>
              </w:rPr>
            </w:pPr>
            <w:r>
              <w:rPr>
                <w:sz w:val="20"/>
              </w:rPr>
              <w:t>6,272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sz w:val="20"/>
              </w:rPr>
            </w:pPr>
            <w:r>
              <w:rPr>
                <w:sz w:val="20"/>
              </w:rPr>
              <w:t>6,045</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467</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sz w:val="20"/>
              </w:rPr>
            </w:pPr>
            <w:r>
              <w:rPr>
                <w:sz w:val="20"/>
              </w:rPr>
              <w:t>943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sz w:val="20"/>
              </w:rPr>
            </w:pPr>
            <w:r>
              <w:rPr>
                <w:sz w:val="20"/>
              </w:rPr>
              <w:t>978</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Depreciation, depletion and amortization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521</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20"/>
              </w:rPr>
            </w:pPr>
            <w:r>
              <w:rPr>
                <w:sz w:val="20"/>
              </w:rPr>
              <w:t>1,026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sz w:val="20"/>
              </w:rPr>
            </w:pPr>
            <w:r>
              <w:rPr>
                <w:sz w:val="20"/>
              </w:rPr>
              <w:t>990</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Restructuring</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1</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sz w:val="20"/>
              </w:rPr>
            </w:pPr>
            <w:r>
              <w:rPr>
                <w:sz w:val="20"/>
              </w:rPr>
              <w:t>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(Gain) loss from divestitures, asset impairments and unusual items,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84" w:type="dxa"/>
            <w:tcBorders/>
            <w:shd w:fill="CCEEFF" w:val="cle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4,175</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8,242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8,030</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944</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1,769</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1,658</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(125</w:t>
            </w:r>
          </w:p>
        </w:tc>
        <w:tc>
          <w:tcPr>
            <w:tcW w:w="105"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20"/>
              </w:rPr>
            </w:pPr>
            <w:r>
              <w:rPr>
                <w:sz w:val="20"/>
              </w:rPr>
              <w:t>(245</w:t>
            </w:r>
          </w:p>
        </w:tc>
        <w:tc>
          <w:tcPr>
            <w:tcW w:w="84" w:type="dxa"/>
            <w:tcBorders/>
            <w:shd w:fill="CCEEFF" w:val="cle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sz w:val="20"/>
              </w:rPr>
            </w:pPr>
            <w:r>
              <w:rPr>
                <w:sz w:val="20"/>
              </w:rPr>
              <w:t>(178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705" w:type="dxa"/>
            <w:tcBorders/>
            <w:shd w:fill="FFFFFF" w:val="clear"/>
            <w:vAlign w:val="center"/>
          </w:tcPr>
          <w:p>
            <w:pPr>
              <w:pStyle w:val="TableContents"/>
              <w:bidi w:val="0"/>
              <w:spacing w:before="0" w:after="283"/>
              <w:jc w:val="left"/>
              <w:rPr>
                <w:sz w:val="20"/>
              </w:rPr>
            </w:pPr>
            <w:r>
              <w:rPr>
                <w:sz w:val="20"/>
              </w:rPr>
              <w:t>Equity in net losses of unconsolidated entities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(12</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(17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sz w:val="20"/>
              </w:rPr>
            </w:pPr>
            <w:r>
              <w:rPr>
                <w:sz w:val="20"/>
              </w:rPr>
              <w:t>(23</w:t>
            </w:r>
          </w:p>
        </w:tc>
        <w:tc>
          <w:tcPr>
            <w:tcW w:w="84"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sz w:val="20"/>
              </w:rPr>
            </w:pPr>
            <w:r>
              <w:rPr>
                <w:sz w:val="20"/>
              </w:rPr>
              <w:t>(32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705" w:type="dxa"/>
            <w:tcBorders/>
            <w:shd w:fill="CCEEFF" w:val="clear"/>
            <w:vAlign w:val="center"/>
          </w:tcPr>
          <w:p>
            <w:pPr>
              <w:pStyle w:val="TableContents"/>
              <w:bidi w:val="0"/>
              <w:spacing w:before="0" w:after="283"/>
              <w:jc w:val="left"/>
              <w:rPr>
                <w:sz w:val="20"/>
              </w:rPr>
            </w:pPr>
            <w:r>
              <w:rPr>
                <w:sz w:val="20"/>
              </w:rPr>
              <w:t>Other,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(264</w:t>
            </w:r>
          </w:p>
        </w:tc>
        <w:tc>
          <w:tcPr>
            <w:tcW w:w="84"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705" w:type="dxa"/>
            <w:tcBorders/>
            <w:shd w:fill="CCEEFF" w:val="clear"/>
            <w:vAlign w:val="center"/>
          </w:tcPr>
          <w:p>
            <w:pPr>
              <w:pStyle w:val="TableContents"/>
              <w:bidi w:val="0"/>
              <w:spacing w:before="0" w:after="283"/>
              <w:jc w:val="left"/>
              <w:rPr>
                <w:sz w:val="20"/>
              </w:rPr>
            </w:pPr>
            <w:r>
              <w:rPr>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809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20"/>
              </w:rPr>
            </w:pPr>
            <w:r>
              <w:rPr>
                <w:sz w:val="20"/>
              </w:rPr>
              <w:t>1,505</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sz w:val="20"/>
              </w:rPr>
            </w:pPr>
            <w:r>
              <w:rPr>
                <w:sz w:val="20"/>
              </w:rPr>
              <w:t>1,447</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346</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Consolidated net income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613</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sz w:val="20"/>
              </w:rPr>
            </w:pPr>
            <w:r>
              <w:rPr>
                <w:sz w:val="20"/>
              </w:rPr>
              <w:t>1,145</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sz w:val="20"/>
              </w:rPr>
            </w:pPr>
            <w:r>
              <w:rPr>
                <w:sz w:val="20"/>
              </w:rPr>
              <w:t>1,101</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84"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Net income attributable to Waste Management, Inc.</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615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1,148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1,100</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Basic earnings per common share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1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2.65</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Diluted earnings per common share</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1.51</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2.81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2.64</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Weighted average basic common shares outstanding</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405.9</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407.4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415.0</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Weighted average diluted common shares outstanding</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407.7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409.1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417.0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003" w:type="dxa"/>
        <w:jc w:val="left"/>
        <w:tblInd w:w="0" w:type="dxa"/>
        <w:tblLayout w:type="fixed"/>
        <w:tblCellMar>
          <w:top w:w="0" w:type="dxa"/>
          <w:left w:w="0" w:type="dxa"/>
          <w:bottom w:w="0" w:type="dxa"/>
          <w:right w:w="0" w:type="dxa"/>
        </w:tblCellMar>
      </w:tblPr>
      <w:tblGrid>
        <w:gridCol w:w="4850"/>
        <w:gridCol w:w="60"/>
        <w:gridCol w:w="126"/>
        <w:gridCol w:w="598"/>
        <w:gridCol w:w="60"/>
        <w:gridCol w:w="60"/>
        <w:gridCol w:w="204"/>
        <w:gridCol w:w="970"/>
        <w:gridCol w:w="7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75"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center"/>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p>
        </w:tc>
        <w:tc>
          <w:tcPr>
            <w:tcW w:w="598" w:type="dxa"/>
            <w:tcBorders/>
            <w:shd w:fill="CCEEFF" w:val="clear"/>
            <w:vAlign w:val="center"/>
          </w:tcPr>
          <w:p>
            <w:pPr>
              <w:pStyle w:val="TableContents"/>
              <w:bidi w:val="0"/>
              <w:spacing w:before="0" w:after="283"/>
              <w:jc w:val="right"/>
              <w:rPr>
                <w:sz w:val="20"/>
              </w:rPr>
            </w:pPr>
            <w:r>
              <w:rPr>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p>
        </w:tc>
        <w:tc>
          <w:tcPr>
            <w:tcW w:w="970" w:type="dxa"/>
            <w:tcBorders/>
            <w:shd w:fill="CCEEFF" w:val="clear"/>
            <w:vAlign w:val="center"/>
          </w:tcPr>
          <w:p>
            <w:pPr>
              <w:pStyle w:val="TableContents"/>
              <w:bidi w:val="0"/>
              <w:spacing w:before="0" w:after="283"/>
              <w:jc w:val="right"/>
              <w:rPr>
                <w:sz w:val="20"/>
              </w:rPr>
            </w:pPr>
            <w:r>
              <w:rPr>
                <w:sz w:val="20"/>
              </w:rPr>
              <w:t>351</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Receivables, net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sz w:val="20"/>
              </w:rPr>
            </w:pPr>
            <w:r>
              <w:rPr>
                <w:sz w:val="20"/>
              </w:rPr>
              <w:t>2,846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2,752</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448</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sz w:val="20"/>
              </w:rPr>
            </w:pPr>
            <w:r>
              <w:rPr>
                <w:sz w:val="20"/>
              </w:rPr>
              <w:t>3,480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3,551</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sz w:val="20"/>
              </w:rPr>
            </w:pPr>
            <w:r>
              <w:rPr>
                <w:sz w:val="20"/>
              </w:rPr>
              <w:t>15,917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15,719</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sz w:val="20"/>
              </w:rPr>
            </w:pPr>
            <w:r>
              <w:rPr>
                <w:sz w:val="20"/>
              </w:rPr>
              <w:t>9,399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9,323</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sz w:val="20"/>
              </w:rPr>
            </w:pPr>
            <w:r>
              <w:rPr>
                <w:sz w:val="20"/>
              </w:rPr>
              <w:t>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827</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1,947</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Total assets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31,367</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center"/>
              <w:rPr>
                <w:b/>
                <w:sz w:val="20"/>
              </w:rPr>
            </w:pPr>
            <w:r>
              <w:rPr>
                <w:b/>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Accounts payable, accrued liabilities and deferred revenues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sz w:val="20"/>
              </w:rPr>
            </w:pPr>
            <w:r>
              <w:rPr>
                <w:sz w:val="20"/>
              </w:rPr>
              <w:t>$</w:t>
            </w:r>
          </w:p>
        </w:tc>
        <w:tc>
          <w:tcPr>
            <w:tcW w:w="598" w:type="dxa"/>
            <w:tcBorders/>
            <w:shd w:fill="FFFFFF" w:val="clear"/>
            <w:vAlign w:val="center"/>
          </w:tcPr>
          <w:p>
            <w:pPr>
              <w:pStyle w:val="TableContents"/>
              <w:bidi w:val="0"/>
              <w:spacing w:before="0" w:after="283"/>
              <w:jc w:val="right"/>
              <w:rPr>
                <w:sz w:val="20"/>
              </w:rPr>
            </w:pPr>
            <w:r>
              <w:rPr>
                <w:sz w:val="20"/>
              </w:rPr>
              <w:t>3,738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970" w:type="dxa"/>
            <w:tcBorders/>
            <w:shd w:fill="FFFFFF" w:val="clear"/>
            <w:vAlign w:val="center"/>
          </w:tcPr>
          <w:p>
            <w:pPr>
              <w:pStyle w:val="TableContents"/>
              <w:bidi w:val="0"/>
              <w:spacing w:before="0" w:after="283"/>
              <w:jc w:val="right"/>
              <w:rPr>
                <w:sz w:val="20"/>
              </w:rPr>
            </w:pPr>
            <w:r>
              <w:rPr>
                <w:sz w:val="20"/>
              </w:rPr>
              <w:t>3,980</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414</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sz w:val="20"/>
              </w:rPr>
            </w:pPr>
            <w:r>
              <w:rPr>
                <w:sz w:val="20"/>
              </w:rPr>
              <w:t>4,251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4,394</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Long-term debt, less current portion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sz w:val="20"/>
              </w:rPr>
            </w:pPr>
            <w:r>
              <w:rPr>
                <w:sz w:val="20"/>
              </w:rPr>
              <w:t>14,855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14,570</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5,539</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24,503</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Waste Management, Inc. stockholders’ equity</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sz w:val="20"/>
              </w:rPr>
            </w:pPr>
            <w:r>
              <w:rPr>
                <w:sz w:val="20"/>
              </w:rPr>
              <w:t>6,909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6,849</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Total equity</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6,864</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31,614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31,367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25" w:type="dxa"/>
        <w:jc w:val="left"/>
        <w:tblInd w:w="0" w:type="dxa"/>
        <w:tblLayout w:type="fixed"/>
        <w:tblCellMar>
          <w:top w:w="0" w:type="dxa"/>
          <w:left w:w="0" w:type="dxa"/>
          <w:bottom w:w="0" w:type="dxa"/>
          <w:right w:w="0" w:type="dxa"/>
        </w:tblCellMar>
      </w:tblPr>
      <w:tblGrid>
        <w:gridCol w:w="7985"/>
        <w:gridCol w:w="60"/>
        <w:gridCol w:w="125"/>
        <w:gridCol w:w="650"/>
        <w:gridCol w:w="80"/>
        <w:gridCol w:w="60"/>
        <w:gridCol w:w="125"/>
        <w:gridCol w:w="545"/>
        <w:gridCol w:w="95"/>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6"/>
            <w:tcBorders/>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Consolidated 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1,145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45" w:type="dxa"/>
            <w:tcBorders/>
            <w:shd w:fill="FFFFFF" w:val="clear"/>
            <w:vAlign w:val="center"/>
          </w:tcPr>
          <w:p>
            <w:pPr>
              <w:pStyle w:val="TableContents"/>
              <w:bidi w:val="0"/>
              <w:spacing w:before="0" w:after="283"/>
              <w:jc w:val="right"/>
              <w:rPr>
                <w:sz w:val="20"/>
              </w:rPr>
            </w:pPr>
            <w:r>
              <w:rPr>
                <w:sz w:val="20"/>
              </w:rPr>
              <w:t>1,101</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Adjustments to reconcile consolidated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990</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105</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Change in operating assets and liabilities, net of effects of acquisitions and divestitures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2,305</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(118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(968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11</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(1,339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New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11,356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5,360</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Debt repayments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(11,074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(4,683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Common stock repurchase program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(520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Cash dividends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(572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(544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21</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Tax payments associated with equity-based compensation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(35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Effect of exchange rate changes on cash,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(Decrease) increase in cash,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799</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Cash, cash equivalents and restricted 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194</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Cash, cash equivalents and restricted 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by Line of Business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400"/>
        <w:gridCol w:w="60"/>
        <w:gridCol w:w="151"/>
        <w:gridCol w:w="659"/>
        <w:gridCol w:w="96"/>
        <w:gridCol w:w="72"/>
        <w:gridCol w:w="151"/>
        <w:gridCol w:w="659"/>
        <w:gridCol w:w="80"/>
        <w:gridCol w:w="60"/>
        <w:gridCol w:w="127"/>
        <w:gridCol w:w="599"/>
        <w:gridCol w:w="81"/>
        <w:gridCol w:w="60"/>
        <w:gridCol w:w="127"/>
        <w:gridCol w:w="553"/>
        <w:gridCol w:w="95"/>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7" w:type="dxa"/>
            <w:gridSpan w:val="6"/>
            <w:tcBorders/>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20"/>
              </w:rPr>
            </w:pPr>
            <w:r>
              <w:rPr>
                <w:sz w:val="20"/>
              </w:rPr>
              <w:t>$</w:t>
            </w:r>
          </w:p>
        </w:tc>
        <w:tc>
          <w:tcPr>
            <w:tcW w:w="659" w:type="dxa"/>
            <w:tcBorders/>
            <w:shd w:fill="CCEEFF" w:val="clear"/>
            <w:vAlign w:val="center"/>
          </w:tcPr>
          <w:p>
            <w:pPr>
              <w:pStyle w:val="TableContents"/>
              <w:bidi w:val="0"/>
              <w:spacing w:before="0" w:after="283"/>
              <w:jc w:val="right"/>
              <w:rPr>
                <w:sz w:val="20"/>
              </w:rPr>
            </w:pPr>
            <w:r>
              <w:rPr>
                <w:sz w:val="20"/>
              </w:rPr>
              <w:t>1,424</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20"/>
              </w:rPr>
            </w:pPr>
            <w:r>
              <w:rPr>
                <w:sz w:val="20"/>
              </w:rPr>
              <w:t>$</w:t>
            </w:r>
          </w:p>
        </w:tc>
        <w:tc>
          <w:tcPr>
            <w:tcW w:w="659" w:type="dxa"/>
            <w:tcBorders/>
            <w:shd w:fill="CCEEFF" w:val="clear"/>
            <w:vAlign w:val="center"/>
          </w:tcPr>
          <w:p>
            <w:pPr>
              <w:pStyle w:val="TableContents"/>
              <w:bidi w:val="0"/>
              <w:spacing w:before="0" w:after="283"/>
              <w:jc w:val="right"/>
              <w:rPr>
                <w:sz w:val="20"/>
              </w:rPr>
            </w:pPr>
            <w:r>
              <w:rPr>
                <w:sz w:val="20"/>
              </w:rPr>
              <w:t>1,355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p>
        </w:tc>
        <w:tc>
          <w:tcPr>
            <w:tcW w:w="599" w:type="dxa"/>
            <w:tcBorders/>
            <w:shd w:fill="CCEEFF" w:val="clear"/>
            <w:vAlign w:val="center"/>
          </w:tcPr>
          <w:p>
            <w:pPr>
              <w:pStyle w:val="TableContents"/>
              <w:bidi w:val="0"/>
              <w:spacing w:before="0" w:after="283"/>
              <w:jc w:val="right"/>
              <w:rPr>
                <w:sz w:val="20"/>
              </w:rPr>
            </w:pPr>
            <w:r>
              <w:rPr>
                <w:sz w:val="20"/>
              </w:rPr>
              <w:t>2,836</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sz w:val="20"/>
              </w:rPr>
            </w:pPr>
            <w:r>
              <w:rPr>
                <w:sz w:val="20"/>
              </w:rPr>
              <w:t>2,642</w:t>
            </w:r>
          </w:p>
        </w:tc>
        <w:tc>
          <w:tcPr>
            <w:tcW w:w="9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974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sz w:val="20"/>
              </w:rPr>
            </w:pPr>
            <w:r>
              <w:rPr>
                <w:sz w:val="20"/>
              </w:rPr>
              <w:t>1,907</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1,778</w:t>
            </w:r>
          </w:p>
        </w:tc>
        <w:tc>
          <w:tcPr>
            <w:tcW w:w="9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866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sz w:val="20"/>
              </w:rPr>
            </w:pPr>
            <w:r>
              <w:rPr>
                <w:sz w:val="20"/>
              </w:rPr>
              <w:t>1,720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1,637</w:t>
            </w:r>
          </w:p>
        </w:tc>
        <w:tc>
          <w:tcPr>
            <w:tcW w:w="9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sz w:val="20"/>
              </w:rPr>
            </w:pPr>
            <w:r>
              <w:rPr>
                <w:sz w:val="20"/>
              </w:rPr>
              <w:t>Other collection</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334</w:t>
            </w:r>
          </w:p>
        </w:tc>
        <w:tc>
          <w:tcPr>
            <w:tcW w:w="9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Total collection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3,455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3,310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sz w:val="20"/>
              </w:rPr>
            </w:pPr>
            <w:r>
              <w:rPr>
                <w:sz w:val="20"/>
              </w:rPr>
              <w:t>6,826</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6,391</w:t>
            </w:r>
          </w:p>
        </w:tc>
        <w:tc>
          <w:tcPr>
            <w:tcW w:w="9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sz w:val="20"/>
              </w:rPr>
            </w:pPr>
            <w:r>
              <w:rPr>
                <w:sz w:val="20"/>
              </w:rPr>
              <w:t>Landfill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1,265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1,194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sz w:val="20"/>
              </w:rPr>
            </w:pPr>
            <w:r>
              <w:rPr>
                <w:sz w:val="20"/>
              </w:rPr>
              <w:t>2,417</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2,245</w:t>
            </w:r>
          </w:p>
        </w:tc>
        <w:tc>
          <w:tcPr>
            <w:tcW w:w="9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Transfer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585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sz w:val="20"/>
              </w:rPr>
            </w:pPr>
            <w:r>
              <w:rPr>
                <w:sz w:val="20"/>
              </w:rPr>
              <w:t>1,125</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1,040</w:t>
            </w:r>
          </w:p>
        </w:tc>
        <w:tc>
          <w:tcPr>
            <w:tcW w:w="9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sz w:val="20"/>
              </w:rPr>
            </w:pPr>
            <w:r>
              <w:rPr>
                <w:sz w:val="20"/>
              </w:rPr>
              <w:t>Recycling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370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sz w:val="20"/>
              </w:rPr>
            </w:pPr>
            <w:r>
              <w:rPr>
                <w:sz w:val="20"/>
              </w:rPr>
              <w:t>728</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921</w:t>
            </w:r>
          </w:p>
        </w:tc>
        <w:tc>
          <w:tcPr>
            <w:tcW w:w="9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653</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sz w:val="20"/>
              </w:rPr>
            </w:pPr>
            <w:r>
              <w:rPr>
                <w:sz w:val="20"/>
              </w:rPr>
              <w:t>1,266</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1,171</w:t>
            </w:r>
          </w:p>
        </w:tc>
        <w:tc>
          <w:tcPr>
            <w:tcW w:w="9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sz w:val="20"/>
              </w:rPr>
            </w:pPr>
            <w:r>
              <w:rPr>
                <w:sz w:val="20"/>
              </w:rPr>
              <w:t xml:space="preserve">Intercompany </w:t>
            </w:r>
            <w:r>
              <w:rPr>
                <w:position w:val="7"/>
                <w:sz w:val="16"/>
                <w:sz w:val="20"/>
              </w:rPr>
              <w:t>(a)</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(1,209</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(2,351</w:t>
            </w:r>
          </w:p>
        </w:tc>
        <w:tc>
          <w:tcPr>
            <w:tcW w:w="81"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(2,080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1400"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5,119</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10,011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9,688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Revenue Growth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8"/>
        <w:gridCol w:w="60"/>
        <w:gridCol w:w="210"/>
        <w:gridCol w:w="544"/>
        <w:gridCol w:w="97"/>
        <w:gridCol w:w="73"/>
        <w:gridCol w:w="105"/>
        <w:gridCol w:w="763"/>
        <w:gridCol w:w="226"/>
        <w:gridCol w:w="73"/>
        <w:gridCol w:w="210"/>
        <w:gridCol w:w="485"/>
        <w:gridCol w:w="97"/>
        <w:gridCol w:w="73"/>
        <w:gridCol w:w="143"/>
        <w:gridCol w:w="805"/>
        <w:gridCol w:w="185"/>
        <w:gridCol w:w="60"/>
        <w:gridCol w:w="194"/>
        <w:gridCol w:w="537"/>
        <w:gridCol w:w="94"/>
        <w:gridCol w:w="70"/>
        <w:gridCol w:w="103"/>
        <w:gridCol w:w="765"/>
        <w:gridCol w:w="218"/>
        <w:gridCol w:w="70"/>
        <w:gridCol w:w="194"/>
        <w:gridCol w:w="506"/>
        <w:gridCol w:w="94"/>
        <w:gridCol w:w="70"/>
        <w:gridCol w:w="143"/>
        <w:gridCol w:w="805"/>
        <w:gridCol w:w="215"/>
      </w:tblGrid>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4" w:type="dxa"/>
            <w:gridSpan w:val="14"/>
            <w:tcBorders/>
            <w:vAlign w:val="center"/>
          </w:tcPr>
          <w:p>
            <w:pPr>
              <w:pStyle w:val="TableContents"/>
              <w:bidi w:val="0"/>
              <w:spacing w:before="0" w:after="283"/>
              <w:jc w:val="center"/>
              <w:rPr>
                <w:b/>
                <w:sz w:val="20"/>
              </w:rPr>
            </w:pPr>
            <w:r>
              <w:rPr>
                <w:b/>
                <w:sz w:val="20"/>
              </w:rPr>
              <w:t>Period-to-Period Change for the Three Months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3" w:type="dxa"/>
            <w:gridSpan w:val="14"/>
            <w:tcBorders/>
            <w:vAlign w:val="center"/>
          </w:tcPr>
          <w:p>
            <w:pPr>
              <w:pStyle w:val="TableContents"/>
              <w:bidi w:val="0"/>
              <w:spacing w:before="0" w:after="283"/>
              <w:jc w:val="center"/>
              <w:rPr>
                <w:b/>
                <w:sz w:val="20"/>
              </w:rPr>
            </w:pPr>
            <w:r>
              <w:rPr>
                <w:b/>
                <w:sz w:val="20"/>
              </w:rPr>
              <w:t>Period-to-Period Change for the Six Months</w:t>
            </w:r>
          </w:p>
        </w:tc>
        <w:tc>
          <w:tcPr>
            <w:tcW w:w="215" w:type="dxa"/>
            <w:tcBorders/>
            <w:vAlign w:val="center"/>
          </w:tcPr>
          <w:p>
            <w:pPr>
              <w:pStyle w:val="TableContents"/>
              <w:bidi w:val="0"/>
              <w:spacing w:before="0" w:after="283"/>
              <w:jc w:val="left"/>
              <w:rPr/>
            </w:pPr>
            <w:r>
              <w:rPr/>
              <w:t> </w:t>
            </w:r>
          </w:p>
        </w:tc>
      </w:tr>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4"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Ended June 30, 2023 vs. 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3"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Ended June 30, 2023 vs. 2022</w:t>
            </w:r>
          </w:p>
        </w:tc>
        <w:tc>
          <w:tcPr>
            <w:tcW w:w="215" w:type="dxa"/>
            <w:tcBorders/>
            <w:vAlign w:val="center"/>
          </w:tcPr>
          <w:p>
            <w:pPr>
              <w:pStyle w:val="TableContents"/>
              <w:bidi w:val="0"/>
              <w:spacing w:before="0" w:after="283"/>
              <w:jc w:val="left"/>
              <w:rPr/>
            </w:pPr>
            <w:r>
              <w:rPr/>
              <w:t> </w:t>
            </w:r>
          </w:p>
        </w:tc>
      </w:tr>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b/>
                <w:sz w:val="20"/>
              </w:rPr>
            </w:pPr>
            <w:r>
              <w:rPr>
                <w:b/>
                <w:sz w:val="20"/>
              </w:rPr>
              <w:t>As a % of</w:t>
            </w:r>
          </w:p>
        </w:tc>
        <w:tc>
          <w:tcPr>
            <w:tcW w:w="22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b/>
                <w:sz w:val="20"/>
              </w:rPr>
            </w:pPr>
            <w:r>
              <w:rPr>
                <w:b/>
                <w:sz w:val="20"/>
              </w:rPr>
              <w:t>As a %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1" w:type="dxa"/>
            <w:gridSpan w:val="2"/>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b/>
                <w:sz w:val="20"/>
              </w:rPr>
            </w:pPr>
            <w:r>
              <w:rPr>
                <w:b/>
                <w:sz w:val="20"/>
              </w:rPr>
              <w:t>As a % of</w:t>
            </w:r>
          </w:p>
        </w:tc>
        <w:tc>
          <w:tcPr>
            <w:tcW w:w="218"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b/>
                <w:sz w:val="20"/>
              </w:rPr>
            </w:pPr>
            <w:r>
              <w:rPr>
                <w:b/>
                <w:sz w:val="20"/>
              </w:rPr>
              <w:t>As a % of</w:t>
            </w:r>
          </w:p>
        </w:tc>
        <w:tc>
          <w:tcPr>
            <w:tcW w:w="215" w:type="dxa"/>
            <w:tcBorders/>
            <w:vAlign w:val="center"/>
          </w:tcPr>
          <w:p>
            <w:pPr>
              <w:pStyle w:val="TableContents"/>
              <w:bidi w:val="0"/>
              <w:spacing w:before="0" w:after="283"/>
              <w:jc w:val="left"/>
              <w:rPr/>
            </w:pPr>
            <w:r>
              <w:rPr/>
              <w:t> </w:t>
            </w:r>
          </w:p>
        </w:tc>
      </w:tr>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b/>
                <w:sz w:val="20"/>
              </w:rPr>
            </w:pPr>
            <w:r>
              <w:rPr>
                <w:b/>
                <w:sz w:val="20"/>
              </w:rPr>
              <w:t>Related</w:t>
            </w:r>
          </w:p>
        </w:tc>
        <w:tc>
          <w:tcPr>
            <w:tcW w:w="22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b/>
                <w:sz w:val="20"/>
              </w:rPr>
            </w:pPr>
            <w:r>
              <w:rPr>
                <w:b/>
                <w:sz w:val="20"/>
              </w:rPr>
              <w:t>Total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1" w:type="dxa"/>
            <w:gridSpan w:val="2"/>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b/>
                <w:sz w:val="20"/>
              </w:rPr>
            </w:pPr>
            <w:r>
              <w:rPr>
                <w:b/>
                <w:sz w:val="20"/>
              </w:rPr>
              <w:t>Related</w:t>
            </w:r>
          </w:p>
        </w:tc>
        <w:tc>
          <w:tcPr>
            <w:tcW w:w="218"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b/>
                <w:sz w:val="20"/>
              </w:rPr>
            </w:pPr>
            <w:r>
              <w:rPr>
                <w:b/>
                <w:sz w:val="20"/>
              </w:rPr>
              <w:t>Total</w:t>
            </w:r>
          </w:p>
        </w:tc>
        <w:tc>
          <w:tcPr>
            <w:tcW w:w="215" w:type="dxa"/>
            <w:tcBorders/>
            <w:vAlign w:val="center"/>
          </w:tcPr>
          <w:p>
            <w:pPr>
              <w:pStyle w:val="TableContents"/>
              <w:bidi w:val="0"/>
              <w:spacing w:before="0" w:after="283"/>
              <w:jc w:val="left"/>
              <w:rPr/>
            </w:pPr>
            <w:r>
              <w:rPr/>
              <w:t> </w:t>
            </w:r>
          </w:p>
        </w:tc>
      </w:tr>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Business</w:t>
            </w:r>
            <w:r>
              <w:rPr>
                <w:b/>
                <w:position w:val="7"/>
                <w:sz w:val="16"/>
                <w:sz w:val="20"/>
              </w:rPr>
              <w:t>(b)</w:t>
            </w:r>
          </w:p>
        </w:tc>
        <w:tc>
          <w:tcPr>
            <w:tcW w:w="22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Company</w:t>
            </w:r>
            <w:r>
              <w:rPr>
                <w:b/>
                <w:position w:val="7"/>
                <w:sz w:val="16"/>
                <w:sz w:val="20"/>
              </w:rPr>
              <w:t>(c)</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Business</w:t>
            </w:r>
            <w:r>
              <w:rPr>
                <w:b/>
                <w:position w:val="7"/>
                <w:sz w:val="16"/>
                <w:sz w:val="20"/>
              </w:rPr>
              <w:t>(b)</w:t>
            </w:r>
          </w:p>
        </w:tc>
        <w:tc>
          <w:tcPr>
            <w:tcW w:w="218"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Company</w:t>
            </w:r>
            <w:r>
              <w:rPr>
                <w:b/>
                <w:position w:val="7"/>
                <w:sz w:val="16"/>
                <w:sz w:val="20"/>
              </w:rPr>
              <w:t>(c)</w:t>
            </w:r>
          </w:p>
        </w:tc>
        <w:tc>
          <w:tcPr>
            <w:tcW w:w="215" w:type="dxa"/>
            <w:tcBorders/>
            <w:vAlign w:val="center"/>
          </w:tcPr>
          <w:p>
            <w:pPr>
              <w:pStyle w:val="TableContents"/>
              <w:bidi w:val="0"/>
              <w:spacing w:before="0" w:after="283"/>
              <w:jc w:val="left"/>
              <w:rPr/>
            </w:pPr>
            <w:r>
              <w:rPr/>
              <w:t> </w:t>
            </w:r>
          </w:p>
        </w:tc>
      </w:tr>
      <w:tr>
        <w:trPr/>
        <w:tc>
          <w:tcPr>
            <w:tcW w:w="1918" w:type="dxa"/>
            <w:tcBorders/>
            <w:shd w:fill="CCEEFF" w:val="clear"/>
            <w:vAlign w:val="center"/>
          </w:tcPr>
          <w:p>
            <w:pPr>
              <w:pStyle w:val="TableContents"/>
              <w:bidi w:val="0"/>
              <w:spacing w:before="0" w:after="283"/>
              <w:jc w:val="left"/>
              <w:rPr>
                <w:sz w:val="20"/>
              </w:rPr>
            </w:pPr>
            <w:r>
              <w:rPr>
                <w:sz w:val="20"/>
              </w:rPr>
              <w:t>Collection and disposal</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544" w:type="dxa"/>
            <w:tcBorders/>
            <w:shd w:fill="CCEEFF" w:val="clear"/>
            <w:vAlign w:val="center"/>
          </w:tcPr>
          <w:p>
            <w:pPr>
              <w:pStyle w:val="TableContents"/>
              <w:bidi w:val="0"/>
              <w:spacing w:before="0" w:after="283"/>
              <w:jc w:val="right"/>
              <w:rPr>
                <w:sz w:val="20"/>
              </w:rPr>
            </w:pPr>
            <w:r>
              <w:rPr>
                <w:sz w:val="20"/>
              </w:rPr>
              <w:t>243</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sz w:val="20"/>
              </w:rPr>
            </w:pPr>
            <w:r>
              <w:rPr>
                <w:sz w:val="20"/>
              </w:rPr>
              <w:t>5.8</w:t>
            </w:r>
          </w:p>
        </w:tc>
        <w:tc>
          <w:tcPr>
            <w:tcW w:w="226" w:type="dxa"/>
            <w:tcBorders/>
            <w:shd w:fill="CCEEFF" w:val="clear"/>
            <w:vAlign w:val="center"/>
          </w:tcPr>
          <w:p>
            <w:pPr>
              <w:pStyle w:val="TableContents"/>
              <w:bidi w:val="0"/>
              <w:spacing w:before="0" w:after="283"/>
              <w:jc w:val="left"/>
              <w:rPr>
                <w:sz w:val="20"/>
              </w:rPr>
            </w:pPr>
            <w:r>
              <w:rPr>
                <w:sz w:val="20"/>
              </w:rPr>
              <w:t>%</w:t>
            </w:r>
          </w:p>
        </w:tc>
        <w:tc>
          <w:tcPr>
            <w:tcW w:w="73"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20"/>
              </w:rPr>
            </w:pPr>
            <w:r>
              <w:rPr>
                <w:sz w:val="20"/>
              </w:rPr>
              <w:t>$</w:t>
            </w:r>
          </w:p>
        </w:tc>
        <w:tc>
          <w:tcPr>
            <w:tcW w:w="537" w:type="dxa"/>
            <w:tcBorders/>
            <w:shd w:fill="CCEEFF" w:val="clear"/>
            <w:vAlign w:val="center"/>
          </w:tcPr>
          <w:p>
            <w:pPr>
              <w:pStyle w:val="TableContents"/>
              <w:bidi w:val="0"/>
              <w:spacing w:before="0" w:after="283"/>
              <w:jc w:val="right"/>
              <w:rPr>
                <w:sz w:val="20"/>
              </w:rPr>
            </w:pPr>
            <w:r>
              <w:rPr>
                <w:sz w:val="20"/>
              </w:rPr>
              <w:t>487</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sz w:val="20"/>
              </w:rPr>
            </w:pPr>
            <w:r>
              <w:rPr>
                <w:sz w:val="20"/>
              </w:rPr>
              <w:t>6.0</w:t>
            </w:r>
          </w:p>
        </w:tc>
        <w:tc>
          <w:tcPr>
            <w:tcW w:w="218"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ind w:left="0" w:right="0" w:hanging="144"/>
              <w:jc w:val="left"/>
              <w:rPr/>
            </w:pPr>
            <w:r>
              <w:rPr/>
              <w:t> </w:t>
            </w:r>
          </w:p>
        </w:tc>
      </w:tr>
      <w:tr>
        <w:trPr/>
        <w:tc>
          <w:tcPr>
            <w:tcW w:w="1918" w:type="dxa"/>
            <w:tcBorders/>
            <w:shd w:fill="FFFFFF" w:val="clear"/>
            <w:vAlign w:val="center"/>
          </w:tcPr>
          <w:p>
            <w:pPr>
              <w:pStyle w:val="TableContents"/>
              <w:bidi w:val="0"/>
              <w:spacing w:before="0" w:after="283"/>
              <w:jc w:val="left"/>
              <w:rPr>
                <w:sz w:val="20"/>
              </w:rPr>
            </w:pPr>
            <w:r>
              <w:rPr>
                <w:sz w:val="20"/>
              </w:rPr>
              <w:t>Recycling and WM Renewable Energy</w:t>
            </w:r>
            <w:r>
              <w:rPr>
                <w:position w:val="7"/>
                <w:sz w:val="16"/>
                <w:sz w:val="20"/>
              </w:rPr>
              <w:t>(d) (e)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sz w:val="20"/>
              </w:rPr>
            </w:pPr>
            <w:r>
              <w:rPr>
                <w:sz w:val="20"/>
              </w:rPr>
              <w:t>(150</w:t>
            </w:r>
          </w:p>
        </w:tc>
        <w:tc>
          <w:tcPr>
            <w:tcW w:w="97" w:type="dxa"/>
            <w:tcBorders/>
            <w:shd w:fill="FFFFFF" w:val="clear"/>
            <w:vAlign w:val="center"/>
          </w:tcPr>
          <w:p>
            <w:pPr>
              <w:pStyle w:val="TableContents"/>
              <w:bidi w:val="0"/>
              <w:spacing w:before="0" w:after="283"/>
              <w:jc w:val="left"/>
              <w:rPr>
                <w:sz w:val="20"/>
              </w:rPr>
            </w:pPr>
            <w:r>
              <w:rPr>
                <w:sz w:val="20"/>
              </w:rPr>
              <w:t>)</w:t>
            </w:r>
          </w:p>
        </w:tc>
        <w:tc>
          <w:tcPr>
            <w:tcW w:w="7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sz w:val="20"/>
              </w:rPr>
            </w:pPr>
            <w:r>
              <w:rPr>
                <w:sz w:val="20"/>
              </w:rPr>
              <w:t>(28.7</w:t>
            </w:r>
          </w:p>
        </w:tc>
        <w:tc>
          <w:tcPr>
            <w:tcW w:w="226" w:type="dxa"/>
            <w:tcBorders/>
            <w:shd w:fill="FFFFFF" w:val="clear"/>
            <w:vAlign w:val="center"/>
          </w:tcPr>
          <w:p>
            <w:pPr>
              <w:pStyle w:val="TableContents"/>
              <w:bidi w:val="0"/>
              <w:spacing w:before="0" w:after="283"/>
              <w:jc w:val="left"/>
              <w:rPr>
                <w:sz w:val="20"/>
              </w:rPr>
            </w:pPr>
            <w:r>
              <w:rPr>
                <w:sz w:val="20"/>
              </w:rPr>
              <w:t>)</w:t>
            </w:r>
          </w:p>
        </w:tc>
        <w:tc>
          <w:tcPr>
            <w:tcW w:w="73"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sz w:val="20"/>
              </w:rPr>
            </w:pPr>
            <w:r>
              <w:rPr>
                <w:sz w:val="20"/>
              </w:rPr>
              <w:t>(291</w:t>
            </w:r>
          </w:p>
        </w:tc>
        <w:tc>
          <w:tcPr>
            <w:tcW w:w="94"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sz w:val="20"/>
              </w:rPr>
            </w:pPr>
            <w:r>
              <w:rPr>
                <w:sz w:val="20"/>
              </w:rPr>
              <w:t>(28.4</w:t>
            </w:r>
          </w:p>
        </w:tc>
        <w:tc>
          <w:tcPr>
            <w:tcW w:w="218"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ind w:left="0" w:right="0" w:hanging="144"/>
              <w:jc w:val="left"/>
              <w:rPr/>
            </w:pPr>
            <w:r>
              <w:rPr/>
              <w:t> </w:t>
            </w:r>
          </w:p>
        </w:tc>
      </w:tr>
      <w:tr>
        <w:trPr/>
        <w:tc>
          <w:tcPr>
            <w:tcW w:w="1918" w:type="dxa"/>
            <w:tcBorders/>
            <w:shd w:fill="CCEEFF" w:val="clear"/>
            <w:vAlign w:val="center"/>
          </w:tcPr>
          <w:p>
            <w:pPr>
              <w:pStyle w:val="TableContents"/>
              <w:bidi w:val="0"/>
              <w:spacing w:before="0" w:after="283"/>
              <w:jc w:val="left"/>
              <w:rPr>
                <w:sz w:val="20"/>
              </w:rPr>
            </w:pPr>
            <w:r>
              <w:rPr>
                <w:sz w:val="20"/>
              </w:rPr>
              <w:t>Energy surcharge and mandated fees</w:t>
            </w:r>
            <w:r>
              <w:rPr>
                <w:position w:val="7"/>
                <w:sz w:val="16"/>
                <w:sz w:val="20"/>
              </w:rPr>
              <w:t>(e) (f)</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w:t>
            </w:r>
          </w:p>
        </w:tc>
        <w:tc>
          <w:tcPr>
            <w:tcW w:w="97" w:type="dxa"/>
            <w:tcBorders/>
            <w:shd w:fill="CCEEFF" w:val="clear"/>
            <w:vAlign w:val="center"/>
          </w:tcPr>
          <w:p>
            <w:pPr>
              <w:pStyle w:val="TableContents"/>
              <w:bidi w:val="0"/>
              <w:spacing w:before="0" w:after="283"/>
              <w:jc w:val="left"/>
              <w:rPr>
                <w:sz w:val="20"/>
              </w:rPr>
            </w:pPr>
            <w:r>
              <w:rPr>
                <w:sz w:val="20"/>
              </w:rPr>
              <w:t>)</w:t>
            </w:r>
          </w:p>
        </w:tc>
        <w:tc>
          <w:tcPr>
            <w:tcW w:w="7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sz w:val="20"/>
              </w:rPr>
            </w:pPr>
            <w:r>
              <w:rPr>
                <w:sz w:val="20"/>
              </w:rPr>
              <w:t>(20.4</w:t>
            </w:r>
          </w:p>
        </w:tc>
        <w:tc>
          <w:tcPr>
            <w:tcW w:w="226" w:type="dxa"/>
            <w:tcBorders/>
            <w:shd w:fill="CCEEFF" w:val="clear"/>
            <w:vAlign w:val="center"/>
          </w:tcPr>
          <w:p>
            <w:pPr>
              <w:pStyle w:val="TableContents"/>
              <w:bidi w:val="0"/>
              <w:spacing w:before="0" w:after="283"/>
              <w:jc w:val="left"/>
              <w:rPr>
                <w:sz w:val="20"/>
              </w:rPr>
            </w:pPr>
            <w:r>
              <w:rPr>
                <w:sz w:val="20"/>
              </w:rPr>
              <w:t>)</w:t>
            </w:r>
          </w:p>
        </w:tc>
        <w:tc>
          <w:tcPr>
            <w:tcW w:w="73"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sz w:val="20"/>
              </w:rPr>
            </w:pPr>
            <w:r>
              <w:rPr>
                <w:sz w:val="20"/>
              </w:rPr>
              <w:t>(3.2</w:t>
            </w:r>
          </w:p>
        </w:tc>
        <w:tc>
          <w:tcPr>
            <w:tcW w:w="218"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1918" w:type="dxa"/>
            <w:tcBorders/>
            <w:shd w:fill="FFFFFF" w:val="clear"/>
            <w:vAlign w:val="center"/>
          </w:tcPr>
          <w:p>
            <w:pPr>
              <w:pStyle w:val="TableContents"/>
              <w:bidi w:val="0"/>
              <w:spacing w:before="0" w:after="283"/>
              <w:jc w:val="left"/>
              <w:rPr>
                <w:sz w:val="20"/>
              </w:rPr>
            </w:pPr>
            <w:r>
              <w:rPr>
                <w:sz w:val="20"/>
              </w:rPr>
              <w:t>Total average yield</w:t>
            </w:r>
            <w:r>
              <w:rPr>
                <w:position w:val="7"/>
                <w:sz w:val="16"/>
                <w:sz w:val="20"/>
              </w:rPr>
              <w:t>(g)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sz w:val="20"/>
              </w:rPr>
            </w:pPr>
            <w:r>
              <w:rPr>
                <w:sz w:val="20"/>
              </w:rPr>
              <w:t>$</w:t>
            </w:r>
          </w:p>
        </w:tc>
        <w:tc>
          <w:tcPr>
            <w:tcW w:w="485" w:type="dxa"/>
            <w:tcBorders/>
            <w:shd w:fill="FFFFFF" w:val="clear"/>
            <w:vAlign w:val="center"/>
          </w:tcPr>
          <w:p>
            <w:pPr>
              <w:pStyle w:val="TableContents"/>
              <w:bidi w:val="0"/>
              <w:spacing w:before="0" w:after="283"/>
              <w:jc w:val="right"/>
              <w:rPr>
                <w:sz w:val="20"/>
              </w:rPr>
            </w:pPr>
            <w:r>
              <w:rPr>
                <w:sz w:val="20"/>
              </w:rPr>
              <w:t>33</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sz w:val="20"/>
              </w:rPr>
            </w:pPr>
            <w:r>
              <w:rPr>
                <w:sz w:val="20"/>
              </w:rPr>
              <w:t>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sz w:val="20"/>
              </w:rPr>
            </w:pPr>
            <w:r>
              <w:rPr>
                <w:sz w:val="20"/>
              </w:rPr>
              <w:t>$</w:t>
            </w:r>
          </w:p>
        </w:tc>
        <w:tc>
          <w:tcPr>
            <w:tcW w:w="506" w:type="dxa"/>
            <w:tcBorders/>
            <w:shd w:fill="FFFFFF" w:val="clear"/>
            <w:vAlign w:val="center"/>
          </w:tcPr>
          <w:p>
            <w:pPr>
              <w:pStyle w:val="TableContents"/>
              <w:bidi w:val="0"/>
              <w:spacing w:before="0" w:after="283"/>
              <w:jc w:val="right"/>
              <w:rPr>
                <w:sz w:val="20"/>
              </w:rPr>
            </w:pPr>
            <w:r>
              <w:rPr>
                <w:sz w:val="20"/>
              </w:rPr>
              <w:t>180</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sz w:val="20"/>
              </w:rPr>
            </w:pPr>
            <w:r>
              <w:rPr>
                <w:sz w:val="20"/>
              </w:rPr>
              <w:t>1.8</w:t>
            </w:r>
          </w:p>
        </w:tc>
        <w:tc>
          <w:tcPr>
            <w:tcW w:w="215" w:type="dxa"/>
            <w:tcBorders/>
            <w:shd w:fill="FFFFFF" w:val="clear"/>
            <w:vAlign w:val="center"/>
          </w:tcPr>
          <w:p>
            <w:pPr>
              <w:pStyle w:val="TableContents"/>
              <w:bidi w:val="0"/>
              <w:spacing w:before="0" w:after="283"/>
              <w:jc w:val="left"/>
              <w:rPr>
                <w:sz w:val="20"/>
              </w:rPr>
            </w:pPr>
            <w:r>
              <w:rPr>
                <w:sz w:val="20"/>
              </w:rPr>
              <w:t>%</w:t>
            </w:r>
          </w:p>
        </w:tc>
      </w:tr>
      <w:tr>
        <w:trPr/>
        <w:tc>
          <w:tcPr>
            <w:tcW w:w="1918" w:type="dxa"/>
            <w:tcBorders/>
            <w:shd w:fill="CCEEFF" w:val="clear"/>
            <w:vAlign w:val="center"/>
          </w:tcPr>
          <w:p>
            <w:pPr>
              <w:pStyle w:val="TableContents"/>
              <w:bidi w:val="0"/>
              <w:spacing w:before="0" w:after="283"/>
              <w:jc w:val="left"/>
              <w:rPr>
                <w:sz w:val="20"/>
              </w:rPr>
            </w:pPr>
            <w:r>
              <w:rPr>
                <w:sz w:val="20"/>
              </w:rPr>
              <w:t>Volume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0.7</w:t>
            </w:r>
          </w:p>
        </w:tc>
        <w:tc>
          <w:tcPr>
            <w:tcW w:w="215" w:type="dxa"/>
            <w:tcBorders/>
            <w:shd w:fill="CCEEFF" w:val="clear"/>
            <w:vAlign w:val="center"/>
          </w:tcPr>
          <w:p>
            <w:pPr>
              <w:pStyle w:val="TableContents"/>
              <w:bidi w:val="0"/>
              <w:spacing w:before="0" w:after="283"/>
              <w:jc w:val="left"/>
              <w:rPr/>
            </w:pPr>
            <w:r>
              <w:rPr/>
              <w:t> </w:t>
            </w:r>
          </w:p>
        </w:tc>
      </w:tr>
      <w:tr>
        <w:trPr/>
        <w:tc>
          <w:tcPr>
            <w:tcW w:w="1918" w:type="dxa"/>
            <w:tcBorders/>
            <w:shd w:fill="FFFFFF" w:val="clear"/>
            <w:vAlign w:val="center"/>
          </w:tcPr>
          <w:p>
            <w:pPr>
              <w:pStyle w:val="TableContents"/>
              <w:bidi w:val="0"/>
              <w:spacing w:before="0" w:after="283"/>
              <w:jc w:val="left"/>
              <w:rPr>
                <w:sz w:val="20"/>
              </w:rPr>
            </w:pPr>
            <w:r>
              <w:rPr>
                <w:sz w:val="20"/>
              </w:rPr>
              <w:t>Internal revenue growth</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42</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sz w:val="20"/>
              </w:rPr>
            </w:pPr>
            <w:r>
              <w:rPr>
                <w:sz w:val="20"/>
              </w:rPr>
              <w:t>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244</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sz w:val="20"/>
              </w:rPr>
            </w:pPr>
            <w:r>
              <w:rPr>
                <w:sz w:val="20"/>
              </w:rPr>
              <w:t>2.5</w:t>
            </w:r>
          </w:p>
        </w:tc>
        <w:tc>
          <w:tcPr>
            <w:tcW w:w="215" w:type="dxa"/>
            <w:tcBorders/>
            <w:shd w:fill="FFFFFF" w:val="clear"/>
            <w:vAlign w:val="center"/>
          </w:tcPr>
          <w:p>
            <w:pPr>
              <w:pStyle w:val="TableContents"/>
              <w:bidi w:val="0"/>
              <w:spacing w:before="0" w:after="283"/>
              <w:jc w:val="left"/>
              <w:rPr/>
            </w:pPr>
            <w:r>
              <w:rPr/>
              <w:t> </w:t>
            </w:r>
          </w:p>
        </w:tc>
      </w:tr>
      <w:tr>
        <w:trPr/>
        <w:tc>
          <w:tcPr>
            <w:tcW w:w="1918" w:type="dxa"/>
            <w:tcBorders/>
            <w:shd w:fill="CCEEFF" w:val="clear"/>
            <w:vAlign w:val="center"/>
          </w:tcPr>
          <w:p>
            <w:pPr>
              <w:pStyle w:val="TableContents"/>
              <w:bidi w:val="0"/>
              <w:spacing w:before="0" w:after="283"/>
              <w:jc w:val="left"/>
              <w:rPr>
                <w:sz w:val="20"/>
              </w:rPr>
            </w:pPr>
            <w:r>
              <w:rPr>
                <w:sz w:val="20"/>
              </w:rPr>
              <w:t>Acquisitions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63</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sz w:val="20"/>
              </w:rPr>
            </w:pPr>
            <w:r>
              <w:rPr>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106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sz w:val="20"/>
              </w:rPr>
            </w:pPr>
            <w:r>
              <w:rPr>
                <w:sz w:val="20"/>
              </w:rPr>
              <w:t>1.1</w:t>
            </w:r>
          </w:p>
        </w:tc>
        <w:tc>
          <w:tcPr>
            <w:tcW w:w="215" w:type="dxa"/>
            <w:tcBorders/>
            <w:shd w:fill="CCEEFF" w:val="clear"/>
            <w:vAlign w:val="center"/>
          </w:tcPr>
          <w:p>
            <w:pPr>
              <w:pStyle w:val="TableContents"/>
              <w:bidi w:val="0"/>
              <w:spacing w:before="0" w:after="283"/>
              <w:jc w:val="left"/>
              <w:rPr/>
            </w:pPr>
            <w:r>
              <w:rPr/>
              <w:t> </w:t>
            </w:r>
          </w:p>
        </w:tc>
      </w:tr>
      <w:tr>
        <w:trPr/>
        <w:tc>
          <w:tcPr>
            <w:tcW w:w="1918" w:type="dxa"/>
            <w:tcBorders/>
            <w:shd w:fill="FFFFFF" w:val="clear"/>
            <w:vAlign w:val="center"/>
          </w:tcPr>
          <w:p>
            <w:pPr>
              <w:pStyle w:val="TableContents"/>
              <w:bidi w:val="0"/>
              <w:spacing w:before="0" w:after="283"/>
              <w:jc w:val="left"/>
              <w:rPr>
                <w:sz w:val="20"/>
              </w:rPr>
            </w:pPr>
            <w:r>
              <w:rPr>
                <w:sz w:val="20"/>
              </w:rPr>
              <w:t>Divestitures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w:t>
            </w:r>
          </w:p>
        </w:tc>
        <w:tc>
          <w:tcPr>
            <w:tcW w:w="97" w:type="dxa"/>
            <w:tcBorders/>
            <w:shd w:fill="FFFFFF" w:val="clear"/>
            <w:vAlign w:val="center"/>
          </w:tcPr>
          <w:p>
            <w:pPr>
              <w:pStyle w:val="TableContents"/>
              <w:bidi w:val="0"/>
              <w:spacing w:before="0" w:after="283"/>
              <w:jc w:val="left"/>
              <w:rPr>
                <w:sz w:val="20"/>
              </w:rPr>
            </w:pPr>
            <w:r>
              <w:rPr>
                <w:sz w:val="20"/>
              </w:rPr>
              <w:t>)</w:t>
            </w:r>
          </w:p>
        </w:tc>
        <w:tc>
          <w:tcPr>
            <w:tcW w:w="7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(4</w:t>
            </w:r>
          </w:p>
        </w:tc>
        <w:tc>
          <w:tcPr>
            <w:tcW w:w="94"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r>
      <w:tr>
        <w:trPr/>
        <w:tc>
          <w:tcPr>
            <w:tcW w:w="1918" w:type="dxa"/>
            <w:tcBorders/>
            <w:shd w:fill="CCEEFF" w:val="clear"/>
            <w:vAlign w:val="center"/>
          </w:tcPr>
          <w:p>
            <w:pPr>
              <w:pStyle w:val="TableContents"/>
              <w:bidi w:val="0"/>
              <w:spacing w:before="0" w:after="283"/>
              <w:jc w:val="left"/>
              <w:rPr>
                <w:sz w:val="20"/>
              </w:rPr>
            </w:pPr>
            <w:r>
              <w:rPr>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w:t>
            </w:r>
          </w:p>
        </w:tc>
        <w:tc>
          <w:tcPr>
            <w:tcW w:w="97" w:type="dxa"/>
            <w:tcBorders/>
            <w:shd w:fill="CCEEFF" w:val="clear"/>
            <w:vAlign w:val="center"/>
          </w:tcPr>
          <w:p>
            <w:pPr>
              <w:pStyle w:val="TableContents"/>
              <w:bidi w:val="0"/>
              <w:spacing w:before="0" w:after="283"/>
              <w:jc w:val="left"/>
              <w:rPr>
                <w:sz w:val="20"/>
              </w:rPr>
            </w:pPr>
            <w:r>
              <w:rPr>
                <w:sz w:val="20"/>
              </w:rPr>
              <w:t>)</w:t>
            </w:r>
          </w:p>
        </w:tc>
        <w:tc>
          <w:tcPr>
            <w:tcW w:w="73"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(0.3</w:t>
            </w:r>
          </w:p>
        </w:tc>
        <w:tc>
          <w:tcPr>
            <w:tcW w:w="215" w:type="dxa"/>
            <w:tcBorders/>
            <w:shd w:fill="CCEEFF" w:val="clear"/>
            <w:vAlign w:val="center"/>
          </w:tcPr>
          <w:p>
            <w:pPr>
              <w:pStyle w:val="TableContents"/>
              <w:bidi w:val="0"/>
              <w:spacing w:before="0" w:after="283"/>
              <w:jc w:val="left"/>
              <w:rPr>
                <w:sz w:val="20"/>
              </w:rPr>
            </w:pPr>
            <w:r>
              <w:rPr>
                <w:sz w:val="20"/>
              </w:rPr>
              <w:t>)</w:t>
            </w:r>
          </w:p>
        </w:tc>
      </w:tr>
      <w:tr>
        <w:trPr/>
        <w:tc>
          <w:tcPr>
            <w:tcW w:w="1918"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92</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323</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3.3</w:t>
            </w:r>
          </w:p>
        </w:tc>
        <w:tc>
          <w:tcPr>
            <w:tcW w:w="21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8"/>
        <w:gridCol w:w="60"/>
        <w:gridCol w:w="228"/>
        <w:gridCol w:w="1056"/>
        <w:gridCol w:w="710"/>
        <w:gridCol w:w="228"/>
        <w:gridCol w:w="235"/>
        <w:gridCol w:w="1297"/>
        <w:gridCol w:w="239"/>
        <w:gridCol w:w="60"/>
        <w:gridCol w:w="214"/>
        <w:gridCol w:w="994"/>
        <w:gridCol w:w="669"/>
        <w:gridCol w:w="214"/>
        <w:gridCol w:w="226"/>
        <w:gridCol w:w="1222"/>
        <w:gridCol w:w="265"/>
      </w:tblGrid>
      <w:tr>
        <w:trPr/>
        <w:tc>
          <w:tcPr>
            <w:tcW w:w="2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Period-to-Period Change for the Three Months</w:t>
              <w:br/>
              <w:t>Ended June 30, 2023 vs. 2022</w:t>
            </w:r>
          </w:p>
        </w:tc>
        <w:tc>
          <w:tcPr>
            <w:tcW w:w="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Period-to-Period Change for the Six Months</w:t>
              <w:br/>
              <w:t>Ended June 30, 2023 vs. 2022</w:t>
            </w:r>
          </w:p>
        </w:tc>
        <w:tc>
          <w:tcPr>
            <w:tcW w:w="265" w:type="dxa"/>
            <w:tcBorders/>
            <w:vAlign w:val="center"/>
          </w:tcPr>
          <w:p>
            <w:pPr>
              <w:pStyle w:val="TableContents"/>
              <w:bidi w:val="0"/>
              <w:spacing w:before="0" w:after="283"/>
              <w:jc w:val="left"/>
              <w:rPr/>
            </w:pPr>
            <w:r>
              <w:rPr/>
              <w:t> </w:t>
            </w:r>
          </w:p>
        </w:tc>
      </w:tr>
      <w:tr>
        <w:trPr/>
        <w:tc>
          <w:tcPr>
            <w:tcW w:w="2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 % of Related Business</w:t>
            </w:r>
            <w:r>
              <w:rPr>
                <w:b/>
                <w:position w:val="7"/>
                <w:sz w:val="16"/>
                <w:sz w:val="20"/>
              </w:rPr>
              <w:t>(b)</w:t>
            </w:r>
          </w:p>
        </w:tc>
        <w:tc>
          <w:tcPr>
            <w:tcW w:w="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 % of Related Business</w:t>
            </w:r>
            <w:r>
              <w:rPr>
                <w:b/>
                <w:position w:val="7"/>
                <w:sz w:val="16"/>
                <w:sz w:val="20"/>
              </w:rPr>
              <w:t>(b)</w:t>
            </w:r>
          </w:p>
        </w:tc>
        <w:tc>
          <w:tcPr>
            <w:tcW w:w="265" w:type="dxa"/>
            <w:tcBorders/>
            <w:vAlign w:val="center"/>
          </w:tcPr>
          <w:p>
            <w:pPr>
              <w:pStyle w:val="TableContents"/>
              <w:bidi w:val="0"/>
              <w:spacing w:before="0" w:after="283"/>
              <w:jc w:val="left"/>
              <w:rPr/>
            </w:pPr>
            <w:r>
              <w:rPr/>
              <w:t> </w:t>
            </w:r>
          </w:p>
        </w:tc>
      </w:tr>
      <w:tr>
        <w:trPr/>
        <w:tc>
          <w:tcPr>
            <w:tcW w:w="2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Yield</w:t>
            </w:r>
          </w:p>
        </w:tc>
        <w:tc>
          <w:tcPr>
            <w:tcW w:w="71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Volume</w:t>
            </w:r>
          </w:p>
        </w:tc>
        <w:tc>
          <w:tcPr>
            <w:tcW w:w="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Yield</w:t>
            </w:r>
          </w:p>
        </w:tc>
        <w:tc>
          <w:tcPr>
            <w:tcW w:w="66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Volume</w:t>
            </w:r>
            <w:r>
              <w:rPr>
                <w:b/>
                <w:position w:val="7"/>
                <w:sz w:val="16"/>
                <w:sz w:val="20"/>
              </w:rPr>
              <w:t>(h)</w:t>
            </w:r>
          </w:p>
        </w:tc>
        <w:tc>
          <w:tcPr>
            <w:tcW w:w="265" w:type="dxa"/>
            <w:tcBorders/>
            <w:vAlign w:val="center"/>
          </w:tcPr>
          <w:p>
            <w:pPr>
              <w:pStyle w:val="TableContents"/>
              <w:bidi w:val="0"/>
              <w:spacing w:before="0" w:after="283"/>
              <w:jc w:val="left"/>
              <w:rPr/>
            </w:pPr>
            <w:r>
              <w:rPr/>
              <w:t> </w:t>
            </w:r>
          </w:p>
        </w:tc>
      </w:tr>
      <w:tr>
        <w:trPr/>
        <w:tc>
          <w:tcPr>
            <w:tcW w:w="2288"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6.8</w:t>
            </w:r>
          </w:p>
        </w:tc>
        <w:tc>
          <w:tcPr>
            <w:tcW w:w="710" w:type="dxa"/>
            <w:tcBorders/>
            <w:shd w:fill="CCEEFF" w:val="clear"/>
            <w:vAlign w:val="center"/>
          </w:tcPr>
          <w:p>
            <w:pPr>
              <w:pStyle w:val="TableContents"/>
              <w:bidi w:val="0"/>
              <w:spacing w:before="0" w:after="283"/>
              <w:jc w:val="left"/>
              <w:rPr>
                <w:sz w:val="20"/>
              </w:rPr>
            </w:pPr>
            <w:r>
              <w:rPr>
                <w:sz w:val="20"/>
              </w:rPr>
              <w:t>%</w:t>
            </w:r>
          </w:p>
        </w:tc>
        <w:tc>
          <w:tcPr>
            <w:tcW w:w="228"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sz w:val="20"/>
              </w:rPr>
            </w:pPr>
            <w:r>
              <w:rPr>
                <w:sz w:val="20"/>
              </w:rPr>
              <w:t>(1.0</w:t>
            </w:r>
          </w:p>
        </w:tc>
        <w:tc>
          <w:tcPr>
            <w:tcW w:w="23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sz w:val="20"/>
              </w:rPr>
            </w:pPr>
            <w:r>
              <w:rPr>
                <w:sz w:val="20"/>
              </w:rPr>
              <w:t>7.0</w:t>
            </w:r>
          </w:p>
        </w:tc>
        <w:tc>
          <w:tcPr>
            <w:tcW w:w="669" w:type="dxa"/>
            <w:tcBorders/>
            <w:shd w:fill="CCEEFF" w:val="clear"/>
            <w:vAlign w:val="center"/>
          </w:tcPr>
          <w:p>
            <w:pPr>
              <w:pStyle w:val="TableContents"/>
              <w:bidi w:val="0"/>
              <w:spacing w:before="0" w:after="283"/>
              <w:jc w:val="left"/>
              <w:rPr>
                <w:sz w:val="20"/>
              </w:rPr>
            </w:pPr>
            <w:r>
              <w:rPr>
                <w:sz w:val="20"/>
              </w:rPr>
              <w:t>%</w:t>
            </w:r>
          </w:p>
        </w:tc>
        <w:tc>
          <w:tcPr>
            <w:tcW w:w="214"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sz w:val="20"/>
              </w:rPr>
            </w:pPr>
            <w:r>
              <w:rPr>
                <w:sz w:val="20"/>
              </w:rPr>
              <w:t>(1.0</w:t>
            </w:r>
          </w:p>
        </w:tc>
        <w:tc>
          <w:tcPr>
            <w:tcW w:w="265" w:type="dxa"/>
            <w:tcBorders/>
            <w:shd w:fill="CCEEFF" w:val="clear"/>
            <w:vAlign w:val="center"/>
          </w:tcPr>
          <w:p>
            <w:pPr>
              <w:pStyle w:val="TableContents"/>
              <w:bidi w:val="0"/>
              <w:spacing w:before="0" w:after="283"/>
              <w:jc w:val="left"/>
              <w:rPr>
                <w:sz w:val="20"/>
              </w:rPr>
            </w:pPr>
            <w:r>
              <w:rPr>
                <w:sz w:val="20"/>
              </w:rPr>
              <w:t>)%</w:t>
            </w:r>
          </w:p>
        </w:tc>
      </w:tr>
      <w:tr>
        <w:trPr/>
        <w:tc>
          <w:tcPr>
            <w:tcW w:w="2288"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7.3</w:t>
            </w:r>
          </w:p>
        </w:tc>
        <w:tc>
          <w:tcPr>
            <w:tcW w:w="71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sz w:val="20"/>
              </w:rPr>
            </w:pPr>
            <w:r>
              <w:rPr>
                <w:sz w:val="20"/>
              </w:rPr>
              <w:t>(2.5</w:t>
            </w:r>
          </w:p>
        </w:tc>
        <w:tc>
          <w:tcPr>
            <w:tcW w:w="239"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sz w:val="20"/>
              </w:rPr>
            </w:pPr>
            <w:r>
              <w:rPr>
                <w:sz w:val="20"/>
              </w:rPr>
              <w:t>8.6</w:t>
            </w:r>
          </w:p>
        </w:tc>
        <w:tc>
          <w:tcPr>
            <w:tcW w:w="66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sz w:val="20"/>
              </w:rPr>
            </w:pPr>
            <w:r>
              <w:rPr>
                <w:sz w:val="20"/>
              </w:rPr>
              <w:t>(2.2</w:t>
            </w:r>
          </w:p>
        </w:tc>
        <w:tc>
          <w:tcPr>
            <w:tcW w:w="265" w:type="dxa"/>
            <w:tcBorders/>
            <w:shd w:fill="FFFFFF" w:val="clear"/>
            <w:vAlign w:val="center"/>
          </w:tcPr>
          <w:p>
            <w:pPr>
              <w:pStyle w:val="TableContents"/>
              <w:bidi w:val="0"/>
              <w:spacing w:before="0" w:after="283"/>
              <w:jc w:val="left"/>
              <w:rPr>
                <w:sz w:val="20"/>
              </w:rPr>
            </w:pPr>
            <w:r>
              <w:rPr>
                <w:sz w:val="20"/>
              </w:rPr>
              <w:t>)</w:t>
            </w:r>
          </w:p>
        </w:tc>
      </w:tr>
      <w:tr>
        <w:trPr/>
        <w:tc>
          <w:tcPr>
            <w:tcW w:w="2288"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6.8</w:t>
            </w:r>
          </w:p>
        </w:tc>
        <w:tc>
          <w:tcPr>
            <w:tcW w:w="71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sz w:val="20"/>
              </w:rPr>
            </w:pPr>
            <w:r>
              <w:rPr>
                <w:sz w:val="20"/>
              </w:rPr>
              <w:t>(4.1</w:t>
            </w:r>
          </w:p>
        </w:tc>
        <w:tc>
          <w:tcPr>
            <w:tcW w:w="23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sz w:val="20"/>
              </w:rPr>
            </w:pPr>
            <w:r>
              <w:rPr>
                <w:sz w:val="20"/>
              </w:rPr>
              <w:t>6.2</w:t>
            </w:r>
          </w:p>
        </w:tc>
        <w:tc>
          <w:tcPr>
            <w:tcW w:w="669"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sz w:val="20"/>
              </w:rPr>
            </w:pPr>
            <w:r>
              <w:rPr>
                <w:sz w:val="20"/>
              </w:rPr>
              <w:t>(3.5</w:t>
            </w:r>
          </w:p>
        </w:tc>
        <w:tc>
          <w:tcPr>
            <w:tcW w:w="265" w:type="dxa"/>
            <w:tcBorders/>
            <w:shd w:fill="CCEEFF" w:val="clear"/>
            <w:vAlign w:val="center"/>
          </w:tcPr>
          <w:p>
            <w:pPr>
              <w:pStyle w:val="TableContents"/>
              <w:bidi w:val="0"/>
              <w:spacing w:before="0" w:after="283"/>
              <w:ind w:left="0" w:right="0" w:firstLine="144"/>
              <w:jc w:val="left"/>
              <w:rPr>
                <w:sz w:val="20"/>
              </w:rPr>
            </w:pPr>
            <w:r>
              <w:rPr>
                <w:sz w:val="20"/>
              </w:rPr>
              <w:t>)</w:t>
            </w:r>
          </w:p>
        </w:tc>
      </w:tr>
      <w:tr>
        <w:trPr/>
        <w:tc>
          <w:tcPr>
            <w:tcW w:w="2288" w:type="dxa"/>
            <w:tcBorders/>
            <w:shd w:fill="FFFFFF" w:val="clear"/>
            <w:vAlign w:val="center"/>
          </w:tcPr>
          <w:p>
            <w:pPr>
              <w:pStyle w:val="TableContents"/>
              <w:bidi w:val="0"/>
              <w:spacing w:before="0" w:after="283"/>
              <w:jc w:val="left"/>
              <w:rPr>
                <w:sz w:val="20"/>
              </w:rPr>
            </w:pPr>
            <w:r>
              <w:rPr>
                <w:sz w:val="20"/>
              </w:rPr>
              <w:t>Total collection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6.6</w:t>
            </w:r>
          </w:p>
        </w:tc>
        <w:tc>
          <w:tcPr>
            <w:tcW w:w="71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sz w:val="20"/>
              </w:rPr>
            </w:pPr>
            <w:r>
              <w:rPr>
                <w:sz w:val="20"/>
              </w:rPr>
              <w:t>(1.8</w:t>
            </w:r>
          </w:p>
        </w:tc>
        <w:tc>
          <w:tcPr>
            <w:tcW w:w="239"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sz w:val="20"/>
              </w:rPr>
            </w:pPr>
            <w:r>
              <w:rPr>
                <w:sz w:val="20"/>
              </w:rPr>
              <w:t>6.9</w:t>
            </w:r>
          </w:p>
        </w:tc>
        <w:tc>
          <w:tcPr>
            <w:tcW w:w="66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sz w:val="20"/>
              </w:rPr>
            </w:pPr>
            <w:r>
              <w:rPr>
                <w:sz w:val="20"/>
              </w:rPr>
              <w:t>(1.4</w:t>
            </w:r>
          </w:p>
        </w:tc>
        <w:tc>
          <w:tcPr>
            <w:tcW w:w="265" w:type="dxa"/>
            <w:tcBorders/>
            <w:shd w:fill="FFFFFF" w:val="clear"/>
            <w:vAlign w:val="center"/>
          </w:tcPr>
          <w:p>
            <w:pPr>
              <w:pStyle w:val="TableContents"/>
              <w:bidi w:val="0"/>
              <w:spacing w:before="0" w:after="283"/>
              <w:jc w:val="left"/>
              <w:rPr>
                <w:sz w:val="20"/>
              </w:rPr>
            </w:pPr>
            <w:r>
              <w:rPr>
                <w:sz w:val="20"/>
              </w:rPr>
              <w:t>)</w:t>
            </w:r>
          </w:p>
        </w:tc>
      </w:tr>
      <w:tr>
        <w:trPr/>
        <w:tc>
          <w:tcPr>
            <w:tcW w:w="2288" w:type="dxa"/>
            <w:tcBorders/>
            <w:shd w:fill="CCEEFF" w:val="clear"/>
            <w:vAlign w:val="center"/>
          </w:tcPr>
          <w:p>
            <w:pPr>
              <w:pStyle w:val="TableContents"/>
              <w:bidi w:val="0"/>
              <w:spacing w:before="0" w:after="283"/>
              <w:jc w:val="left"/>
              <w:rPr>
                <w:sz w:val="20"/>
              </w:rPr>
            </w:pPr>
            <w:r>
              <w:rPr>
                <w:sz w:val="20"/>
              </w:rPr>
              <w:t>MSW</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6.0</w:t>
            </w:r>
          </w:p>
        </w:tc>
        <w:tc>
          <w:tcPr>
            <w:tcW w:w="71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sz w:val="20"/>
              </w:rPr>
            </w:pPr>
            <w:r>
              <w:rPr>
                <w:sz w:val="20"/>
              </w:rPr>
              <w:t>3.9</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sz w:val="20"/>
              </w:rPr>
            </w:pPr>
            <w:r>
              <w:rPr>
                <w:sz w:val="20"/>
              </w:rPr>
              <w:t>5.8</w:t>
            </w:r>
          </w:p>
        </w:tc>
        <w:tc>
          <w:tcPr>
            <w:tcW w:w="669"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sz w:val="20"/>
              </w:rPr>
            </w:pPr>
            <w:r>
              <w:rPr>
                <w:sz w:val="20"/>
              </w:rPr>
              <w:t>3.3</w:t>
            </w:r>
          </w:p>
        </w:tc>
        <w:tc>
          <w:tcPr>
            <w:tcW w:w="265" w:type="dxa"/>
            <w:tcBorders/>
            <w:shd w:fill="CCEEFF" w:val="clear"/>
            <w:vAlign w:val="center"/>
          </w:tcPr>
          <w:p>
            <w:pPr>
              <w:pStyle w:val="TableContents"/>
              <w:bidi w:val="0"/>
              <w:spacing w:before="0" w:after="283"/>
              <w:jc w:val="left"/>
              <w:rPr/>
            </w:pPr>
            <w:r>
              <w:rPr/>
              <w:t> </w:t>
            </w:r>
          </w:p>
        </w:tc>
      </w:tr>
      <w:tr>
        <w:trPr/>
        <w:tc>
          <w:tcPr>
            <w:tcW w:w="2288" w:type="dxa"/>
            <w:tcBorders/>
            <w:shd w:fill="FFFFFF" w:val="clear"/>
            <w:vAlign w:val="center"/>
          </w:tcPr>
          <w:p>
            <w:pPr>
              <w:pStyle w:val="TableContents"/>
              <w:bidi w:val="0"/>
              <w:spacing w:before="0" w:after="283"/>
              <w:jc w:val="left"/>
              <w:rPr>
                <w:sz w:val="20"/>
              </w:rPr>
            </w:pPr>
            <w:r>
              <w:rPr>
                <w:sz w:val="20"/>
              </w:rPr>
              <w:t>Transfer</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7.5</w:t>
            </w:r>
          </w:p>
        </w:tc>
        <w:tc>
          <w:tcPr>
            <w:tcW w:w="71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sz w:val="20"/>
              </w:rPr>
            </w:pPr>
            <w:r>
              <w:rPr>
                <w:sz w:val="20"/>
              </w:rPr>
              <w:t>(1.8</w:t>
            </w:r>
          </w:p>
        </w:tc>
        <w:tc>
          <w:tcPr>
            <w:tcW w:w="239"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sz w:val="20"/>
              </w:rPr>
            </w:pPr>
            <w:r>
              <w:rPr>
                <w:sz w:val="20"/>
              </w:rPr>
              <w:t>8.1</w:t>
            </w:r>
          </w:p>
        </w:tc>
        <w:tc>
          <w:tcPr>
            <w:tcW w:w="66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sz w:val="20"/>
              </w:rPr>
            </w:pPr>
            <w:r>
              <w:rPr>
                <w:sz w:val="20"/>
              </w:rPr>
              <w:t>(0.1</w:t>
            </w:r>
          </w:p>
        </w:tc>
        <w:tc>
          <w:tcPr>
            <w:tcW w:w="265" w:type="dxa"/>
            <w:tcBorders/>
            <w:shd w:fill="FFFFFF" w:val="clear"/>
            <w:vAlign w:val="center"/>
          </w:tcPr>
          <w:p>
            <w:pPr>
              <w:pStyle w:val="TableContents"/>
              <w:bidi w:val="0"/>
              <w:spacing w:before="0" w:after="283"/>
              <w:ind w:left="0" w:right="0" w:firstLine="144"/>
              <w:jc w:val="left"/>
              <w:rPr>
                <w:sz w:val="20"/>
              </w:rPr>
            </w:pPr>
            <w:r>
              <w:rPr>
                <w:sz w:val="20"/>
              </w:rPr>
              <w:t>)</w:t>
            </w:r>
          </w:p>
        </w:tc>
      </w:tr>
      <w:tr>
        <w:trPr/>
        <w:tc>
          <w:tcPr>
            <w:tcW w:w="2288" w:type="dxa"/>
            <w:tcBorders/>
            <w:shd w:fill="CCEEFF" w:val="clear"/>
            <w:vAlign w:val="center"/>
          </w:tcPr>
          <w:p>
            <w:pPr>
              <w:pStyle w:val="TableContents"/>
              <w:bidi w:val="0"/>
              <w:spacing w:before="0" w:after="283"/>
              <w:jc w:val="left"/>
              <w:rPr>
                <w:sz w:val="20"/>
              </w:rPr>
            </w:pPr>
            <w:r>
              <w:rPr>
                <w:sz w:val="20"/>
              </w:rPr>
              <w:t>Total collection and disposal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5.8</w:t>
            </w:r>
          </w:p>
        </w:tc>
        <w:tc>
          <w:tcPr>
            <w:tcW w:w="710" w:type="dxa"/>
            <w:tcBorders/>
            <w:shd w:fill="CCEEFF" w:val="clear"/>
            <w:vAlign w:val="center"/>
          </w:tcPr>
          <w:p>
            <w:pPr>
              <w:pStyle w:val="TableContents"/>
              <w:bidi w:val="0"/>
              <w:spacing w:before="0" w:after="283"/>
              <w:jc w:val="left"/>
              <w:rPr>
                <w:sz w:val="20"/>
              </w:rPr>
            </w:pPr>
            <w:r>
              <w:rPr>
                <w:sz w:val="20"/>
              </w:rPr>
              <w:t>%</w:t>
            </w:r>
          </w:p>
        </w:tc>
        <w:tc>
          <w:tcPr>
            <w:tcW w:w="228"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sz w:val="20"/>
              </w:rPr>
            </w:pPr>
            <w:r>
              <w:rPr>
                <w:sz w:val="20"/>
              </w:rPr>
              <w:t>0.2</w:t>
            </w:r>
          </w:p>
        </w:tc>
        <w:tc>
          <w:tcPr>
            <w:tcW w:w="23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sz w:val="20"/>
              </w:rPr>
            </w:pPr>
            <w:r>
              <w:rPr>
                <w:sz w:val="20"/>
              </w:rPr>
              <w:t>6.0</w:t>
            </w:r>
          </w:p>
        </w:tc>
        <w:tc>
          <w:tcPr>
            <w:tcW w:w="669" w:type="dxa"/>
            <w:tcBorders/>
            <w:shd w:fill="CCEEFF" w:val="clear"/>
            <w:vAlign w:val="center"/>
          </w:tcPr>
          <w:p>
            <w:pPr>
              <w:pStyle w:val="TableContents"/>
              <w:bidi w:val="0"/>
              <w:spacing w:before="0" w:after="283"/>
              <w:jc w:val="left"/>
              <w:rPr>
                <w:sz w:val="20"/>
              </w:rPr>
            </w:pPr>
            <w:r>
              <w:rPr>
                <w:sz w:val="20"/>
              </w:rPr>
              <w:t>%</w:t>
            </w:r>
          </w:p>
        </w:tc>
        <w:tc>
          <w:tcPr>
            <w:tcW w:w="214"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sz w:val="20"/>
              </w:rPr>
            </w:pPr>
            <w:r>
              <w:rPr>
                <w:sz w:val="20"/>
              </w:rPr>
              <w:t>0.5</w:t>
            </w:r>
          </w:p>
        </w:tc>
        <w:tc>
          <w:tcPr>
            <w:tcW w:w="26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Intercompany revenues between lines of business are eliminated in the Condensed Consolidated Financial Statements included herein.</w:t>
            </w:r>
          </w:p>
        </w:tc>
      </w:tr>
    </w:tbl>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Calculated by dividing the increase or decrease for the current year period by the prior year period’s related business revenue adjusted to exclude the impacts of divestitures for the current year period.</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Calculated by dividing the increase or decrease for the current year period by the prior year period’s total Company revenue adjusted to exclude the impacts of divestitures for the current year period.</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both"/>
              <w:rPr/>
            </w:pPr>
            <w:r>
              <w:rPr/>
              <w:t>Includes combined impact of commodity price variability in both our recycling and WM Renewable Energy businesses, as well as changes in fees in our recycling business.</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283"/>
              <w:jc w:val="both"/>
              <w:rPr/>
            </w:pPr>
            <w:r>
              <w:rPr/>
              <w:t>Beginning in 2023, Recycling and WM Renewable Energy includes changes in our revenue attributable to our WM Renewable Energy business. Previously these changes in revenues were included in fuel surcharges and mandated fees. We have revised our prior year results to conform with the current year presentation.</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(f)</w:t>
            </w:r>
          </w:p>
        </w:tc>
        <w:tc>
          <w:tcPr>
            <w:tcW w:w="9942" w:type="dxa"/>
            <w:tcBorders/>
            <w:vAlign w:val="center"/>
          </w:tcPr>
          <w:p>
            <w:pPr>
              <w:pStyle w:val="TableContents"/>
              <w:bidi w:val="0"/>
              <w:spacing w:before="0" w:after="283"/>
              <w:jc w:val="both"/>
              <w:rPr/>
            </w:pPr>
            <w:r>
              <w:rPr/>
              <w:t>Our energy surcharge was revised in the second quarter of 2023 to incorporate market prices for both diesel and compressed natural gas.</w:t>
            </w:r>
          </w:p>
        </w:tc>
      </w:tr>
    </w:tbl>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(g)</w:t>
            </w:r>
          </w:p>
        </w:tc>
        <w:tc>
          <w:tcPr>
            <w:tcW w:w="9888" w:type="dxa"/>
            <w:tcBorders/>
            <w:vAlign w:val="center"/>
          </w:tcPr>
          <w:p>
            <w:pPr>
              <w:pStyle w:val="TableContents"/>
              <w:bidi w:val="0"/>
              <w:spacing w:before="0" w:after="283"/>
              <w:jc w:val="both"/>
              <w:rPr/>
            </w:pPr>
            <w:r>
              <w:rPr/>
              <w:t>The amounts reported herein represent the changes in our revenue attributable to average yield for the total Company.</w:t>
            </w:r>
          </w:p>
        </w:tc>
      </w:tr>
    </w:tbl>
    <w:tbl>
      <w:tblPr>
        <w:tblW w:w="5000" w:type="pct"/>
        <w:jc w:val="left"/>
        <w:tblInd w:w="0" w:type="dxa"/>
        <w:tblLayout w:type="fixed"/>
        <w:tblCellMar>
          <w:top w:w="0" w:type="dxa"/>
          <w:left w:w="0" w:type="dxa"/>
          <w:bottom w:w="0" w:type="dxa"/>
          <w:right w:w="0" w:type="dxa"/>
        </w:tblCellMar>
      </w:tblPr>
      <w:tblGrid>
        <w:gridCol w:w="107"/>
        <w:gridCol w:w="821"/>
        <w:gridCol w:w="9277"/>
      </w:tblGrid>
      <w:tr>
        <w:trPr/>
        <w:tc>
          <w:tcPr>
            <w:tcW w:w="10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(h)</w:t>
            </w:r>
          </w:p>
        </w:tc>
        <w:tc>
          <w:tcPr>
            <w:tcW w:w="9277" w:type="dxa"/>
            <w:tcBorders/>
            <w:vAlign w:val="center"/>
          </w:tcPr>
          <w:p>
            <w:pPr>
              <w:pStyle w:val="TableContents"/>
              <w:bidi w:val="0"/>
              <w:spacing w:before="0" w:after="283"/>
              <w:jc w:val="both"/>
              <w:rPr/>
            </w:pPr>
            <w:r>
              <w:rPr/>
              <w:t>Workday adjusted volume impact.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4"/>
        <w:gridCol w:w="60"/>
        <w:gridCol w:w="159"/>
        <w:gridCol w:w="484"/>
        <w:gridCol w:w="235"/>
        <w:gridCol w:w="76"/>
        <w:gridCol w:w="159"/>
        <w:gridCol w:w="484"/>
        <w:gridCol w:w="185"/>
        <w:gridCol w:w="60"/>
        <w:gridCol w:w="143"/>
        <w:gridCol w:w="437"/>
        <w:gridCol w:w="212"/>
        <w:gridCol w:w="69"/>
        <w:gridCol w:w="143"/>
        <w:gridCol w:w="437"/>
        <w:gridCol w:w="208"/>
      </w:tblGrid>
      <w:tr>
        <w:trPr/>
        <w:tc>
          <w:tcPr>
            <w:tcW w:w="6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7" w:type="dxa"/>
            <w:gridSpan w:val="6"/>
            <w:tcBorders/>
            <w:vAlign w:val="center"/>
          </w:tcPr>
          <w:p>
            <w:pPr>
              <w:pStyle w:val="TableContents"/>
              <w:bidi w:val="0"/>
              <w:spacing w:before="0" w:after="283"/>
              <w:jc w:val="center"/>
              <w:rPr>
                <w:b/>
                <w:sz w:val="20"/>
              </w:rPr>
            </w:pPr>
            <w:r>
              <w:rPr>
                <w:b/>
                <w:sz w:val="20"/>
              </w:rPr>
              <w:t>Three Months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6"/>
            <w:tcBorders/>
            <w:vAlign w:val="center"/>
          </w:tcPr>
          <w:p>
            <w:pPr>
              <w:pStyle w:val="TableContents"/>
              <w:bidi w:val="0"/>
              <w:spacing w:before="0" w:after="283"/>
              <w:jc w:val="center"/>
              <w:rPr>
                <w:b/>
                <w:sz w:val="20"/>
              </w:rPr>
            </w:pPr>
            <w:r>
              <w:rPr>
                <w:b/>
                <w:sz w:val="20"/>
              </w:rPr>
              <w:t>Six Months Ended</w:t>
            </w:r>
          </w:p>
        </w:tc>
        <w:tc>
          <w:tcPr>
            <w:tcW w:w="208" w:type="dxa"/>
            <w:tcBorders/>
            <w:vAlign w:val="center"/>
          </w:tcPr>
          <w:p>
            <w:pPr>
              <w:pStyle w:val="TableContents"/>
              <w:bidi w:val="0"/>
              <w:spacing w:before="0" w:after="283"/>
              <w:jc w:val="left"/>
              <w:rPr/>
            </w:pPr>
            <w:r>
              <w:rPr/>
              <w:t> </w:t>
            </w:r>
          </w:p>
        </w:tc>
      </w:tr>
      <w:tr>
        <w:trPr/>
        <w:tc>
          <w:tcPr>
            <w:tcW w:w="6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208" w:type="dxa"/>
            <w:tcBorders/>
            <w:vAlign w:val="center"/>
          </w:tcPr>
          <w:p>
            <w:pPr>
              <w:pStyle w:val="TableContents"/>
              <w:bidi w:val="0"/>
              <w:spacing w:before="0" w:after="283"/>
              <w:jc w:val="left"/>
              <w:rPr/>
            </w:pPr>
            <w:r>
              <w:rPr/>
              <w:t> </w:t>
            </w:r>
          </w:p>
        </w:tc>
      </w:tr>
      <w:tr>
        <w:trPr/>
        <w:tc>
          <w:tcPr>
            <w:tcW w:w="6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23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21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208" w:type="dxa"/>
            <w:tcBorders/>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b/>
                <w:sz w:val="20"/>
              </w:rPr>
            </w:pPr>
            <w:r>
              <w:rPr>
                <w:b/>
                <w:sz w:val="20"/>
              </w:rPr>
              <w:t>Supplemental Data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sz w:val="20"/>
              </w:rPr>
            </w:pPr>
            <w:r>
              <w:rPr>
                <w:sz w:val="20"/>
              </w:rPr>
              <w:t>Internalization of waste, based on disposal costs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68.8</w:t>
            </w:r>
          </w:p>
        </w:tc>
        <w:tc>
          <w:tcPr>
            <w:tcW w:w="235" w:type="dxa"/>
            <w:tcBorders/>
            <w:shd w:fill="CCEEFF" w:val="clear"/>
            <w:vAlign w:val="center"/>
          </w:tcPr>
          <w:p>
            <w:pPr>
              <w:pStyle w:val="TableContents"/>
              <w:bidi w:val="0"/>
              <w:spacing w:before="0" w:after="283"/>
              <w:jc w:val="left"/>
              <w:rPr>
                <w:sz w:val="20"/>
              </w:rPr>
            </w:pPr>
            <w:r>
              <w:rPr>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68.7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68.6</w:t>
            </w:r>
          </w:p>
        </w:tc>
        <w:tc>
          <w:tcPr>
            <w:tcW w:w="212" w:type="dxa"/>
            <w:tcBorders/>
            <w:shd w:fill="CCEEFF" w:val="clear"/>
            <w:vAlign w:val="center"/>
          </w:tcPr>
          <w:p>
            <w:pPr>
              <w:pStyle w:val="TableContents"/>
              <w:bidi w:val="0"/>
              <w:spacing w:before="0" w:after="283"/>
              <w:jc w:val="left"/>
              <w:rPr>
                <w:sz w:val="20"/>
              </w:rPr>
            </w:pPr>
            <w:r>
              <w:rPr>
                <w:sz w:val="20"/>
              </w:rPr>
              <w:t>%</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68.6</w:t>
            </w:r>
          </w:p>
        </w:tc>
        <w:tc>
          <w:tcPr>
            <w:tcW w:w="208" w:type="dxa"/>
            <w:tcBorders/>
            <w:shd w:fill="CCEEFF" w:val="clear"/>
            <w:vAlign w:val="center"/>
          </w:tcPr>
          <w:p>
            <w:pPr>
              <w:pStyle w:val="TableContents"/>
              <w:bidi w:val="0"/>
              <w:spacing w:before="0" w:after="283"/>
              <w:jc w:val="left"/>
              <w:rPr>
                <w:sz w:val="20"/>
              </w:rPr>
            </w:pPr>
            <w:r>
              <w:rPr>
                <w:sz w:val="20"/>
              </w:rPr>
              <w:t>%</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sz w:val="20"/>
              </w:rPr>
            </w:pPr>
            <w:r>
              <w:rPr>
                <w:sz w:val="20"/>
              </w:rPr>
              <w:t>Landfill depletable tons (in millions)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31.8</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32.7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61.1</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61.8</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b/>
                <w:sz w:val="20"/>
              </w:rPr>
            </w:pPr>
            <w:r>
              <w:rPr>
                <w:b/>
                <w:sz w:val="20"/>
              </w:rPr>
              <w:t>Acquisition Summary</w:t>
            </w:r>
            <w:r>
              <w:rPr>
                <w:b/>
                <w:position w:val="7"/>
                <w:sz w:val="16"/>
                <w:sz w:val="20"/>
              </w:rPr>
              <w:t>(a)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sz w:val="20"/>
              </w:rPr>
            </w:pPr>
            <w:r>
              <w:rPr>
                <w:sz w:val="20"/>
              </w:rPr>
              <w:t>Gross annualized revenue acquired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20"/>
              </w:rPr>
            </w:pPr>
            <w:r>
              <w:rPr>
                <w:sz w:val="20"/>
              </w:rPr>
              <w:t>$</w:t>
            </w:r>
          </w:p>
        </w:tc>
        <w:tc>
          <w:tcPr>
            <w:tcW w:w="484" w:type="dxa"/>
            <w:tcBorders/>
            <w:shd w:fill="CCEEFF" w:val="clear"/>
            <w:vAlign w:val="center"/>
          </w:tcPr>
          <w:p>
            <w:pPr>
              <w:pStyle w:val="TableContents"/>
              <w:bidi w:val="0"/>
              <w:spacing w:before="0" w:after="283"/>
              <w:jc w:val="right"/>
              <w:rPr>
                <w:sz w:val="20"/>
              </w:rPr>
            </w:pPr>
            <w:r>
              <w:rPr>
                <w:sz w:val="20"/>
              </w:rPr>
              <w:t>93</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20"/>
              </w:rPr>
            </w:pPr>
            <w:r>
              <w:rPr>
                <w:sz w:val="20"/>
              </w:rPr>
              <w:t>$</w:t>
            </w:r>
          </w:p>
        </w:tc>
        <w:tc>
          <w:tcPr>
            <w:tcW w:w="48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20"/>
              </w:rPr>
            </w:pPr>
            <w:r>
              <w:rPr>
                <w:sz w:val="20"/>
              </w:rPr>
              <w:t>$</w:t>
            </w:r>
          </w:p>
        </w:tc>
        <w:tc>
          <w:tcPr>
            <w:tcW w:w="437" w:type="dxa"/>
            <w:tcBorders/>
            <w:shd w:fill="CCEEFF" w:val="clear"/>
            <w:vAlign w:val="center"/>
          </w:tcPr>
          <w:p>
            <w:pPr>
              <w:pStyle w:val="TableContents"/>
              <w:bidi w:val="0"/>
              <w:spacing w:before="0" w:after="283"/>
              <w:jc w:val="right"/>
              <w:rPr>
                <w:sz w:val="20"/>
              </w:rPr>
            </w:pPr>
            <w:r>
              <w:rPr>
                <w:sz w:val="20"/>
              </w:rPr>
              <w:t>111</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20"/>
              </w:rPr>
            </w:pPr>
            <w:r>
              <w:rPr>
                <w:sz w:val="20"/>
              </w:rPr>
              <w:t>$</w:t>
            </w:r>
          </w:p>
        </w:tc>
        <w:tc>
          <w:tcPr>
            <w:tcW w:w="437" w:type="dxa"/>
            <w:tcBorders/>
            <w:shd w:fill="CCEEFF" w:val="clear"/>
            <w:vAlign w:val="center"/>
          </w:tcPr>
          <w:p>
            <w:pPr>
              <w:pStyle w:val="TableContents"/>
              <w:bidi w:val="0"/>
              <w:spacing w:before="0" w:after="283"/>
              <w:jc w:val="right"/>
              <w:rPr>
                <w:sz w:val="20"/>
              </w:rPr>
            </w:pPr>
            <w:r>
              <w:rPr>
                <w:sz w:val="20"/>
              </w:rPr>
              <w:t>3</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sz w:val="20"/>
              </w:rPr>
            </w:pPr>
            <w:r>
              <w:rPr>
                <w:sz w:val="20"/>
              </w:rPr>
              <w:t>Total consideration, net of cash acquired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84</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118</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6</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ind w:left="0" w:right="0" w:hanging="144"/>
              <w:jc w:val="left"/>
              <w:rPr/>
            </w:pPr>
            <w:r>
              <w:rPr/>
              <w:t> </w:t>
            </w:r>
          </w:p>
        </w:tc>
      </w:tr>
      <w:tr>
        <w:trPr/>
        <w:tc>
          <w:tcPr>
            <w:tcW w:w="6654" w:type="dxa"/>
            <w:tcBorders/>
            <w:shd w:fill="CCEEFF" w:val="clear"/>
            <w:vAlign w:val="center"/>
          </w:tcPr>
          <w:p>
            <w:pPr>
              <w:pStyle w:val="TableContents"/>
              <w:bidi w:val="0"/>
              <w:spacing w:before="0" w:after="283"/>
              <w:jc w:val="left"/>
              <w:rPr>
                <w:sz w:val="20"/>
              </w:rPr>
            </w:pPr>
            <w:r>
              <w:rPr>
                <w:sz w:val="20"/>
              </w:rPr>
              <w:t>Cash paid for acquisitions consummated during the period, net of cash acquired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80</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111</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5</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ind w:left="0" w:right="0" w:hanging="144"/>
              <w:jc w:val="left"/>
              <w:rPr/>
            </w:pPr>
            <w:r>
              <w:rPr/>
              <w:t> </w:t>
            </w:r>
          </w:p>
        </w:tc>
      </w:tr>
      <w:tr>
        <w:trPr/>
        <w:tc>
          <w:tcPr>
            <w:tcW w:w="6654" w:type="dxa"/>
            <w:tcBorders/>
            <w:shd w:fill="CCEEFF" w:val="clear"/>
            <w:vAlign w:val="center"/>
          </w:tcPr>
          <w:p>
            <w:pPr>
              <w:pStyle w:val="TableContents"/>
              <w:bidi w:val="0"/>
              <w:spacing w:before="0" w:after="283"/>
              <w:jc w:val="left"/>
              <w:rPr>
                <w:sz w:val="20"/>
              </w:rPr>
            </w:pPr>
            <w:r>
              <w:rPr>
                <w:sz w:val="20"/>
              </w:rPr>
              <w:t>Cash paid for acquisitions including contingent consideration and other items from prior periods, net of cash acquired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84</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20"/>
              </w:rPr>
            </w:pPr>
            <w:r>
              <w:rPr>
                <w:sz w:val="20"/>
              </w:rPr>
              <w:t>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118</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sz w:val="20"/>
              </w:rPr>
            </w:pPr>
            <w:r>
              <w:rPr>
                <w:sz w:val="20"/>
              </w:rPr>
              <w:t>10</w:t>
            </w:r>
          </w:p>
        </w:tc>
        <w:tc>
          <w:tcPr>
            <w:tcW w:w="2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Landfill Depletion and Accretion Expenses:</w:t>
      </w:r>
    </w:p>
    <w:p>
      <w:pPr>
        <w:pStyle w:val="TextBody"/>
        <w:bidi w:val="0"/>
        <w:spacing w:before="0" w:after="0"/>
        <w:ind w:left="0" w:right="0" w:hanging="0"/>
        <w:jc w:val="left"/>
        <w:rPr>
          <w:caps w:val="false"/>
          <w:smallCaps w:val="false"/>
        </w:rPr>
      </w:pPr>
      <w:r>
        <w:rPr>
          <w:caps w:val="false"/>
          <w:smallCaps w:val="false"/>
        </w:rPr>
        <w:t> </w:t>
      </w:r>
    </w:p>
    <w:tbl>
      <w:tblPr>
        <w:tblW w:w="6956" w:type="dxa"/>
        <w:jc w:val="left"/>
        <w:tblInd w:w="0" w:type="dxa"/>
        <w:tblLayout w:type="fixed"/>
        <w:tblCellMar>
          <w:top w:w="0" w:type="dxa"/>
          <w:left w:w="0" w:type="dxa"/>
          <w:bottom w:w="0" w:type="dxa"/>
          <w:right w:w="0" w:type="dxa"/>
        </w:tblCellMar>
      </w:tblPr>
      <w:tblGrid>
        <w:gridCol w:w="3365"/>
        <w:gridCol w:w="60"/>
        <w:gridCol w:w="215"/>
        <w:gridCol w:w="576"/>
        <w:gridCol w:w="103"/>
        <w:gridCol w:w="103"/>
        <w:gridCol w:w="215"/>
        <w:gridCol w:w="576"/>
        <w:gridCol w:w="60"/>
        <w:gridCol w:w="60"/>
        <w:gridCol w:w="186"/>
        <w:gridCol w:w="499"/>
        <w:gridCol w:w="89"/>
        <w:gridCol w:w="89"/>
        <w:gridCol w:w="186"/>
        <w:gridCol w:w="499"/>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vAlign w:val="center"/>
          </w:tcPr>
          <w:p>
            <w:pPr>
              <w:pStyle w:val="TableContents"/>
              <w:bidi w:val="0"/>
              <w:spacing w:before="0" w:after="283"/>
              <w:jc w:val="center"/>
              <w:rPr>
                <w:b/>
                <w:sz w:val="20"/>
              </w:rPr>
            </w:pPr>
            <w:r>
              <w:rPr>
                <w:b/>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sz w:val="20"/>
              </w:rPr>
            </w:pPr>
            <w:r>
              <w:rPr>
                <w:sz w:val="20"/>
              </w:rPr>
              <w:t>Landfill depletion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sz w:val="20"/>
              </w:rPr>
            </w:pPr>
            <w:r>
              <w:rPr>
                <w:sz w:val="20"/>
              </w:rPr>
              <w:t>Cost basis of landfill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576" w:type="dxa"/>
            <w:tcBorders/>
            <w:shd w:fill="FFFFFF" w:val="clear"/>
            <w:vAlign w:val="center"/>
          </w:tcPr>
          <w:p>
            <w:pPr>
              <w:pStyle w:val="TableContents"/>
              <w:bidi w:val="0"/>
              <w:spacing w:before="0" w:after="283"/>
              <w:jc w:val="right"/>
              <w:rPr>
                <w:sz w:val="20"/>
              </w:rPr>
            </w:pPr>
            <w:r>
              <w:rPr>
                <w:sz w:val="20"/>
              </w:rPr>
              <w:t>156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576" w:type="dxa"/>
            <w:tcBorders/>
            <w:shd w:fill="FFFFFF" w:val="clear"/>
            <w:vAlign w:val="center"/>
          </w:tcPr>
          <w:p>
            <w:pPr>
              <w:pStyle w:val="TableContents"/>
              <w:bidi w:val="0"/>
              <w:spacing w:before="0" w:after="283"/>
              <w:jc w:val="right"/>
              <w:rPr>
                <w:sz w:val="20"/>
              </w:rPr>
            </w:pPr>
            <w:r>
              <w:rPr>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sz w:val="20"/>
              </w:rPr>
            </w:pPr>
            <w:r>
              <w:rPr>
                <w:sz w:val="20"/>
              </w:rPr>
              <w:t>$</w:t>
            </w:r>
          </w:p>
        </w:tc>
        <w:tc>
          <w:tcPr>
            <w:tcW w:w="499" w:type="dxa"/>
            <w:tcBorders/>
            <w:shd w:fill="FFFFFF" w:val="clear"/>
            <w:vAlign w:val="center"/>
          </w:tcPr>
          <w:p>
            <w:pPr>
              <w:pStyle w:val="TableContents"/>
              <w:bidi w:val="0"/>
              <w:spacing w:before="0" w:after="283"/>
              <w:jc w:val="right"/>
              <w:rPr>
                <w:sz w:val="20"/>
              </w:rPr>
            </w:pPr>
            <w:r>
              <w:rPr>
                <w:sz w:val="20"/>
              </w:rPr>
              <w:t>298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sz w:val="20"/>
              </w:rPr>
            </w:pPr>
            <w:r>
              <w:rPr>
                <w:sz w:val="20"/>
              </w:rPr>
              <w:t>$</w:t>
            </w:r>
          </w:p>
        </w:tc>
        <w:tc>
          <w:tcPr>
            <w:tcW w:w="499" w:type="dxa"/>
            <w:tcBorders/>
            <w:shd w:fill="FFFFFF" w:val="clear"/>
            <w:vAlign w:val="center"/>
          </w:tcPr>
          <w:p>
            <w:pPr>
              <w:pStyle w:val="TableContents"/>
              <w:bidi w:val="0"/>
              <w:spacing w:before="0" w:after="283"/>
              <w:jc w:val="right"/>
              <w:rPr>
                <w:sz w:val="20"/>
              </w:rPr>
            </w:pPr>
            <w:r>
              <w:rPr>
                <w:sz w:val="20"/>
              </w:rPr>
              <w:t>286</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sz w:val="20"/>
              </w:rPr>
            </w:pPr>
            <w:r>
              <w:rPr>
                <w:sz w:val="20"/>
              </w:rPr>
              <w:t>Asset retirement costs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sz w:val="20"/>
              </w:rPr>
            </w:pPr>
            <w:r>
              <w:rPr>
                <w:sz w:val="20"/>
              </w:rPr>
              <w:t>Total landfill depletion expense</w:t>
            </w:r>
            <w:r>
              <w:rPr>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sz w:val="20"/>
              </w:rPr>
            </w:pPr>
            <w:r>
              <w:rPr>
                <w:sz w:val="20"/>
              </w:rPr>
              <w:t>188</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sz w:val="20"/>
              </w:rPr>
            </w:pPr>
            <w:r>
              <w:rPr>
                <w:sz w:val="20"/>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sz w:val="20"/>
              </w:rPr>
            </w:pPr>
            <w:r>
              <w:rPr>
                <w:sz w:val="20"/>
              </w:rPr>
              <w:t>366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sz w:val="20"/>
              </w:rPr>
            </w:pPr>
            <w:r>
              <w:rPr>
                <w:sz w:val="20"/>
              </w:rPr>
              <w:t>355</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sz w:val="20"/>
              </w:rPr>
            </w:pPr>
            <w:r>
              <w:rPr>
                <w:sz w:val="20"/>
              </w:rPr>
              <w:t>Accretion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sz w:val="20"/>
              </w:rPr>
            </w:pPr>
            <w:r>
              <w:rPr>
                <w:sz w:val="20"/>
              </w:rPr>
              <w:t>Landfill depletion and accretion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Represents amounts associated with business acquisitions consummated during the applicable period except where noted.</w:t>
            </w:r>
          </w:p>
        </w:tc>
      </w:tr>
    </w:tbl>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The increase in landfill depletion for the first half of 2023, as compared with the prior year period, was primarily driven by the reopening of previously closed landfill in our East Tier.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907" w:type="dxa"/>
        <w:jc w:val="left"/>
        <w:tblInd w:w="0" w:type="dxa"/>
        <w:tblLayout w:type="fixed"/>
        <w:tblCellMar>
          <w:top w:w="0" w:type="dxa"/>
          <w:left w:w="0" w:type="dxa"/>
          <w:bottom w:w="0" w:type="dxa"/>
          <w:right w:w="0" w:type="dxa"/>
        </w:tblCellMar>
      </w:tblPr>
      <w:tblGrid>
        <w:gridCol w:w="2510"/>
        <w:gridCol w:w="60"/>
        <w:gridCol w:w="228"/>
        <w:gridCol w:w="886"/>
        <w:gridCol w:w="60"/>
        <w:gridCol w:w="60"/>
        <w:gridCol w:w="176"/>
        <w:gridCol w:w="474"/>
        <w:gridCol w:w="60"/>
        <w:gridCol w:w="60"/>
        <w:gridCol w:w="197"/>
        <w:gridCol w:w="528"/>
        <w:gridCol w:w="275"/>
        <w:gridCol w:w="60"/>
        <w:gridCol w:w="228"/>
        <w:gridCol w:w="616"/>
        <w:gridCol w:w="60"/>
        <w:gridCol w:w="60"/>
        <w:gridCol w:w="305"/>
        <w:gridCol w:w="929"/>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2"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 2023</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sz w:val="20"/>
              </w:rPr>
            </w:pPr>
            <w:r>
              <w:rPr>
                <w:b/>
                <w:sz w:val="20"/>
              </w:rPr>
              <w:t>Income from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Pre-tax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sz w:val="20"/>
              </w:rPr>
            </w:pPr>
            <w:r>
              <w:rPr>
                <w:b/>
                <w:sz w:val="20"/>
              </w:rPr>
              <w:t>Tax</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center"/>
              <w:rPr>
                <w:b/>
                <w:sz w:val="20"/>
              </w:rPr>
            </w:pPr>
            <w:r>
              <w:rPr>
                <w:b/>
                <w:sz w:val="20"/>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sz w:val="20"/>
              </w:rPr>
            </w:pPr>
            <w:r>
              <w:rPr>
                <w:b/>
                <w:sz w:val="20"/>
              </w:rPr>
              <w:t>Diluted Per</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Expense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sz w:val="20"/>
              </w:rPr>
            </w:pPr>
            <w:r>
              <w:rPr>
                <w:b/>
                <w:sz w:val="20"/>
              </w:rPr>
              <w:t>Income</w:t>
            </w:r>
            <w:r>
              <w:rPr>
                <w:position w:val="7"/>
                <w:sz w:val="16"/>
                <w:sz w:val="20"/>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 Amount</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b/>
                <w:sz w:val="20"/>
              </w:rPr>
            </w:pPr>
            <w:r>
              <w:rPr>
                <w:b/>
                <w:sz w:val="20"/>
              </w:rPr>
              <w:t>As reported amounts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20"/>
              </w:rPr>
            </w:pPr>
            <w:r>
              <w:rPr>
                <w:sz w:val="20"/>
              </w:rPr>
              <w:t>$</w:t>
            </w:r>
          </w:p>
        </w:tc>
        <w:tc>
          <w:tcPr>
            <w:tcW w:w="886" w:type="dxa"/>
            <w:tcBorders/>
            <w:shd w:fill="CCEEFF" w:val="clear"/>
            <w:vAlign w:val="center"/>
          </w:tcPr>
          <w:p>
            <w:pPr>
              <w:pStyle w:val="TableContents"/>
              <w:bidi w:val="0"/>
              <w:spacing w:before="0" w:after="283"/>
              <w:jc w:val="right"/>
              <w:rPr>
                <w:b/>
                <w:sz w:val="20"/>
              </w:rPr>
            </w:pPr>
            <w:r>
              <w:rPr>
                <w:b/>
                <w:sz w:val="20"/>
              </w:rPr>
              <w:t>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20"/>
              </w:rPr>
            </w:pPr>
            <w:r>
              <w:rPr>
                <w:sz w:val="20"/>
              </w:rPr>
              <w:t>$</w:t>
            </w:r>
          </w:p>
        </w:tc>
        <w:tc>
          <w:tcPr>
            <w:tcW w:w="474" w:type="dxa"/>
            <w:tcBorders/>
            <w:shd w:fill="CCEEFF" w:val="clear"/>
            <w:vAlign w:val="center"/>
          </w:tcPr>
          <w:p>
            <w:pPr>
              <w:pStyle w:val="TableContents"/>
              <w:bidi w:val="0"/>
              <w:spacing w:before="0" w:after="283"/>
              <w:jc w:val="right"/>
              <w:rPr>
                <w:b/>
                <w:sz w:val="20"/>
              </w:rPr>
            </w:pPr>
            <w:r>
              <w:rPr>
                <w:b/>
                <w:sz w:val="20"/>
              </w:rPr>
              <w:t>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20"/>
              </w:rPr>
            </w:pPr>
            <w:r>
              <w:rPr>
                <w:sz w:val="20"/>
              </w:rPr>
              <w:t>$</w:t>
            </w:r>
          </w:p>
        </w:tc>
        <w:tc>
          <w:tcPr>
            <w:tcW w:w="528" w:type="dxa"/>
            <w:tcBorders/>
            <w:shd w:fill="CCEEFF" w:val="clear"/>
            <w:vAlign w:val="center"/>
          </w:tcPr>
          <w:p>
            <w:pPr>
              <w:pStyle w:val="TableContents"/>
              <w:bidi w:val="0"/>
              <w:spacing w:before="0" w:after="283"/>
              <w:jc w:val="right"/>
              <w:rPr>
                <w:b/>
                <w:sz w:val="20"/>
              </w:rPr>
            </w:pPr>
            <w:r>
              <w:rPr>
                <w:b/>
                <w:sz w:val="20"/>
              </w:rPr>
              <w:t>196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20"/>
              </w:rPr>
            </w:pPr>
            <w:r>
              <w:rPr>
                <w:sz w:val="20"/>
              </w:rPr>
              <w:t>$</w:t>
            </w:r>
          </w:p>
        </w:tc>
        <w:tc>
          <w:tcPr>
            <w:tcW w:w="616" w:type="dxa"/>
            <w:tcBorders/>
            <w:shd w:fill="CCEEFF" w:val="clear"/>
            <w:vAlign w:val="center"/>
          </w:tcPr>
          <w:p>
            <w:pPr>
              <w:pStyle w:val="TableContents"/>
              <w:bidi w:val="0"/>
              <w:spacing w:before="0" w:after="283"/>
              <w:jc w:val="right"/>
              <w:rPr>
                <w:b/>
                <w:sz w:val="20"/>
              </w:rPr>
            </w:pPr>
            <w:r>
              <w:rPr>
                <w:b/>
                <w:sz w:val="20"/>
              </w:rPr>
              <w:t>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20"/>
              </w:rPr>
            </w:pPr>
            <w:r>
              <w:rPr>
                <w:sz w:val="20"/>
              </w:rPr>
              <w:t>$</w:t>
            </w:r>
          </w:p>
        </w:tc>
        <w:tc>
          <w:tcPr>
            <w:tcW w:w="929" w:type="dxa"/>
            <w:tcBorders/>
            <w:shd w:fill="CCEEFF" w:val="clear"/>
            <w:vAlign w:val="center"/>
          </w:tcPr>
          <w:p>
            <w:pPr>
              <w:pStyle w:val="TableContents"/>
              <w:bidi w:val="0"/>
              <w:spacing w:before="0" w:after="283"/>
              <w:jc w:val="right"/>
              <w:rPr>
                <w:b/>
                <w:sz w:val="20"/>
              </w:rPr>
            </w:pPr>
            <w:r>
              <w:rPr>
                <w:b/>
                <w:sz w:val="20"/>
              </w:rPr>
              <w:t>1.51</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b/>
                <w:sz w:val="20"/>
              </w:rPr>
            </w:pPr>
            <w:r>
              <w:rPr>
                <w:b/>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20"/>
              </w:rPr>
            </w:pPr>
            <w:r>
              <w:rPr>
                <w:sz w:val="20"/>
              </w:rPr>
              <w:t>Labor dispute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sz w:val="20"/>
              </w:rPr>
            </w:pPr>
            <w:r>
              <w:rPr>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sz w:val="20"/>
              </w:rPr>
            </w:pPr>
            <w:r>
              <w:rPr>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sz w:val="20"/>
              </w:rPr>
            </w:pPr>
            <w:r>
              <w:rPr>
                <w:sz w:val="20"/>
              </w:rPr>
              <w:t>Restructuring</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b/>
                <w:sz w:val="20"/>
              </w:rPr>
            </w:pPr>
            <w:r>
              <w:rPr>
                <w:b/>
                <w:sz w:val="20"/>
              </w:rPr>
              <w:t>As adjusted amounts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20"/>
              </w:rPr>
            </w:pPr>
            <w:r>
              <w:rPr>
                <w:sz w:val="20"/>
              </w:rPr>
              <w:t>$</w:t>
            </w:r>
          </w:p>
        </w:tc>
        <w:tc>
          <w:tcPr>
            <w:tcW w:w="886" w:type="dxa"/>
            <w:tcBorders/>
            <w:shd w:fill="CCEEFF" w:val="clear"/>
            <w:vAlign w:val="center"/>
          </w:tcPr>
          <w:p>
            <w:pPr>
              <w:pStyle w:val="TableContents"/>
              <w:bidi w:val="0"/>
              <w:spacing w:before="0" w:after="283"/>
              <w:jc w:val="right"/>
              <w:rPr>
                <w:b/>
                <w:sz w:val="20"/>
              </w:rPr>
            </w:pPr>
            <w:r>
              <w:rPr>
                <w:b/>
                <w:sz w:val="20"/>
              </w:rPr>
              <w:t>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196</w:t>
            </w:r>
          </w:p>
        </w:tc>
        <w:tc>
          <w:tcPr>
            <w:tcW w:w="275" w:type="dxa"/>
            <w:tcBorders/>
            <w:shd w:fill="CCEEFF" w:val="clear"/>
            <w:vAlign w:val="center"/>
          </w:tcPr>
          <w:p>
            <w:pPr>
              <w:pStyle w:val="TableContents"/>
              <w:bidi w:val="0"/>
              <w:spacing w:before="0" w:after="283"/>
              <w:jc w:val="left"/>
              <w:rPr>
                <w:sz w:val="20"/>
              </w:rPr>
            </w:pPr>
            <w:r>
              <w:rPr>
                <w:position w:val="7"/>
                <w:sz w:val="16"/>
                <w:sz w:val="20"/>
              </w:rPr>
              <w:t>(b)</w:t>
            </w:r>
            <w:r>
              <w:rPr>
                <w:sz w:val="20"/>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1.51</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b/>
                <w:sz w:val="20"/>
              </w:rPr>
            </w:pPr>
            <w:r>
              <w:rPr>
                <w:b/>
                <w:sz w:val="20"/>
              </w:rPr>
              <w:t>Adjusted operating EBITDA</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5"/>
        <w:gridCol w:w="60"/>
        <w:gridCol w:w="228"/>
        <w:gridCol w:w="867"/>
        <w:gridCol w:w="60"/>
        <w:gridCol w:w="60"/>
        <w:gridCol w:w="176"/>
        <w:gridCol w:w="474"/>
        <w:gridCol w:w="60"/>
        <w:gridCol w:w="60"/>
        <w:gridCol w:w="197"/>
        <w:gridCol w:w="528"/>
        <w:gridCol w:w="261"/>
        <w:gridCol w:w="60"/>
        <w:gridCol w:w="223"/>
        <w:gridCol w:w="603"/>
        <w:gridCol w:w="60"/>
        <w:gridCol w:w="60"/>
        <w:gridCol w:w="293"/>
        <w:gridCol w:w="871"/>
        <w:gridCol w:w="79"/>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41"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 2022</w:t>
            </w:r>
          </w:p>
        </w:tc>
        <w:tc>
          <w:tcPr>
            <w:tcW w:w="79"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283"/>
              <w:jc w:val="center"/>
              <w:rPr>
                <w:b/>
                <w:sz w:val="20"/>
              </w:rPr>
            </w:pPr>
            <w:r>
              <w:rPr>
                <w:b/>
                <w:sz w:val="20"/>
              </w:rPr>
              <w:t>Income from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Pre-tax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sz w:val="20"/>
              </w:rPr>
            </w:pPr>
            <w:r>
              <w:rPr>
                <w:b/>
                <w:sz w:val="20"/>
              </w:rPr>
              <w:t>Tax</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vAlign w:val="center"/>
          </w:tcPr>
          <w:p>
            <w:pPr>
              <w:pStyle w:val="TableContents"/>
              <w:bidi w:val="0"/>
              <w:spacing w:before="0" w:after="283"/>
              <w:jc w:val="center"/>
              <w:rPr>
                <w:b/>
                <w:sz w:val="20"/>
              </w:rPr>
            </w:pPr>
            <w:r>
              <w:rPr>
                <w:b/>
                <w:sz w:val="20"/>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center"/>
              <w:rPr>
                <w:b/>
                <w:sz w:val="20"/>
              </w:rPr>
            </w:pPr>
            <w:r>
              <w:rPr>
                <w:b/>
                <w:sz w:val="20"/>
              </w:rPr>
              <w:t>Diluted Per</w:t>
            </w:r>
          </w:p>
        </w:tc>
        <w:tc>
          <w:tcPr>
            <w:tcW w:w="79"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Expense</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sz w:val="20"/>
              </w:rPr>
            </w:pPr>
            <w:r>
              <w:rPr>
                <w:b/>
                <w:sz w:val="20"/>
              </w:rPr>
              <w:t>Income</w:t>
            </w:r>
            <w:r>
              <w:rPr>
                <w:position w:val="7"/>
                <w:sz w:val="16"/>
                <w:sz w:val="20"/>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 Amount</w:t>
            </w:r>
          </w:p>
        </w:tc>
        <w:tc>
          <w:tcPr>
            <w:tcW w:w="79"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sz w:val="20"/>
              </w:rPr>
            </w:pPr>
            <w:r>
              <w:rPr>
                <w:b/>
                <w:sz w:val="20"/>
              </w:rPr>
              <w:t>As reported amounts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20"/>
              </w:rPr>
            </w:pPr>
            <w:r>
              <w:rPr>
                <w:sz w:val="20"/>
              </w:rPr>
              <w:t>$</w:t>
            </w:r>
          </w:p>
        </w:tc>
        <w:tc>
          <w:tcPr>
            <w:tcW w:w="867" w:type="dxa"/>
            <w:tcBorders/>
            <w:shd w:fill="CCEEFF" w:val="clear"/>
            <w:vAlign w:val="center"/>
          </w:tcPr>
          <w:p>
            <w:pPr>
              <w:pStyle w:val="TableContents"/>
              <w:bidi w:val="0"/>
              <w:spacing w:before="0" w:after="283"/>
              <w:jc w:val="right"/>
              <w:rPr>
                <w:b/>
                <w:sz w:val="20"/>
              </w:rPr>
            </w:pPr>
            <w:r>
              <w:rPr>
                <w:b/>
                <w:sz w:val="20"/>
              </w:rPr>
              <w:t>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20"/>
              </w:rPr>
            </w:pPr>
            <w:r>
              <w:rPr>
                <w:sz w:val="20"/>
              </w:rPr>
              <w:t>$</w:t>
            </w:r>
          </w:p>
        </w:tc>
        <w:tc>
          <w:tcPr>
            <w:tcW w:w="474" w:type="dxa"/>
            <w:tcBorders/>
            <w:shd w:fill="CCEEFF" w:val="clear"/>
            <w:vAlign w:val="center"/>
          </w:tcPr>
          <w:p>
            <w:pPr>
              <w:pStyle w:val="TableContents"/>
              <w:bidi w:val="0"/>
              <w:spacing w:before="0" w:after="283"/>
              <w:jc w:val="right"/>
              <w:rPr>
                <w:b/>
                <w:sz w:val="20"/>
              </w:rPr>
            </w:pPr>
            <w:r>
              <w:rPr>
                <w:b/>
                <w:sz w:val="20"/>
              </w:rPr>
              <w:t>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20"/>
              </w:rPr>
            </w:pPr>
            <w:r>
              <w:rPr>
                <w:sz w:val="20"/>
              </w:rPr>
              <w:t>$</w:t>
            </w:r>
          </w:p>
        </w:tc>
        <w:tc>
          <w:tcPr>
            <w:tcW w:w="528" w:type="dxa"/>
            <w:tcBorders/>
            <w:shd w:fill="CCEEFF" w:val="clear"/>
            <w:vAlign w:val="center"/>
          </w:tcPr>
          <w:p>
            <w:pPr>
              <w:pStyle w:val="TableContents"/>
              <w:bidi w:val="0"/>
              <w:spacing w:before="0" w:after="283"/>
              <w:jc w:val="right"/>
              <w:rPr>
                <w:b/>
                <w:sz w:val="20"/>
              </w:rPr>
            </w:pPr>
            <w:r>
              <w:rPr>
                <w:b/>
                <w:sz w:val="20"/>
              </w:rPr>
              <w:t>189</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20"/>
              </w:rPr>
            </w:pPr>
            <w:r>
              <w:rPr>
                <w:sz w:val="20"/>
              </w:rPr>
              <w:t>$</w:t>
            </w:r>
          </w:p>
        </w:tc>
        <w:tc>
          <w:tcPr>
            <w:tcW w:w="603" w:type="dxa"/>
            <w:tcBorders/>
            <w:shd w:fill="CCEEFF" w:val="clear"/>
            <w:vAlign w:val="center"/>
          </w:tcPr>
          <w:p>
            <w:pPr>
              <w:pStyle w:val="TableContents"/>
              <w:bidi w:val="0"/>
              <w:spacing w:before="0" w:after="283"/>
              <w:jc w:val="right"/>
              <w:rPr>
                <w:b/>
                <w:sz w:val="20"/>
              </w:rPr>
            </w:pPr>
            <w:r>
              <w:rPr>
                <w:b/>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sz w:val="20"/>
              </w:rPr>
            </w:pPr>
            <w:r>
              <w:rPr>
                <w:sz w:val="20"/>
              </w:rPr>
              <w:t>$</w:t>
            </w:r>
          </w:p>
        </w:tc>
        <w:tc>
          <w:tcPr>
            <w:tcW w:w="871" w:type="dxa"/>
            <w:tcBorders/>
            <w:shd w:fill="CCEEFF" w:val="clear"/>
            <w:vAlign w:val="center"/>
          </w:tcPr>
          <w:p>
            <w:pPr>
              <w:pStyle w:val="TableContents"/>
              <w:bidi w:val="0"/>
              <w:spacing w:before="0" w:after="283"/>
              <w:jc w:val="right"/>
              <w:rPr>
                <w:b/>
                <w:sz w:val="20"/>
              </w:rPr>
            </w:pPr>
            <w:r>
              <w:rPr>
                <w:b/>
                <w:sz w:val="20"/>
              </w:rPr>
              <w:t>1.41</w:t>
            </w:r>
          </w:p>
        </w:tc>
        <w:tc>
          <w:tcPr>
            <w:tcW w:w="79"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sz w:val="20"/>
              </w:rPr>
            </w:pPr>
            <w:r>
              <w:rPr>
                <w:b/>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44"/>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Enterprise resource planning system implementation-related costs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sz w:val="20"/>
              </w:rPr>
            </w:pPr>
            <w:r>
              <w:rPr>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sz w:val="20"/>
              </w:rPr>
            </w:pPr>
            <w:r>
              <w:rPr>
                <w:sz w:val="20"/>
              </w:rPr>
              <w:t>4</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sz w:val="20"/>
              </w:rPr>
            </w:pPr>
            <w:r>
              <w:rPr>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Advanced Disposal integration-related costs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0.03</w:t>
            </w:r>
          </w:p>
        </w:tc>
        <w:tc>
          <w:tcPr>
            <w:tcW w:w="79"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sz w:val="20"/>
              </w:rPr>
            </w:pPr>
            <w:r>
              <w:rPr>
                <w:b/>
                <w:sz w:val="20"/>
              </w:rPr>
              <w:t>As adjusted amounts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sz w:val="20"/>
              </w:rPr>
            </w:pPr>
            <w:r>
              <w:rPr>
                <w:sz w:val="20"/>
              </w:rPr>
              <w:t>$</w:t>
            </w:r>
          </w:p>
        </w:tc>
        <w:tc>
          <w:tcPr>
            <w:tcW w:w="867" w:type="dxa"/>
            <w:tcBorders/>
            <w:shd w:fill="FFFFFF" w:val="clear"/>
            <w:vAlign w:val="center"/>
          </w:tcPr>
          <w:p>
            <w:pPr>
              <w:pStyle w:val="TableContents"/>
              <w:bidi w:val="0"/>
              <w:spacing w:before="0" w:after="283"/>
              <w:jc w:val="right"/>
              <w:rPr>
                <w:b/>
                <w:sz w:val="20"/>
              </w:rPr>
            </w:pPr>
            <w:r>
              <w:rPr>
                <w:b/>
                <w:sz w:val="20"/>
              </w:rPr>
              <w:t>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194</w:t>
            </w:r>
          </w:p>
        </w:tc>
        <w:tc>
          <w:tcPr>
            <w:tcW w:w="261" w:type="dxa"/>
            <w:tcBorders/>
            <w:shd w:fill="FFFFFF" w:val="clear"/>
            <w:vAlign w:val="center"/>
          </w:tcPr>
          <w:p>
            <w:pPr>
              <w:pStyle w:val="TableContents"/>
              <w:bidi w:val="0"/>
              <w:spacing w:before="0" w:after="283"/>
              <w:jc w:val="left"/>
              <w:rPr>
                <w:sz w:val="20"/>
              </w:rPr>
            </w:pPr>
            <w:r>
              <w:rPr>
                <w:position w:val="7"/>
                <w:sz w:val="16"/>
                <w:sz w:val="20"/>
              </w:rPr>
              <w:t>(b)</w:t>
            </w:r>
            <w:r>
              <w:rPr>
                <w:sz w:val="20"/>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1.44</w:t>
            </w:r>
          </w:p>
        </w:tc>
        <w:tc>
          <w:tcPr>
            <w:tcW w:w="79"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sz w:val="20"/>
              </w:rPr>
            </w:pPr>
            <w:r>
              <w:rPr>
                <w:b/>
                <w:sz w:val="20"/>
              </w:rPr>
              <w:t>Adjusted operating EBITDA</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For purposes of this press release table, all references to “Net income” refer to the financial statement line item “Net income attributable to Waste Management, Inc.”</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second quarter 2023 and 2022 adjusted effective tax rates were 24.2% and 24.3%,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898" w:type="dxa"/>
        <w:jc w:val="left"/>
        <w:tblInd w:w="0" w:type="dxa"/>
        <w:tblLayout w:type="fixed"/>
        <w:tblCellMar>
          <w:top w:w="0" w:type="dxa"/>
          <w:left w:w="0" w:type="dxa"/>
          <w:bottom w:w="0" w:type="dxa"/>
          <w:right w:w="0" w:type="dxa"/>
        </w:tblCellMar>
      </w:tblPr>
      <w:tblGrid>
        <w:gridCol w:w="6005"/>
        <w:gridCol w:w="60"/>
        <w:gridCol w:w="142"/>
        <w:gridCol w:w="553"/>
        <w:gridCol w:w="80"/>
        <w:gridCol w:w="60"/>
        <w:gridCol w:w="113"/>
        <w:gridCol w:w="716"/>
        <w:gridCol w:w="215"/>
        <w:gridCol w:w="60"/>
        <w:gridCol w:w="142"/>
        <w:gridCol w:w="553"/>
        <w:gridCol w:w="80"/>
        <w:gridCol w:w="60"/>
        <w:gridCol w:w="113"/>
        <w:gridCol w:w="716"/>
        <w:gridCol w:w="23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3"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3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2022</w:t>
            </w:r>
          </w:p>
        </w:tc>
        <w:tc>
          <w:tcPr>
            <w:tcW w:w="23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sz w:val="20"/>
              </w:rPr>
            </w:pPr>
            <w:r>
              <w:rPr>
                <w:b/>
                <w:sz w:val="20"/>
              </w:rPr>
              <w:t>As a %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sz w:val="20"/>
              </w:rPr>
            </w:pPr>
            <w:r>
              <w:rPr>
                <w:b/>
                <w:sz w:val="20"/>
              </w:rPr>
              <w:t>As a % of</w:t>
            </w:r>
          </w:p>
        </w:tc>
        <w:tc>
          <w:tcPr>
            <w:tcW w:w="23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230" w:type="dxa"/>
            <w:tcBorders/>
            <w:vAlign w:val="center"/>
          </w:tcPr>
          <w:p>
            <w:pPr>
              <w:pStyle w:val="TableContents"/>
              <w:bidi w:val="0"/>
              <w:spacing w:before="0" w:after="283"/>
              <w:ind w:left="0" w:right="0" w:hanging="144"/>
              <w:jc w:val="left"/>
              <w:rPr/>
            </w:pPr>
            <w:r>
              <w:rPr/>
              <w:t> </w:t>
            </w:r>
          </w:p>
        </w:tc>
      </w:tr>
      <w:tr>
        <w:trPr/>
        <w:tc>
          <w:tcPr>
            <w:tcW w:w="6005" w:type="dxa"/>
            <w:tcBorders/>
            <w:shd w:fill="CCEEFF" w:val="clear"/>
            <w:vAlign w:val="center"/>
          </w:tcPr>
          <w:p>
            <w:pPr>
              <w:pStyle w:val="TableContents"/>
              <w:bidi w:val="0"/>
              <w:spacing w:before="0" w:after="283"/>
              <w:jc w:val="left"/>
              <w:rPr>
                <w:b/>
                <w:i/>
                <w:sz w:val="20"/>
              </w:rPr>
            </w:pPr>
            <w:r>
              <w:rPr>
                <w:b/>
                <w:i/>
                <w:sz w:val="20"/>
              </w:rPr>
              <w:t>Adjusted Operating Expenses and Adjusted Operating Expenses Margin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b/>
                <w:sz w:val="20"/>
              </w:rPr>
            </w:pPr>
            <w:r>
              <w:rPr>
                <w:b/>
                <w:sz w:val="20"/>
              </w:rPr>
              <w:t>5,119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b/>
                <w:sz w:val="20"/>
              </w:rPr>
            </w:pPr>
            <w:r>
              <w:rPr>
                <w:b/>
                <w:sz w:val="20"/>
              </w:rPr>
              <w:t>5,027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Operating expenses, as reported</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b/>
                <w:sz w:val="20"/>
              </w:rPr>
            </w:pPr>
            <w:r>
              <w:rPr>
                <w:b/>
                <w:sz w:val="20"/>
              </w:rPr>
              <w:t>3,186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b/>
                <w:sz w:val="20"/>
              </w:rPr>
            </w:pPr>
            <w:r>
              <w:rPr>
                <w:b/>
                <w:sz w:val="20"/>
              </w:rPr>
              <w:t>62.2</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b/>
                <w:sz w:val="20"/>
              </w:rPr>
            </w:pPr>
            <w:r>
              <w:rPr>
                <w:b/>
                <w:sz w:val="20"/>
              </w:rPr>
              <w:t>3,142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b/>
                <w:sz w:val="20"/>
              </w:rPr>
            </w:pPr>
            <w:r>
              <w:rPr>
                <w:b/>
                <w:sz w:val="20"/>
              </w:rPr>
              <w:t>62.5</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6005" w:type="dxa"/>
            <w:tcBorders/>
            <w:shd w:fill="FFFFFF" w:val="clear"/>
            <w:vAlign w:val="center"/>
          </w:tcPr>
          <w:p>
            <w:pPr>
              <w:pStyle w:val="TableContents"/>
              <w:bidi w:val="0"/>
              <w:spacing w:before="0" w:after="283"/>
              <w:jc w:val="left"/>
              <w:rPr>
                <w:b/>
                <w:sz w:val="20"/>
              </w:rPr>
            </w:pPr>
            <w:r>
              <w:rPr>
                <w:b/>
                <w:sz w:val="20"/>
              </w:rPr>
              <w:t>Adjustment: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sz w:val="20"/>
              </w:rPr>
            </w:pPr>
            <w:r>
              <w:rPr>
                <w:sz w:val="20"/>
              </w:rPr>
              <w:t>Labor dispute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sz w:val="20"/>
              </w:rPr>
            </w:pPr>
            <w:r>
              <w:rPr>
                <w:sz w:val="20"/>
              </w:rPr>
              <w:t>Advanced Disposal integration-related costs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Adjusted operating expenses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b/>
                <w:sz w:val="20"/>
              </w:rPr>
            </w:pPr>
            <w:r>
              <w:rPr>
                <w:b/>
                <w:sz w:val="20"/>
              </w:rPr>
              <w:t>62.2</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b/>
                <w:sz w:val="20"/>
              </w:rPr>
            </w:pPr>
            <w:r>
              <w:rPr>
                <w:b/>
                <w:sz w:val="20"/>
              </w:rPr>
              <w:t>62.4</w:t>
            </w:r>
          </w:p>
        </w:tc>
        <w:tc>
          <w:tcPr>
            <w:tcW w:w="230"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4"/>
        <w:gridCol w:w="60"/>
        <w:gridCol w:w="167"/>
        <w:gridCol w:w="741"/>
        <w:gridCol w:w="80"/>
        <w:gridCol w:w="60"/>
        <w:gridCol w:w="168"/>
        <w:gridCol w:w="743"/>
        <w:gridCol w:w="215"/>
        <w:gridCol w:w="60"/>
        <w:gridCol w:w="142"/>
        <w:gridCol w:w="553"/>
        <w:gridCol w:w="86"/>
        <w:gridCol w:w="64"/>
        <w:gridCol w:w="148"/>
        <w:gridCol w:w="680"/>
        <w:gridCol w:w="234"/>
      </w:tblGrid>
      <w:tr>
        <w:trPr/>
        <w:tc>
          <w:tcPr>
            <w:tcW w:w="60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7"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34" w:type="dxa"/>
            <w:tcBorders/>
            <w:vAlign w:val="center"/>
          </w:tcPr>
          <w:p>
            <w:pPr>
              <w:pStyle w:val="TableContents"/>
              <w:bidi w:val="0"/>
              <w:spacing w:before="0" w:after="283"/>
              <w:jc w:val="left"/>
              <w:rPr/>
            </w:pPr>
            <w:r>
              <w:rPr/>
              <w:t> </w:t>
            </w:r>
          </w:p>
        </w:tc>
      </w:tr>
      <w:tr>
        <w:trPr/>
        <w:tc>
          <w:tcPr>
            <w:tcW w:w="60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2022</w:t>
            </w:r>
          </w:p>
        </w:tc>
        <w:tc>
          <w:tcPr>
            <w:tcW w:w="234" w:type="dxa"/>
            <w:tcBorders/>
            <w:vAlign w:val="center"/>
          </w:tcPr>
          <w:p>
            <w:pPr>
              <w:pStyle w:val="TableContents"/>
              <w:bidi w:val="0"/>
              <w:spacing w:before="0" w:after="283"/>
              <w:jc w:val="left"/>
              <w:rPr/>
            </w:pPr>
            <w:r>
              <w:rPr/>
              <w:t> </w:t>
            </w:r>
          </w:p>
        </w:tc>
      </w:tr>
      <w:tr>
        <w:trPr/>
        <w:tc>
          <w:tcPr>
            <w:tcW w:w="60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2"/>
            <w:tcBorders/>
            <w:vAlign w:val="center"/>
          </w:tcPr>
          <w:p>
            <w:pPr>
              <w:pStyle w:val="TableContents"/>
              <w:bidi w:val="0"/>
              <w:spacing w:before="0" w:after="283"/>
              <w:jc w:val="center"/>
              <w:rPr>
                <w:b/>
                <w:sz w:val="20"/>
              </w:rPr>
            </w:pPr>
            <w:r>
              <w:rPr>
                <w:b/>
                <w:sz w:val="20"/>
              </w:rPr>
              <w:t>As a %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28" w:type="dxa"/>
            <w:gridSpan w:val="2"/>
            <w:tcBorders/>
            <w:vAlign w:val="center"/>
          </w:tcPr>
          <w:p>
            <w:pPr>
              <w:pStyle w:val="TableContents"/>
              <w:bidi w:val="0"/>
              <w:spacing w:before="0" w:after="283"/>
              <w:jc w:val="center"/>
              <w:rPr>
                <w:b/>
                <w:sz w:val="20"/>
              </w:rPr>
            </w:pPr>
            <w:r>
              <w:rPr>
                <w:b/>
                <w:sz w:val="20"/>
              </w:rPr>
              <w:t>As a % of</w:t>
            </w:r>
          </w:p>
        </w:tc>
        <w:tc>
          <w:tcPr>
            <w:tcW w:w="234" w:type="dxa"/>
            <w:tcBorders/>
            <w:vAlign w:val="center"/>
          </w:tcPr>
          <w:p>
            <w:pPr>
              <w:pStyle w:val="TableContents"/>
              <w:bidi w:val="0"/>
              <w:spacing w:before="0" w:after="283"/>
              <w:jc w:val="left"/>
              <w:rPr/>
            </w:pPr>
            <w:r>
              <w:rPr/>
              <w:t> </w:t>
            </w:r>
          </w:p>
        </w:tc>
      </w:tr>
      <w:tr>
        <w:trPr/>
        <w:tc>
          <w:tcPr>
            <w:tcW w:w="60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234" w:type="dxa"/>
            <w:tcBorders/>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b/>
                <w:i/>
                <w:sz w:val="20"/>
              </w:rPr>
            </w:pPr>
            <w:r>
              <w:rPr>
                <w:b/>
                <w:i/>
                <w:sz w:val="20"/>
              </w:rPr>
              <w:t>Adjusted SG&amp;A Expenses and Adjusted SG&amp;A Expenses Margin</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6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41" w:type="dxa"/>
            <w:tcBorders/>
            <w:shd w:fill="CCEEFF" w:val="clear"/>
            <w:vAlign w:val="center"/>
          </w:tcPr>
          <w:p>
            <w:pPr>
              <w:pStyle w:val="TableContents"/>
              <w:bidi w:val="0"/>
              <w:spacing w:before="0" w:after="283"/>
              <w:jc w:val="right"/>
              <w:rPr>
                <w:b/>
                <w:sz w:val="20"/>
              </w:rPr>
            </w:pPr>
            <w:r>
              <w:rPr>
                <w:b/>
                <w:sz w:val="20"/>
              </w:rPr>
              <w:t>5,119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b/>
                <w:sz w:val="20"/>
              </w:rPr>
            </w:pPr>
            <w:r>
              <w:rPr>
                <w:b/>
                <w:sz w:val="20"/>
              </w:rPr>
              <w:t>5,027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6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b/>
                <w:sz w:val="20"/>
              </w:rPr>
            </w:pPr>
            <w:r>
              <w:rPr>
                <w:b/>
                <w:sz w:val="20"/>
              </w:rPr>
              <w:t>SG&amp;A expenses, as reported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41" w:type="dxa"/>
            <w:tcBorders/>
            <w:shd w:fill="CCEEFF" w:val="clear"/>
            <w:vAlign w:val="center"/>
          </w:tcPr>
          <w:p>
            <w:pPr>
              <w:pStyle w:val="TableContents"/>
              <w:bidi w:val="0"/>
              <w:spacing w:before="0" w:after="283"/>
              <w:jc w:val="right"/>
              <w:rPr>
                <w:b/>
                <w:sz w:val="20"/>
              </w:rPr>
            </w:pPr>
            <w:r>
              <w:rPr>
                <w:b/>
                <w:sz w:val="20"/>
              </w:rPr>
              <w:t>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b/>
                <w:sz w:val="20"/>
              </w:rPr>
            </w:pPr>
            <w:r>
              <w:rPr>
                <w:b/>
                <w:sz w:val="20"/>
              </w:rPr>
              <w:t>9.1</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b/>
                <w:sz w:val="20"/>
              </w:rPr>
            </w:pPr>
            <w:r>
              <w:rPr>
                <w:b/>
                <w:sz w:val="20"/>
              </w:rPr>
              <w:t>487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9.7</w:t>
            </w:r>
          </w:p>
        </w:tc>
        <w:tc>
          <w:tcPr>
            <w:tcW w:w="234" w:type="dxa"/>
            <w:tcBorders/>
            <w:shd w:fill="CCEEFF" w:val="clear"/>
            <w:vAlign w:val="center"/>
          </w:tcPr>
          <w:p>
            <w:pPr>
              <w:pStyle w:val="TableContents"/>
              <w:bidi w:val="0"/>
              <w:spacing w:before="0" w:after="283"/>
              <w:jc w:val="left"/>
              <w:rPr>
                <w:b/>
                <w:sz w:val="20"/>
              </w:rPr>
            </w:pPr>
            <w:r>
              <w:rPr>
                <w:b/>
                <w:sz w:val="20"/>
              </w:rPr>
              <w:t>%</w:t>
            </w:r>
          </w:p>
        </w:tc>
      </w:tr>
      <w:tr>
        <w:trPr/>
        <w:tc>
          <w:tcPr>
            <w:tcW w:w="6004" w:type="dxa"/>
            <w:tcBorders/>
            <w:shd w:fill="FFFFFF" w:val="clear"/>
            <w:vAlign w:val="center"/>
          </w:tcPr>
          <w:p>
            <w:pPr>
              <w:pStyle w:val="TableContents"/>
              <w:bidi w:val="0"/>
              <w:spacing w:before="0" w:after="283"/>
              <w:jc w:val="left"/>
              <w:rPr>
                <w:b/>
                <w:sz w:val="20"/>
              </w:rPr>
            </w:pPr>
            <w:r>
              <w:rPr>
                <w:b/>
                <w:sz w:val="20"/>
              </w:rPr>
              <w:t>Adjustments: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sz w:val="20"/>
              </w:rPr>
            </w:pPr>
            <w:r>
              <w:rPr>
                <w:sz w:val="20"/>
              </w:rPr>
              <w:t>Enterprise resource planning system implementation-related costs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(13</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6004" w:type="dxa"/>
            <w:tcBorders/>
            <w:shd w:fill="FFFFFF" w:val="clear"/>
            <w:vAlign w:val="center"/>
          </w:tcPr>
          <w:p>
            <w:pPr>
              <w:pStyle w:val="TableContents"/>
              <w:bidi w:val="0"/>
              <w:spacing w:before="0" w:after="283"/>
              <w:jc w:val="left"/>
              <w:rPr>
                <w:sz w:val="20"/>
              </w:rPr>
            </w:pPr>
            <w:r>
              <w:rPr>
                <w:sz w:val="20"/>
              </w:rPr>
              <w:t>Advanced Disposal integration-related costs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b/>
                <w:sz w:val="20"/>
              </w:rPr>
            </w:pPr>
            <w:r>
              <w:rPr>
                <w:b/>
                <w:sz w:val="20"/>
              </w:rPr>
              <w:t>Adjusted SG&amp;A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473</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9.4</w:t>
            </w:r>
          </w:p>
        </w:tc>
        <w:tc>
          <w:tcPr>
            <w:tcW w:w="234" w:type="dxa"/>
            <w:tcBorders/>
            <w:shd w:fill="CCEEFF" w:val="clear"/>
            <w:vAlign w:val="center"/>
          </w:tcPr>
          <w:p>
            <w:pPr>
              <w:pStyle w:val="TableContents"/>
              <w:bidi w:val="0"/>
              <w:spacing w:before="0" w:after="283"/>
              <w:jc w:val="left"/>
              <w:rPr>
                <w:b/>
                <w:sz w:val="20"/>
              </w:rPr>
            </w:pPr>
            <w:r>
              <w:rPr>
                <w:b/>
                <w:sz w:val="20"/>
              </w:rPr>
              <w:t>%</w:t>
            </w:r>
          </w:p>
        </w:tc>
      </w:tr>
      <w:tr>
        <w:trPr/>
        <w:tc>
          <w:tcPr>
            <w:tcW w:w="60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6004" w:type="dxa"/>
            <w:tcBorders/>
            <w:vAlign w:val="center"/>
          </w:tcPr>
          <w:p>
            <w:pPr>
              <w:pStyle w:val="TableContents"/>
              <w:bidi w:val="0"/>
              <w:spacing w:before="0" w:after="283"/>
              <w:jc w:val="left"/>
              <w:rPr>
                <w:sz w:val="20"/>
              </w:rPr>
            </w:pPr>
            <w:r>
              <w:rPr>
                <w:b/>
                <w:i/>
                <w:sz w:val="20"/>
              </w:rPr>
              <w:t>2023 Projected Free Cash Flow Reconciliation</w:t>
            </w:r>
            <w:r>
              <w:rPr>
                <w:i/>
                <w:position w:val="7"/>
                <w:sz w:val="16"/>
                <w:sz w:val="20"/>
              </w:rPr>
              <w:t>(a)</w:t>
            </w:r>
          </w:p>
        </w:tc>
        <w:tc>
          <w:tcPr>
            <w:tcW w:w="6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Scenario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Scenario 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41" w:type="dxa"/>
            <w:tcBorders/>
            <w:shd w:fill="CCEEFF" w:val="clear"/>
            <w:vAlign w:val="center"/>
          </w:tcPr>
          <w:p>
            <w:pPr>
              <w:pStyle w:val="TableContents"/>
              <w:bidi w:val="0"/>
              <w:spacing w:before="0" w:after="283"/>
              <w:jc w:val="right"/>
              <w:rPr>
                <w:sz w:val="20"/>
              </w:rPr>
            </w:pPr>
            <w:r>
              <w:rPr>
                <w:sz w:val="20"/>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20"/>
              </w:rPr>
            </w:pPr>
            <w:r>
              <w:rPr>
                <w:sz w:val="20"/>
              </w:rPr>
              <w:t>$</w:t>
            </w:r>
          </w:p>
        </w:tc>
        <w:tc>
          <w:tcPr>
            <w:tcW w:w="743" w:type="dxa"/>
            <w:tcBorders/>
            <w:shd w:fill="CCEEFF" w:val="clear"/>
            <w:vAlign w:val="center"/>
          </w:tcPr>
          <w:p>
            <w:pPr>
              <w:pStyle w:val="TableContents"/>
              <w:bidi w:val="0"/>
              <w:spacing w:before="0" w:after="283"/>
              <w:jc w:val="right"/>
              <w:rPr>
                <w:sz w:val="20"/>
              </w:rPr>
            </w:pPr>
            <w:r>
              <w:rPr>
                <w:sz w:val="20"/>
              </w:rPr>
              <w:t>4,650</w:t>
            </w:r>
          </w:p>
        </w:tc>
        <w:tc>
          <w:tcPr>
            <w:tcW w:w="215" w:type="dxa"/>
            <w:tcBorders/>
            <w:shd w:fill="CCEE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FFFFFF" w:val="clear"/>
            <w:vAlign w:val="center"/>
          </w:tcPr>
          <w:p>
            <w:pPr>
              <w:pStyle w:val="TableContents"/>
              <w:bidi w:val="0"/>
              <w:spacing w:before="0" w:after="283"/>
              <w:jc w:val="left"/>
              <w:rPr>
                <w:sz w:val="20"/>
              </w:rPr>
            </w:pPr>
            <w:r>
              <w:rPr>
                <w:sz w:val="20"/>
              </w:rPr>
              <w:t>Capital expenditures to support the business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sz w:val="20"/>
              </w:rPr>
            </w:pPr>
            <w:r>
              <w:rPr>
                <w:sz w:val="20"/>
              </w:rPr>
              <w:t>(1,975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20"/>
              </w:rPr>
            </w:pPr>
            <w:r>
              <w:rPr>
                <w:sz w:val="20"/>
              </w:rPr>
              <w:t>(2,075</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144"/>
              <w:jc w:val="left"/>
              <w:rPr/>
            </w:pPr>
            <w:r>
              <w:rPr/>
              <w:t> </w:t>
            </w:r>
          </w:p>
        </w:tc>
      </w:tr>
      <w:tr>
        <w:trPr/>
        <w:tc>
          <w:tcPr>
            <w:tcW w:w="6004" w:type="dxa"/>
            <w:tcBorders/>
            <w:shd w:fill="CCEEFF" w:val="clear"/>
            <w:vAlign w:val="center"/>
          </w:tcPr>
          <w:p>
            <w:pPr>
              <w:pStyle w:val="TableContents"/>
              <w:bidi w:val="0"/>
              <w:spacing w:before="0" w:after="283"/>
              <w:jc w:val="left"/>
              <w:rPr>
                <w:sz w:val="20"/>
              </w:rPr>
            </w:pPr>
            <w:r>
              <w:rPr>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w:t>
            </w:r>
          </w:p>
        </w:tc>
        <w:tc>
          <w:tcPr>
            <w:tcW w:w="215" w:type="dxa"/>
            <w:tcBorders/>
            <w:shd w:fill="CCEE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FFFFFF" w:val="clear"/>
            <w:vAlign w:val="center"/>
          </w:tcPr>
          <w:p>
            <w:pPr>
              <w:pStyle w:val="TableContents"/>
              <w:bidi w:val="0"/>
              <w:spacing w:before="0" w:after="283"/>
              <w:jc w:val="left"/>
              <w:rPr>
                <w:b/>
                <w:sz w:val="20"/>
              </w:rPr>
            </w:pPr>
            <w:r>
              <w:rPr>
                <w:b/>
                <w:sz w:val="20"/>
              </w:rPr>
              <w:t>Free cash flow without sustainability growth investments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sz w:val="20"/>
              </w:rPr>
            </w:pPr>
            <w:r>
              <w:rPr>
                <w:sz w:val="20"/>
              </w:rPr>
              <w:t>$</w:t>
            </w:r>
          </w:p>
        </w:tc>
        <w:tc>
          <w:tcPr>
            <w:tcW w:w="741" w:type="dxa"/>
            <w:tcBorders/>
            <w:shd w:fill="FFFFFF" w:val="clear"/>
            <w:vAlign w:val="center"/>
          </w:tcPr>
          <w:p>
            <w:pPr>
              <w:pStyle w:val="TableContents"/>
              <w:bidi w:val="0"/>
              <w:spacing w:before="0" w:after="283"/>
              <w:jc w:val="right"/>
              <w:rPr>
                <w:b/>
                <w:sz w:val="20"/>
              </w:rPr>
            </w:pPr>
            <w:r>
              <w:rPr>
                <w:b/>
                <w:sz w:val="20"/>
              </w:rPr>
              <w:t>2,575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sz w:val="20"/>
              </w:rPr>
            </w:pPr>
            <w:r>
              <w:rPr>
                <w:sz w:val="20"/>
              </w:rPr>
              <w:t>$</w:t>
            </w:r>
          </w:p>
        </w:tc>
        <w:tc>
          <w:tcPr>
            <w:tcW w:w="743" w:type="dxa"/>
            <w:tcBorders/>
            <w:shd w:fill="FFFFFF" w:val="clear"/>
            <w:vAlign w:val="center"/>
          </w:tcPr>
          <w:p>
            <w:pPr>
              <w:pStyle w:val="TableContents"/>
              <w:bidi w:val="0"/>
              <w:spacing w:before="0" w:after="283"/>
              <w:jc w:val="right"/>
              <w:rPr>
                <w:b/>
                <w:sz w:val="20"/>
              </w:rPr>
            </w:pPr>
            <w:r>
              <w:rPr>
                <w:b/>
                <w:sz w:val="20"/>
              </w:rPr>
              <w:t>2,675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CCEEFF" w:val="clear"/>
            <w:vAlign w:val="center"/>
          </w:tcPr>
          <w:p>
            <w:pPr>
              <w:pStyle w:val="TableContents"/>
              <w:bidi w:val="0"/>
              <w:spacing w:before="0" w:after="283"/>
              <w:jc w:val="left"/>
              <w:rPr>
                <w:sz w:val="20"/>
              </w:rPr>
            </w:pPr>
            <w:r>
              <w:rPr>
                <w:sz w:val="20"/>
              </w:rPr>
              <w:t>Capital expenditures - sustainability growth investments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(900</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6004" w:type="dxa"/>
            <w:tcBorders/>
            <w:shd w:fill="FFFFFF" w:val="clear"/>
            <w:vAlign w:val="center"/>
          </w:tcPr>
          <w:p>
            <w:pPr>
              <w:pStyle w:val="TableContents"/>
              <w:bidi w:val="0"/>
              <w:spacing w:before="0" w:after="283"/>
              <w:jc w:val="left"/>
              <w:rPr>
                <w:b/>
                <w:sz w:val="20"/>
              </w:rPr>
            </w:pPr>
            <w:r>
              <w:rPr>
                <w:b/>
                <w:sz w:val="20"/>
              </w:rPr>
              <w:t>Free cash flow</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41"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1,775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The reconciliation includes two scenarios that illustrate our projected free cash flow range for 2023. The amounts used in the reconciliation are subject to many variables, some of which are not under our control and, therefore, are not necessarily indicative of actual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PROVIDED FOR ILLUSTRATIVE PURPOSES ONLY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2465"/>
        <w:gridCol w:w="60"/>
        <w:gridCol w:w="188"/>
        <w:gridCol w:w="507"/>
        <w:gridCol w:w="78"/>
        <w:gridCol w:w="78"/>
        <w:gridCol w:w="260"/>
        <w:gridCol w:w="1199"/>
        <w:gridCol w:w="185"/>
        <w:gridCol w:w="60"/>
        <w:gridCol w:w="188"/>
        <w:gridCol w:w="507"/>
        <w:gridCol w:w="78"/>
        <w:gridCol w:w="78"/>
        <w:gridCol w:w="260"/>
        <w:gridCol w:w="1199"/>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0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2022</w:t>
            </w:r>
          </w:p>
        </w:tc>
        <w:tc>
          <w:tcPr>
            <w:tcW w:w="20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in</w:t>
              <w:br/>
              <w:t>Adjusted</w:t>
              <w:br/>
              <w:t>Operating</w:t>
              <w:br/>
              <w:t>EBITDA Margin</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in</w:t>
              <w:br/>
              <w:t>Adjusted</w:t>
              <w:br/>
              <w:t>Operating</w:t>
              <w:br/>
              <w:t>EBITDA Margin</w:t>
            </w:r>
          </w:p>
        </w:tc>
        <w:tc>
          <w:tcPr>
            <w:tcW w:w="20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sz w:val="20"/>
              </w:rPr>
            </w:pPr>
            <w:r>
              <w:rPr>
                <w:sz w:val="20"/>
              </w:rPr>
              <w:t>Recycling commodity rebates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149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sz w:val="20"/>
              </w:rPr>
            </w:pPr>
            <w:r>
              <w:rPr>
                <w:sz w:val="20"/>
              </w:rPr>
              <w:t>0.8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229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sz w:val="20"/>
              </w:rPr>
            </w:pPr>
            <w:r>
              <w:rPr>
                <w:sz w:val="20"/>
              </w:rPr>
              <w:t>1.4</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465" w:type="dxa"/>
            <w:tcBorders/>
            <w:shd w:fill="FFFFFF" w:val="clear"/>
            <w:vAlign w:val="center"/>
          </w:tcPr>
          <w:p>
            <w:pPr>
              <w:pStyle w:val="TableContents"/>
              <w:bidi w:val="0"/>
              <w:spacing w:before="0" w:after="283"/>
              <w:jc w:val="left"/>
              <w:rPr>
                <w:sz w:val="20"/>
              </w:rPr>
            </w:pPr>
            <w:r>
              <w:rPr>
                <w:sz w:val="20"/>
              </w:rPr>
              <w:t>Accretion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33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sz w:val="20"/>
              </w:rPr>
            </w:pPr>
            <w:r>
              <w:rPr>
                <w:sz w:val="20"/>
              </w:rPr>
              <w:t>0.7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27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sz w:val="20"/>
              </w:rPr>
            </w:pPr>
            <w:r>
              <w:rPr>
                <w:sz w:val="20"/>
              </w:rPr>
              <w:t>0.6</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2465"/>
        <w:gridCol w:w="60"/>
        <w:gridCol w:w="188"/>
        <w:gridCol w:w="507"/>
        <w:gridCol w:w="78"/>
        <w:gridCol w:w="78"/>
        <w:gridCol w:w="260"/>
        <w:gridCol w:w="1199"/>
        <w:gridCol w:w="185"/>
        <w:gridCol w:w="60"/>
        <w:gridCol w:w="188"/>
        <w:gridCol w:w="507"/>
        <w:gridCol w:w="78"/>
        <w:gridCol w:w="78"/>
        <w:gridCol w:w="260"/>
        <w:gridCol w:w="1199"/>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20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2022</w:t>
            </w:r>
          </w:p>
        </w:tc>
        <w:tc>
          <w:tcPr>
            <w:tcW w:w="20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in</w:t>
              <w:br/>
              <w:t>Adjusted</w:t>
              <w:br/>
              <w:t>Operating</w:t>
              <w:br/>
              <w:t>EBITDA Margin</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in</w:t>
              <w:br/>
              <w:t>Adjusted</w:t>
              <w:br/>
              <w:t>Operating</w:t>
              <w:br/>
              <w:t>EBITDA Margin</w:t>
            </w:r>
          </w:p>
        </w:tc>
        <w:tc>
          <w:tcPr>
            <w:tcW w:w="20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sz w:val="20"/>
              </w:rPr>
            </w:pPr>
            <w:r>
              <w:rPr>
                <w:sz w:val="20"/>
              </w:rPr>
              <w:t>Recycling commodity rebates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290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sz w:val="20"/>
              </w:rPr>
            </w:pPr>
            <w:r>
              <w:rPr>
                <w:sz w:val="20"/>
              </w:rPr>
              <w:t>0.8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452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sz w:val="20"/>
              </w:rPr>
            </w:pPr>
            <w:r>
              <w:rPr>
                <w:sz w:val="20"/>
              </w:rPr>
              <w:t>1.3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465" w:type="dxa"/>
            <w:tcBorders/>
            <w:shd w:fill="FFFFFF" w:val="clear"/>
            <w:vAlign w:val="center"/>
          </w:tcPr>
          <w:p>
            <w:pPr>
              <w:pStyle w:val="TableContents"/>
              <w:bidi w:val="0"/>
              <w:spacing w:before="0" w:after="283"/>
              <w:jc w:val="left"/>
              <w:rPr>
                <w:sz w:val="20"/>
              </w:rPr>
            </w:pPr>
            <w:r>
              <w:rPr>
                <w:sz w:val="20"/>
              </w:rPr>
              <w:t>Accretion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65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sz w:val="20"/>
              </w:rPr>
            </w:pPr>
            <w:r>
              <w:rPr>
                <w:sz w:val="20"/>
              </w:rPr>
              <w:t>0.7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55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sz w:val="20"/>
              </w:rPr>
            </w:pPr>
            <w:r>
              <w:rPr>
                <w:sz w:val="20"/>
              </w:rPr>
              <w:t>0.6</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5804</Words>
  <Characters>31755</Characters>
  <CharactersWithSpaces>38969</CharactersWithSpaces>
  <Paragraphs>3684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