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04" w:lineRule="exact"/>
        <w:rPr>
          <w:sz w:val="24"/>
          <w:szCs w:val="24"/>
          <w:color w:val="auto"/>
        </w:rPr>
      </w:pPr>
    </w:p>
    <w:p>
      <w:pPr>
        <w:ind w:left="480" w:right="120" w:hanging="337"/>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8" w:lineRule="exact"/>
        <w:rPr>
          <w:sz w:val="24"/>
          <w:szCs w:val="24"/>
          <w:color w:val="auto"/>
        </w:rPr>
      </w:pPr>
    </w:p>
    <w:p>
      <w:pPr>
        <w:ind w:left="480" w:right="100" w:hanging="337"/>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480"/>
        <w:spacing w:after="0"/>
        <w:tabs>
          <w:tab w:leader="none" w:pos="3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203"/>
        </w:trPr>
        <w:tc>
          <w:tcPr>
            <w:tcW w:w="20" w:type="dxa"/>
            <w:vAlign w:val="bottom"/>
          </w:tcPr>
          <w:p>
            <w:pPr>
              <w:spacing w:after="0"/>
              <w:rPr>
                <w:sz w:val="17"/>
                <w:szCs w:val="17"/>
                <w:color w:val="auto"/>
              </w:rPr>
            </w:pPr>
          </w:p>
        </w:tc>
        <w:tc>
          <w:tcPr>
            <w:tcW w:w="3680" w:type="dxa"/>
            <w:vAlign w:val="bottom"/>
            <w:gridSpan w:val="3"/>
          </w:tcPr>
          <w:p>
            <w:pPr>
              <w:jc w:val="center"/>
              <w:ind w:left="1356"/>
              <w:spacing w:after="0" w:line="202"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97"/>
              <w:spacing w:after="0" w:line="20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1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Suite 3000</w:t>
            </w:r>
          </w:p>
        </w:tc>
        <w:tc>
          <w:tcPr>
            <w:tcW w:w="32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3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200" w:type="dxa"/>
            <w:vAlign w:val="bottom"/>
          </w:tcPr>
          <w:p>
            <w:pPr>
              <w:spacing w:after="0"/>
              <w:rPr>
                <w:sz w:val="20"/>
                <w:szCs w:val="20"/>
                <w:color w:val="auto"/>
              </w:rPr>
            </w:pPr>
          </w:p>
        </w:tc>
      </w:tr>
      <w:tr>
        <w:trPr>
          <w:trHeight w:val="31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6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894" w:right="839" w:bottom="1440" w:gutter="0" w:footer="0" w:header="0"/>
        </w:sectPr>
      </w:pPr>
    </w:p>
    <w:p>
      <w:pPr>
        <w:spacing w:after="0" w:line="6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7320" w:space="720"/>
            <w:col w:w="2180"/>
          </w:cols>
          <w:pgMar w:left="840" w:top="894" w:right="839" w:bottom="1440" w:gutter="0" w:footer="0" w:header="0"/>
          <w:type w:val="continuous"/>
        </w:sect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at July 22, 2022 was 413,335,715 (excluding treasury shares of 216,946,746).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53975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94"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$26 and $25, respectively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 net of allowance for doubtful accounts of $7 and $8, respectively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Parts and supplies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3,069</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amortization of $21,127 and</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$20,537, 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14,419</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funds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30,128</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6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12,697</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22,936</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21,971</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12,004</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217,005,817 and 214,158,636 shares, respectively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(10,072)</w:t>
            </w:r>
          </w:p>
        </w:tc>
        <w:tc>
          <w:tcPr>
            <w:tcW w:w="0" w:type="dxa"/>
            <w:vAlign w:val="bottom"/>
          </w:tcPr>
          <w:p>
            <w:pPr>
              <w:spacing w:after="0"/>
              <w:rPr>
                <w:sz w:val="1"/>
                <w:szCs w:val="1"/>
                <w:color w:val="auto"/>
              </w:rPr>
            </w:pPr>
          </w:p>
        </w:tc>
      </w:tr>
      <w:tr>
        <w:trPr>
          <w:trHeight w:val="196"/>
        </w:trPr>
        <w:tc>
          <w:tcPr>
            <w:tcW w:w="6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7,192</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7,126</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30,128</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7"/>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4,137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2.64</w:t>
            </w:r>
          </w:p>
        </w:tc>
        <w:tc>
          <w:tcPr>
            <w:tcW w:w="20" w:type="dxa"/>
            <w:vAlign w:val="bottom"/>
            <w:tcBorders>
              <w:bottom w:val="single" w:sz="8" w:color="auto"/>
            </w:tcBorders>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040" w:type="dxa"/>
            <w:vAlign w:val="bottom"/>
            <w:gridSpan w:val="1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6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7"/>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16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top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bad debts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loss from divestitures, asset impairments and other, net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in net losses of unconsolidated entities, net of dividends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Receivables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New borrowings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repayments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Premiums and other paid on early extinguishment of debt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dividends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 equivalents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 and cash equivalents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 period: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funds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ind w:left="22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8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6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2022</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$ 7,146</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5,178</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$ 12,247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(215,102)</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(10,302)</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5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6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5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$0.65 per</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(269)</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6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560" w:type="dxa"/>
            <w:vAlign w:val="bottom"/>
            <w:tcBorders>
              <w:bottom w:val="single" w:sz="8" w:color="CCEEFF"/>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2022</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$ 7,192</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5,257</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$ 12,563</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(217,006)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(10,619)</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2021</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$ 7,429</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5,071</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$ 11,337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(208,201)</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(9,035)</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5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6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$0.575 per</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(242)</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(1,576)</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6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5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2021</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$ 7,354</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5,104</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$ 11,444</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(209,467)</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(9,272)</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 ─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54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7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4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15"/>
        </w:trPr>
        <w:tc>
          <w:tcPr>
            <w:tcW w:w="1720" w:type="dxa"/>
            <w:vAlign w:val="bottom"/>
            <w:tcBorders>
              <w:top w:val="single" w:sz="8" w:color="CCEEFF"/>
            </w:tcBorders>
            <w:gridSpan w:val="5"/>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Six Months Ended June</w:t>
            </w: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5"/>
              </w:rPr>
              <w:t>30:</w:t>
            </w: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1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8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20" w:type="dxa"/>
            <w:vAlign w:val="bottom"/>
            <w:gridSpan w:val="5"/>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7,126</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14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w:t>
            </w: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12,004</w:t>
            </w:r>
          </w:p>
        </w:tc>
        <w:tc>
          <w:tcPr>
            <w:tcW w:w="1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(214,159)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(10,072)</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7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2021</w:t>
            </w:r>
          </w:p>
        </w:tc>
        <w:tc>
          <w:tcPr>
            <w:tcW w:w="1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1720" w:type="dxa"/>
            <w:vAlign w:val="bottom"/>
            <w:gridSpan w:val="5"/>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7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(loss), net of tax</w:t>
            </w: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gridSpan w:val="5"/>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(544)</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Pr>
          <w:p>
            <w:pPr>
              <w:spacing w:after="0"/>
              <w:rPr>
                <w:sz w:val="10"/>
                <w:szCs w:val="10"/>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$1.30 per common share</w:t>
            </w: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gridSpan w:val="5"/>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700" w:type="dxa"/>
            <w:vAlign w:val="bottom"/>
            <w:gridSpan w:val="4"/>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7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transactions, net</w:t>
            </w: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gridSpan w:val="5"/>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(524)</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(3,852)</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(594)</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program</w:t>
            </w: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gridSpan w:val="5"/>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2"/>
        </w:trPr>
        <w:tc>
          <w:tcPr>
            <w:tcW w:w="1720" w:type="dxa"/>
            <w:vAlign w:val="bottom"/>
            <w:tcBorders>
              <w:bottom w:val="single" w:sz="8" w:color="CCEEFF"/>
            </w:tcBorders>
            <w:gridSpan w:val="5"/>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2022</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7,192</w:t>
            </w:r>
          </w:p>
        </w:tc>
        <w:tc>
          <w:tcPr>
            <w:tcW w:w="12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2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5,257</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12,563</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(217,006)</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(10,619)</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20" w:type="dxa"/>
            <w:vAlign w:val="bottom"/>
            <w:gridSpan w:val="5"/>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December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7,454</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14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w:t>
            </w: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11,159</w:t>
            </w:r>
          </w:p>
        </w:tc>
        <w:tc>
          <w:tcPr>
            <w:tcW w:w="1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(207,481)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(8,881)</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1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31, 2020</w:t>
            </w:r>
          </w:p>
        </w:tc>
        <w:tc>
          <w:tcPr>
            <w:tcW w:w="2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720" w:type="dxa"/>
            <w:vAlign w:val="bottom"/>
            <w:gridSpan w:val="5"/>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7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(loss), net of tax</w:t>
            </w: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gridSpan w:val="5"/>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(489)</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0"/>
                <w:szCs w:val="10"/>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$1.15 per common share</w:t>
            </w: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gridSpan w:val="5"/>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700" w:type="dxa"/>
            <w:vAlign w:val="bottom"/>
            <w:gridSpan w:val="4"/>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7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transactions, net</w:t>
            </w: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gridSpan w:val="5"/>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(500)</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(3,385)</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(450)</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program</w:t>
            </w: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gridSpan w:val="5"/>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72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2021</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7,354</w:t>
            </w: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1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5,104</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11,444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(209,467)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(9,272)</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17" w:right="1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12.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and Canada that produce renewable electricity and renewable natural gas, which is a significant source of fuel for our natural gas fleet.</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We finalized the assessment of our segments during the fourth quarter of 2021. The East and West Tiers are presented in this report and constitute our existing Solid Waste business. We also provide additional services that are not managed through our Solid Waste business, which are presented in this report as “Other.” Additional information related to our segments is included in Note 7.</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June 30, 2022 and for the three and six months ended June 30, 2022 and 2021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2021.</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June 30, 2022 and December 31, 2021, we had $177 million and $175 million, respectively, of deferred contract costs, of which $132 million and $126 million, respectively, was related to deferred sales incentives.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long-term other assets in our Condensed Consolidated Balance Sheets.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current or long-term debt in our Condensed Consolidated Balance Sheets, as appropriate.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our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08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six months ended June 30, 2022 are reflected in the table below (in millions):</w:t>
      </w: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00" w:type="dxa"/>
            <w:vAlign w:val="bottom"/>
          </w:tcPr>
          <w:p>
            <w:pPr>
              <w:spacing w:after="0"/>
              <w:rPr>
                <w:sz w:val="11"/>
                <w:szCs w:val="11"/>
                <w:color w:val="auto"/>
              </w:rPr>
            </w:pPr>
          </w:p>
        </w:tc>
        <w:tc>
          <w:tcPr>
            <w:tcW w:w="9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settled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estimates and interest rate assumptions (a) (b)</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our landfill liabilities includes decreases related to revisions in estimated costs and timing of capping, closure and post-closure liabilities.</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our environmental remediation liabilities includes a $17 million charge in our Corporate and Other segment to adjust an indirect wholly-owned subsidiary’s estimated potential share of the liability for a proposed environmental remediation plan at a closed site, as discussed in Note 6. Partially offsetting this charge was a decrease of $11 million due to an increase from 1.50% at December 31, 2021 to 3.00% at June 30, 2022 in the risk-free discount rate used to measure these liabilities.</w:t>
      </w:r>
    </w:p>
    <w:p>
      <w:pPr>
        <w:spacing w:after="0" w:line="7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accounts for purposes of settling final capping, closure, post-closure and environmental remediation obligations. Generally, these trust funds are established to comply with statutory requirements and operating agreements. See Note 12 for additional information related to these trusts.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as of each balance sheet date (in millions) and provides the maturities and interest rate ranges of each major category as of June 30, 2022:</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8"/>
        </w:trPr>
        <w:tc>
          <w:tcPr>
            <w:tcW w:w="20" w:type="dxa"/>
            <w:vAlign w:val="bottom"/>
          </w:tcPr>
          <w:p>
            <w:pPr>
              <w:spacing w:after="0"/>
              <w:rPr>
                <w:sz w:val="15"/>
                <w:szCs w:val="15"/>
                <w:color w:val="auto"/>
              </w:rPr>
            </w:pPr>
          </w:p>
        </w:tc>
        <w:tc>
          <w:tcPr>
            <w:tcW w:w="68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0.4% as of June 30, 2022 and</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maturing May 2024, interest rate of 2.3% as of June 30, 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6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2050, interest rates ranging from 0.75% to 7.75% (weighted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interest rate of 3.2% as of June 30, 2022 and 3.1% as of December 31, 2021)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198"/>
        </w:trPr>
        <w:tc>
          <w:tcPr>
            <w:tcW w:w="20" w:type="dxa"/>
            <w:vAlign w:val="bottom"/>
          </w:tcPr>
          <w:p>
            <w:pPr>
              <w:spacing w:after="0"/>
              <w:rPr>
                <w:sz w:val="17"/>
                <w:szCs w:val="17"/>
                <w:color w:val="auto"/>
              </w:rPr>
            </w:pPr>
          </w:p>
        </w:tc>
        <w:tc>
          <w:tcPr>
            <w:tcW w:w="6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2048, fixed and variable interest rates ranging from</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 to 4.3% (weighted average interest rate of 1.8% as of June 30, 2022 and 1.4% as of</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198"/>
        </w:trPr>
        <w:tc>
          <w:tcPr>
            <w:tcW w:w="20" w:type="dxa"/>
            <w:vAlign w:val="bottom"/>
          </w:tcPr>
          <w:p>
            <w:pPr>
              <w:spacing w:after="0"/>
              <w:rPr>
                <w:sz w:val="17"/>
                <w:szCs w:val="17"/>
                <w:color w:val="auto"/>
              </w:rPr>
            </w:pPr>
          </w:p>
        </w:tc>
        <w:tc>
          <w:tcPr>
            <w:tcW w:w="6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2085, weighted average interest rate of 4.7%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June 30, 2022 and 4.5% as of December 31, 2021 (a)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w:t>
            </w: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our landfill financing leases, the maturities of our financing leases and other debt obligations extend through 2059.</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2022, we had approximately $2.4 billion of debt maturing within the next 12 months, including</w:t>
      </w:r>
    </w:p>
    <w:p>
      <w:pPr>
        <w:spacing w:after="0" w:line="27" w:lineRule="exact"/>
        <w:rPr>
          <w:sz w:val="20"/>
          <w:szCs w:val="20"/>
          <w:color w:val="auto"/>
        </w:rPr>
      </w:pPr>
    </w:p>
    <w:p>
      <w:pPr>
        <w:ind w:left="300" w:hanging="250"/>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short-term borrowings under our commercial paper program (net of related discount on issuance);</w:t>
      </w:r>
    </w:p>
    <w:p>
      <w:pPr>
        <w:spacing w:after="0" w:line="9" w:lineRule="exact"/>
        <w:rPr>
          <w:rFonts w:ascii="Times New Roman" w:cs="Times New Roman" w:eastAsia="Times New Roman" w:hAnsi="Times New Roman"/>
          <w:sz w:val="18"/>
          <w:szCs w:val="18"/>
          <w:color w:val="auto"/>
        </w:rPr>
      </w:pPr>
    </w:p>
    <w:p>
      <w:pPr>
        <w:jc w:val="both"/>
        <w:ind w:left="60" w:right="59" w:hanging="10"/>
        <w:spacing w:after="0" w:line="252" w:lineRule="auto"/>
        <w:tabs>
          <w:tab w:leader="none" w:pos="3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million of tax-exempt bonds with term interest rate periods that expire within the next 12 months, which is prior to their scheduled maturities; (iii) $500 million of 2.4% senior notes that mature in May 2023 and (iv) $226 million of other debt with scheduled maturities within the next 12 months, including $111 million of tax-exempt bonds. As of June 30, 2022, we have classified $2.1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$231 million of debt maturing in the next 12 months is classified as current obligations.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Additionally, as of June 30, 2022, we also had $54 million of variable-rate tax-exempt bonds with long-term scheduled maturities which are supported by letters of credit under our $3.5 billion revolving credit facility. The interest rates on our variable-rate tax-exempt bonds reset on a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Condensed Consolidated Balance Sheet.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$3.5 Billion Revolving Credit Facility — </w:t>
      </w:r>
      <w:r>
        <w:rPr>
          <w:rFonts w:ascii="Times New Roman" w:cs="Times New Roman" w:eastAsia="Times New Roman" w:hAnsi="Times New Roman"/>
          <w:sz w:val="17"/>
          <w:szCs w:val="17"/>
          <w:color w:val="auto"/>
        </w:rPr>
        <w:t>In May 2022, we amended and restated our $3.5 billion U.S. and Canadian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revolving credit facility extending the term through May 2027.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w:t>
      </w:r>
    </w:p>
    <w:p>
      <w:pPr>
        <w:spacing w:after="0" w:line="17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$3.5 billion revolving credit facility provides us with credit capacity to be used for cash borrowings, to support letters of credit or to support our commercial paper program. The interest rates we pay on outstanding U.S. or Canadian loans are generally based on a secured overnight financing rate administered by the Federal Reserve Bank of New York (“SOFR”) or the Canadian Dollar Offered Rate (“CDOR”), respectively, plus a spread depending on WMI’s senior public debt rating assigned by Moody’s Investors Service, Inc. and Standard and Poor’s Global Ratings. The spread above SOFR or CDOR can range from 0.585% to 1.025% per annum, plus a credit adjustment spread of 0.10% per annum on SOFR-based rates (the “SOFR Credit Adjustment Spread”) to account for the transition from the use of LIBOR to SOFR in such rate calculations. We also pay certain other fees set forth in the $3.5 billion revolving credit facility agreement, including a facility fee based on the aggregate commitment, regardless of usage. As of June 30, 2022, we had no outstanding borrowings under this facility. We had $166 million of letters of credit issued and $1.0 billion of outstanding borrowings (net of related discount on issuance) under our commercial paper program, both supported by the facility, leaving unused and available credit capacity of $2.3 billion as of June 30, 2022.</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the $3.5 billion revolving credit facility, and as a mechanism to align our environmental, social and governance (“ESG”) focus and strategy across external and internal stakeholders, the Company, in consultation with one or more banks selected by the Company to be the sustainability coordinator under the applicable credit agreement (the “Sustainability Coordinator”), has the ability to establish specified key performance indicators (“KPIs”) with respect to certain ESG targets of the Company and its subsidiaries. The Sustainability Coordinator, the Company and the administrative agent may amend the credit agreement, unless such amendment is objected to by banks holding more than 50% of the commitments under such credit agreement, solely for the purpose of incorporating the KPIs so that certain adjustments to the otherwise applicable fees or interest rates may be made based on our performance against the KPIs.</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$1.0 Billion, Two-Year, Term Credit Agreement — </w:t>
      </w:r>
      <w:r>
        <w:rPr>
          <w:rFonts w:ascii="Times New Roman" w:cs="Times New Roman" w:eastAsia="Times New Roman" w:hAnsi="Times New Roman"/>
          <w:sz w:val="18"/>
          <w:szCs w:val="18"/>
          <w:color w:val="auto"/>
        </w:rPr>
        <w:t>In May 2022, we entered into a $1.0 billion, two-year, U.S.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(“Term Loan”) to be used for general corporate purposes. The interest rate we pay on our outstanding balance is generally based on SOFR, plus a spread depending on WMI’s senior public debt rating assigned by Moody’s Investors Service, Inc. and Standard and Poor’s Global Ratings. The spread above SOFR can range from 0.50% to 0.90% per annum, plus the SOFR Credit Adjustment Spread. As discussed above with respect to our $3.5 billion revolving credit facility, the Term Loan also permits the Company to pursue an amendment of the credit agreement to incorporate certain ESG KPIs and related adjustments to applicable fees or interest rates based on performance against the KPIs. As of June 30, 2022, we had $1.0 billion of outstanding borrowings under our Term Loan. WM Holdings also guarantees all of the obligations under the Term Loan.</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June 30, 2022, we had $1.0 billion of outstanding borrowings (net of related discount on issuance) under our commercial paper program.</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June 30, 2022, we had utilized $767 million of other uncommitted letter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with terms maturing through June 2023.</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six months ended June 30, 2022, we made cash repayments of $4.1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partially offset by $3.4 billion of cash borrowings (net of related discount on issuance).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Term Loan </w:t>
      </w:r>
      <w:r>
        <w:rPr>
          <w:rFonts w:ascii="Times New Roman" w:cs="Times New Roman" w:eastAsia="Times New Roman" w:hAnsi="Times New Roman"/>
          <w:sz w:val="18"/>
          <w:szCs w:val="18"/>
          <w:color w:val="auto"/>
        </w:rPr>
        <w:t>— In May 2022, we borrowed $1.0 billion under our Term Loan to be used for general corporate purposes.</w:t>
      </w:r>
    </w:p>
    <w:p>
      <w:pPr>
        <w:spacing w:after="0" w:line="225" w:lineRule="exact"/>
        <w:rPr>
          <w:sz w:val="20"/>
          <w:szCs w:val="20"/>
          <w:color w:val="auto"/>
        </w:rPr>
      </w:pPr>
    </w:p>
    <w:p>
      <w:pPr>
        <w:jc w:val="both"/>
        <w:ind w:left="60" w:right="59" w:firstLine="324"/>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In May 2022, WMI issued $1.0 billion of 4.15% senior notes due April 15, 2032,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$992 million. We used the net proceeds to redeem our $500 million of 2.9% senior notes due September 2022 in advance of their scheduled maturity, to repay a portion of outstanding borrowings under our commercial paper program and for general corporate purposes.</w:t>
      </w:r>
    </w:p>
    <w:p>
      <w:pPr>
        <w:spacing w:after="0" w:line="17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w:t>
      </w:r>
      <w:r>
        <w:rPr>
          <w:rFonts w:ascii="Times New Roman" w:cs="Times New Roman" w:eastAsia="Times New Roman" w:hAnsi="Times New Roman"/>
          <w:sz w:val="18"/>
          <w:szCs w:val="18"/>
          <w:color w:val="auto"/>
        </w:rPr>
        <w:t>— The increase in our financing leases and other debt obligations during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is primarily related to our new federal low-income housing investment discussed in Note 4, which increased our debt obligations by $183 million. The increase in our debt obligations was partially offset by $42 million of cash repayments of debt at maturity.</w:t>
      </w:r>
    </w:p>
    <w:p>
      <w:pPr>
        <w:spacing w:after="0" w:line="178"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24.3% and 23.9% for the three and six months ended June 30, 2022, respectively, compared with 22.9% and 22.8% for the three and six months ended June 30, 2021, respectively.</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increase in our effective income tax rate when comparing the three and six months ended June 30, 2022 and 2021 was primarily driven by an increase in pre-tax income in 2022 resulting in a decreased rate benefit from federal tax credits. We evaluate our effective income tax rate at each interim period and adjust it as facts and circumstances warrant.</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Investments Qualifying for Federal Tax Credits </w:t>
      </w:r>
      <w:r>
        <w:rPr>
          <w:rFonts w:ascii="Times New Roman" w:cs="Times New Roman" w:eastAsia="Times New Roman" w:hAnsi="Times New Roman"/>
          <w:sz w:val="18"/>
          <w:szCs w:val="18"/>
          <w:color w:val="auto"/>
        </w:rPr>
        <w:t>— We have significant financial interests in entities established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and manage low-income housing properties. In February 2022, we acquired an additional noncontrolling interest in a limited liability company established to invest in and manage low-income housing properties. Total consideration for this investment is expected to be $253 million, comprised of a $183 million note payable discussed in Note 3, an initial cash payment of $28 million and $42 million of interest payments expected to be paid over the life of the investment. At the time of the investment, we increased our investments in unconsolidated entities in our Condensed Consolidated Balance Sheet by $211 million, representing the principal balance of the note and the initial cash investment. We support the operations of these entities in exchange for a pro rata share of the tax credits they generate. The low-income housing investments qualify for federal tax credits that we expect to realize through 2033 under Section 42 or Section 45D of the Internal Revenue Code.</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and six months ended June 30, 2022, we recognized $17 million and $31 million, respectively, of net losses for these investments. We also recognized a reduction in our income tax expense for the three and six months ended June 30, 2022 of $25 million and $48 million, respectively, due to federal tax credits realized from these investments as well as the tax benefits from the pre-tax losses realized. In addition, during the three and six months ended June 30, 2022, we recognized interest expense of $4 million and $6 million, respectively, associated with our investments in low-income housing properties.</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2021, we recognized $12 million and $21 million, respectively, of net losses for these investments. We also recognized a reduction in our income tax expense for the three and six months ended June 30, 2021 of $16 million and $32 million, respectively, due to federal tax credits realized from these investments as well as the tax benefits from the pre-tax losses realized. In addition, during the three and six months ended June 30,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recognized interest expense of $3 million and $5 million, respectively, associated with our investments in low-income housing properties. See Note 12 for additional information related to these unconsolidated variable interest entities.</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 We recognized excess tax benefits related to the vesting or exercise of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awards resulting in reductions in income tax expense of $2 million and $12 million for the three and six months ended June 30, 2022, compared to $2 million and $11 million, for the comparable prior year periods.</w:t>
      </w:r>
    </w:p>
    <w:p>
      <w:pPr>
        <w:spacing w:after="0" w:line="171"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per share were computed using the following common share data (shares in millions):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auto"/>
            </w:tcBorders>
            <w:gridSpan w:val="3"/>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420.8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420.8</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422.3</w:t>
            </w:r>
          </w:p>
        </w:tc>
        <w:tc>
          <w:tcPr>
            <w:tcW w:w="0" w:type="dxa"/>
            <w:vAlign w:val="bottom"/>
          </w:tcPr>
          <w:p>
            <w:pPr>
              <w:spacing w:after="0"/>
              <w:rPr>
                <w:sz w:val="1"/>
                <w:szCs w:val="1"/>
                <w:color w:val="auto"/>
              </w:rPr>
            </w:pPr>
          </w:p>
        </w:tc>
      </w:tr>
      <w:tr>
        <w:trPr>
          <w:trHeight w:val="198"/>
        </w:trPr>
        <w:tc>
          <w:tcPr>
            <w:tcW w:w="5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issuable shares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423.6</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424.0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Condensed Consolidated Statements of Operations for net income attributable to Waste Management, Inc.</w:t>
      </w:r>
    </w:p>
    <w:p>
      <w:pPr>
        <w:spacing w:after="0" w:line="221"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 incident deductible under the related insurance policy and any amounts that exceed our insured limits. Our exposure could increase if our insurers are unable to meet their commitments on a timely basis.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WMI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June 30, 2022,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17 of our landfills. We have also agreed to indemnify certain third-party purchasers against liabilities associated with divested operations prior to such sale. We do not believe that these contingent obligations will have a material adverse effect on the Company’s financial condition, results of operations or cash flows.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$140 million higher than the $211 million recorded in the Condensed Consolidated Balance Sheet as of June 30, 2022.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October 11, 2017, the EPA issued its Record of Decision (“ROD”) with respect to the previously proposed remediation plan for the San Jacinto River Waste Pits Site in Harris County, Texas. McGinnes Industrial Maintenance Corporation (“MIMC”), a subsidiary of Waste Management of Texas, Inc., operated some of the waste pits from 1965 to 1966 and has been named as a site PRP. In 1998, WMI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and we recorded a liability for MIMC’s estimated potential share of the EPA’s proposed remedy and related costs, although allocation of responsibility among the PRPs for the proposed remedy has not been established. MIMC and International Paper Company have continued to work on a remedial design to support the EPA’s proposed remedy; however, design investigations indicate that fundamental changes are required to the proposed remedy and MIMC maintains its prior position that the remedy set forth in the ROD is not the best solution to protect the environment and public health. Due to further increases in the estimated cost of the remedy set forth in the ROD, we recorded an additional liability of $17 million as of March 31, 2022 for MIMC’s estimated potential share of such costs. As of June 30, 2022 and December 31, 2021, the recorded liability for MIMC’s estimated potential share of the EPA’s proposed remedy was $68 million and $53 million, respectively. MIMC’s ultimate liability could be materially different from current estimates and MIMC will continue to engage the EPA regarding its proposed remedy.</w:t>
      </w:r>
    </w:p>
    <w:p>
      <w:pPr>
        <w:spacing w:after="0" w:line="19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participate in the IRS’s Compliance Assurance Process, which means we work with the 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year towards resolving any material issues prior to the filing of our annual tax return. Any unresolved issues as of the tax return filing date are subject to routine examination procedures. We are currently in the post-examination and post-appeals phase of the IRS audit for the 2017 tax year and considering the options available to resolve remaining disagreements with the IRS. In addition, we are in the examination phase of IRS audits for the 2021 and 2022 tax years and expect these audits to be completed within the next 21 months. We are also currently undergoing audits by various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72"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Company finalized the assessment of our segments during the fourth quarter of 2021. The East and West Tiers are presented in this report and constitute our existing Solid Waste business. This did not result in a change in our reporting units for purposes of evaluating our goodwill. Reclassifications have been made to our prior period consolidated financial information to conform to the current year presentation.</w:t>
      </w:r>
    </w:p>
    <w:p>
      <w:pPr>
        <w:spacing w:after="0" w:line="18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operating segments not evaluated and overseen through our East and West Tiers are presented herein as “Other” as these operating segments do not meet the criteria to be aggregated with other operating segments and do not meet the quantitative criteria to be separately reported.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Revenues(d)</w:t>
            </w: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Operations(e)</w:t>
            </w: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East Tier</w:t>
            </w:r>
          </w:p>
        </w:tc>
        <w:tc>
          <w:tcPr>
            <w:tcW w:w="22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Tier</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Solid Waste (a)</w:t>
            </w: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(c)</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3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East Tier</w:t>
            </w:r>
          </w:p>
        </w:tc>
        <w:tc>
          <w:tcPr>
            <w:tcW w:w="22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Tier</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Solid Waste (a)</w:t>
            </w: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(c)</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7"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3"/>
                <w:szCs w:val="13"/>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72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Revenues(d)</w:t>
            </w: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Operations(e)</w:t>
            </w:r>
          </w:p>
        </w:tc>
      </w:tr>
      <w:tr>
        <w:trPr>
          <w:trHeight w:val="156"/>
        </w:trPr>
        <w:tc>
          <w:tcPr>
            <w:tcW w:w="538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East Tier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2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Tier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09"/>
        </w:trPr>
        <w:tc>
          <w:tcPr>
            <w:tcW w:w="20" w:type="dxa"/>
            <w:vAlign w:val="bottom"/>
          </w:tcPr>
          <w:p>
            <w:pPr>
              <w:spacing w:after="0"/>
              <w:rPr>
                <w:sz w:val="18"/>
                <w:szCs w:val="18"/>
                <w:color w:val="auto"/>
              </w:rPr>
            </w:pPr>
          </w:p>
        </w:tc>
        <w:tc>
          <w:tcPr>
            <w:tcW w:w="5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Solid Waste (a)</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16"/>
        </w:trPr>
        <w:tc>
          <w:tcPr>
            <w:tcW w:w="5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16"/>
        </w:trPr>
        <w:tc>
          <w:tcPr>
            <w:tcW w:w="5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49"/>
        </w:trPr>
        <w:tc>
          <w:tcPr>
            <w:tcW w:w="20" w:type="dxa"/>
            <w:vAlign w:val="bottom"/>
            <w:tcBorders>
              <w:bottom w:val="single" w:sz="8" w:color="CCEEFF"/>
            </w:tcBorders>
          </w:tcPr>
          <w:p>
            <w:pPr>
              <w:spacing w:after="0"/>
              <w:rPr>
                <w:sz w:val="21"/>
                <w:szCs w:val="21"/>
                <w:color w:val="auto"/>
              </w:rPr>
            </w:pPr>
          </w:p>
        </w:tc>
        <w:tc>
          <w:tcPr>
            <w:tcW w:w="53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197"/>
        </w:trPr>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East Tier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2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Tier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09"/>
        </w:trPr>
        <w:tc>
          <w:tcPr>
            <w:tcW w:w="20" w:type="dxa"/>
            <w:vAlign w:val="bottom"/>
          </w:tcPr>
          <w:p>
            <w:pPr>
              <w:spacing w:after="0"/>
              <w:rPr>
                <w:sz w:val="18"/>
                <w:szCs w:val="18"/>
                <w:color w:val="auto"/>
              </w:rPr>
            </w:pPr>
          </w:p>
        </w:tc>
        <w:tc>
          <w:tcPr>
            <w:tcW w:w="5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Solid Waste (a)</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16"/>
        </w:trPr>
        <w:tc>
          <w:tcPr>
            <w:tcW w:w="5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5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09"/>
        </w:trPr>
        <w:tc>
          <w:tcPr>
            <w:tcW w:w="20" w:type="dxa"/>
            <w:vAlign w:val="bottom"/>
          </w:tcPr>
          <w:p>
            <w:pPr>
              <w:spacing w:after="0"/>
              <w:rPr>
                <w:sz w:val="18"/>
                <w:szCs w:val="18"/>
                <w:color w:val="auto"/>
              </w:rPr>
            </w:pPr>
          </w:p>
        </w:tc>
        <w:tc>
          <w:tcPr>
            <w:tcW w:w="5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71" w:lineRule="exact"/>
        <w:rPr>
          <w:rFonts w:ascii="Times New Roman" w:cs="Times New Roman" w:eastAsia="Times New Roman" w:hAnsi="Times New Roman"/>
          <w:sz w:val="18"/>
          <w:szCs w:val="18"/>
          <w:color w:val="auto"/>
        </w:rPr>
      </w:pPr>
    </w:p>
    <w:p>
      <w:pPr>
        <w:jc w:val="both"/>
        <w:ind w:left="3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 our Solid Waste business increased primarily due to revenue growth in our collection and disposal businesses driven by both yield and volume. These increases were partially offset by inflationary cost pressures and labor cost pressure from frontline employee wage adjustments, increased hiring driving up training costs and higher overtime due to driver shortages and volume growth.</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54"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 elements of our Strategic Business Solutions (“WMSBS”) business that are not included in the operations of our reportable segments; (ii) elements of our landfill gas-to-energy operations managed by our WM Renewable Energy business and not included in the operations of our reportable segments; (iii) elements of our third-party subcontract and administration revenues managed by our Sustainability and Environmental Solutions (“SES”) business and not included in the operations of our reportable segments; (iv) our recycling brokerage services;</w:t>
      </w:r>
    </w:p>
    <w:p>
      <w:pPr>
        <w:spacing w:after="0" w:line="3" w:lineRule="exact"/>
        <w:rPr>
          <w:rFonts w:ascii="Times New Roman" w:cs="Times New Roman" w:eastAsia="Times New Roman" w:hAnsi="Times New Roman"/>
          <w:sz w:val="18"/>
          <w:szCs w:val="18"/>
          <w:color w:val="auto"/>
        </w:rPr>
      </w:pPr>
    </w:p>
    <w:p>
      <w:pPr>
        <w:ind w:left="380" w:right="79" w:hanging="6"/>
        <w:spacing w:after="0" w:line="260"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expanded service offerings and solutions and (vi) the results of non-operating entities that provide financial assurance and self-insurance support for our Solid Waste business, net of intercompany activity.</w:t>
      </w:r>
    </w:p>
    <w:p>
      <w:pPr>
        <w:spacing w:after="0" w:line="73"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75" w:lineRule="exact"/>
        <w:rPr>
          <w:rFonts w:ascii="Times New Roman" w:cs="Times New Roman" w:eastAsia="Times New Roman" w:hAnsi="Times New Roman"/>
          <w:sz w:val="18"/>
          <w:szCs w:val="18"/>
          <w:color w:val="auto"/>
        </w:rPr>
      </w:pPr>
    </w:p>
    <w:p>
      <w:pPr>
        <w:jc w:val="both"/>
        <w:ind w:left="380" w:right="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income from operations from our Corporate and Other segment was primarily driven by increased costs for (i) labor, particularly due to higher incentive compensation costs and merit increases; (ii) strategic investments in our digital platform and (iii) investments in our sustainability initiatives. The impact of these higher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80" w:right="59"/>
        <w:spacing w:after="0" w:line="282" w:lineRule="auto"/>
        <w:rPr>
          <w:sz w:val="20"/>
          <w:szCs w:val="20"/>
          <w:color w:val="auto"/>
        </w:rPr>
      </w:pPr>
      <w:r>
        <w:rPr>
          <w:rFonts w:ascii="Times New Roman" w:cs="Times New Roman" w:eastAsia="Times New Roman" w:hAnsi="Times New Roman"/>
          <w:sz w:val="18"/>
          <w:szCs w:val="18"/>
          <w:color w:val="auto"/>
        </w:rPr>
        <w:t>costs was partially offset by lower integration costs related to our acquisition of Advanced Disposal and the impact of adjustments from closure and post- closure activity at our closed landfills in the prior year periods.</w:t>
      </w:r>
    </w:p>
    <w:p>
      <w:pPr>
        <w:spacing w:after="0" w:line="54" w:lineRule="exact"/>
        <w:rPr>
          <w:sz w:val="20"/>
          <w:szCs w:val="20"/>
          <w:color w:val="auto"/>
        </w:rPr>
      </w:pPr>
    </w:p>
    <w:p>
      <w:pPr>
        <w:jc w:val="both"/>
        <w:ind w:left="380" w:right="7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we discontinued certain allocations from our Corporate and Other segment to our Solid Waste operating segments and Other segment. Reclassifications have been made to our prior period information for comparability purposes.</w:t>
      </w:r>
    </w:p>
    <w:p>
      <w:pPr>
        <w:spacing w:after="0" w:line="6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operating revenues from our major lines of business are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2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138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24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Recycling</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(b)</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10"/>
        </w:trPr>
        <w:tc>
          <w:tcPr>
            <w:tcW w:w="5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r>
      <w:tr>
        <w:trPr>
          <w:trHeight w:val="20"/>
        </w:trPr>
        <w:tc>
          <w:tcPr>
            <w:tcW w:w="2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54"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line of business includes (i) certain services provided by our WMSBS business; (ii) our landfill gas to energy operations managed by our WM Renewable Energy business; (iii) certain services within our SES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within this report.</w:t>
      </w:r>
    </w:p>
    <w:p>
      <w:pPr>
        <w:spacing w:after="0" w:line="5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events can significantly affect the operating results of the geographic areas affected. 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revenues through additional work for a limited time, due to significant start-up costs and other factors, such revenue can generate earnings at comparatively lower margins.</w:t>
      </w:r>
    </w:p>
    <w:p>
      <w:pPr>
        <w:spacing w:after="0" w:line="158" w:lineRule="exact"/>
        <w:rPr>
          <w:sz w:val="20"/>
          <w:szCs w:val="20"/>
          <w:color w:val="auto"/>
        </w:rPr>
      </w:pPr>
    </w:p>
    <w:p>
      <w:pPr>
        <w:ind w:left="420" w:hanging="370"/>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 Asset Impairments and Unusual Items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recognized a $17 million charge in the first quarter in our Corporate and Other segment to adjust an indirect wholly-owned subsidiary’s estimated potential share of the liability for a proposed environmental remediation plan at a closed site, as discussed in Note 6.</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2021, we recognized net charges of $17 million in the first quarter consisting of (i) a $19 million charge pertaining to reserves for loss contingencies in our Corporate and Other segment and (ii) $6 million of asset impairment charges primarily related to our WM Renewable Energy business within our Other segment, which were partially offset by an $8 million gain from divestitures of certain ancillary operations in our Other segment.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4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of tax expense (benefit) of $0, $(7), $0 and $0,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 net of tax (expense) benefit of $(1), $0, $0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$0, respectively</w:t>
            </w: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Common Stock Repurchase Program</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2021, we executed an accelerated share repurchase (“ASR”) agreement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the first quarter of 2022, we entered into an ASR agreement to repurchase $250 million of our common stock. At the beginning of the repurchase period, we delivered $250 million cash and received 1.4 million shares based on a stock price of $146.43. The ASR agreement completed in April 2022, at which time we received 0.3 million additional shares based on a final weighted average price of $153.14.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the second quarter of 2022, we entered into an ASR agreement to repurchase $250 million of our common stock. We delivered $250 million cash and received a total of 1.6 million shares based on a final weighted average price of $154.73. In June 2022, after the completion of the ASR agreement, we repurchased 0.2 million shares of our common stock in open market transactions in compliance with Rule 10b5-1 and Rule 10b-18 of the Exchange Act for $24 million, inclusive of per-share commissions, at a weighted average price of $146.74, of which $4 million was paid in July 2022.</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has authorization for $976 million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8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 and money market funds (a)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(b)</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unobservable inputs (Level 3):</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Redeemable preferred stock (c)</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6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2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2022 is primarily due to proceeds from the $1.0 billion Term Loan executed in May 2022. See Note 3 for additional information.</w:t>
      </w:r>
    </w:p>
    <w:p>
      <w:pPr>
        <w:spacing w:after="0" w:line="5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available-for-sale securities primarily relate to debt securities with maturities over the next eight years.</w:t>
      </w:r>
    </w:p>
    <w:p>
      <w:pPr>
        <w:spacing w:after="0" w:line="117"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which is classified as an available-for-sale debt security, has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8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8 for information related to our nonrecurring fair value measurements and the impact of impairments.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the carrying value of our debt was $14.3 billion and $13.4 billion, respectively. The estimated fair value of our debt was approximately $13.3 billion and $14.1 billion as of June 30, 2022 and December 31, 2021, respectively. The decrease in the fair value of debt is primarily related to increases in current market rates of our senior notes.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could realize in a current market exchange. The use of different assumptions or estimation methodologies could have a material effect on the estimated fair values. The fair value estimates are based on Level 2 inputs of the fair value hierarchy available as of June 30, 2022 and December 31, 2021. These amounts have not been revalued since those dates, and current estimates of fair value could differ significantly from the amounts presented.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Following is a description of our financial interests in unconsolidated and consolidated variable interest entities that we consider significant: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$356 million and $178 million as of June 30, 2022 and December 31, 2021, respectively. The debt balance related to our investments in low-income housing properties was $321 million and $156 million as of June 30, 2022 and December 31, 2021, respectively. Additional information related to these investments is discussed in Note 4.</w:t>
      </w: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$94 million and $110 million as of June 30, 2022 and December 31, 2021, respectively.</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accounts in our Condensed Consolidated Balance Sheets. Unrealized gains and losses on available-for-sale securities held by these trusts are recorded as a component of accumulated other comprehensive income (loss). These trusts had a fair value of $114 million and $117 million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2" w:name="page23"/>
    <w:bookmarkEnd w:id="22"/>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2021.</w:t>
      </w:r>
    </w:p>
    <w:p>
      <w:pPr>
        <w:spacing w:after="0" w:line="180" w:lineRule="exact"/>
        <w:rPr>
          <w:sz w:val="20"/>
          <w:szCs w:val="20"/>
          <w:color w:val="auto"/>
        </w:rPr>
      </w:pPr>
    </w:p>
    <w:p>
      <w:pPr>
        <w:jc w:val="both"/>
        <w:ind w:left="60" w:right="59" w:firstLine="38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 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consummate and integrate acquisitions; failure to obtain the results anticipated from acquisitions;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changes in wage and labor related regulations; significant storms and destructive climate events; public health risk and other impacts of COVID-19 or similar pandemic conditions, including related regulations, resulting in increased costs and social, labor and commercial disruption; macroeconomic pressures and market disruption resulting in labor, supply chain and transportation constraints and inflationary cost pressure; increased competition; pricing actions; commodity price fluctuations; impacts from Russia’s invasion of Ukraine and the resulting geopolitical conflict and international response, including increased risk of cyber incidents and exacerbation of market disruption, inflationary cost pressure and changes in commodity prices, fuel and other energy costs;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and human capital management system; failure to prevent, detect and address cybersecurity incidents or comply with privacy regulations; negative outcomes of litigation or governmental proceedings; decisions or developments that result in impairment charges and other risks discussed in our filings with the SEC, including Part I, Item 1A of our Annual Report on Form 10-K for the year ended December 31, 2021. We assume no obligation to update any forward-looking statement, including financial estimates and forecasts, whether as a result of future events, circumstances or developments or otherwise.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We are also a leading developer, operator and owner of landfill gas-to-energy facilities in the U.S. and Canada that produce renewable electricity and renewable natural gas, which is a significant source of fuel for our natural gas fleet. Additionally, we are a leading recycler in the U.S. and Canada, handling materials that include paper, cardboard, glass, plastic and metal. Our “Solid Waste” business is operated and managed locally by our subsidiaries that focus on distinct geographic areas and provide collection, transfer, disposal, and recycling and resource recovery services. Consistent with our Company’s long-standing commitment to sustainability and environmental stewardship, we published our 2021 Sustainability Report, which details our people-first commitment to help make the communities in which we live and work safe, resilient,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3" w:name="page24"/>
    <w:bookmarkEnd w:id="23"/>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sustainable. The information in this report can be found at https://sustainability.wm.com but it does not constitute a part of, and is not incorporated by reference into, this Quarterly Report on Form 10-Q.</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described under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below.</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As North America’s leading provider of comprehensive environmental solutions, sustainability and environmental stewardship is embedded in all that we do. We have enabled a people-first, technology-led focus to drive our mission to maximize resource value, while minimizing environmental impact, so that both our economy and our environment can thrive.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and investing in automation to improve processes and drive operational efficiency will yield an attractive total cost structure and enhanced service quality. While we continue to improve existing diversion technologies, such as through investments in our recycling operations, we are also evaluating and pursuing emerging diversion technologies that may generate additional value.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the leading waste management environmental services provider in North America, we are taking big, bold steps to catalyze positive change – change that will impact our Company as well as the communities we serve. Our sustainability agenda includes expanding recycling and focuses on meeting or exceeding specific 2025 and 2038 sustainability goals around people, customers, the environment, and community, which align with eight of the United Nations Sustainable Development Goals.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4" w:name="page25"/>
    <w:bookmarkEnd w:id="24"/>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including the impact of COVID-19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a heightened pace of inflation. Volume changes can fluctuate dramatically by line of business and volume changes in higher margin businesses, such as what we saw with COVID-19, can impact key financial metrics. We must dynamically manage our cost structure in response to volume changes and cost inflation.</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customer service digitalization initiative to change the way we interact with our customers. Enhancements made through this initiative are intended to seamlessly and digitally connect all the Company’s functions required to service our customers in order to provide the best experience and service. In late 2021, we began to execute on the next phase of this technology enablement strategy to automate and optimize certain elements of our service delivery model. This next phase will prioritize reduced labor dependency on certain high-turnover jobs, particularly in customer experience, recycling and residential collection. We continue to make these investments to further digitalize our customer self-service and implement technologies to further enhance the safety, reliability and efficiency of our collection operations. Additionally, in early 2022, we implemented our new enterprise resource planning system that will contribute to operational and service excellence by empowering our people through a modern, simplified and connected finance and accounting platform.</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Certain macroeconomic pressures and market disruption, driven in part by the COVID-19 pandemic and other external events and conditions, intensified during the second half of 2021 and have continued through the first half of 2022. The constrained labor market has resulted in increased costs for wage adjustments, overtime hours and training new hires to address frontline employee turnover, increased volume, and operational challenges. The COVID-19 pandemic and other external events and conditions have also contributed to significant global supply chain disruption and inflationary pressure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 Additionally, we are currently experiencing margin pressures from commodity-driven business impacts, particularly from higher fuel prices and recycling brokerage rebates. The extent and duration of the impact of these labor market, supply chain and transportation challenges are subject to numerous external factors beyond our control, including broader macroeconomic conditions; size, location, and qualifications of the labor pool; behavioral changes; wage and price structures; adoption of new or revised regulations; future resurgence in pandemic conditions and restrictions and geopolitical conflicts and responses. As costs increase, we focus on our strategic pricing efforts, as well as operating efficiencies and cost controls, to maintain and grow our earnings and cash flow. With increased pressure from the strong economic recovery, particularly on labor, we remain focused on putting our people first to ensure that they are well positioned to execute our daily operations diligently and safely. We are encouraged by our results in 2022 and remain focused on delivering outstanding customer service, managing our variable costs with changing volumes and investing in technology that will enhance our customers’ experience and reduce our cost to serve.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of 2022, we delivered strong revenue, income from operations and operating cash flows as we continued to experience yield and volume improvement in our commercial and industrial collection businesses and at our landfills. We remain diligent in the execution of our disciplined pricing programs to effectively overcome inflationary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5" w:name="page26"/>
    <w:bookmarkEnd w:id="25"/>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cost pressures, and we remain focused on driving operating efficiencies and reducing discretionary spend. We continue to invest in our people through market wage adjustments, investments in our digital platform and training for new team members. We also continue to make investments in recycling automation technology and customer service digitalization to enhance our operational efficiency and improve labor productivity for all lines of business. During the second quarter of 2022, we allocated $550 million of available cash to capital expenditures, both as a continuing investment in our traditional solid waste business and to support growth in our sustainability asset network. We also allocated $539 million to our shareholders through dividends and common stock repurchases.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financial results for the second quarter include:</w:t>
      </w:r>
    </w:p>
    <w:p>
      <w:pPr>
        <w:spacing w:after="0" w:line="117" w:lineRule="exact"/>
        <w:rPr>
          <w:sz w:val="20"/>
          <w:szCs w:val="20"/>
          <w:color w:val="auto"/>
        </w:rPr>
      </w:pPr>
    </w:p>
    <w:p>
      <w:pPr>
        <w:jc w:val="both"/>
        <w:ind w:left="720" w:right="7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$5,027 million, compared with $4,476 million in the prior year period, an increase of $551 million, or 12.3%. The increase is primarily attributable to (i) higher yield in our collection and disposal lines of business;</w:t>
      </w:r>
    </w:p>
    <w:p>
      <w:pPr>
        <w:ind w:left="720" w:right="79" w:firstLine="5"/>
        <w:spacing w:after="0" w:line="260" w:lineRule="auto"/>
        <w:tabs>
          <w:tab w:leader="none" w:pos="9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from our fuel surcharge program; (iii) increases in the market prices for recycling commodities we sell and (iv) volume growth;</w:t>
      </w:r>
    </w:p>
    <w:p>
      <w:pPr>
        <w:spacing w:after="0" w:line="73"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$3,142 million, or 62.5% of revenues, compared with $2,736 million, or 61.1% of revenues, in the prior year period. The $406 million increase is primarily attributable to (i) commodity-driven business impacts, particularly from higher fuel prices and recycling brokerage rebates, which also significantly impacted our operating expense as a percentage of revenue; (ii) inflationary cost pressures and (iii) labor cost pressure from frontline employee wage adjustments, increased hiring driving up training costs and higher overtime due to driver shortages and volume growth;</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$487 million, or 9.7% of revenues, compared with $445 million, or 9.9% of revenues, in the prior year period. The $42 million increase is primarily attributable to</w:t>
      </w:r>
    </w:p>
    <w:p>
      <w:pPr>
        <w:jc w:val="both"/>
        <w:ind w:left="720" w:right="79" w:firstLine="5"/>
        <w:spacing w:after="0" w:line="255" w:lineRule="auto"/>
        <w:tabs>
          <w:tab w:leader="none" w:pos="9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from higher incentive compensation and merit increases; (ii) strategic investments in our digital platform and sustainability initiatives and related supporting technology and (iii) an increase in provision for bad debts driven by higher revenues;</w:t>
      </w:r>
    </w:p>
    <w:p>
      <w:pPr>
        <w:spacing w:after="0" w:line="7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$890 million, or 17.7% of revenues, compared with $791 million, or 17.7% of revenues, in the prior year period. The increase in the current quarter was driven by strong revenue growth allowing us to overcome cost pressures from the inflationary cost environment;</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was $587 million, or $1.41 per diluted share, compared with $351 million, or $0.83 per diluted share, in the prior year period. With the increase in income from operations, as discussed above, there was also an increase in our income tax expense impacting our net income. Additionally, the Company incurred a $220 million loss on early extinguishment of debt in the prior year period;</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$1,047 million compared with $1,043 million in the prior year period. Our net cash provided by operating activities was relatively flat when compared to the prior year period, primarily due to the effect of increased tax payments and the timing of receivable collections in the current year; and</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Free cash flow was $503 million compared with $649 million in the prior year period. The decrease in free cash flow is primarily attributable to an increase in capital spending, primarily driven by timing differences in our fixed asset purchases, as well as our intentional investment in sustainability and growth in recycling and renewable energy projects. Free cash flow is a non-GAAP measure of liquidity. Refer to </w:t>
      </w: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Solid Waste business subsidiaries through our East and West Tiers. We also provide additional services that are not managed through our Solid Waste business, including both our Strategic Business Solutions (“WMSBS”) and Sustainability and Environmental Solutions (“SES”) businesses,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color w:val="auto"/>
        </w:rPr>
        <w:t>recycling brokerage services, landfill gas-to-energy services and certain other expanded service offerings and solutions.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mix of operating revenues from our major lines of business is reflected in the table below (in millions):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3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Recycling</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(b)</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54"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line of business includes (i) certain services provided by our WMSBS business; (ii) our landfill gas to energy operations managed by our WM Renewable Energy business; (iii) certain services within our SES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within this report.</w:t>
      </w:r>
    </w:p>
    <w:p>
      <w:pPr>
        <w:spacing w:after="0" w:line="16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changes in revenues and average yield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2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2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left="6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June 30, 2022 vs. 2021</w:t>
            </w: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June 30, 2022 vs. 2021</w:t>
            </w: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8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60" w:type="dxa"/>
            <w:vAlign w:val="bottom"/>
          </w:tcPr>
          <w:p>
            <w:pPr>
              <w:spacing w:after="0"/>
              <w:rPr>
                <w:sz w:val="12"/>
                <w:szCs w:val="12"/>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660" w:type="dxa"/>
            <w:vAlign w:val="bottom"/>
            <w:gridSpan w:val="4"/>
            <w:vMerge w:val="continue"/>
          </w:tcPr>
          <w:p>
            <w:pPr>
              <w:spacing w:after="0"/>
              <w:rPr>
                <w:sz w:val="15"/>
                <w:szCs w:val="15"/>
                <w:color w:val="auto"/>
              </w:rPr>
            </w:pPr>
          </w:p>
        </w:tc>
        <w:tc>
          <w:tcPr>
            <w:tcW w:w="17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Recycling (c)</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Fuel surcharges and</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w:t>
            </w: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average yield (e)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Volume (d)</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growth</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4"/>
                <w:szCs w:val="24"/>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1,100</w:t>
            </w:r>
          </w:p>
        </w:tc>
        <w:tc>
          <w:tcPr>
            <w:tcW w:w="1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7" w:name="page28"/>
    <w:bookmarkEnd w:id="27"/>
    <w:p>
      <w:pPr>
        <w:ind w:left="380" w:right="79" w:hanging="330"/>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and changes in fees.</w:t>
      </w:r>
    </w:p>
    <w:p>
      <w:pPr>
        <w:spacing w:after="0" w:line="11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2021, includes changes in our revenue attributable to our WM Renewable Energy business from yield, which is included in Fuel Surcharges and Other, and Volume. We have revised our prior year results to conform with the current year presentation.</w:t>
      </w:r>
    </w:p>
    <w:p>
      <w:pPr>
        <w:spacing w:after="0" w:line="6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provides further details about our period-to-period change in revenues: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 from the pricing activities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240" w:type="dxa"/>
            <w:vAlign w:val="bottom"/>
          </w:tcPr>
          <w:p>
            <w:pPr>
              <w:spacing w:after="0"/>
              <w:rPr>
                <w:sz w:val="13"/>
                <w:szCs w:val="13"/>
                <w:color w:val="auto"/>
              </w:rPr>
            </w:pPr>
          </w:p>
        </w:tc>
        <w:tc>
          <w:tcPr>
            <w:tcW w:w="2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160" w:type="dxa"/>
            <w:vAlign w:val="bottom"/>
          </w:tcPr>
          <w:p>
            <w:pPr>
              <w:spacing w:after="0"/>
              <w:rPr>
                <w:sz w:val="13"/>
                <w:szCs w:val="13"/>
                <w:color w:val="auto"/>
              </w:rPr>
            </w:pPr>
          </w:p>
        </w:tc>
      </w:tr>
      <w:tr>
        <w:trPr>
          <w:trHeight w:val="148"/>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3"/>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2"/>
                <w:szCs w:val="12"/>
                <w:color w:val="auto"/>
              </w:rPr>
            </w:pPr>
          </w:p>
        </w:tc>
      </w:tr>
      <w:tr>
        <w:trPr>
          <w:trHeight w:val="173"/>
        </w:trPr>
        <w:tc>
          <w:tcPr>
            <w:tcW w:w="4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June 30, 2022 vs. 2021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June 30, 2022 vs. 2021</w:t>
            </w:r>
          </w:p>
        </w:tc>
        <w:tc>
          <w:tcPr>
            <w:tcW w:w="160" w:type="dxa"/>
            <w:vAlign w:val="bottom"/>
          </w:tcPr>
          <w:p>
            <w:pPr>
              <w:spacing w:after="0"/>
              <w:rPr>
                <w:sz w:val="15"/>
                <w:szCs w:val="15"/>
                <w:color w:val="auto"/>
              </w:rPr>
            </w:pPr>
          </w:p>
        </w:tc>
      </w:tr>
      <w:tr>
        <w:trPr>
          <w:trHeight w:val="117"/>
        </w:trPr>
        <w:tc>
          <w:tcPr>
            <w:tcW w:w="4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r>
      <w:tr>
        <w:trPr>
          <w:trHeight w:val="175"/>
        </w:trPr>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60" w:type="dxa"/>
            <w:vAlign w:val="bottom"/>
          </w:tcPr>
          <w:p>
            <w:pPr>
              <w:spacing w:after="0"/>
              <w:rPr>
                <w:sz w:val="15"/>
                <w:szCs w:val="15"/>
                <w:color w:val="auto"/>
              </w:rPr>
            </w:pPr>
          </w:p>
        </w:tc>
      </w:tr>
      <w:tr>
        <w:trPr>
          <w:trHeight w:val="173"/>
        </w:trPr>
        <w:tc>
          <w:tcPr>
            <w:tcW w:w="4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Borders>
              <w:bottom w:val="single" w:sz="8" w:color="CCEEFF"/>
            </w:tcBorders>
          </w:tcPr>
          <w:p>
            <w:pPr>
              <w:spacing w:after="0"/>
              <w:rPr>
                <w:sz w:val="15"/>
                <w:szCs w:val="15"/>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r>
      <w:tr>
        <w:trPr>
          <w:trHeight w:val="21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CEEFF"/>
            </w:tcBorders>
          </w:tcPr>
          <w:p>
            <w:pPr>
              <w:spacing w:after="0"/>
              <w:rPr>
                <w:sz w:val="18"/>
                <w:szCs w:val="18"/>
                <w:color w:val="auto"/>
              </w:rPr>
            </w:pPr>
          </w:p>
        </w:tc>
      </w:tr>
      <w:tr>
        <w:trPr>
          <w:trHeight w:val="210"/>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overall strategic pricing efforts are focused on recovering inflationary cost increases we experience in our business by increasing our average unit rate. We continue to experience strong average yield growth in our collection line of business of 7.8% and 7.3% for the three and six months ended June 30, 2022, respectively, as compared with the prior year periods, illustrating our focus on our pricing efforts in this inflationary environment. We are also continuing to see growth in our landfill business with our municipal solid waste business experiencing 5.8% and 5.9% average yield growth for the three and six months ended June 30, 2022, respectively, as compared with the prior year periods.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Recycling </w:t>
      </w:r>
      <w:r>
        <w:rPr>
          <w:rFonts w:ascii="Times New Roman" w:cs="Times New Roman" w:eastAsia="Times New Roman" w:hAnsi="Times New Roman"/>
          <w:sz w:val="18"/>
          <w:szCs w:val="18"/>
          <w:color w:val="auto"/>
        </w:rPr>
        <w:t>— Recycling revenue increased $96 million and $212 million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respectively, as compared with the prior year periods, primarily from higher market prices for recycling commodities. Strong demand for recycled materials strengthened through 2021, continuing into the first half of 2022, driven by e-commerce retailers and manufacturers committing to use more recycled content in their packaging. During the three and six months ended June 30, 2022, average market prices for recycling commodities at the Company’s facilities were approximately 30% and 40% higher, respectively, as compared to the prior year periods. The year-over-year favorable trend moderated in the second quarter of 2022 as compared with the first quarter of 2022. We currently expect the year-over-year pricing comparison to be slightly lower for the remainder of 2022 due to the strong pricing we experienced in the second half of 2021 when we saw demand for recycled materials outpacing supply.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8" w:name="page29"/>
    <w:bookmarkEnd w:id="28"/>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Fuel Surcharges and Other — </w:t>
      </w:r>
      <w:r>
        <w:rPr>
          <w:rFonts w:ascii="Times New Roman" w:cs="Times New Roman" w:eastAsia="Times New Roman" w:hAnsi="Times New Roman"/>
          <w:sz w:val="18"/>
          <w:szCs w:val="18"/>
          <w:color w:val="auto"/>
        </w:rPr>
        <w:t>These fees, which include (i) our fuel surcharge program; (ii) yield from our WM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business and (iii) other mandated fees, increased $153 million and $243 million for the three and six months ended June 30, 2022, respectively, as compared with the prior year periods. Fuel surcharge revenues are based on and fluctuate in response to changes in the national average prices for diesel fuel, and also vary with changes in our volume-based revenue activity. Revenue from our fuel surcharge program increased $129 million and $201 million for the three and six months ended June 30, 2022, respectively, as compared with the prior year periods. Market prices for diesel fuel increased approximately 70% and 60% for the three and six months ended June 30, 2022, respectively, as compared with the prior year periods. Revenue from yield growth in our WM Renewable Energy business increased $22 million and $38 million for the three and six months ended June 30, 2022, respectively, as compared with the prior year periods. This increase was primarily driven by increases in the value for electricity, renewable natural gas and environmental credits. The mandated fees are primarily related to fees and taxes assessed by various state, county and municipal government agencies at our landfills and transfer stations. These amounts have not significantly impacted the change in revenue for the three and six months ended June 30, 2022, as compared with the prior year periods.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revenues from volumes (excluding volumes from acquisitions and divestitures) increased $73 million, or 1.6%, and $217 million, or 2.5%, for the three and six months ended June 30, 2022, respectively, as compared with the prior year periods. Our collection and disposal business volumes grew 2.3% and 3.2% for the three and six months ended June 30, 2022, respectively, as compared with the prior year periods.</w:t>
      </w:r>
    </w:p>
    <w:p>
      <w:pPr>
        <w:spacing w:after="0" w:line="180" w:lineRule="exact"/>
        <w:rPr>
          <w:sz w:val="20"/>
          <w:szCs w:val="20"/>
          <w:color w:val="auto"/>
        </w:rPr>
      </w:pPr>
    </w:p>
    <w:p>
      <w:pPr>
        <w:jc w:val="both"/>
        <w:ind w:left="60" w:right="59" w:firstLine="259"/>
        <w:spacing w:after="0" w:line="256" w:lineRule="auto"/>
        <w:rPr>
          <w:sz w:val="20"/>
          <w:szCs w:val="20"/>
          <w:color w:val="auto"/>
        </w:rPr>
      </w:pPr>
      <w:r>
        <w:rPr>
          <w:rFonts w:ascii="Times New Roman" w:cs="Times New Roman" w:eastAsia="Times New Roman" w:hAnsi="Times New Roman"/>
          <w:sz w:val="18"/>
          <w:szCs w:val="18"/>
          <w:color w:val="auto"/>
        </w:rPr>
        <w:t>Recovery in our volumes from COVID-related impacts continued during the second quarter of 2022, although the pace has moderated somewhat, as volume recoveries accelerated in the prior year period. Special waste volumes at our landfills and our commercial collection business have been the most significant drivers of volume growth during the first half of 2022, primarily due to an increase in event-driven projects and organic revenue growth from improvement in the overall business environment. In addition, our WMSBS business volumes grew as a result of our continued focus on a differentiated service model for national accounts customers.</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(in millions of dollars and as a percentage of revenues):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0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$ 1,683</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$ 1,537</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operating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tcPr>
          <w:p>
            <w:pPr>
              <w:spacing w:after="0"/>
              <w:rPr>
                <w:sz w:val="18"/>
                <w:szCs w:val="18"/>
                <w:color w:val="auto"/>
              </w:rPr>
            </w:pPr>
          </w:p>
        </w:tc>
      </w:tr>
      <w:tr>
        <w:trPr>
          <w:trHeight w:val="425"/>
        </w:trPr>
        <w:tc>
          <w:tcPr>
            <w:tcW w:w="30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3,142</w:t>
            </w:r>
          </w:p>
        </w:tc>
        <w:tc>
          <w:tcPr>
            <w:tcW w:w="9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62.5 %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2,736</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61.1 %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$ 6,045</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62.4 %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$ 5,250</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primarily due to (i) commodity-driven business impacts, particularly from higher fuel prices and recycling brokerage rebates; (ii) inflationary cost pressures and (iii) labor cost pressure from frontline employee wage adjustments, increased hiring driving up training costs and higher overtime due to driver shortages and volume growth. These impacts were partially offset by our continued focus on operating efficiency and efforts to control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8"/>
          <w:szCs w:val="18"/>
          <w:color w:val="auto"/>
        </w:rPr>
        <w:t>Significant items affecting the comparison of operating expenses for the reported periods include:</w:t>
      </w:r>
    </w:p>
    <w:p>
      <w:pPr>
        <w:spacing w:after="0" w:line="223"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was largely driven by (i) merit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proactive market wage adjustments to hire and retain talent; (ii) intentional headcount growth as volume increases, particularly in our commercial and industrial collection businesses, which when combined with continued driver shortages and turnover in certain markets increased overtime and training hours and (iii) increases in health and welfare costs attributable to our intentional investment in delivering a leading benefits program for our employees and increases in medical care activity.</w:t>
      </w:r>
    </w:p>
    <w:p>
      <w:pPr>
        <w:spacing w:after="0" w:line="182"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was largely driven by (i) increased disposal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at third-party disposal sites; (ii) inflationary cost increases, which includes higher fuel, from our third-party haulers and (iii) increased commercial and industrial collection volumes.</w:t>
      </w:r>
    </w:p>
    <w:p>
      <w:pPr>
        <w:spacing w:after="0" w:line="17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was largely driven by (i) inflationary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for parts, supplies and third-party services; (ii) additional fleet maintenance driven by supply chain constraints which have delayed deliveries of new trucks; (iii) labor cost increases for our technicians, including higher overtime;</w:t>
      </w:r>
    </w:p>
    <w:p>
      <w:pPr>
        <w:spacing w:after="0" w:line="1" w:lineRule="exact"/>
        <w:rPr>
          <w:sz w:val="20"/>
          <w:szCs w:val="20"/>
          <w:color w:val="auto"/>
        </w:rPr>
      </w:pPr>
    </w:p>
    <w:p>
      <w:pPr>
        <w:jc w:val="both"/>
        <w:ind w:left="60" w:right="59" w:hanging="10"/>
        <w:spacing w:after="0" w:line="255" w:lineRule="auto"/>
        <w:tabs>
          <w:tab w:leader="none" w:pos="3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container repairs driven by volume increases in our commercial and industrial collection businesses and delays in normal course capital expenditures for steel containers due to both steel costs and supply chain constraints and (v) commercial and industrial collection volume increases.</w:t>
      </w:r>
    </w:p>
    <w:p>
      <w:pPr>
        <w:spacing w:after="0" w:line="18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was largely driven by (i) inflationary cost increases,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particularly for fuel and labor costs from third-party haulers and (ii) an increase in volumes in our WMSBS business, which relies more extensively on subcontracted hauling than our collection and disposal business.</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increase in cost of goods sold was primarily driven by the approximate 30% and 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recycling commodity prices during three and six months ended June 30, 2022, respectively, as compared to the prior year periods.</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increase in fuel costs was primarily due to increases in market diesel and natural gas fuel prices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June 30, 2022, respectively, as compared to the prior year periods. This increase is also due to the cessation of federal natural gas fuel tax credits received in 2021 that have yet to be extended into 2022.</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 The increase in disposal and franchise fees and taxes was primarily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higher franchise fees paid to certain municipalities where we operate and overall rate increases in our fees and taxes paid on our volumes.</w:t>
      </w:r>
    </w:p>
    <w:p>
      <w:pPr>
        <w:spacing w:after="0" w:line="17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Risk management costs increased for three and six months ended June 30, 2022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prior year periods, primarily due to inflation in premiums. The six months ended June 30, 2022 was also impacted by an increase in claims costs due to unfavorable cost development on a limited population of severe cases during the first quarter of 2022.</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Other operating cost increases were primarily due to (i) inflationary cost pressures; (ii) a favorable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in the second quarter of 2021; (iii) higher equipment rental costs attributable, in part, to increased volumes and supply chain constraints slowing normal course fleet and equipment orders and (iv) an increase in business travel in 2022.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0" w:name="page31"/>
    <w:bookmarkEnd w:id="3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(in millions of dollars and as a percentage of revenues):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r>
      <w:tr>
        <w:trPr>
          <w:trHeight w:val="216"/>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tcPr>
          <w:p>
            <w:pPr>
              <w:spacing w:after="0"/>
              <w:rPr>
                <w:sz w:val="18"/>
                <w:szCs w:val="18"/>
                <w:color w:val="auto"/>
              </w:rPr>
            </w:pPr>
          </w:p>
        </w:tc>
      </w:tr>
      <w:tr>
        <w:trPr>
          <w:trHeight w:val="237"/>
        </w:trPr>
        <w:tc>
          <w:tcPr>
            <w:tcW w:w="3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9.7 %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$ 445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have increased primarily due to (i) increased labor costs from higher incentive compensation costs and merit increases; (ii) strategic investments in our digital platform and sustainability initiatives and related supporting technology and (iii) an increase in provision for bad debts. Although our costs increased, the significant revenue increases in our high-margin businesses, which include our landfill and commercial and industrial collection businesses, positioned us to reduce our overall selling, general and administrative expenses as a percentage of revenues when compared with the prior year periods.</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for the reported periods include:</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was primarily related to (i)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costs; (ii) annual merit increases for our employees; (iii) increases in health and welfare costs attributable to our intentional investment in delivering a leading benefits program for our employees and increases in medical care activity. These increases are partially offset by a decline in contract labor costs related to the integration of Advanced Disposal Services, Inc. (“Advanced Disposal”).</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increase in professional fees was primarily driven by the strategic investments in our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and our sustainability initiatives. Partially offsetting these increases were lower integration costs related to our acquisition of Advanced Disposal.</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 The increase in provision for bad debts is primarily related to our increased revenue.</w:t>
      </w:r>
    </w:p>
    <w:p>
      <w:pPr>
        <w:spacing w:after="0" w:line="225"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The increase in other expenses was primarily driven by costs associated with an increase in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to support our strategic investments in our digital platform and an increase in business travel in 2022.</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and amortization expenses (in millions of dollars and as a percentage of revenues):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3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91"/>
        </w:trPr>
        <w:tc>
          <w:tcPr>
            <w:tcW w:w="32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Depreciation of tangible property and</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$ 279</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$ 572</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 w:type="dxa"/>
            <w:vAlign w:val="bottom"/>
          </w:tcPr>
          <w:p>
            <w:pPr>
              <w:spacing w:after="0"/>
              <w:rPr>
                <w:sz w:val="20"/>
                <w:szCs w:val="20"/>
                <w:color w:val="auto"/>
              </w:rPr>
            </w:pPr>
          </w:p>
        </w:tc>
      </w:tr>
      <w:tr>
        <w:trPr>
          <w:trHeight w:val="432"/>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landfill airspace</w:t>
            </w: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3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$ 500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11.2 %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$ 990</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0" w:type="dxa"/>
            <w:vAlign w:val="bottom"/>
          </w:tcPr>
          <w:p>
            <w:pPr>
              <w:spacing w:after="0"/>
              <w:rPr>
                <w:sz w:val="24"/>
                <w:szCs w:val="24"/>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w w:val="99"/>
              </w:rPr>
              <w:t>31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31" w:name="page32"/>
    <w:bookmarkEnd w:id="31"/>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was primarily driven by investments in capital assets to service our customers, such as heavy equipment and containers. The increase in amortization of landfill airspace was driven primarily by landfill volume increases and changes in amortization rates driven by revisions in landfill estimates, which includes changes in the anticipated timing of capping, closure and post-closure activities. The decrease in amortization of intangible assets was primarily driven by the reduction in amortization of acquired intangible assets from the acquisition of Advanced Disposal.</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we recognized a $17 million charge in the first quarter in our Corporate and Other segment to adjust an indirect wholly-owned subsidiary’s estimated potential share of the liability for a proposed environmental remediation plan at a closed site, as discussed in Note 6 to the Condensed Consolidated Financial Statements.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2021, we recognized net charges of $17 million in the first quarter consisting of (i) a $19 million charge pertaining to reserves for loss contingencies in our Corporate and Other segment and (ii) $6 million of asset impairment charges primarily related to our WM Renewable Energy business within our Other segment, which were partially offset by an $8 million gain from divestitures of certain ancillary operations in our Other segment.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00" w:type="dxa"/>
            <w:vAlign w:val="bottom"/>
          </w:tcPr>
          <w:p>
            <w:pPr>
              <w:spacing w:after="0"/>
              <w:rPr>
                <w:sz w:val="13"/>
                <w:szCs w:val="13"/>
                <w:color w:val="auto"/>
              </w:rPr>
            </w:pPr>
          </w:p>
        </w:tc>
        <w:tc>
          <w:tcPr>
            <w:tcW w:w="1780" w:type="dxa"/>
            <w:vAlign w:val="bottom"/>
            <w:gridSpan w:val="6"/>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12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2021(c)</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62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2021(c)</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$ 1,112</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Solid Waste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1,993</w:t>
            </w:r>
          </w:p>
        </w:tc>
        <w:tc>
          <w:tcPr>
            <w:tcW w:w="2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(b)</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$ 217</w:t>
            </w:r>
          </w:p>
        </w:tc>
        <w:tc>
          <w:tcPr>
            <w:tcW w:w="7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revenues</w:t>
            </w: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*Percentage change does not provide a meaningful comparison.</w:t>
      </w:r>
    </w:p>
    <w:p>
      <w:pPr>
        <w:spacing w:after="0" w:line="117" w:lineRule="exact"/>
        <w:rPr>
          <w:sz w:val="20"/>
          <w:szCs w:val="20"/>
          <w:color w:val="auto"/>
        </w:rPr>
      </w:pPr>
    </w:p>
    <w:p>
      <w:pPr>
        <w:jc w:val="both"/>
        <w:ind w:left="380" w:right="79" w:hanging="330"/>
        <w:spacing w:after="0" w:line="255"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 elements of our WMSBS business that are not included in the operations of our reportable segments; (ii) elements of our landfill gas-to-energy operations managed by our WM Renewable Energy business and not included in the operations of our reportable segments; (iii) elements of our third-party subcontract and administration revenues managed by our SES business and not included in the operations of our reportable segments; (iv) our recycling brokerage services; (v) certain other expanded service offerings and solutions and (vi) the results of non-operating entities that provide financial assurance and self-insurance support for our Solid Waste business, net of intercompany activity.</w:t>
      </w:r>
    </w:p>
    <w:p>
      <w:pPr>
        <w:spacing w:after="0" w:line="80"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we discontinued certain allocations from our Corporate and Other segment to our Solid Waste operating segments and Other segment. Reclassifications have been made to our prior period information for comparability purposes.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2" w:name="page33"/>
    <w:bookmarkEnd w:id="32"/>
    <w:p>
      <w:pPr>
        <w:ind w:left="380"/>
        <w:spacing w:after="0"/>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three and six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as compared with the prior year periods, are summarized below:</w:t>
      </w:r>
    </w:p>
    <w:p>
      <w:pPr>
        <w:spacing w:after="0" w:line="97" w:lineRule="exact"/>
        <w:rPr>
          <w:sz w:val="20"/>
          <w:szCs w:val="20"/>
          <w:color w:val="auto"/>
        </w:rPr>
      </w:pPr>
    </w:p>
    <w:p>
      <w:pPr>
        <w:jc w:val="both"/>
        <w:ind w:left="720" w:right="7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Solid Waste </w:t>
      </w:r>
      <w:r>
        <w:rPr>
          <w:rFonts w:ascii="Times New Roman" w:cs="Times New Roman" w:eastAsia="Times New Roman" w:hAnsi="Times New Roman"/>
          <w:sz w:val="18"/>
          <w:szCs w:val="18"/>
          <w:color w:val="auto"/>
        </w:rPr>
        <w:t>— Income from operations in our Solid Waste business increased primarily due to revenue growth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collection and disposal businesses driven by both yield and volume. These increases were partially offset by inflationary cost pressures and labor cost pressure from frontline employee wage adjustments, increased hiring driving up training costs and higher overtime due to driver shortages and volume growth.</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decrease in income from operations from our Corporate and Other segment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increased costs for (i) labor, particularly due to higher incentive compensation costs and merit increases; (ii) strategic investments in our digital platform and (iii) investments in our sustainability initiatives. The impact of these higher costs was partially offset by lower integration costs related to our acquisition of Advanced Disposal and the impact of adjustments from closure and post-closure activity at our closed landfills in the prior year periods.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left="60" w:right="59" w:firstLine="259"/>
        <w:spacing w:after="0" w:line="239" w:lineRule="auto"/>
        <w:rPr>
          <w:sz w:val="20"/>
          <w:szCs w:val="20"/>
          <w:color w:val="auto"/>
        </w:rPr>
      </w:pPr>
      <w:r>
        <w:rPr>
          <w:rFonts w:ascii="Times New Roman" w:cs="Times New Roman" w:eastAsia="Times New Roman" w:hAnsi="Times New Roman"/>
          <w:sz w:val="18"/>
          <w:szCs w:val="18"/>
          <w:color w:val="auto"/>
        </w:rPr>
        <w:t>Our interest expense, net was $93 million and $178 million for the three and six months ended June 30, 2022, respectively, compared to $98 million and $195 million for the three and six months ended June 30, 2021, respectively. The decrease in the first half of 2022 is primarily due to the retirement of $1.3 billion of certain high-coupon senior notes and concurrent issuance of $950 million of lower coupon senior notes in May 2021 and, to a lesser extent, the impacts that lower interest rates have had on the cost of certain of our tax-exempt debt primarily during the first quarter of 2022. In the second half of 2022, we expect that interest costs will increase compared to 2021 as a result of incremental debt issued in the second quarter of 2022 and the effect of rising interest rates primarily on borrowings under our commercial paper program and $1.0 billion, two-year, U.S. term credit agreement (“Term Loan”).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29" w:lineRule="exact"/>
        <w:rPr>
          <w:sz w:val="20"/>
          <w:szCs w:val="20"/>
          <w:color w:val="auto"/>
        </w:rPr>
      </w:pPr>
    </w:p>
    <w:p>
      <w:pPr>
        <w:jc w:val="both"/>
        <w:ind w:left="60" w:right="59" w:firstLine="259"/>
        <w:spacing w:after="0" w:line="282" w:lineRule="auto"/>
        <w:rPr>
          <w:sz w:val="20"/>
          <w:szCs w:val="20"/>
          <w:color w:val="auto"/>
        </w:rPr>
      </w:pPr>
      <w:r>
        <w:rPr>
          <w:rFonts w:ascii="Times New Roman" w:cs="Times New Roman" w:eastAsia="Times New Roman" w:hAnsi="Times New Roman"/>
          <w:sz w:val="18"/>
          <w:szCs w:val="18"/>
          <w:color w:val="auto"/>
        </w:rPr>
        <w:t>The loss on early extinguishment of debt during the three and six months ended June 30, 2022 resulting from the redemption of our $500 million 2.9% senior notes due September 2022 in advance of their maturity was immaterial.</w:t>
      </w:r>
    </w:p>
    <w:p>
      <w:pPr>
        <w:spacing w:after="0" w:line="162" w:lineRule="exact"/>
        <w:rPr>
          <w:sz w:val="20"/>
          <w:szCs w:val="20"/>
          <w:color w:val="auto"/>
        </w:rPr>
      </w:pPr>
    </w:p>
    <w:p>
      <w:pPr>
        <w:jc w:val="both"/>
        <w:ind w:left="60" w:right="59" w:firstLine="259"/>
        <w:spacing w:after="0" w:line="258" w:lineRule="auto"/>
        <w:rPr>
          <w:sz w:val="20"/>
          <w:szCs w:val="20"/>
          <w:color w:val="auto"/>
        </w:rPr>
      </w:pPr>
      <w:r>
        <w:rPr>
          <w:rFonts w:ascii="Times New Roman" w:cs="Times New Roman" w:eastAsia="Times New Roman" w:hAnsi="Times New Roman"/>
          <w:sz w:val="18"/>
          <w:szCs w:val="18"/>
          <w:color w:val="auto"/>
        </w:rPr>
        <w:t>In May 2021, WMI issued $950 million of senior notes. We used the net proceeds from the newly issued senior notes of $942 million and available cash on hand to retire $1.3 billion of certain high-coupon senior notes through a tender offer. The loss on early extinguishment of debt for the three and six months ended June 30, 2021 includes $220 million of charges related to the tender offer, including $211 million of premiums and other third-party costs and $9 million primarily related to unamortized discounts and debt issuance costs.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Losses of Unconsolidated Entities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recognized equity in net losses of unconsolidated entities of $17 million and $32 million during the three and six months ended June 30, 2022, respectively, compared to $11 million and $20 million for the three months and six months ended June 30, 2021, respectively. The losses for each period were primarily related to our noncontrolling interests in entities established to invest in and manage low-income housing properties. We generate tax benefits, including tax credits, from the losses incurred from these investments which are discussed in Note 4 to the Condensed Consolidated Financial Statements.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income tax expense was $189 million and $346 million for the three and six months ended June 30, 2022, respectively, compared to $105 million and $229 million for the three and six months ended June 30, 2021, respectively. Our effective income tax rate was 24.3% and 23.9% for the three and six months ended June 30, 2022, respectively, compared to 22.9% and 22.8% for the three and six months ended June 30,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3" w:name="page34"/>
    <w:bookmarkEnd w:id="33"/>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increase in our income tax expense and effective income tax rate when comparing the three and six months ended June 30, 2022 and 2021 was primarily driven by an increase in pre-tax income in 2022, resulting in a decreased rate benefit from federal income tax credits. See Note 4 to the Condensed Consolidated Financial Statements for more information related to income taxes.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our working capital needs,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large value of unencumbered assets and modest leverage enable it to obtain adequate financing to meet its ongoing capital, operating, strategic and other liquidity requirements.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reserves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restricted funds (a)</w:t>
            </w:r>
          </w:p>
        </w:tc>
        <w:tc>
          <w:tcPr>
            <w:tcW w:w="7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portion</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7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and December 31, 2021, $80 million of these account balances was included in other current assets in our Condensed Consolidated Balance Sheets.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at June 30, 2022 include proceeds from borrowings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 and from the May 2022 issuance of senior notes, which were partially offset by the redemption of our $500 million 2.9% senior notes due September 2022 in advance of their scheduled maturity, discussed further in Note 3 to the Condensed Consolidated Financial Statements.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As of June 30, 2022, we had approximately $2.4 billion of debt maturing within the next 12 months, including</w:t>
      </w:r>
    </w:p>
    <w:p>
      <w:pPr>
        <w:spacing w:after="0" w:line="29" w:lineRule="exact"/>
        <w:rPr>
          <w:sz w:val="20"/>
          <w:szCs w:val="20"/>
          <w:color w:val="auto"/>
        </w:rPr>
      </w:pPr>
    </w:p>
    <w:p>
      <w:pPr>
        <w:ind w:left="300" w:hanging="250"/>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short-term borrowings under our commercial paper program (net of related discount on issuance);</w:t>
      </w:r>
    </w:p>
    <w:p>
      <w:pPr>
        <w:spacing w:after="0" w:line="9" w:lineRule="exact"/>
        <w:rPr>
          <w:rFonts w:ascii="Times New Roman" w:cs="Times New Roman" w:eastAsia="Times New Roman" w:hAnsi="Times New Roman"/>
          <w:sz w:val="18"/>
          <w:szCs w:val="18"/>
          <w:color w:val="auto"/>
        </w:rPr>
      </w:pPr>
    </w:p>
    <w:p>
      <w:pPr>
        <w:jc w:val="both"/>
        <w:ind w:left="60" w:right="59" w:hanging="10"/>
        <w:spacing w:after="0" w:line="252" w:lineRule="auto"/>
        <w:tabs>
          <w:tab w:leader="none" w:pos="3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million of tax-exempt bonds with term interest rate periods that expire within the next 12 months, which is prior to their scheduled maturities; (iii) $500 million of 2.4% senior notes that mature in May 2023 and (iv) $226 million of other debt with scheduled maturities within the next 12 months, including $111 million of tax-exempt bonds. As of June 30, 2022, we have classified $2.1 billion of debt maturing in the next 12 months as long term because we have the intent and ability to refinance these borrowings on a long-term basis as supported by the forecasted available capacity under our $3.5 billion long-term U.S. and Canadian revolving credit facility (“$3.5 billion revolving credit facility”). The remaining $231 million of debt maturing in the next 12 months is classified as current obligations.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Additionally, as of June 30, 2022, we also had $54 million of variable-rate tax-exempt bonds with long-term scheduled maturities supported by letters of credit under our $3.5 billion revolving credit facility. The interest rates on our variable-rate tax-exempt bonds reset on a weekly basis through a remarketing process. All recent tax-exempt bond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4" w:name="page35"/>
    <w:bookmarkEnd w:id="34"/>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Condensed Consolidated Balance Sheet.</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May 2022, WMI issued $1.0 billion of 4.15% senior notes due April 15, 2032, the net proceeds of which were $992 million. We used the net proceeds to redeem our $500 million of 2.9% senior notes due September 2022 in advance of their scheduled maturity, to repay a portion of outstanding borrowings under our commercial paper program and for general corporate purposes.</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May 2022, we entered into a Term Loan to be used for general corporate purposes and as of June 30, 2022, we had $1.0 billion of outstanding borrowings. WM Holdings guarantees all of the obligations under the Term Loan.</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Amendment and Extension of Revolving Credit Facility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May 2022, we amended and restated our $3.5 billion U.S. and Canadian revolving credit facility extending the term through May 2027.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 Refer to Note 3 to the Condensed Consolidated Financial Statements for additional information.</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Advances due to affiliates (a)</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w:t>
            </w:r>
          </w:p>
        </w:tc>
      </w:tr>
      <w:tr>
        <w:trPr>
          <w:trHeight w:val="216"/>
        </w:trPr>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w:t>
            </w:r>
          </w:p>
        </w:tc>
      </w:tr>
      <w:tr>
        <w:trPr>
          <w:trHeight w:val="108"/>
        </w:trPr>
        <w:tc>
          <w:tcPr>
            <w:tcW w:w="224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as Advances due to affiliates as of December 31, 2021 was understated in our Annual Report on Form 10-K for the year ended December 31, 2021 and subsequently corrected in our Quarterly Report on Form 10-Q for the quarter ended March 31,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5" w:name="page36"/>
    <w:bookmarkEnd w:id="35"/>
    <w:tbl>
      <w:tblPr>
        <w:tblLayout w:type="fixed"/>
        <w:tblInd w:w="4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six months ended June 30 (in millions):</w:t>
      </w:r>
    </w:p>
    <w:p>
      <w:pPr>
        <w:spacing w:after="0" w:line="124"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7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69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(1,100)</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197"/>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by $142 million as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period, as a result of an increase in earnings attributable to our collection and disposal, recycling and WM Renewable Energy lines of business, as well as lower interest payments due to the timing of certain interest payments and refinancing activities in 2021 that reduced our overall interest rate, partially offset by higher income tax payments and higher annual incentive compensation payments in the current year period.</w:t>
      </w:r>
    </w:p>
    <w:p>
      <w:pPr>
        <w:spacing w:after="0" w:line="18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2022 and 2021 are summarized below:</w:t>
      </w:r>
    </w:p>
    <w:p>
      <w:pPr>
        <w:spacing w:after="0" w:line="50" w:lineRule="exact"/>
        <w:rPr>
          <w:sz w:val="20"/>
          <w:szCs w:val="20"/>
          <w:color w:val="auto"/>
        </w:rPr>
      </w:pPr>
    </w:p>
    <w:p>
      <w:pPr>
        <w:jc w:val="both"/>
        <w:ind w:left="720" w:right="79" w:hanging="319"/>
        <w:spacing w:after="0" w:line="258"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$968 million and $666 million for capital expenditures during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and 2021, respectively. The increase in capital spending is primarily driven by timing differences in our fixed asset purchases, as well as our intentional investment in sustainability growth projects. The Company continues to maintain a disciplined focus on capital management to prioritize investments in the long-term growth of our business and for the replacement of aging assets.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 During the six months ended June 30, 2022 and 2021, we used $60 million and $56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of cash from restricted cash and cash equivalents to invest in available-for-sale securities within our investment portfolio associated with a wholly-owned insurance captive. Additionally, we used $28 million in 2022 to make an initial cash payment associated with a new low-income housing investment.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36" w:name="page37"/>
    <w:bookmarkEnd w:id="36"/>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six months ended June 30, 2022 and 2021 are summarized below:</w:t>
      </w:r>
    </w:p>
    <w:p>
      <w:pPr>
        <w:spacing w:after="0" w:line="50" w:lineRule="exact"/>
        <w:rPr>
          <w:sz w:val="20"/>
          <w:szCs w:val="20"/>
          <w:color w:val="auto"/>
        </w:rPr>
      </w:pPr>
    </w:p>
    <w:p>
      <w:pPr>
        <w:ind w:left="720" w:right="79" w:hanging="319"/>
        <w:spacing w:after="0" w:line="284"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(Repayments) — </w:t>
      </w:r>
      <w:r>
        <w:rPr>
          <w:rFonts w:ascii="Times New Roman" w:cs="Times New Roman" w:eastAsia="Times New Roman" w:hAnsi="Times New Roman"/>
          <w:sz w:val="18"/>
          <w:szCs w:val="18"/>
          <w:color w:val="auto"/>
        </w:rPr>
        <w:t>The following summarizes our cash borrowings and repayments of debt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(in millions):</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5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9"/>
        </w:trPr>
        <w:tc>
          <w:tcPr>
            <w:tcW w:w="56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56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09"/>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3 to the Condensed Consolidated Financial Statements for additional information related to our debt borrowings and repayments.</w:t>
      </w:r>
    </w:p>
    <w:p>
      <w:pPr>
        <w:spacing w:after="0" w:line="52" w:lineRule="exact"/>
        <w:rPr>
          <w:sz w:val="20"/>
          <w:szCs w:val="20"/>
          <w:color w:val="auto"/>
        </w:rPr>
      </w:pPr>
    </w:p>
    <w:p>
      <w:pPr>
        <w:ind w:left="720" w:right="79" w:hanging="319"/>
        <w:spacing w:after="0" w:line="284"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Premiums and Other Paid on Early Extinguishment of Debt — </w:t>
      </w:r>
      <w:r>
        <w:rPr>
          <w:rFonts w:ascii="Times New Roman" w:cs="Times New Roman" w:eastAsia="Times New Roman" w:hAnsi="Times New Roman"/>
          <w:sz w:val="18"/>
          <w:szCs w:val="18"/>
          <w:color w:val="auto"/>
        </w:rPr>
        <w:t>During the six months ended June 30, 2021,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premiums and other third-party costs of $211 million to retire certain high-coupon senior notes.</w:t>
      </w:r>
    </w:p>
    <w:p>
      <w:pPr>
        <w:spacing w:after="0" w:line="50"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six months ended June 30, 2022, we repurchased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$524 million of our common stock, consisting of $500 million pursuant to two accelerated share repurchase (“ASR”) agreements and $24 million repurchased in open market transactions, of which $4 million was paid in July 2022. See Note 10 to the Condensed Consolidated Financial Statements for additional information. During the six months ended June 30, 2021, we repurchased $500 million of our common stock pursuant to two ASR agreements.</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cash dividends of $544 million and $489 million during the six months ended June 30, 2022 and 2021, respectively. The increase in dividend payments is primarily due to our quarterly per share dividend increasing from $0.575 in 2021 to $0.65 in 2022.</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7" w:name="page38"/>
    <w:bookmarkEnd w:id="37"/>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16"/>
        </w:trPr>
        <w:tc>
          <w:tcPr>
            <w:tcW w:w="20" w:type="dxa"/>
            <w:vAlign w:val="bottom"/>
          </w:tcPr>
          <w:p>
            <w:pPr>
              <w:spacing w:after="0"/>
              <w:rPr>
                <w:sz w:val="18"/>
                <w:szCs w:val="18"/>
                <w:color w:val="auto"/>
              </w:rPr>
            </w:pPr>
          </w:p>
        </w:tc>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198"/>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divested</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20" w:type="dxa"/>
            <w:vAlign w:val="bottom"/>
          </w:tcPr>
          <w:p>
            <w:pPr>
              <w:spacing w:after="0"/>
              <w:rPr>
                <w:sz w:val="18"/>
                <w:szCs w:val="18"/>
                <w:color w:val="auto"/>
              </w:rPr>
            </w:pPr>
          </w:p>
        </w:tc>
        <w:tc>
          <w:tcPr>
            <w:tcW w:w="5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2021. Actual results could differ materially from the estimates and assumptions that we use in the preparation of our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events can significantly affect the operating results of the geographic areas affected. 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Accelerated and pronounced economic pressures, particularly related to inflationary cost pressures on labor and the goods and services we rely upon to deliver service to our customers, have continued to have a significant impact on our cost structure and capital expenditures in the first half of 2022. We are taking proactive steps to recover and/or mitigate inflationary cost pressures through our overall strategic pricing efforts and by managing our costs through efficiency, labor productivity and investments in technology to automate certain aspects of our business. A significant portion of our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8" w:name="page39"/>
    <w:bookmarkEnd w:id="38"/>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revenue is tied to a price escalation index with a lookback provision, which has resulted in a timing lag in our ability to recover increased costs under these contracts during this period of rapid inflation. Separately, for many of our customers we provide services under multi-year contracts that can restrict our ability to increase prices and the timing of such increases. As we entered 2022, many of these contract lookback provisions began to capture the inflationary cost increases experienced in the second half of 2021 in the price escalation calculation; however, due to continued inflation as well as the relatively low inflationary cost environment of the first half of 2021, such timing lag persists.</w:t>
      </w:r>
    </w:p>
    <w:p>
      <w:pPr>
        <w:spacing w:after="0" w:line="183"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market risks as of June 30, 2022 does not materially differ from that discussed under Item 3 in our Quarterly Report on Form 10-Q for the quarter ended March 31, 2022.</w:t>
      </w:r>
    </w:p>
    <w:p>
      <w:pPr>
        <w:spacing w:after="0" w:line="15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2022 (the end of the period covered by this Quarterly Report on Form 10-Q)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the first quarter of 2022, we implemented a new general ledger accounting system and complementary finance enterprise resource planning system. These new system implementations were achieved after a multi-year review of existing accounting and reporting processes and the design and configuration of system-enabled enhancements to such processes. The change in our general ledger and finance enterprise resource planning systems was subject to thorough testing and review by internal and external parties both before and after the implementation.</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While these systems implementations are intended to enhance our framework for internal control over financial reporting, management, together with our CEO and CFO, has determined that the changes in our internal controls over financial reporting during the quarter ended June 30, 2022 have not been material and are not reasonably likely to materially affect our internal controls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6 to the Condensed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18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common stock repurchases made during the second quarter of 2022 (shares in millions):</w:t>
      </w:r>
    </w:p>
    <w:p>
      <w:pPr>
        <w:spacing w:after="0" w:line="5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Approximate Maximum</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400" w:type="dxa"/>
            <w:vAlign w:val="bottom"/>
          </w:tcPr>
          <w:p>
            <w:pPr>
              <w:spacing w:after="0"/>
              <w:rPr>
                <w:sz w:val="12"/>
                <w:szCs w:val="12"/>
                <w:color w:val="auto"/>
              </w:rPr>
            </w:pPr>
          </w:p>
        </w:tc>
        <w:tc>
          <w:tcPr>
            <w:tcW w:w="21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73"/>
        </w:trPr>
        <w:tc>
          <w:tcPr>
            <w:tcW w:w="22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209"/>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30 (a)</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1.0 billion</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31 (a)</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1.0 billion</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30 (a)</w:t>
            </w:r>
          </w:p>
        </w:tc>
        <w:tc>
          <w:tcPr>
            <w:tcW w:w="80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0.4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4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976 million (b)</w:t>
            </w:r>
          </w:p>
        </w:tc>
        <w:tc>
          <w:tcPr>
            <w:tcW w:w="0" w:type="dxa"/>
            <w:vAlign w:val="bottom"/>
          </w:tcPr>
          <w:p>
            <w:pPr>
              <w:spacing w:after="0"/>
              <w:rPr>
                <w:sz w:val="1"/>
                <w:szCs w:val="1"/>
                <w:color w:val="auto"/>
              </w:rPr>
            </w:pPr>
          </w:p>
        </w:tc>
      </w:tr>
      <w:tr>
        <w:trPr>
          <w:trHeight w:val="210"/>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4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6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2022, we entered into an accelerated share repurchase (“ASR”) agreement to repurchase $250 million of our common stock. At the beginning of the repurchase period, we delivered $250 million cash and received 1.4 million shares based on a stock price of $146.43. The ASR agreement completed in April 2022, at which time we received 0.3 million additional shares based on a final weighted average price of $153.14.</w:t>
      </w:r>
    </w:p>
    <w:p>
      <w:pPr>
        <w:spacing w:after="0" w:line="179" w:lineRule="exact"/>
        <w:rPr>
          <w:rFonts w:ascii="Times New Roman" w:cs="Times New Roman" w:eastAsia="Times New Roman" w:hAnsi="Times New Roman"/>
          <w:sz w:val="18"/>
          <w:szCs w:val="18"/>
          <w:color w:val="auto"/>
        </w:rPr>
      </w:pPr>
    </w:p>
    <w:p>
      <w:pPr>
        <w:jc w:val="both"/>
        <w:ind w:left="380" w:right="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under a new ASR agreement, we delivered $250 million cash and received 1.4 million shares based on a weighted average price of $161.55. The ASR agreement completed in June 2022 and we received 0.2 million additional shares based on a final weighted average price of $154.73. In June 2022, after the completion of the ASR agreement, we repurchased 0.2 million shares of our common stock in open market transactions in compliance with Rule 10b5-1 and Rule 10b-18 of the Exchange Act for $24 million, inclusive of per-share commissions, at a weighted average price of $146.74, of which $4 million was paid in July 2022.</w:t>
      </w:r>
    </w:p>
    <w:p>
      <w:pPr>
        <w:spacing w:after="0" w:line="187"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Company has authorization for $976 million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1"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5715</wp:posOffset>
            </wp:positionV>
            <wp:extent cx="4920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ind w:left="1200" w:right="59" w:hanging="1146"/>
        <w:spacing w:after="0" w:line="276" w:lineRule="auto"/>
        <w:tabs>
          <w:tab w:leader="none" w:pos="11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Officers’ Certificate delivered pursuant to Section 301 of the Indenture dated September 10, 1997 establishing the terms and form of the 4.15% Senior Notes due 2032.</w:t>
      </w:r>
    </w:p>
    <w:p>
      <w:pPr>
        <w:spacing w:after="0" w:line="5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7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Guarantee Agreement by WM Holdings in favor of The Bank of New York Mellon Trust Company, N.A.,</w:t>
            </w:r>
          </w:p>
        </w:tc>
      </w:tr>
      <w:tr>
        <w:trPr>
          <w:trHeight w:val="196"/>
        </w:trPr>
        <w:tc>
          <w:tcPr>
            <w:tcW w:w="1140" w:type="dxa"/>
            <w:vAlign w:val="bottom"/>
          </w:tcPr>
          <w:p>
            <w:pPr>
              <w:spacing w:after="0"/>
              <w:rPr>
                <w:sz w:val="17"/>
                <w:szCs w:val="17"/>
                <w:color w:val="auto"/>
              </w:rPr>
            </w:pP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as Trustee for the holders of the 4.15% Senior Notes due 2032.</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3.5 Billion Sixth Amended and Restated Revolving Credit Agreement dated as of May 27, 2022 by and</w:t>
              </w:r>
            </w:hyperlink>
          </w:p>
        </w:tc>
      </w:tr>
      <w:tr>
        <w:trPr>
          <w:trHeight w:val="196"/>
        </w:trPr>
        <w:tc>
          <w:tcPr>
            <w:tcW w:w="1140" w:type="dxa"/>
            <w:vAlign w:val="bottom"/>
          </w:tcPr>
          <w:p>
            <w:pPr>
              <w:spacing w:after="0"/>
              <w:rPr>
                <w:sz w:val="17"/>
                <w:szCs w:val="17"/>
                <w:color w:val="auto"/>
              </w:rPr>
            </w:pPr>
          </w:p>
        </w:tc>
        <w:tc>
          <w:tcPr>
            <w:tcW w:w="7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among WMI, Waste Management of Canada Corporation, WM Quebec Inc. and WM Holdings, certain</w:t>
              </w:r>
            </w:hyperlink>
          </w:p>
        </w:tc>
      </w:tr>
      <w:tr>
        <w:trPr>
          <w:trHeight w:val="196"/>
        </w:trPr>
        <w:tc>
          <w:tcPr>
            <w:tcW w:w="1140" w:type="dxa"/>
            <w:vAlign w:val="bottom"/>
          </w:tcPr>
          <w:p>
            <w:pPr>
              <w:spacing w:after="0"/>
              <w:rPr>
                <w:sz w:val="17"/>
                <w:szCs w:val="17"/>
                <w:color w:val="auto"/>
              </w:rPr>
            </w:pPr>
          </w:p>
        </w:tc>
        <w:tc>
          <w:tcPr>
            <w:tcW w:w="7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banks party thereto, and Bank of America, N.A., as administrative agreement [Incorporated by reference to</w:t>
              </w:r>
            </w:hyperlink>
          </w:p>
        </w:tc>
      </w:tr>
      <w:tr>
        <w:trPr>
          <w:trHeight w:val="196"/>
        </w:trPr>
        <w:tc>
          <w:tcPr>
            <w:tcW w:w="1140" w:type="dxa"/>
            <w:vAlign w:val="bottom"/>
          </w:tcPr>
          <w:p>
            <w:pPr>
              <w:spacing w:after="0"/>
              <w:rPr>
                <w:sz w:val="17"/>
                <w:szCs w:val="17"/>
                <w:color w:val="auto"/>
              </w:rPr>
            </w:pPr>
          </w:p>
        </w:tc>
        <w:tc>
          <w:tcPr>
            <w:tcW w:w="3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Exhibit 10.1 to Form 8-K filed June 2, 2022].</w:t>
              </w:r>
            </w:hyperlink>
          </w:p>
        </w:tc>
        <w:tc>
          <w:tcPr>
            <w:tcW w:w="4460" w:type="dxa"/>
            <w:vAlign w:val="bottom"/>
            <w:gridSpan w:val="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Term Loan Credit Agreement dated as of May 27, 2022 by and among WMI, WM Holdings,</w:t>
              </w:r>
            </w:hyperlink>
          </w:p>
        </w:tc>
      </w:tr>
      <w:tr>
        <w:trPr>
          <w:trHeight w:val="196"/>
        </w:trPr>
        <w:tc>
          <w:tcPr>
            <w:tcW w:w="1140" w:type="dxa"/>
            <w:vAlign w:val="bottom"/>
          </w:tcPr>
          <w:p>
            <w:pPr>
              <w:spacing w:after="0"/>
              <w:rPr>
                <w:sz w:val="17"/>
                <w:szCs w:val="17"/>
                <w:color w:val="auto"/>
              </w:rPr>
            </w:pPr>
          </w:p>
        </w:tc>
        <w:tc>
          <w:tcPr>
            <w:tcW w:w="7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certain banks party thereto, and Bank of America, N.A., as administrative agent [Incorporated by reference</w:t>
              </w:r>
            </w:hyperlink>
          </w:p>
        </w:tc>
      </w:tr>
      <w:tr>
        <w:trPr>
          <w:trHeight w:val="196"/>
        </w:trPr>
        <w:tc>
          <w:tcPr>
            <w:tcW w:w="1140" w:type="dxa"/>
            <w:vAlign w:val="bottom"/>
          </w:tcPr>
          <w:p>
            <w:pPr>
              <w:spacing w:after="0"/>
              <w:rPr>
                <w:sz w:val="17"/>
                <w:szCs w:val="17"/>
                <w:color w:val="auto"/>
              </w:rPr>
            </w:pPr>
          </w:p>
        </w:tc>
        <w:tc>
          <w:tcPr>
            <w:tcW w:w="7740" w:type="dxa"/>
            <w:vAlign w:val="bottom"/>
            <w:gridSpan w:val="1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to Exhibit 10.2 to Form 8-K filed June 2, 2022].</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0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Second Amendment to WMI 2014 Stock Incentive Plan.</w:t>
            </w:r>
          </w:p>
        </w:tc>
        <w:tc>
          <w:tcPr>
            <w:tcW w:w="3660" w:type="dxa"/>
            <w:vAlign w:val="bottom"/>
            <w:gridSpan w:val="4"/>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22.1*</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Guarantor Subsidiary.</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7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Pursuant to Rules 13a-14(a) and 15d-14(a) under the Securities Exchange Act of 1934 James</w:t>
            </w:r>
          </w:p>
        </w:tc>
      </w:tr>
      <w:tr>
        <w:trPr>
          <w:trHeight w:val="196"/>
        </w:trPr>
        <w:tc>
          <w:tcPr>
            <w:tcW w:w="1140" w:type="dxa"/>
            <w:vAlign w:val="bottom"/>
          </w:tcPr>
          <w:p>
            <w:pPr>
              <w:spacing w:after="0"/>
              <w:rPr>
                <w:sz w:val="17"/>
                <w:szCs w:val="17"/>
                <w:color w:val="auto"/>
              </w:rPr>
            </w:pP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 Fish, Jr., President and Chief Executive Officer.</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7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Rules 13a-14(a) and 15d-14(a) under the Securities Exchange Act of 1934 Devina</w:t>
            </w:r>
          </w:p>
        </w:tc>
      </w:tr>
      <w:tr>
        <w:trPr>
          <w:trHeight w:val="196"/>
        </w:trPr>
        <w:tc>
          <w:tcPr>
            <w:tcW w:w="1140" w:type="dxa"/>
            <w:vAlign w:val="bottom"/>
          </w:tcPr>
          <w:p>
            <w:pPr>
              <w:spacing w:after="0"/>
              <w:rPr>
                <w:sz w:val="17"/>
                <w:szCs w:val="17"/>
                <w:color w:val="auto"/>
              </w:rPr>
            </w:pP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 Rankin, Executive Vice President and Chief Financial Officer.</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James C. Fish, Jr., President and Chief Executive Officer.</w:t>
            </w:r>
          </w:p>
        </w:tc>
        <w:tc>
          <w:tcPr>
            <w:tcW w:w="34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7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Pursuant to 18 U.S.C. §1350 of Devina A. Rankin, Executive Vice President and Chief</w:t>
            </w:r>
          </w:p>
        </w:tc>
      </w:tr>
      <w:tr>
        <w:trPr>
          <w:trHeight w:val="196"/>
        </w:trPr>
        <w:tc>
          <w:tcPr>
            <w:tcW w:w="1140" w:type="dxa"/>
            <w:vAlign w:val="bottom"/>
          </w:tcPr>
          <w:p>
            <w:pPr>
              <w:spacing w:after="0"/>
              <w:rPr>
                <w:sz w:val="17"/>
                <w:szCs w:val="17"/>
                <w:color w:val="auto"/>
              </w:rPr>
            </w:pP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1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920" w:type="dxa"/>
            <w:vAlign w:val="bottom"/>
            <w:gridSpan w:val="8"/>
          </w:tcPr>
          <w:p>
            <w:pPr>
              <w:spacing w:after="0"/>
              <w:rPr>
                <w:sz w:val="24"/>
                <w:szCs w:val="24"/>
                <w:color w:val="auto"/>
              </w:rPr>
            </w:pP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7" w:lineRule="exact"/>
        <w:rPr>
          <w:sz w:val="20"/>
          <w:szCs w:val="20"/>
          <w:color w:val="auto"/>
        </w:rPr>
      </w:pPr>
    </w:p>
    <w:p>
      <w:pPr>
        <w:ind w:left="300" w:hanging="250"/>
        <w:spacing w:after="0"/>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LESLIE K. NAGY</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Leslie K. Nagy</w:t>
            </w:r>
          </w:p>
        </w:tc>
      </w:tr>
    </w:tbl>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12, 2022</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304"/>
        <w:spacing w:after="0" w:line="258" w:lineRule="auto"/>
        <w:tabs>
          <w:tab w:leader="none" w:pos="20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May 12, 2022 (the “Order”) for the authentication and delivery by the Trustee of $1,000,000,000 aggregate principal amount of 4.15% Senior Notes due 2032 (the “Notes”).</w:t>
      </w:r>
    </w:p>
    <w:p>
      <w:pPr>
        <w:spacing w:after="0" w:line="183"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relating thereto.</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relating thereto.</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635635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IN WITNESS WHEREOF, the undersigned have hereunto executed this Officers’ Certificate as of the date first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37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L. Reed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375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and the Sole Director of Waste Management Holdings, Inc. on April 18, 2022 and April 25, 2022,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“4.15% Senior Notes due 2032”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April 15, 2032.</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May 12, 2022 at the fixed rate of 4.15% per annum; the Interest Payment Dates on which such interest shall be payable shall be April 15 and October 15 of each year, commencing October 15, 2022, until maturity, unless such date falls on a day that is not a Business Day, in which case, such payment shall be made on the next day that is a Business Day. The Regular Record Date for the determination of Holders to whom interest is payable shall be April 1 or October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both"/>
        <w:ind w:left="652" w:hanging="652"/>
        <w:spacing w:after="0" w:line="258" w:lineRule="auto"/>
        <w:tabs>
          <w:tab w:leader="none" w:pos="6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3"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75" w:lineRule="exact"/>
        <w:rPr>
          <w:rFonts w:ascii="Times New Roman" w:cs="Times New Roman" w:eastAsia="Times New Roman" w:hAnsi="Times New Roman"/>
          <w:sz w:val="18"/>
          <w:szCs w:val="18"/>
          <w:color w:val="auto"/>
        </w:rPr>
      </w:pPr>
    </w:p>
    <w:p>
      <w:pPr>
        <w:jc w:val="both"/>
        <w:ind w:left="1292" w:firstLine="4"/>
        <w:spacing w:after="0" w:line="257" w:lineRule="auto"/>
        <w:tabs>
          <w:tab w:leader="none" w:pos="16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20 basis points less</w:t>
      </w:r>
    </w:p>
    <w:p>
      <w:pPr>
        <w:spacing w:after="0" w:line="1"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interest accrued to the date of redemption, and</w:t>
      </w:r>
    </w:p>
    <w:p>
      <w:pPr>
        <w:spacing w:after="0" w:line="206" w:lineRule="exact"/>
        <w:rPr>
          <w:rFonts w:ascii="Times New Roman" w:cs="Times New Roman" w:eastAsia="Times New Roman" w:hAnsi="Times New Roman"/>
          <w:sz w:val="18"/>
          <w:szCs w:val="18"/>
          <w:color w:val="auto"/>
        </w:rPr>
      </w:pPr>
    </w:p>
    <w:p>
      <w:pPr>
        <w:ind w:left="1632" w:hanging="336"/>
        <w:spacing w:after="0"/>
        <w:tabs>
          <w:tab w:leader="none" w:pos="163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 Call Date” means January 15, 2032.</w:t>
      </w:r>
    </w:p>
    <w:p>
      <w:pPr>
        <w:spacing w:after="0" w:line="225" w:lineRule="exact"/>
        <w:rPr>
          <w:sz w:val="20"/>
          <w:szCs w:val="20"/>
          <w:color w:val="auto"/>
        </w:rPr>
      </w:pPr>
    </w:p>
    <w:p>
      <w:pPr>
        <w:ind w:left="652" w:right="20" w:hanging="652"/>
        <w:spacing w:after="0" w:line="282"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May 12, 2022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3"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594360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636905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9920"/>
          </w:cols>
          <w:pgMar w:left="980" w:top="121" w:right="99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RGN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w:t>
      </w:r>
    </w:p>
    <w:p>
      <w:pPr>
        <w:spacing w:after="0" w:line="211" w:lineRule="exact"/>
        <w:rPr>
          <w:sz w:val="20"/>
          <w:szCs w:val="20"/>
          <w:color w:val="auto"/>
        </w:rPr>
      </w:pPr>
    </w:p>
    <w:p>
      <w:pPr>
        <w:sectPr>
          <w:pgSz w:w="11900" w:h="16838" w:orient="portrait"/>
          <w:cols w:equalWidth="0" w:num="2">
            <w:col w:w="7900" w:space="720"/>
            <w:col w:w="1300"/>
          </w:cols>
          <w:pgMar w:left="980" w:top="121" w:right="999" w:bottom="1440" w:gutter="0" w:footer="0" w:header="0"/>
          <w:type w:val="continuous"/>
        </w:sectPr>
      </w:pPr>
    </w:p>
    <w:p>
      <w:pPr>
        <w:spacing w:after="0" w:line="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U.S. $</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sectPr>
          <w:pgSz w:w="11900" w:h="16838" w:orient="portrait"/>
          <w:cols w:equalWidth="0" w:num="2">
            <w:col w:w="7820" w:space="720"/>
            <w:col w:w="1380"/>
          </w:cols>
          <w:pgMar w:left="980" w:top="121" w:right="999" w:bottom="1440" w:gutter="0" w:footer="0" w:header="0"/>
          <w:type w:val="continuous"/>
        </w:sectPr>
      </w:pPr>
    </w:p>
    <w:p>
      <w:pPr>
        <w:jc w:val="right"/>
        <w:ind w:right="20"/>
        <w:spacing w:after="0"/>
        <w:rPr>
          <w:sz w:val="20"/>
          <w:szCs w:val="20"/>
          <w:color w:val="auto"/>
        </w:rPr>
      </w:pPr>
      <w:r>
        <w:rPr>
          <w:rFonts w:ascii="Times New Roman" w:cs="Times New Roman" w:eastAsia="Times New Roman" w:hAnsi="Times New Roman"/>
          <w:sz w:val="18"/>
          <w:szCs w:val="18"/>
          <w:color w:val="auto"/>
        </w:rPr>
        <w:t>which may be decreased</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by the Schedule of</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Exchanges of Definitive</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Security attached hereto</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4.15% SENIOR NOTES DUE 2032</w:t>
      </w: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CUSIP 94106L BS7</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w:t>
      </w:r>
    </w:p>
    <w:p>
      <w:pPr>
        <w:jc w:val="both"/>
        <w:spacing w:after="0" w:line="252" w:lineRule="auto"/>
        <w:rPr>
          <w:sz w:val="20"/>
          <w:szCs w:val="20"/>
          <w:color w:val="auto"/>
        </w:rPr>
      </w:pPr>
      <w:r>
        <w:rPr>
          <w:rFonts w:ascii="Times New Roman" w:cs="Times New Roman" w:eastAsia="Times New Roman" w:hAnsi="Times New Roman"/>
          <w:sz w:val="18"/>
          <w:szCs w:val="18"/>
          <w:color w:val="auto"/>
        </w:rPr>
        <w:t>agency of the Company, the principal sum of Million ($ ) U.S. dollars, or such lesser principal sum as is shown on the attached Schedule of Exchanges of Definitive Security, on April 15, 2032 in such coin or currency of the United States of America as at the time of payment shall be legal tender for the payment of public and private debts, and to pay interest at an annual rate of 4.15% payable on April 15 and October 15 of each year, to the person in whose name this Security is registered at the close of business on the record date for such interest, which shall be the preceding April 1 or October 1, respectively, payable commencing October 15, 2022, with interest accruing from May 12, 2022,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48" w:name="page49"/>
    <w:bookmarkEnd w:id="4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$1,000,000,000 in principal amount designated as the 4.15% Senior Notes due 2032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tc>
      </w:tr>
      <w:tr>
        <w:trPr>
          <w:trHeight w:val="414"/>
        </w:trPr>
        <w:tc>
          <w:tcPr>
            <w:tcW w:w="580" w:type="dxa"/>
            <w:vAlign w:val="bottom"/>
          </w:tcPr>
          <w:p>
            <w:pPr>
              <w:spacing w:after="0"/>
              <w:rPr>
                <w:sz w:val="24"/>
                <w:szCs w:val="24"/>
                <w:color w:val="auto"/>
              </w:rPr>
            </w:pPr>
          </w:p>
        </w:tc>
        <w:tc>
          <w:tcPr>
            <w:tcW w:w="9320" w:type="dxa"/>
            <w:vAlign w:val="bottom"/>
            <w:gridSpan w:val="2"/>
          </w:tcPr>
          <w:p>
            <w:pPr>
              <w:ind w:left="43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320" w:type="dxa"/>
            <w:vAlign w:val="bottom"/>
            <w:gridSpan w:val="2"/>
          </w:tcPr>
          <w:p>
            <w:pPr>
              <w:ind w:left="43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580" w:type="dxa"/>
            <w:vAlign w:val="bottom"/>
          </w:tcPr>
          <w:p>
            <w:pPr>
              <w:spacing w:after="0"/>
              <w:rPr>
                <w:sz w:val="24"/>
                <w:szCs w:val="24"/>
                <w:color w:val="auto"/>
              </w:rPr>
            </w:pPr>
          </w:p>
        </w:tc>
        <w:tc>
          <w:tcPr>
            <w:tcW w:w="9320" w:type="dxa"/>
            <w:vAlign w:val="bottom"/>
            <w:gridSpan w:val="2"/>
          </w:tcPr>
          <w:p>
            <w:pPr>
              <w:ind w:left="438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Reed</w:t>
            </w:r>
          </w:p>
        </w:tc>
      </w:tr>
      <w:tr>
        <w:trPr>
          <w:trHeight w:val="234"/>
        </w:trPr>
        <w:tc>
          <w:tcPr>
            <w:tcW w:w="580" w:type="dxa"/>
            <w:vAlign w:val="bottom"/>
          </w:tcPr>
          <w:p>
            <w:pPr>
              <w:spacing w:after="0"/>
              <w:rPr>
                <w:sz w:val="20"/>
                <w:szCs w:val="20"/>
                <w:color w:val="auto"/>
              </w:rPr>
            </w:pPr>
          </w:p>
        </w:tc>
        <w:tc>
          <w:tcPr>
            <w:tcW w:w="9320" w:type="dxa"/>
            <w:vAlign w:val="bottom"/>
            <w:gridSpan w:val="2"/>
          </w:tcPr>
          <w:p>
            <w:pPr>
              <w:ind w:left="478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580" w:type="dxa"/>
            <w:vAlign w:val="bottom"/>
          </w:tcPr>
          <w:p>
            <w:pPr>
              <w:spacing w:after="0"/>
              <w:rPr>
                <w:sz w:val="24"/>
                <w:szCs w:val="24"/>
                <w:color w:val="auto"/>
              </w:rPr>
            </w:pPr>
          </w:p>
        </w:tc>
        <w:tc>
          <w:tcPr>
            <w:tcW w:w="9320" w:type="dxa"/>
            <w:vAlign w:val="bottom"/>
            <w:gridSpan w:val="2"/>
          </w:tcPr>
          <w:p>
            <w:pPr>
              <w:ind w:left="438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580" w:type="dxa"/>
            <w:vAlign w:val="bottom"/>
          </w:tcPr>
          <w:p>
            <w:pPr>
              <w:spacing w:after="0"/>
              <w:rPr>
                <w:sz w:val="24"/>
                <w:szCs w:val="24"/>
                <w:color w:val="auto"/>
              </w:rPr>
            </w:pPr>
          </w:p>
        </w:tc>
        <w:tc>
          <w:tcPr>
            <w:tcW w:w="9320" w:type="dxa"/>
            <w:vAlign w:val="bottom"/>
            <w:gridSpan w:val="2"/>
          </w:tcPr>
          <w:p>
            <w:pPr>
              <w:ind w:left="438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580" w:type="dxa"/>
            <w:vAlign w:val="bottom"/>
          </w:tcPr>
          <w:p>
            <w:pPr>
              <w:spacing w:after="0"/>
              <w:rPr>
                <w:sz w:val="20"/>
                <w:szCs w:val="20"/>
                <w:color w:val="auto"/>
              </w:rPr>
            </w:pPr>
          </w:p>
        </w:tc>
        <w:tc>
          <w:tcPr>
            <w:tcW w:w="9320" w:type="dxa"/>
            <w:vAlign w:val="bottom"/>
            <w:gridSpan w:val="2"/>
          </w:tcPr>
          <w:p>
            <w:pPr>
              <w:ind w:left="4780"/>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AUTHENTICATION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03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4.15% SENIOR NOTES DUE 2032</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4.15% Senior Notes due 2032 of the Company, in initial aggregate principal amount of $1,000,000,000 (the “Securities”).</w:t>
      </w:r>
    </w:p>
    <w:p>
      <w:pPr>
        <w:spacing w:after="0" w:line="190" w:lineRule="exact"/>
        <w:rPr>
          <w:sz w:val="20"/>
          <w:szCs w:val="20"/>
          <w:color w:val="auto"/>
        </w:rPr>
      </w:pPr>
    </w:p>
    <w:p>
      <w:pPr>
        <w:ind w:left="1340" w:hanging="684"/>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4.15%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April 15 and October 15 of each year (each an “Interest Payment Date”), commencing October 15, 2022. Interest on the Securities will accrue from the most recent date to which interest has been paid or, if no interest has been paid on the Securities, from May 12, 2022.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4.15% per annum, in each case to the extent lawful.</w:t>
      </w:r>
    </w:p>
    <w:p>
      <w:pPr>
        <w:spacing w:after="0" w:line="185" w:lineRule="exact"/>
        <w:rPr>
          <w:sz w:val="20"/>
          <w:szCs w:val="20"/>
          <w:color w:val="auto"/>
        </w:rPr>
      </w:pPr>
    </w:p>
    <w:p>
      <w:pPr>
        <w:ind w:left="1340" w:hanging="684"/>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ind w:left="1340" w:hanging="684"/>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1340" w:hanging="684"/>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consents of the Sole Director of Waste Management Holdings, Inc. on April 18, 2022 and April 25, 2022 (collectively,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$1,000,000,000.</w:t>
      </w:r>
    </w:p>
    <w:p>
      <w:pPr>
        <w:spacing w:after="0" w:line="190" w:lineRule="exact"/>
        <w:rPr>
          <w:sz w:val="20"/>
          <w:szCs w:val="20"/>
          <w:color w:val="auto"/>
        </w:rPr>
      </w:pPr>
    </w:p>
    <w:p>
      <w:pPr>
        <w:ind w:left="1340" w:hanging="684"/>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76" w:lineRule="exact"/>
        <w:rPr>
          <w:sz w:val="20"/>
          <w:szCs w:val="20"/>
          <w:color w:val="auto"/>
        </w:rPr>
      </w:pPr>
    </w:p>
    <w:p>
      <w:pPr>
        <w:jc w:val="both"/>
        <w:ind w:left="660" w:hanging="4"/>
        <w:spacing w:after="0" w:line="261" w:lineRule="auto"/>
        <w:tabs>
          <w:tab w:leader="none" w:pos="9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20 basis points less (b) interest accrued to the date of redemption, and</w:t>
      </w:r>
    </w:p>
    <w:p>
      <w:pPr>
        <w:spacing w:after="0" w:line="17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52" w:name="page53"/>
    <w:bookmarkEnd w:id="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January 15, 2032.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 fund.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1340" w:hanging="684"/>
        <w:spacing w:after="0"/>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4" w:lineRule="exact"/>
        <w:rPr>
          <w:sz w:val="20"/>
          <w:szCs w:val="20"/>
          <w:color w:val="auto"/>
        </w:rPr>
      </w:pPr>
    </w:p>
    <w:p>
      <w:pPr>
        <w:ind w:left="1340" w:hanging="684"/>
        <w:spacing w:after="0"/>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1340" w:hanging="684"/>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1340" w:hanging="684"/>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90" w:lineRule="exact"/>
        <w:rPr>
          <w:sz w:val="20"/>
          <w:szCs w:val="20"/>
          <w:color w:val="auto"/>
        </w:rPr>
      </w:pPr>
    </w:p>
    <w:p>
      <w:pPr>
        <w:ind w:left="1420" w:hanging="764"/>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ind w:left="1420" w:hanging="764"/>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1420" w:hanging="764"/>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160" w:lineRule="exact"/>
        <w:rPr>
          <w:sz w:val="20"/>
          <w:szCs w:val="20"/>
          <w:color w:val="auto"/>
        </w:rPr>
      </w:pPr>
    </w:p>
    <w:p>
      <w:pPr>
        <w:ind w:left="1420" w:hanging="764"/>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1420" w:hanging="764"/>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8" w:lineRule="exact"/>
        <w:rPr>
          <w:sz w:val="20"/>
          <w:szCs w:val="20"/>
          <w:color w:val="auto"/>
        </w:rPr>
      </w:pPr>
    </w:p>
    <w:p>
      <w:pPr>
        <w:ind w:left="1420" w:hanging="764"/>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58" w:name="page59"/>
    <w:bookmarkEnd w:id="58"/>
    <w:p>
      <w:pPr>
        <w:ind w:left="1420" w:hanging="764"/>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5" w:lineRule="exact"/>
        <w:rPr>
          <w:sz w:val="20"/>
          <w:szCs w:val="20"/>
          <w:color w:val="auto"/>
        </w:rPr>
      </w:pPr>
    </w:p>
    <w:p>
      <w:pPr>
        <w:ind w:left="1420" w:hanging="764"/>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1420" w:hanging="764"/>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May 12, 2022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1" w:lineRule="exact"/>
        <w:rPr>
          <w:sz w:val="20"/>
          <w:szCs w:val="20"/>
          <w:color w:val="auto"/>
        </w:rPr>
      </w:pPr>
    </w:p>
    <w:p>
      <w:pPr>
        <w:ind w:left="1420" w:hanging="764"/>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SCHEDULE OF EXCHANGES OF DEFINITIVE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Security following</w:t>
            </w:r>
          </w:p>
        </w:tc>
        <w:tc>
          <w:tcPr>
            <w:tcW w:w="2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authorized officer</w:t>
            </w:r>
          </w:p>
        </w:tc>
      </w:tr>
      <w:tr>
        <w:trPr>
          <w:trHeight w:val="216"/>
        </w:trPr>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such decrease (or</w:t>
            </w:r>
          </w:p>
        </w:tc>
        <w:tc>
          <w:tcPr>
            <w:tcW w:w="2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Security Custodian</w:t>
            </w:r>
          </w:p>
        </w:tc>
      </w:tr>
      <w:tr>
        <w:trPr>
          <w:trHeight w:val="986"/>
        </w:trPr>
        <w:tc>
          <w:tcPr>
            <w:tcW w:w="13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$1,000,000,000</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4.15% Senior Notes due 2032</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May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61" w:name="page62"/>
    <w:bookmarkEnd w:id="6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GUARANTEE, dated as of May 12, 2022 (as amended from time to time, this “Guarantee”), made by Waste Management Holdings, Inc. (formerly known as Waste Management, Inc.), a Delaware corporation (the “Guarantor”), in favor of The Bank of New York Mellon Trust Company, N.A., as trustee for the holders of the $1 billion aggregate principal amount of 4.15% Senior Notes due 2032 (the “Debt Securities”) of Waste Management, Inc. (formerly known as USA Waste Services, Inc.), a Delaware corporation (the “Issuer”).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24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0" w:lineRule="exact"/>
        <w:rPr>
          <w:sz w:val="20"/>
          <w:szCs w:val="20"/>
          <w:color w:val="auto"/>
        </w:rPr>
      </w:pPr>
    </w:p>
    <w:p>
      <w:pPr>
        <w:ind w:left="2400" w:hanging="1096"/>
        <w:spacing w:after="0"/>
        <w:tabs>
          <w:tab w:leader="none" w:pos="2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w:t>
      </w:r>
    </w:p>
    <w:p>
      <w:pPr>
        <w:spacing w:after="0" w:line="27"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relating thereto;</w:t>
      </w:r>
    </w:p>
    <w:p>
      <w:pPr>
        <w:spacing w:after="0" w:line="206" w:lineRule="exact"/>
        <w:rPr>
          <w:rFonts w:ascii="Times New Roman" w:cs="Times New Roman" w:eastAsia="Times New Roman" w:hAnsi="Times New Roman"/>
          <w:sz w:val="18"/>
          <w:szCs w:val="18"/>
          <w:color w:val="auto"/>
        </w:rPr>
      </w:pPr>
    </w:p>
    <w:p>
      <w:pPr>
        <w:ind w:left="260" w:firstLine="1044"/>
        <w:spacing w:after="0" w:line="282" w:lineRule="auto"/>
        <w:tabs>
          <w:tab w:leader="none" w:pos="21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pacing w:after="0" w:line="161" w:lineRule="exact"/>
        <w:rPr>
          <w:rFonts w:ascii="Times New Roman" w:cs="Times New Roman" w:eastAsia="Times New Roman" w:hAnsi="Times New Roman"/>
          <w:sz w:val="18"/>
          <w:szCs w:val="18"/>
          <w:color w:val="auto"/>
        </w:rPr>
      </w:pPr>
    </w:p>
    <w:p>
      <w:pPr>
        <w:ind w:left="260" w:firstLine="1044"/>
        <w:spacing w:after="0" w:line="282" w:lineRule="auto"/>
        <w:tabs>
          <w:tab w:leader="none" w:pos="22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2" w:name="page63"/>
    <w:bookmarkEnd w:id="62"/>
    <w:p>
      <w:pPr>
        <w:ind w:left="2360" w:hanging="1056"/>
        <w:spacing w:after="0"/>
        <w:tabs>
          <w:tab w:leader="none" w:pos="2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w:t>
      </w:r>
    </w:p>
    <w:p>
      <w:pPr>
        <w:spacing w:after="0" w:line="27"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or a guarantor.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20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20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496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David L. Reed</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7" w:lineRule="exact"/>
        <w:rPr>
          <w:sz w:val="20"/>
          <w:szCs w:val="20"/>
          <w:color w:val="auto"/>
        </w:rPr>
      </w:pPr>
    </w:p>
    <w:p>
      <w:pPr>
        <w:ind w:left="496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Jeff Bennett</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(4.15%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5" w:name="page66"/>
    <w:bookmarkEnd w:id="6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the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Waste Management Inc. 2014 Stock Incentive Plan</w:t>
      </w:r>
    </w:p>
    <w:p>
      <w:pPr>
        <w:spacing w:after="0" w:line="259" w:lineRule="exact"/>
        <w:rPr>
          <w:sz w:val="20"/>
          <w:szCs w:val="20"/>
          <w:color w:val="auto"/>
        </w:rPr>
      </w:pPr>
    </w:p>
    <w:p>
      <w:pPr>
        <w:ind w:left="200" w:right="219" w:firstLine="32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Waste Management, Inc. (the “Company”) has adopted the Waste Management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 2014 Stock Incentive Plan (the “Plan”); and</w:t>
      </w:r>
    </w:p>
    <w:p>
      <w:pPr>
        <w:spacing w:after="0" w:line="149" w:lineRule="exact"/>
        <w:rPr>
          <w:sz w:val="20"/>
          <w:szCs w:val="20"/>
          <w:color w:val="auto"/>
        </w:rPr>
      </w:pPr>
    </w:p>
    <w:p>
      <w:pPr>
        <w:ind w:left="200" w:right="239" w:firstLine="32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pursuant to Paragraph XIII of the Plan, the Board may amend the Plan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subject to any applicable stockholder approval requirements;</w:t>
      </w:r>
    </w:p>
    <w:p>
      <w:pPr>
        <w:spacing w:after="0" w:line="149" w:lineRule="exact"/>
        <w:rPr>
          <w:sz w:val="20"/>
          <w:szCs w:val="20"/>
          <w:color w:val="auto"/>
        </w:rPr>
      </w:pPr>
    </w:p>
    <w:p>
      <w:pPr>
        <w:ind w:left="200" w:right="219" w:firstLine="32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Board desires to amend the plan to include certain minimum vesting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requirements; and</w:t>
      </w:r>
    </w:p>
    <w:p>
      <w:pPr>
        <w:spacing w:after="0" w:line="149" w:lineRule="exact"/>
        <w:rPr>
          <w:sz w:val="20"/>
          <w:szCs w:val="20"/>
          <w:color w:val="auto"/>
        </w:rPr>
      </w:pPr>
    </w:p>
    <w:p>
      <w:pPr>
        <w:ind w:left="200" w:right="919" w:firstLine="32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effective as of June 28, 2022, the Plan is hereby amended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respect:</w:t>
      </w:r>
    </w:p>
    <w:p>
      <w:pPr>
        <w:spacing w:after="0" w:line="207" w:lineRule="exact"/>
        <w:rPr>
          <w:sz w:val="20"/>
          <w:szCs w:val="20"/>
          <w:color w:val="auto"/>
        </w:rPr>
      </w:pPr>
    </w:p>
    <w:p>
      <w:pPr>
        <w:ind w:left="860" w:right="1019" w:hanging="327"/>
        <w:spacing w:after="0" w:line="271" w:lineRule="auto"/>
        <w:tabs>
          <w:tab w:leader="none" w:pos="8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Subparagraph V(e) of the Plan shall be deleted in its entirety and replaced with the following:</w:t>
      </w:r>
    </w:p>
    <w:p>
      <w:pPr>
        <w:spacing w:after="0" w:line="221" w:lineRule="exact"/>
        <w:rPr>
          <w:rFonts w:ascii="Times New Roman" w:cs="Times New Roman" w:eastAsia="Times New Roman" w:hAnsi="Times New Roman"/>
          <w:sz w:val="22"/>
          <w:szCs w:val="22"/>
          <w:color w:val="auto"/>
        </w:rPr>
      </w:pPr>
    </w:p>
    <w:p>
      <w:pPr>
        <w:jc w:val="both"/>
        <w:ind w:left="200" w:right="219" w:firstLine="657"/>
        <w:spacing w:after="0" w:line="258" w:lineRule="auto"/>
        <w:tabs>
          <w:tab w:leader="none" w:pos="1142"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Minimum Vesting Periods</w:t>
      </w:r>
      <w:r>
        <w:rPr>
          <w:rFonts w:ascii="Times New Roman" w:cs="Times New Roman" w:eastAsia="Times New Roman" w:hAnsi="Times New Roman"/>
          <w:sz w:val="21"/>
          <w:szCs w:val="21"/>
          <w:color w:val="auto"/>
        </w:rPr>
        <w:t>. Restricted Stock Awards and Phantom Stock Awards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form of restricted stock units that vest as a result of the passage of time and continued service by the Participant shall be subject to a minimum vesting period of three years from the date of grant (but with permissible pro rata vesting over such period with the initial vest commencing no less than one year from the date of grant). Restricted Stock Awards, Bonus Stock Awards and Performance Awards whose vesting is subject to the achievement of specified performance criteria over a performance period shall be subject to a minimum performance period of one year. Stock Options and Stock Appreciation Rights shall be subject to a minimum vesting period of one year from the date of grant, prior to which there will be no right to exercise the Stock Option or Stock Appreciation Right. Notwithstanding the foregoing, such minimum vesting or exercise periods shall not apply (i) to terminations of employment due to death, disability or retirement, (ii) upon a change in control of the Company, (iii) to substitute awards (not reducing the vesting periods of the Awards being replaced), and (iv) to Awards involving an aggregate number of shares of Common Stock not in excess of 5% of the total shares authorized for issuance under the Plan.</w:t>
      </w:r>
    </w:p>
    <w:p>
      <w:pPr>
        <w:spacing w:after="0" w:line="173" w:lineRule="exact"/>
        <w:rPr>
          <w:sz w:val="20"/>
          <w:szCs w:val="20"/>
          <w:color w:val="auto"/>
        </w:rPr>
      </w:pPr>
    </w:p>
    <w:p>
      <w:pPr>
        <w:ind w:left="200" w:right="21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Second Amendment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on this 28th day of June 2022.</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WASTE MANGEMENT, INC.</w:t>
      </w:r>
    </w:p>
    <w:p>
      <w:pPr>
        <w:spacing w:after="0" w:line="335" w:lineRule="exact"/>
        <w:rPr>
          <w:sz w:val="20"/>
          <w:szCs w:val="20"/>
          <w:color w:val="auto"/>
        </w:rPr>
      </w:pPr>
    </w:p>
    <w:p>
      <w:pPr>
        <w:ind w:left="4540"/>
        <w:spacing w:after="0"/>
        <w:tabs>
          <w:tab w:leader="none" w:pos="5220" w:val="left"/>
        </w:tabs>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sz w:val="20"/>
          <w:szCs w:val="20"/>
          <w:color w:val="auto"/>
        </w:rPr>
        <w:tab/>
      </w:r>
      <w:r>
        <w:rPr>
          <w:rFonts w:ascii="Times New Roman" w:cs="Times New Roman" w:eastAsia="Times New Roman" w:hAnsi="Times New Roman"/>
          <w:sz w:val="17"/>
          <w:szCs w:val="17"/>
          <w:i w:val="1"/>
          <w:iCs w:val="1"/>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18415</wp:posOffset>
            </wp:positionV>
            <wp:extent cx="24771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Vice President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5/8/2014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5/15/2024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5/16/2016</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5/15/2023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3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745"/>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67" w:name="page68"/>
    <w:bookmarkEnd w:id="6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58" w:lineRule="exact"/>
        <w:rPr>
          <w:sz w:val="20"/>
          <w:szCs w:val="20"/>
          <w:color w:val="auto"/>
        </w:rPr>
      </w:pPr>
    </w:p>
    <w:p>
      <w:pPr>
        <w:ind w:left="640" w:hanging="266"/>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260" w:type="dxa"/>
            <w:vAlign w:val="bottom"/>
          </w:tcPr>
          <w:p>
            <w:pPr>
              <w:spacing w:after="0"/>
              <w:rPr>
                <w:sz w:val="16"/>
                <w:szCs w:val="16"/>
                <w:color w:val="auto"/>
              </w:rPr>
            </w:pPr>
          </w:p>
        </w:tc>
        <w:tc>
          <w:tcPr>
            <w:tcW w:w="4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8" w:name="page69"/>
    <w:bookmarkEnd w:id="6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58" w:lineRule="exact"/>
        <w:rPr>
          <w:sz w:val="20"/>
          <w:szCs w:val="20"/>
          <w:color w:val="auto"/>
        </w:rPr>
      </w:pPr>
    </w:p>
    <w:p>
      <w:pPr>
        <w:ind w:left="640" w:hanging="26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28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9" w:name="page70"/>
    <w:bookmarkEnd w:id="6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June 30, 2022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319" w:firstLine="318"/>
        <w:spacing w:after="0" w:line="282" w:lineRule="auto"/>
        <w:tabs>
          <w:tab w:leader="none" w:pos="100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2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0" w:name="page71"/>
    <w:bookmarkEnd w:id="7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June 30, 2022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59" w:firstLine="318"/>
        <w:spacing w:after="0" w:line="282" w:lineRule="auto"/>
        <w:tabs>
          <w:tab w:leader="none" w:pos="103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20" w:type="dxa"/>
            <w:vAlign w:val="bottom"/>
          </w:tcPr>
          <w:p>
            <w:pPr>
              <w:spacing w:after="0"/>
              <w:rPr>
                <w:sz w:val="16"/>
                <w:szCs w:val="16"/>
                <w:color w:val="auto"/>
              </w:rPr>
            </w:pPr>
          </w:p>
        </w:tc>
        <w:tc>
          <w:tcPr>
            <w:tcW w:w="4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1" w:name="page72"/>
    <w:bookmarkEnd w:id="7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quarter ended June 30, 2022,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during the quarter ended June 30, 2022,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2"/>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decimal"/>
      <w:start w:val="3"/>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1)"/>
      <w:numFmt w:val="lowerRoman"/>
      <w:start w:val="1"/>
    </w:lvl>
  </w:abstractNum>
  <w:abstractNum w:abstractNumId="7">
    <w:nsid w:val="7724C67E"/>
    <w:multiLevelType w:val="hybridMultilevel"/>
    <w:lvl w:ilvl="0">
      <w:lvlJc w:val="left"/>
      <w:lvlText w:val="%1."/>
      <w:numFmt w:val="decimal"/>
      <w:start w:val="4"/>
    </w:lvl>
  </w:abstractNum>
  <w:abstractNum w:abstractNumId="8">
    <w:nsid w:val="5C482A97"/>
    <w:multiLevelType w:val="hybridMultilevel"/>
    <w:lvl w:ilvl="0">
      <w:lvlJc w:val="left"/>
      <w:lvlText w:val="%1."/>
      <w:numFmt w:val="decimal"/>
      <w:start w:val="5"/>
    </w:lvl>
  </w:abstractNum>
  <w:abstractNum w:abstractNumId="9">
    <w:nsid w:val="2463B9EA"/>
    <w:multiLevelType w:val="hybridMultilevel"/>
    <w:lvl w:ilvl="0">
      <w:lvlJc w:val="left"/>
      <w:lvlText w:val="%1."/>
      <w:numFmt w:val="decimal"/>
      <w:start w:val="6"/>
    </w:lvl>
  </w:abstractNum>
  <w:abstractNum w:abstractNumId="10">
    <w:nsid w:val="5E884ADC"/>
    <w:multiLevelType w:val="hybridMultilevel"/>
    <w:lvl w:ilvl="0">
      <w:lvlJc w:val="left"/>
      <w:lvlText w:val="%1."/>
      <w:numFmt w:val="decimal"/>
      <w:start w:val="7"/>
    </w:lvl>
  </w:abstractNum>
  <w:abstractNum w:abstractNumId="11">
    <w:nsid w:val="51EAD36B"/>
    <w:multiLevelType w:val="hybridMultilevel"/>
    <w:lvl w:ilvl="0">
      <w:lvlJc w:val="left"/>
      <w:lvlText w:val="(%1)"/>
      <w:numFmt w:val="lowerLetter"/>
      <w:start w:val="1"/>
    </w:lvl>
    <w:lvl w:ilvl="1">
      <w:lvlJc w:val="left"/>
      <w:lvlText w:val="(%2)"/>
      <w:numFmt w:val="lowerLetter"/>
      <w:start w:val="22"/>
    </w:lvl>
  </w:abstractNum>
  <w:abstractNum w:abstractNumId="12">
    <w:nsid w:val="2D517796"/>
    <w:multiLevelType w:val="hybridMultilevel"/>
    <w:lvl w:ilvl="0">
      <w:lvlJc w:val="left"/>
      <w:lvlText w:val="(%1)"/>
      <w:numFmt w:val="lowerLetter"/>
      <w:start w:val="4"/>
    </w:lvl>
  </w:abstractNum>
  <w:abstractNum w:abstractNumId="13">
    <w:nsid w:val="580BD78F"/>
    <w:multiLevelType w:val="hybridMultilevel"/>
    <w:lvl w:ilvl="0">
      <w:lvlJc w:val="left"/>
      <w:lvlText w:val="(%1)"/>
      <w:numFmt w:val="lowerLetter"/>
      <w:start w:val="1"/>
    </w:lvl>
  </w:abstractNum>
  <w:abstractNum w:abstractNumId="14">
    <w:nsid w:val="153EA438"/>
    <w:multiLevelType w:val="hybridMultilevel"/>
    <w:lvl w:ilvl="0">
      <w:lvlJc w:val="left"/>
      <w:lvlText w:val="%1."/>
      <w:numFmt w:val="decimal"/>
      <w:start w:val="8"/>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
      <w:numFmt w:val="bullet"/>
      <w:start w:val="1"/>
    </w:lvl>
    <w:lvl w:ilvl="1">
      <w:lvlJc w:val="left"/>
      <w:lvlText w:val="(%2)"/>
      <w:numFmt w:val="lowerRoman"/>
      <w:start w:val="2"/>
    </w:lvl>
  </w:abstractNum>
  <w:abstractNum w:abstractNumId="17">
    <w:nsid w:val="6A2342EC"/>
    <w:multiLevelType w:val="hybridMultilevel"/>
    <w:lvl w:ilvl="0">
      <w:lvlJc w:val="left"/>
      <w:lvlText w:val="●"/>
      <w:numFmt w:val="bullet"/>
      <w:start w:val="1"/>
    </w:lvl>
    <w:lvl w:ilvl="1">
      <w:lvlJc w:val="left"/>
      <w:lvlText w:val="(%2)"/>
      <w:numFmt w:val="lowerRoman"/>
      <w:start w:val="1"/>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lowerLetter"/>
      <w:start w:val="1"/>
    </w:lvl>
  </w:abstractNum>
  <w:abstractNum w:abstractNumId="20">
    <w:nsid w:val="725A06FB"/>
    <w:multiLevelType w:val="hybridMultilevel"/>
    <w:lvl w:ilvl="0">
      <w:lvlJc w:val="left"/>
      <w:lvlText w:val="(%1)"/>
      <w:numFmt w:val="lowerLetter"/>
      <w:start w:val="2"/>
    </w:lvl>
  </w:abstractNum>
  <w:abstractNum w:abstractNumId="21">
    <w:nsid w:val="2CD89A32"/>
    <w:multiLevelType w:val="hybridMultilevel"/>
    <w:lvl w:ilvl="0">
      <w:lvlJc w:val="left"/>
      <w:lvlText w:val="(%1)"/>
      <w:numFmt w:val="lowerRoman"/>
      <w:start w:val="4"/>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1)"/>
      <w:numFmt w:val="lowerLetter"/>
      <w:start w:val="1"/>
    </w:lvl>
  </w:abstractNum>
  <w:abstractNum w:abstractNumId="25">
    <w:nsid w:val="542289EC"/>
    <w:multiLevelType w:val="hybridMultilevel"/>
    <w:lvl w:ilvl="0">
      <w:lvlJc w:val="left"/>
      <w:lvlText w:val="(%1)"/>
      <w:numFmt w:val="lowerRoman"/>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1)"/>
      <w:numFmt w:val="lowerLetter"/>
      <w:start w:val="1"/>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8"/>
    </w:lvl>
    <w:lvl w:ilvl="1">
      <w:lvlJc w:val="left"/>
      <w:lvlText w:val="(%2)"/>
      <w:numFmt w:val="decimal"/>
      <w:start w:val="1"/>
    </w:lvl>
  </w:abstractNum>
  <w:abstractNum w:abstractNumId="36">
    <w:nsid w:val="75C6C33A"/>
    <w:multiLevelType w:val="hybridMultilevel"/>
    <w:lvl w:ilvl="0">
      <w:lvlJc w:val="left"/>
      <w:lvlText w:val="(%1)"/>
      <w:numFmt w:val="decimal"/>
      <w:start w:val="10"/>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2"/>
    </w:lvl>
  </w:abstractNum>
  <w:abstractNum w:abstractNumId="39">
    <w:nsid w:val="520EEDD1"/>
    <w:multiLevelType w:val="hybridMultilevel"/>
    <w:lvl w:ilvl="0">
      <w:lvlJc w:val="left"/>
      <w:lvlText w:val="%1."/>
      <w:numFmt w:val="decimal"/>
      <w:start w:val="3"/>
    </w:lvl>
  </w:abstractNum>
  <w:abstractNum w:abstractNumId="40">
    <w:nsid w:val="374A3FE6"/>
    <w:multiLevelType w:val="hybridMultilevel"/>
    <w:lvl w:ilvl="0">
      <w:lvlJc w:val="left"/>
      <w:lvlText w:val="%1."/>
      <w:numFmt w:val="decimal"/>
      <w:start w:val="4"/>
    </w:lvl>
  </w:abstractNum>
  <w:abstractNum w:abstractNumId="41">
    <w:nsid w:val="4F4EF005"/>
    <w:multiLevelType w:val="hybridMultilevel"/>
    <w:lvl w:ilvl="0">
      <w:lvlJc w:val="left"/>
      <w:lvlText w:val="%1."/>
      <w:numFmt w:val="decimal"/>
      <w:start w:val="5"/>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6"/>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decimal"/>
      <w:start w:val="7"/>
    </w:lvl>
  </w:abstractNum>
  <w:abstractNum w:abstractNumId="46">
    <w:nsid w:val="1CF10FD8"/>
    <w:multiLevelType w:val="hybridMultilevel"/>
    <w:lvl w:ilvl="0">
      <w:lvlJc w:val="left"/>
      <w:lvlText w:val="%1."/>
      <w:numFmt w:val="decimal"/>
      <w:start w:val="8"/>
    </w:lvl>
  </w:abstractNum>
  <w:abstractNum w:abstractNumId="47">
    <w:nsid w:val="180115BE"/>
    <w:multiLevelType w:val="hybridMultilevel"/>
    <w:lvl w:ilvl="0">
      <w:lvlJc w:val="left"/>
      <w:lvlText w:val="%1."/>
      <w:numFmt w:val="decimal"/>
      <w:start w:val="9"/>
    </w:lvl>
  </w:abstractNum>
  <w:abstractNum w:abstractNumId="48">
    <w:nsid w:val="235BA861"/>
    <w:multiLevelType w:val="hybridMultilevel"/>
    <w:lvl w:ilvl="0">
      <w:lvlJc w:val="left"/>
      <w:lvlText w:val="%1."/>
      <w:numFmt w:val="decimal"/>
      <w:start w:val="10"/>
    </w:lvl>
  </w:abstractNum>
  <w:abstractNum w:abstractNumId="49">
    <w:nsid w:val="47398C89"/>
    <w:multiLevelType w:val="hybridMultilevel"/>
    <w:lvl w:ilvl="0">
      <w:lvlJc w:val="left"/>
      <w:lvlText w:val="%1."/>
      <w:numFmt w:val="decimal"/>
      <w:start w:val="11"/>
    </w:lvl>
  </w:abstractNum>
  <w:abstractNum w:abstractNumId="50">
    <w:nsid w:val="354FE9F9"/>
    <w:multiLevelType w:val="hybridMultilevel"/>
    <w:lvl w:ilvl="0">
      <w:lvlJc w:val="left"/>
      <w:lvlText w:val="%1."/>
      <w:numFmt w:val="decimal"/>
      <w:start w:val="12"/>
    </w:lvl>
  </w:abstractNum>
  <w:abstractNum w:abstractNumId="51">
    <w:nsid w:val="15B5AF5C"/>
    <w:multiLevelType w:val="hybridMultilevel"/>
    <w:lvl w:ilvl="0">
      <w:lvlJc w:val="left"/>
      <w:lvlText w:val="%1."/>
      <w:numFmt w:val="decimal"/>
      <w:start w:val="13"/>
    </w:lvl>
  </w:abstractNum>
  <w:abstractNum w:abstractNumId="52">
    <w:nsid w:val="741226BB"/>
    <w:multiLevelType w:val="hybridMultilevel"/>
    <w:lvl w:ilvl="0">
      <w:lvlJc w:val="left"/>
      <w:lvlText w:val="%1."/>
      <w:numFmt w:val="decimal"/>
      <w:start w:val="14"/>
    </w:lvl>
  </w:abstractNum>
  <w:abstractNum w:abstractNumId="53">
    <w:nsid w:val="D34B6A8"/>
    <w:multiLevelType w:val="hybridMultilevel"/>
    <w:lvl w:ilvl="0">
      <w:lvlJc w:val="left"/>
      <w:lvlText w:val="%1."/>
      <w:numFmt w:val="decimal"/>
      <w:start w:val="15"/>
    </w:lvl>
  </w:abstractNum>
  <w:abstractNum w:abstractNumId="54">
    <w:nsid w:val="10233C99"/>
    <w:multiLevelType w:val="hybridMultilevel"/>
    <w:lvl w:ilvl="0">
      <w:lvlJc w:val="left"/>
      <w:lvlText w:val="%1."/>
      <w:numFmt w:val="decimal"/>
      <w:start w:val="16"/>
    </w:lvl>
  </w:abstractNum>
  <w:abstractNum w:abstractNumId="55">
    <w:nsid w:val="3F6AB60F"/>
    <w:multiLevelType w:val="hybridMultilevel"/>
    <w:lvl w:ilvl="0">
      <w:lvlJc w:val="left"/>
      <w:lvlText w:val="%1."/>
      <w:numFmt w:val="decimal"/>
      <w:start w:val="17"/>
    </w:lvl>
  </w:abstractNum>
  <w:abstractNum w:abstractNumId="56">
    <w:nsid w:val="61574095"/>
    <w:multiLevelType w:val="hybridMultilevel"/>
    <w:lvl w:ilvl="0">
      <w:lvlJc w:val="left"/>
      <w:lvlText w:val="%1."/>
      <w:numFmt w:val="decimal"/>
      <w:start w:val="18"/>
    </w:lvl>
  </w:abstractNum>
  <w:abstractNum w:abstractNumId="57">
    <w:nsid w:val="7E0C57B1"/>
    <w:multiLevelType w:val="hybridMultilevel"/>
    <w:lvl w:ilvl="0">
      <w:lvlJc w:val="left"/>
      <w:lvlText w:val="%1."/>
      <w:numFmt w:val="decimal"/>
      <w:start w:val="19"/>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lowerRoman"/>
      <w:start w:val="1"/>
    </w:lvl>
  </w:abstractNum>
  <w:abstractNum w:abstractNumId="60">
    <w:nsid w:val="310C50B3"/>
    <w:multiLevelType w:val="hybridMultilevel"/>
    <w:lvl w:ilvl="0">
      <w:lvlJc w:val="left"/>
      <w:lvlText w:val="(%1)"/>
      <w:numFmt w:val="lowerRoman"/>
      <w:start w:val="4"/>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decimal"/>
      <w:start w:val="1"/>
    </w:lvl>
    <w:lvl w:ilvl="1">
      <w:lvlJc w:val="left"/>
      <w:lvlText w:val="(%2)"/>
      <w:numFmt w:val="lowerLetter"/>
      <w:start w:val="5"/>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51" Type="http://schemas.openxmlformats.org/officeDocument/2006/relationships/hyperlink" Target="https://www.sec.gov/Archives/edgar/data/823768/000110465922067600/tm2217217d1_ex10-1.htm" TargetMode="External"/><Relationship Id="rId52" Type="http://schemas.openxmlformats.org/officeDocument/2006/relationships/hyperlink" Target="https://www.sec.gov/Archives/edgar/data/823768/000110465922067600/tm221721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2022-07-27T12:09:15Z</dcterms:created>
  <dcterms:modified xsi:type="dcterms:W3CDTF">2022-07-27T12:09:15Z</dcterms:modified>
</cp:coreProperties>
</file>