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Issuer Free Writing Prospectus dated February 18, 2015 relating to the</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Preliminary Prospectus Supplement dated February 18, 2015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to Prospectus dated September 28, 2012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Registration Statement No. 333-184157</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80" w:type="dxa"/>
            <w:vAlign w:val="bottom"/>
          </w:tcPr>
          <w:p>
            <w:pPr>
              <w:jc w:val="center"/>
              <w:ind w:right="610"/>
              <w:spacing w:after="0"/>
              <w:rPr>
                <w:sz w:val="20"/>
                <w:szCs w:val="20"/>
                <w:color w:val="auto"/>
              </w:rPr>
            </w:pPr>
            <w:r>
              <w:rPr>
                <w:rFonts w:ascii="Arial" w:cs="Arial" w:eastAsia="Arial" w:hAnsi="Arial"/>
                <w:sz w:val="18"/>
                <w:szCs w:val="18"/>
                <w:b w:val="1"/>
                <w:bCs w:val="1"/>
                <w:color w:val="auto"/>
                <w:w w:val="91"/>
              </w:rPr>
              <w:t>Final Pricing Term Sheet</w:t>
            </w:r>
          </w:p>
        </w:tc>
      </w:tr>
      <w:tr>
        <w:trPr>
          <w:trHeight w:val="306"/>
        </w:trPr>
        <w:tc>
          <w:tcPr>
            <w:tcW w:w="3380" w:type="dxa"/>
            <w:vAlign w:val="bottom"/>
          </w:tcPr>
          <w:p>
            <w:pPr>
              <w:spacing w:after="0"/>
              <w:rPr>
                <w:sz w:val="24"/>
                <w:szCs w:val="24"/>
                <w:color w:val="auto"/>
              </w:rPr>
            </w:pPr>
          </w:p>
        </w:tc>
        <w:tc>
          <w:tcPr>
            <w:tcW w:w="412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$600,000,000 3.125% Senior Notes due 2025</w:t>
            </w:r>
          </w:p>
        </w:tc>
      </w:tr>
      <w:tr>
        <w:trPr>
          <w:trHeight w:val="216"/>
        </w:trPr>
        <w:tc>
          <w:tcPr>
            <w:tcW w:w="3380" w:type="dxa"/>
            <w:vAlign w:val="bottom"/>
          </w:tcPr>
          <w:p>
            <w:pPr>
              <w:spacing w:after="0"/>
              <w:rPr>
                <w:sz w:val="18"/>
                <w:szCs w:val="18"/>
                <w:color w:val="auto"/>
              </w:rPr>
            </w:pPr>
          </w:p>
        </w:tc>
        <w:tc>
          <w:tcPr>
            <w:tcW w:w="412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$450,000,000 3.900% Senior Notes due 2035</w:t>
            </w:r>
          </w:p>
        </w:tc>
      </w:tr>
      <w:tr>
        <w:trPr>
          <w:trHeight w:val="234"/>
        </w:trPr>
        <w:tc>
          <w:tcPr>
            <w:tcW w:w="3380" w:type="dxa"/>
            <w:vAlign w:val="bottom"/>
          </w:tcPr>
          <w:p>
            <w:pPr>
              <w:spacing w:after="0"/>
              <w:rPr>
                <w:sz w:val="20"/>
                <w:szCs w:val="20"/>
                <w:color w:val="auto"/>
              </w:rPr>
            </w:pPr>
          </w:p>
        </w:tc>
        <w:tc>
          <w:tcPr>
            <w:tcW w:w="4120" w:type="dxa"/>
            <w:vAlign w:val="bottom"/>
            <w:gridSpan w:val="2"/>
          </w:tcPr>
          <w:p>
            <w:pPr>
              <w:jc w:val="center"/>
              <w:ind w:left="450"/>
              <w:spacing w:after="0"/>
              <w:rPr>
                <w:sz w:val="20"/>
                <w:szCs w:val="20"/>
                <w:color w:val="auto"/>
              </w:rPr>
            </w:pPr>
            <w:r>
              <w:rPr>
                <w:rFonts w:ascii="Arial" w:cs="Arial" w:eastAsia="Arial" w:hAnsi="Arial"/>
                <w:sz w:val="18"/>
                <w:szCs w:val="18"/>
                <w:b w:val="1"/>
                <w:bCs w:val="1"/>
                <w:color w:val="auto"/>
                <w:w w:val="90"/>
              </w:rPr>
              <w:t>$750,000,000 4.100% Senior Notes due 2045</w:t>
            </w:r>
          </w:p>
        </w:tc>
      </w:tr>
      <w:tr>
        <w:trPr>
          <w:trHeight w:val="459"/>
        </w:trPr>
        <w:tc>
          <w:tcPr>
            <w:tcW w:w="3380" w:type="dxa"/>
            <w:vAlign w:val="bottom"/>
          </w:tcPr>
          <w:p>
            <w:pPr>
              <w:spacing w:after="0"/>
              <w:rPr>
                <w:sz w:val="20"/>
                <w:szCs w:val="20"/>
                <w:color w:val="auto"/>
              </w:rPr>
            </w:pPr>
            <w:r>
              <w:rPr>
                <w:rFonts w:ascii="Arial" w:cs="Arial" w:eastAsia="Arial" w:hAnsi="Arial"/>
                <w:sz w:val="18"/>
                <w:szCs w:val="18"/>
                <w:color w:val="auto"/>
              </w:rPr>
              <w:t>Issuer:</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Waste Management, Inc.</w:t>
            </w:r>
          </w:p>
        </w:tc>
      </w:tr>
      <w:tr>
        <w:trPr>
          <w:trHeight w:val="324"/>
        </w:trPr>
        <w:tc>
          <w:tcPr>
            <w:tcW w:w="3380" w:type="dxa"/>
            <w:vAlign w:val="bottom"/>
          </w:tcPr>
          <w:p>
            <w:pPr>
              <w:spacing w:after="0"/>
              <w:rPr>
                <w:sz w:val="20"/>
                <w:szCs w:val="20"/>
                <w:color w:val="auto"/>
              </w:rPr>
            </w:pPr>
            <w:r>
              <w:rPr>
                <w:rFonts w:ascii="Arial" w:cs="Arial" w:eastAsia="Arial" w:hAnsi="Arial"/>
                <w:sz w:val="18"/>
                <w:szCs w:val="18"/>
                <w:color w:val="auto"/>
              </w:rPr>
              <w:t>Guarantor:</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Waste Management Holdings, Inc.</w:t>
            </w:r>
          </w:p>
        </w:tc>
      </w:tr>
      <w:tr>
        <w:trPr>
          <w:trHeight w:val="310"/>
        </w:trPr>
        <w:tc>
          <w:tcPr>
            <w:tcW w:w="3380" w:type="dxa"/>
            <w:vAlign w:val="bottom"/>
          </w:tcPr>
          <w:p>
            <w:pPr>
              <w:spacing w:after="0"/>
              <w:rPr>
                <w:sz w:val="20"/>
                <w:szCs w:val="20"/>
                <w:color w:val="auto"/>
              </w:rPr>
            </w:pPr>
            <w:r>
              <w:rPr>
                <w:rFonts w:ascii="Arial" w:cs="Arial" w:eastAsia="Arial" w:hAnsi="Arial"/>
                <w:sz w:val="18"/>
                <w:szCs w:val="18"/>
                <w:color w:val="auto"/>
              </w:rPr>
              <w:t>Principal Amount:</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2025 Notes: $600,000,000</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$450,000,000</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$750,000,000</w:t>
            </w:r>
          </w:p>
        </w:tc>
      </w:tr>
      <w:tr>
        <w:trPr>
          <w:trHeight w:val="323"/>
        </w:trPr>
        <w:tc>
          <w:tcPr>
            <w:tcW w:w="3380" w:type="dxa"/>
            <w:vAlign w:val="bottom"/>
          </w:tcPr>
          <w:p>
            <w:pPr>
              <w:spacing w:after="0"/>
              <w:rPr>
                <w:sz w:val="20"/>
                <w:szCs w:val="20"/>
                <w:color w:val="auto"/>
              </w:rPr>
            </w:pPr>
            <w:r>
              <w:rPr>
                <w:rFonts w:ascii="Arial" w:cs="Arial" w:eastAsia="Arial" w:hAnsi="Arial"/>
                <w:sz w:val="18"/>
                <w:szCs w:val="18"/>
                <w:color w:val="auto"/>
              </w:rPr>
              <w:t>Maturity:</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2025 Notes: March 1, 2025</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March 1, 2035</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March 1, 2045</w:t>
            </w:r>
          </w:p>
        </w:tc>
      </w:tr>
      <w:tr>
        <w:trPr>
          <w:trHeight w:val="323"/>
        </w:trPr>
        <w:tc>
          <w:tcPr>
            <w:tcW w:w="3380" w:type="dxa"/>
            <w:vAlign w:val="bottom"/>
          </w:tcPr>
          <w:p>
            <w:pPr>
              <w:spacing w:after="0"/>
              <w:rPr>
                <w:sz w:val="20"/>
                <w:szCs w:val="20"/>
                <w:color w:val="auto"/>
              </w:rPr>
            </w:pPr>
            <w:r>
              <w:rPr>
                <w:rFonts w:ascii="Arial" w:cs="Arial" w:eastAsia="Arial" w:hAnsi="Arial"/>
                <w:sz w:val="18"/>
                <w:szCs w:val="18"/>
                <w:color w:val="auto"/>
              </w:rPr>
              <w:t>Coupon:</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2025 Notes: 3.125%</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3.900%</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4.100%</w:t>
            </w:r>
          </w:p>
        </w:tc>
      </w:tr>
      <w:tr>
        <w:trPr>
          <w:trHeight w:val="323"/>
        </w:trPr>
        <w:tc>
          <w:tcPr>
            <w:tcW w:w="3380" w:type="dxa"/>
            <w:vAlign w:val="bottom"/>
          </w:tcPr>
          <w:p>
            <w:pPr>
              <w:spacing w:after="0"/>
              <w:rPr>
                <w:sz w:val="20"/>
                <w:szCs w:val="20"/>
                <w:color w:val="auto"/>
              </w:rPr>
            </w:pPr>
            <w:r>
              <w:rPr>
                <w:rFonts w:ascii="Arial" w:cs="Arial" w:eastAsia="Arial" w:hAnsi="Arial"/>
                <w:sz w:val="18"/>
                <w:szCs w:val="18"/>
                <w:color w:val="auto"/>
              </w:rPr>
              <w:t>Price to Public:</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2025 Notes: 99.574% of face amount</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99.834% of face amount</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99.794% of face amount</w:t>
            </w:r>
          </w:p>
        </w:tc>
      </w:tr>
      <w:tr>
        <w:trPr>
          <w:trHeight w:val="323"/>
        </w:trPr>
        <w:tc>
          <w:tcPr>
            <w:tcW w:w="3380" w:type="dxa"/>
            <w:vAlign w:val="bottom"/>
          </w:tcPr>
          <w:p>
            <w:pPr>
              <w:spacing w:after="0"/>
              <w:rPr>
                <w:sz w:val="20"/>
                <w:szCs w:val="20"/>
                <w:color w:val="auto"/>
              </w:rPr>
            </w:pPr>
            <w:r>
              <w:rPr>
                <w:rFonts w:ascii="Arial" w:cs="Arial" w:eastAsia="Arial" w:hAnsi="Arial"/>
                <w:sz w:val="18"/>
                <w:szCs w:val="18"/>
                <w:color w:val="auto"/>
              </w:rPr>
              <w:t>Underwriting Discount:</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2025 Notes: 0.650%</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0.875%</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0.875%</w:t>
            </w:r>
          </w:p>
        </w:tc>
      </w:tr>
      <w:tr>
        <w:trPr>
          <w:trHeight w:val="323"/>
        </w:trPr>
        <w:tc>
          <w:tcPr>
            <w:tcW w:w="3380" w:type="dxa"/>
            <w:vAlign w:val="bottom"/>
          </w:tcPr>
          <w:p>
            <w:pPr>
              <w:spacing w:after="0"/>
              <w:rPr>
                <w:sz w:val="20"/>
                <w:szCs w:val="20"/>
                <w:color w:val="auto"/>
              </w:rPr>
            </w:pPr>
            <w:r>
              <w:rPr>
                <w:rFonts w:ascii="Arial" w:cs="Arial" w:eastAsia="Arial" w:hAnsi="Arial"/>
                <w:sz w:val="18"/>
                <w:szCs w:val="18"/>
                <w:color w:val="auto"/>
              </w:rPr>
              <w:t>Benchmark Treasury:</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w w:val="92"/>
              </w:rPr>
              <w:t>2025 Notes: 2.000% due February 15, 2025</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w w:val="89"/>
              </w:rPr>
              <w:t>Notes: 3.000% due November 15, 2044</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w w:val="89"/>
              </w:rPr>
              <w:t>Notes: 3.000% due November 15, 2044</w:t>
            </w:r>
          </w:p>
        </w:tc>
      </w:tr>
      <w:tr>
        <w:trPr>
          <w:trHeight w:val="323"/>
        </w:trPr>
        <w:tc>
          <w:tcPr>
            <w:tcW w:w="3380" w:type="dxa"/>
            <w:vAlign w:val="bottom"/>
          </w:tcPr>
          <w:p>
            <w:pPr>
              <w:spacing w:after="0"/>
              <w:rPr>
                <w:sz w:val="20"/>
                <w:szCs w:val="20"/>
                <w:color w:val="auto"/>
              </w:rPr>
            </w:pPr>
            <w:r>
              <w:rPr>
                <w:rFonts w:ascii="Arial" w:cs="Arial" w:eastAsia="Arial" w:hAnsi="Arial"/>
                <w:sz w:val="18"/>
                <w:szCs w:val="18"/>
                <w:color w:val="auto"/>
              </w:rPr>
              <w:t>Spread to Benchmark Treasury:</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2025 Notes: 110 basis points</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120 basis points</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140 basis points</w:t>
            </w:r>
          </w:p>
        </w:tc>
      </w:tr>
      <w:tr>
        <w:trPr>
          <w:trHeight w:val="323"/>
        </w:trPr>
        <w:tc>
          <w:tcPr>
            <w:tcW w:w="3380" w:type="dxa"/>
            <w:vAlign w:val="bottom"/>
          </w:tcPr>
          <w:p>
            <w:pPr>
              <w:spacing w:after="0"/>
              <w:rPr>
                <w:sz w:val="20"/>
                <w:szCs w:val="20"/>
                <w:color w:val="auto"/>
              </w:rPr>
            </w:pPr>
            <w:r>
              <w:rPr>
                <w:rFonts w:ascii="Arial" w:cs="Arial" w:eastAsia="Arial" w:hAnsi="Arial"/>
                <w:sz w:val="18"/>
                <w:szCs w:val="18"/>
                <w:color w:val="auto"/>
              </w:rPr>
              <w:t>Benchmark Treasury Price and Yield:</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2025 Notes: 99-10+ / 2.075%</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105-27 / 2.712%</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105-27 / 2.712%</w:t>
            </w:r>
          </w:p>
        </w:tc>
      </w:tr>
      <w:tr>
        <w:trPr>
          <w:trHeight w:val="323"/>
        </w:trPr>
        <w:tc>
          <w:tcPr>
            <w:tcW w:w="3380" w:type="dxa"/>
            <w:vAlign w:val="bottom"/>
          </w:tcPr>
          <w:p>
            <w:pPr>
              <w:spacing w:after="0"/>
              <w:rPr>
                <w:sz w:val="20"/>
                <w:szCs w:val="20"/>
                <w:color w:val="auto"/>
              </w:rPr>
            </w:pPr>
            <w:r>
              <w:rPr>
                <w:rFonts w:ascii="Arial" w:cs="Arial" w:eastAsia="Arial" w:hAnsi="Arial"/>
                <w:sz w:val="18"/>
                <w:szCs w:val="18"/>
                <w:color w:val="auto"/>
              </w:rPr>
              <w:t>Yield to maturity:</w:t>
            </w:r>
          </w:p>
        </w:tc>
        <w:tc>
          <w:tcPr>
            <w:tcW w:w="4120" w:type="dxa"/>
            <w:vAlign w:val="bottom"/>
            <w:gridSpan w:val="2"/>
          </w:tcPr>
          <w:p>
            <w:pPr>
              <w:ind w:left="860"/>
              <w:spacing w:after="0"/>
              <w:rPr>
                <w:sz w:val="20"/>
                <w:szCs w:val="20"/>
                <w:color w:val="auto"/>
              </w:rPr>
            </w:pPr>
            <w:r>
              <w:rPr>
                <w:rFonts w:ascii="Arial" w:cs="Arial" w:eastAsia="Arial" w:hAnsi="Arial"/>
                <w:sz w:val="18"/>
                <w:szCs w:val="18"/>
                <w:color w:val="auto"/>
              </w:rPr>
              <w:t>2025 Notes: 3.175%</w:t>
            </w:r>
          </w:p>
        </w:tc>
      </w:tr>
      <w:tr>
        <w:trPr>
          <w:trHeight w:val="216"/>
        </w:trPr>
        <w:tc>
          <w:tcPr>
            <w:tcW w:w="3380" w:type="dxa"/>
            <w:vAlign w:val="bottom"/>
          </w:tcPr>
          <w:p>
            <w:pPr>
              <w:spacing w:after="0"/>
              <w:rPr>
                <w:sz w:val="18"/>
                <w:szCs w:val="18"/>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2035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3.912%</w:t>
            </w:r>
          </w:p>
        </w:tc>
      </w:tr>
      <w:tr>
        <w:trPr>
          <w:trHeight w:val="230"/>
        </w:trPr>
        <w:tc>
          <w:tcPr>
            <w:tcW w:w="3380" w:type="dxa"/>
            <w:vAlign w:val="bottom"/>
          </w:tcPr>
          <w:p>
            <w:pPr>
              <w:spacing w:after="0"/>
              <w:rPr>
                <w:sz w:val="20"/>
                <w:szCs w:val="20"/>
                <w:color w:val="auto"/>
              </w:rPr>
            </w:pPr>
          </w:p>
        </w:tc>
        <w:tc>
          <w:tcPr>
            <w:tcW w:w="1240" w:type="dxa"/>
            <w:vAlign w:val="bottom"/>
          </w:tcPr>
          <w:p>
            <w:pPr>
              <w:ind w:left="860"/>
              <w:spacing w:after="0"/>
              <w:rPr>
                <w:sz w:val="20"/>
                <w:szCs w:val="20"/>
                <w:color w:val="auto"/>
              </w:rPr>
            </w:pPr>
            <w:r>
              <w:rPr>
                <w:rFonts w:ascii="Arial" w:cs="Arial" w:eastAsia="Arial" w:hAnsi="Arial"/>
                <w:sz w:val="18"/>
                <w:szCs w:val="18"/>
                <w:color w:val="auto"/>
                <w:w w:val="89"/>
              </w:rPr>
              <w:t>2045</w:t>
            </w:r>
          </w:p>
        </w:tc>
        <w:tc>
          <w:tcPr>
            <w:tcW w:w="2880" w:type="dxa"/>
            <w:vAlign w:val="bottom"/>
          </w:tcPr>
          <w:p>
            <w:pPr>
              <w:ind w:left="20"/>
              <w:spacing w:after="0"/>
              <w:rPr>
                <w:sz w:val="20"/>
                <w:szCs w:val="20"/>
                <w:color w:val="auto"/>
              </w:rPr>
            </w:pPr>
            <w:r>
              <w:rPr>
                <w:rFonts w:ascii="Arial" w:cs="Arial" w:eastAsia="Arial" w:hAnsi="Arial"/>
                <w:sz w:val="18"/>
                <w:szCs w:val="18"/>
                <w:color w:val="auto"/>
              </w:rPr>
              <w:t>Notes: 4.112%</w:t>
            </w:r>
          </w:p>
        </w:tc>
      </w:tr>
    </w:tbl>
    <w:p>
      <w:pPr>
        <w:sectPr>
          <w:pgSz w:w="11900" w:h="16838" w:orient="portrait"/>
          <w:cols w:equalWidth="0" w:num="1">
            <w:col w:w="11420"/>
          </w:cols>
          <w:pgMar w:left="240" w:top="233" w:right="2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Interest Payment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Semi-annually on March 1 and September 1, commencing on September 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-201295</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520" w:space="720"/>
            <w:col w:w="7060"/>
          </w:cols>
          <w:pgMar w:left="240" w:top="274" w:right="359" w:bottom="1440" w:gutter="0" w:footer="0" w:header="0"/>
        </w:sectPr>
      </w:pPr>
    </w:p>
    <w:p>
      <w:pPr>
        <w:spacing w:after="0"/>
        <w:rPr>
          <w:sz w:val="20"/>
          <w:szCs w:val="20"/>
          <w:color w:val="auto"/>
        </w:rPr>
      </w:pPr>
      <w:r>
        <w:rPr>
          <w:rFonts w:ascii="Arial" w:cs="Arial" w:eastAsia="Arial" w:hAnsi="Arial"/>
          <w:sz w:val="16"/>
          <w:szCs w:val="16"/>
          <w:color w:val="auto"/>
        </w:rPr>
        <w:t>Redemption Provisions:</w:t>
      </w:r>
    </w:p>
    <w:p>
      <w:pPr>
        <w:spacing w:after="0" w:line="20" w:lineRule="exact"/>
        <w:rPr>
          <w:sz w:val="20"/>
          <w:szCs w:val="20"/>
          <w:color w:val="auto"/>
        </w:rPr>
      </w:pPr>
      <w:r>
        <w:rPr>
          <w:sz w:val="20"/>
          <w:szCs w:val="20"/>
          <w:color w:val="auto"/>
        </w:rPr>
        <w:br w:type="column"/>
      </w:r>
    </w:p>
    <w:p>
      <w:pPr>
        <w:ind w:right="40"/>
        <w:spacing w:after="0" w:line="273" w:lineRule="auto"/>
        <w:rPr>
          <w:sz w:val="20"/>
          <w:szCs w:val="20"/>
          <w:color w:val="auto"/>
        </w:rPr>
      </w:pPr>
      <w:r>
        <w:rPr>
          <w:rFonts w:ascii="Arial" w:cs="Arial" w:eastAsia="Arial" w:hAnsi="Arial"/>
          <w:sz w:val="17"/>
          <w:szCs w:val="17"/>
          <w:color w:val="auto"/>
        </w:rPr>
        <w:t>The 2025 Notes are redeemable at any time prior to December 1, 2024 (three months prior to the maturity date), in whole or from time to time in part, at the option of the Company, at a make whole redemption price using the applicable Treasury rate plus 20 basis points (as defined and described in further detail in the Prospectus Supplement). Redeemable on or after December 1, 2024 (three months prior to the maturity date), in whole or from time to time in part, at the option of the Company, at a price of 100% plus accrued interest.</w:t>
      </w:r>
    </w:p>
    <w:p>
      <w:pPr>
        <w:spacing w:after="0" w:line="200" w:lineRule="exact"/>
        <w:rPr>
          <w:sz w:val="20"/>
          <w:szCs w:val="20"/>
          <w:color w:val="auto"/>
        </w:rPr>
      </w:pPr>
    </w:p>
    <w:p>
      <w:pPr>
        <w:sectPr>
          <w:pgSz w:w="11900" w:h="16838" w:orient="portrait"/>
          <w:cols w:equalWidth="0" w:num="2">
            <w:col w:w="3520" w:space="720"/>
            <w:col w:w="7060"/>
          </w:cols>
          <w:pgMar w:left="240" w:top="274" w:right="359" w:bottom="1440" w:gutter="0" w:footer="0" w:header="0"/>
          <w:type w:val="continuous"/>
        </w:sectPr>
      </w:pPr>
    </w:p>
    <w:p>
      <w:pPr>
        <w:spacing w:after="0" w:line="5" w:lineRule="exact"/>
        <w:rPr>
          <w:sz w:val="20"/>
          <w:szCs w:val="20"/>
          <w:color w:val="auto"/>
        </w:rPr>
      </w:pPr>
    </w:p>
    <w:p>
      <w:pPr>
        <w:ind w:left="4240"/>
        <w:spacing w:after="0" w:line="273" w:lineRule="auto"/>
        <w:rPr>
          <w:sz w:val="20"/>
          <w:szCs w:val="20"/>
          <w:color w:val="auto"/>
        </w:rPr>
      </w:pPr>
      <w:r>
        <w:rPr>
          <w:rFonts w:ascii="Arial" w:cs="Arial" w:eastAsia="Arial" w:hAnsi="Arial"/>
          <w:sz w:val="17"/>
          <w:szCs w:val="17"/>
          <w:color w:val="auto"/>
        </w:rPr>
        <w:t>The 2035 Notes are redeemable at any time prior to September 1, 2034 (six months prior to the maturity date), in whole or from time to time in part, at the option of the Company, at a make whole redemption price using the applicable Treasury rate plus 20 basis points (as defined and described in further detail in the Prospectus Supplement). Redeemable on or after September 1, 2034 (six months prior to the maturity date), in whole or from time to time in part, at the option of the Company, at a price of 100% plus accrued interest.</w:t>
      </w:r>
    </w:p>
    <w:p>
      <w:pPr>
        <w:spacing w:after="0" w:line="205" w:lineRule="exact"/>
        <w:rPr>
          <w:sz w:val="20"/>
          <w:szCs w:val="20"/>
          <w:color w:val="auto"/>
        </w:rPr>
      </w:pPr>
    </w:p>
    <w:p>
      <w:pPr>
        <w:ind w:left="4240"/>
        <w:spacing w:after="0" w:line="273" w:lineRule="auto"/>
        <w:rPr>
          <w:sz w:val="20"/>
          <w:szCs w:val="20"/>
          <w:color w:val="auto"/>
        </w:rPr>
      </w:pPr>
      <w:r>
        <w:rPr>
          <w:rFonts w:ascii="Arial" w:cs="Arial" w:eastAsia="Arial" w:hAnsi="Arial"/>
          <w:sz w:val="17"/>
          <w:szCs w:val="17"/>
          <w:color w:val="auto"/>
        </w:rPr>
        <w:t>The 2045 Notes are redeemable at any time prior to September 1, 2044 (six months prior to the maturity date), in whole or from time to time in part, at the option of the Company, at a make whole redemption price using the applicable Treasury rate plus 25 basis points (as defined and described in further detail in the Prospectus Supplement). Redeemable on or after September 1, 2044 (six months prior to the maturity date), in whole or from time to time in part, at the option of the Company, at a price of 100% plus accrued interest.</w:t>
      </w:r>
    </w:p>
    <w:p>
      <w:pPr>
        <w:sectPr>
          <w:pgSz w:w="11900" w:h="16838" w:orient="portrait"/>
          <w:cols w:equalWidth="0" w:num="1">
            <w:col w:w="11300"/>
          </w:cols>
          <w:pgMar w:left="240" w:top="274" w:right="359" w:bottom="1440" w:gutter="0" w:footer="0" w:header="0"/>
          <w:type w:val="continuous"/>
        </w:sectPr>
      </w:pP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Ratings*: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color w:val="auto"/>
        </w:rPr>
        <w:t>Moody’s: Baa2 (stable)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S&amp;P: A- (stable)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Fitch: BBB (stable)</w:t>
      </w:r>
    </w:p>
    <w:p>
      <w:pPr>
        <w:spacing w:after="0" w:line="116" w:lineRule="exact"/>
        <w:rPr>
          <w:sz w:val="20"/>
          <w:szCs w:val="20"/>
          <w:color w:val="auto"/>
        </w:rPr>
      </w:pPr>
    </w:p>
    <w:p>
      <w:pPr>
        <w:sectPr>
          <w:pgSz w:w="11900" w:h="16838" w:orient="portrait"/>
          <w:cols w:equalWidth="0" w:num="2">
            <w:col w:w="3520" w:space="720"/>
            <w:col w:w="70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February 18, 2015</w:t>
      </w:r>
    </w:p>
    <w:p>
      <w:pPr>
        <w:spacing w:after="0" w:line="140" w:lineRule="exact"/>
        <w:rPr>
          <w:sz w:val="20"/>
          <w:szCs w:val="20"/>
          <w:color w:val="auto"/>
        </w:rPr>
      </w:pPr>
    </w:p>
    <w:p>
      <w:pPr>
        <w:sectPr>
          <w:pgSz w:w="11900" w:h="16838" w:orient="portrait"/>
          <w:cols w:equalWidth="0" w:num="2">
            <w:col w:w="3520" w:space="720"/>
            <w:col w:w="70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Settlement: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T+6; February 26, 2015</w:t>
      </w:r>
    </w:p>
    <w:p>
      <w:pPr>
        <w:spacing w:after="0" w:line="140" w:lineRule="exact"/>
        <w:rPr>
          <w:sz w:val="20"/>
          <w:szCs w:val="20"/>
          <w:color w:val="auto"/>
        </w:rPr>
      </w:pPr>
    </w:p>
    <w:p>
      <w:pPr>
        <w:sectPr>
          <w:pgSz w:w="11900" w:h="16838" w:orient="portrait"/>
          <w:cols w:equalWidth="0" w:num="2">
            <w:col w:w="3520" w:space="720"/>
            <w:col w:w="7060"/>
          </w:cols>
          <w:pgMar w:left="240" w:top="274" w:right="359" w:bottom="1440" w:gutter="0" w:footer="0" w:header="0"/>
          <w:type w:val="continuous"/>
        </w:sect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2025 Notes: 94106L BA6 / US94106LBA61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2035 Notes: 94106L BB4 / US94106LBB45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2045 Notes: 94106L BC2 / US94106LBC28</w:t>
      </w:r>
    </w:p>
    <w:p>
      <w:pPr>
        <w:sectPr>
          <w:pgSz w:w="11900" w:h="16838" w:orient="portrait"/>
          <w:cols w:equalWidth="0" w:num="2">
            <w:col w:w="3520" w:space="720"/>
            <w:col w:w="7060"/>
          </w:cols>
          <w:pgMar w:left="240" w:top="274" w:right="359" w:bottom="1440" w:gutter="0" w:footer="0" w:header="0"/>
          <w:type w:val="continuous"/>
        </w:sectPr>
      </w:pPr>
    </w:p>
    <w:bookmarkStart w:id="2" w:name="page3"/>
    <w:bookmarkEnd w:id="2"/>
    <w:p>
      <w:pPr>
        <w:spacing w:after="0"/>
        <w:rPr>
          <w:sz w:val="20"/>
          <w:szCs w:val="20"/>
          <w:color w:val="auto"/>
        </w:rPr>
      </w:pPr>
      <w:r>
        <w:rPr>
          <w:rFonts w:ascii="Arial" w:cs="Arial" w:eastAsia="Arial" w:hAnsi="Arial"/>
          <w:sz w:val="16"/>
          <w:szCs w:val="16"/>
          <w:color w:val="auto"/>
        </w:rPr>
        <w:t>Denominations/Increments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$2,000/$1,000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-2699385</wp:posOffset>
            </wp:positionH>
            <wp:positionV relativeFrom="paragraph">
              <wp:posOffset>-201295</wp:posOffset>
            </wp:positionV>
            <wp:extent cx="72891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520" w:space="720"/>
            <w:col w:w="7060"/>
          </w:cols>
          <w:pgMar w:left="240" w:top="274" w:right="359" w:bottom="1440" w:gutter="0" w:footer="0" w:header="0"/>
        </w:sect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Credit Suisse Securities (USA) LLC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Goldman, Sachs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RBS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Wells Fargo Securities, LLC</w:t>
      </w:r>
    </w:p>
    <w:p>
      <w:pPr>
        <w:spacing w:after="0" w:line="116" w:lineRule="exact"/>
        <w:rPr>
          <w:sz w:val="20"/>
          <w:szCs w:val="20"/>
          <w:color w:val="auto"/>
        </w:rPr>
      </w:pPr>
    </w:p>
    <w:p>
      <w:pPr>
        <w:sectPr>
          <w:pgSz w:w="11900" w:h="16838" w:orient="portrait"/>
          <w:cols w:equalWidth="0" w:num="2">
            <w:col w:w="3520" w:space="720"/>
            <w:col w:w="7060"/>
          </w:cols>
          <w:pgMar w:left="240" w:top="274" w:right="359" w:bottom="1440" w:gutter="0" w:footer="0" w:header="0"/>
          <w:type w:val="continuous"/>
        </w:sect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Mitsubishi UFJ Securities (USA),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World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PNC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Blaylock Beal Van,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BNY Mellon Capital Markets,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Drexel Hamilton,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200" w:lineRule="exact"/>
        <w:rPr>
          <w:sz w:val="20"/>
          <w:szCs w:val="20"/>
          <w:color w:val="auto"/>
        </w:rPr>
      </w:pPr>
    </w:p>
    <w:p>
      <w:pPr>
        <w:sectPr>
          <w:pgSz w:w="11900" w:h="16838" w:orient="portrait"/>
          <w:cols w:equalWidth="0" w:num="2">
            <w:col w:w="3520" w:space="720"/>
            <w:col w:w="7060"/>
          </w:cols>
          <w:pgMar w:left="240" w:top="274" w:right="359"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*Note: A securities rating is not a recommendation to buy, sell or hold securities and may be subject to revision or withdrawal at any time.</w:t>
      </w:r>
    </w:p>
    <w:p>
      <w:pPr>
        <w:spacing w:after="0" w:line="225" w:lineRule="exact"/>
        <w:rPr>
          <w:sz w:val="20"/>
          <w:szCs w:val="20"/>
          <w:color w:val="auto"/>
        </w:rPr>
      </w:pPr>
    </w:p>
    <w:p>
      <w:pPr>
        <w:ind w:right="100"/>
        <w:spacing w:after="0" w:line="285" w:lineRule="auto"/>
        <w:rPr>
          <w:sz w:val="20"/>
          <w:szCs w:val="20"/>
          <w:color w:val="auto"/>
        </w:rPr>
      </w:pPr>
      <w:r>
        <w:rPr>
          <w:rFonts w:ascii="Arial" w:cs="Arial" w:eastAsia="Arial" w:hAnsi="Arial"/>
          <w:sz w:val="16"/>
          <w:szCs w:val="16"/>
          <w:color w:val="auto"/>
        </w:rPr>
        <w:t>The issuer has filed a registration statement (including a prospectus) and prospectus supplement with the SEC for the offering to which this communication relates. Before you invest, you should read the prospectus in that registration statement and the prospectus supplement and other documents the issuer has filed with the SEC for more complete information about the issuer and this offering. You may get these documents for free by visiting EDGAR on the SEC Web site at www.sec.gov. Alternatively, the issuer, any underwriter or any dealer participating in the offering will arrange to send you the prospectus if you request it by contacting: (1) Credit Suisse Securities (USA) LLC toll-free at (800) 221-1037; (2) Deutsche Bank Securities Inc. toll-free at (800) 503-4611;</w:t>
      </w:r>
    </w:p>
    <w:p>
      <w:pPr>
        <w:spacing w:after="0" w:line="2" w:lineRule="exact"/>
        <w:rPr>
          <w:sz w:val="20"/>
          <w:szCs w:val="20"/>
          <w:color w:val="auto"/>
        </w:rPr>
      </w:pPr>
    </w:p>
    <w:p>
      <w:pPr>
        <w:jc w:val="both"/>
        <w:ind w:firstLine="8"/>
        <w:spacing w:after="0" w:line="255"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Goldman, Sachs &amp; Co., at (212) 902-1171 or (4) J.P. Morgan Securities LLC collect at (212) 834-4533. Any disclaimers or other notices that may appear below are not applicable to this communication and should be disregarded. Such disclaimers were automatically generated as a result of this communication being sent via email or another communication system.</w:t>
      </w:r>
    </w:p>
    <w:sectPr>
      <w:pgSz w:w="11900" w:h="16838" w:orient="portrait"/>
      <w:cols w:equalWidth="0" w:num="1">
        <w:col w:w="11300"/>
      </w:cols>
      <w:pgMar w:left="240" w:top="27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2019-12-20T20:50:13Z</dcterms:created>
  <dcterms:modified xsi:type="dcterms:W3CDTF">2019-12-20T20:50:13Z</dcterms:modified>
</cp:coreProperties>
</file>