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1760" w:type="dxa"/>
            <w:vAlign w:val="bottom"/>
          </w:tcPr>
          <w:p>
            <w:pPr>
              <w:jc w:val="center"/>
              <w:ind w:right="4"/>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right"/>
              <w:ind w:right="1574"/>
              <w:spacing w:after="0"/>
              <w:rPr>
                <w:sz w:val="20"/>
                <w:szCs w:val="20"/>
                <w:color w:val="auto"/>
              </w:rPr>
            </w:pPr>
            <w:r>
              <w:rPr>
                <w:rFonts w:ascii="Arial" w:cs="Arial" w:eastAsia="Arial" w:hAnsi="Arial"/>
                <w:sz w:val="18"/>
                <w:szCs w:val="18"/>
                <w:b w:val="1"/>
                <w:bCs w:val="1"/>
                <w:color w:val="auto"/>
              </w:rPr>
              <w:t>1-12154</w:t>
            </w:r>
          </w:p>
        </w:tc>
        <w:tc>
          <w:tcPr>
            <w:tcW w:w="2500" w:type="dxa"/>
            <w:vAlign w:val="bottom"/>
          </w:tcPr>
          <w:p>
            <w:pPr>
              <w:jc w:val="right"/>
              <w:ind w:right="18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left="934"/>
              <w:spacing w:after="0" w:line="149" w:lineRule="exact"/>
              <w:rPr>
                <w:sz w:val="20"/>
                <w:szCs w:val="20"/>
                <w:color w:val="auto"/>
              </w:rPr>
            </w:pPr>
            <w:r>
              <w:rPr>
                <w:rFonts w:ascii="Arial" w:cs="Arial" w:eastAsia="Arial" w:hAnsi="Arial"/>
                <w:sz w:val="14"/>
                <w:szCs w:val="14"/>
                <w:b w:val="1"/>
                <w:bCs w:val="1"/>
                <w:color w:val="auto"/>
                <w:w w:val="94"/>
              </w:rPr>
              <w:t>(Commission File Number)</w:t>
            </w:r>
          </w:p>
        </w:tc>
        <w:tc>
          <w:tcPr>
            <w:tcW w:w="2500" w:type="dxa"/>
            <w:vAlign w:val="bottom"/>
          </w:tcPr>
          <w:p>
            <w:pPr>
              <w:jc w:val="center"/>
              <w:ind w:left="9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spacing w:after="0"/>
              <w:rPr>
                <w:sz w:val="16"/>
                <w:szCs w:val="16"/>
                <w:color w:val="auto"/>
              </w:rPr>
            </w:pPr>
          </w:p>
        </w:tc>
        <w:tc>
          <w:tcPr>
            <w:tcW w:w="2500" w:type="dxa"/>
            <w:vAlign w:val="bottom"/>
          </w:tcPr>
          <w:p>
            <w:pPr>
              <w:jc w:val="center"/>
              <w:ind w:left="102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1760" w:type="dxa"/>
            <w:vAlign w:val="bottom"/>
          </w:tcPr>
          <w:p>
            <w:pPr>
              <w:spacing w:after="0"/>
              <w:rPr>
                <w:sz w:val="24"/>
                <w:szCs w:val="24"/>
                <w:color w:val="auto"/>
              </w:rPr>
            </w:pPr>
          </w:p>
        </w:tc>
        <w:tc>
          <w:tcPr>
            <w:tcW w:w="4940" w:type="dxa"/>
            <w:vAlign w:val="bottom"/>
          </w:tcPr>
          <w:p>
            <w:pPr>
              <w:jc w:val="center"/>
              <w:ind w:right="2894"/>
              <w:spacing w:after="0"/>
              <w:rPr>
                <w:sz w:val="20"/>
                <w:szCs w:val="20"/>
                <w:color w:val="auto"/>
              </w:rPr>
            </w:pPr>
            <w:r>
              <w:rPr>
                <w:rFonts w:ascii="Arial" w:cs="Arial" w:eastAsia="Arial" w:hAnsi="Arial"/>
                <w:sz w:val="18"/>
                <w:szCs w:val="18"/>
                <w:b w:val="1"/>
                <w:bCs w:val="1"/>
                <w:color w:val="auto"/>
                <w:w w:val="90"/>
              </w:rPr>
              <w:t>1001 Fannin, Suite 4000</w:t>
            </w:r>
          </w:p>
        </w:tc>
        <w:tc>
          <w:tcPr>
            <w:tcW w:w="2500" w:type="dxa"/>
            <w:vAlign w:val="bottom"/>
          </w:tcPr>
          <w:p>
            <w:pPr>
              <w:spacing w:after="0"/>
              <w:rPr>
                <w:sz w:val="24"/>
                <w:szCs w:val="24"/>
                <w:color w:val="auto"/>
              </w:rPr>
            </w:pPr>
          </w:p>
        </w:tc>
      </w:tr>
      <w:tr>
        <w:trPr>
          <w:trHeight w:val="225"/>
        </w:trPr>
        <w:tc>
          <w:tcPr>
            <w:tcW w:w="1760" w:type="dxa"/>
            <w:vAlign w:val="bottom"/>
          </w:tcPr>
          <w:p>
            <w:pPr>
              <w:spacing w:after="0"/>
              <w:rPr>
                <w:sz w:val="19"/>
                <w:szCs w:val="19"/>
                <w:color w:val="auto"/>
              </w:rPr>
            </w:pPr>
          </w:p>
        </w:tc>
        <w:tc>
          <w:tcPr>
            <w:tcW w:w="4940" w:type="dxa"/>
            <w:vAlign w:val="bottom"/>
          </w:tcPr>
          <w:p>
            <w:pPr>
              <w:jc w:val="center"/>
              <w:ind w:right="2894"/>
              <w:spacing w:after="0"/>
              <w:rPr>
                <w:sz w:val="20"/>
                <w:szCs w:val="20"/>
                <w:color w:val="auto"/>
              </w:rPr>
            </w:pPr>
            <w:r>
              <w:rPr>
                <w:rFonts w:ascii="Arial" w:cs="Arial" w:eastAsia="Arial" w:hAnsi="Arial"/>
                <w:sz w:val="18"/>
                <w:szCs w:val="18"/>
                <w:b w:val="1"/>
                <w:bCs w:val="1"/>
                <w:color w:val="auto"/>
                <w:w w:val="86"/>
              </w:rPr>
              <w:t>Houston, Texas</w:t>
            </w:r>
          </w:p>
        </w:tc>
        <w:tc>
          <w:tcPr>
            <w:tcW w:w="2500" w:type="dxa"/>
            <w:vAlign w:val="bottom"/>
          </w:tcPr>
          <w:p>
            <w:pPr>
              <w:jc w:val="right"/>
              <w:ind w:right="401"/>
              <w:spacing w:after="0"/>
              <w:rPr>
                <w:sz w:val="20"/>
                <w:szCs w:val="20"/>
                <w:color w:val="auto"/>
              </w:rPr>
            </w:pPr>
            <w:r>
              <w:rPr>
                <w:rFonts w:ascii="Arial" w:cs="Arial" w:eastAsia="Arial" w:hAnsi="Arial"/>
                <w:sz w:val="18"/>
                <w:szCs w:val="18"/>
                <w:b w:val="1"/>
                <w:bCs w:val="1"/>
                <w:color w:val="auto"/>
              </w:rPr>
              <w:t>77002</w:t>
            </w:r>
          </w:p>
        </w:tc>
      </w:tr>
      <w:tr>
        <w:trPr>
          <w:trHeight w:val="186"/>
        </w:trPr>
        <w:tc>
          <w:tcPr>
            <w:tcW w:w="6700" w:type="dxa"/>
            <w:vAlign w:val="bottom"/>
            <w:gridSpan w:val="2"/>
          </w:tcPr>
          <w:p>
            <w:pPr>
              <w:jc w:val="center"/>
              <w:ind w:right="115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500" w:type="dxa"/>
            <w:vAlign w:val="bottom"/>
          </w:tcPr>
          <w:p>
            <w:pPr>
              <w:jc w:val="center"/>
              <w:ind w:left="10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1.04</w:t>
      </w:r>
      <w:r>
        <w:rPr>
          <w:sz w:val="20"/>
          <w:szCs w:val="20"/>
          <w:color w:val="auto"/>
        </w:rPr>
        <w:tab/>
      </w:r>
      <w:r>
        <w:rPr>
          <w:rFonts w:ascii="Arial" w:cs="Arial" w:eastAsia="Arial" w:hAnsi="Arial"/>
          <w:sz w:val="16"/>
          <w:szCs w:val="16"/>
          <w:b w:val="1"/>
          <w:bCs w:val="1"/>
          <w:color w:val="auto"/>
        </w:rPr>
        <w:t>Mine Safety – Reporting of Shutdown and Patterns of Violations.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25, 2015, Deffenbaugh Industries, Inc., an indirect subsidiary of Waste Management, Inc., received an imminent danger order issued by the Mine Safety and Health Administration under section 107(a) of the Federal Mine Safety and Health Act of 1977 at its Olathe Lone Elm Quarry located at its Lone Elm Landfill in Johnson County, Kansas. The order stated that a mechanic was observed walking and working under a suspended load, consisting of a front end loader tire that was suspended in the air approximately ten feet. No one was injured in the cited incident. The mechanic was removed from the area and safely lowered the suspended load. This order has been terminated. Under the rules of the Securities and Exchange Commission, the issuance of this order is required to be disclosed on Form 8-K.</w:t>
      </w:r>
    </w:p>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2015</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2019-12-06T01:36:39Z</dcterms:created>
  <dcterms:modified xsi:type="dcterms:W3CDTF">2019-12-06T01:36:39Z</dcterms:modified>
</cp:coreProperties>
</file>