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67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675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MYERS A MAURICE</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06/01/2004</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5"/>
        <w:spacing w:after="0"/>
        <w:rPr>
          <w:sz w:val="20"/>
          <w:szCs w:val="20"/>
          <w:color w:val="auto"/>
        </w:rPr>
      </w:pPr>
      <w:r>
        <w:rPr>
          <w:rFonts w:ascii="Arial" w:cs="Arial" w:eastAsia="Arial" w:hAnsi="Arial"/>
          <w:sz w:val="17"/>
          <w:szCs w:val="17"/>
          <w:color w:val="0000FF"/>
        </w:rPr>
        <w:t>Chairman of the Board</w:t>
      </w:r>
    </w:p>
    <w:p>
      <w:pPr>
        <w:spacing w:after="0" w:line="412" w:lineRule="exact"/>
        <w:rPr>
          <w:sz w:val="24"/>
          <w:szCs w:val="24"/>
          <w:color w:val="auto"/>
        </w:rPr>
      </w:pPr>
    </w:p>
    <w:p>
      <w:pPr>
        <w:sectPr>
          <w:pgSz w:w="11900" w:h="16838" w:orient="portrait"/>
          <w:cols w:equalWidth="0" w:num="3">
            <w:col w:w="3340" w:space="720"/>
            <w:col w:w="3360" w:space="635"/>
            <w:col w:w="3465"/>
          </w:cols>
          <w:pgMar w:left="240" w:top="223" w:right="1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8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0" w:lineRule="exact"/>
        <w:rPr>
          <w:sz w:val="24"/>
          <w:szCs w:val="24"/>
          <w:color w:val="auto"/>
        </w:rPr>
      </w:pPr>
    </w:p>
    <w:p>
      <w:pPr>
        <w:sectPr>
          <w:pgSz w:w="11900" w:h="16838" w:orient="portrait"/>
          <w:cols w:equalWidth="0" w:num="2">
            <w:col w:w="3920" w:space="14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2"/>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9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195,923</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15.5625</w:t>
            </w: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492,163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26,039</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15.5625</w:t>
            </w: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518,202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78,038</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16.6875</w:t>
            </w: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596,240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33,000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563,240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14,800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548,440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546,540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5,100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541,440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28.29</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527,440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13,100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514,340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7,900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506,440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13,900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492,540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5,800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486,740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8,100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478,640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6,400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472,240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7,400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464,840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449,840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9,400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440,440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6,600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28.39</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433,840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5,800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428,040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427,940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427,740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427,540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Arial" w:cs="Arial" w:eastAsia="Arial" w:hAnsi="Arial"/>
                <w:sz w:val="17"/>
                <w:szCs w:val="17"/>
                <w:color w:val="0000FF"/>
                <w:w w:val="91"/>
              </w:rPr>
              <w:t>06/01/2004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425,540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Transaction</w:t>
            </w:r>
          </w:p>
        </w:tc>
        <w:tc>
          <w:tcPr>
            <w:tcW w:w="10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3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1"/>
              <w:spacing w:after="0" w:line="132"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-1440180</wp:posOffset>
            </wp:positionV>
            <wp:extent cx="24130" cy="1699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699260"/>
                    </a:xfrm>
                    <a:prstGeom prst="rect">
                      <a:avLst/>
                    </a:prstGeom>
                    <a:noFill/>
                  </pic:spPr>
                </pic:pic>
              </a:graphicData>
            </a:graphic>
          </wp:anchor>
        </w:drawing>
      </w:r>
    </w:p>
    <w:p>
      <w:pPr>
        <w:sectPr>
          <w:pgSz w:w="11900" w:h="16838" w:orient="portrait"/>
          <w:cols w:equalWidth="0" w:num="1">
            <w:col w:w="11520"/>
          </w:cols>
          <w:pgMar w:left="240" w:top="223"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794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725" cy="279400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15.5625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06/01/2004</w:t>
            </w:r>
          </w:p>
        </w:tc>
        <w:tc>
          <w:tcPr>
            <w:tcW w:w="110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80" w:type="dxa"/>
            <w:vAlign w:val="bottom"/>
          </w:tcPr>
          <w:p>
            <w:pPr>
              <w:jc w:val="center"/>
              <w:ind w:left="259"/>
              <w:spacing w:after="0"/>
              <w:rPr>
                <w:sz w:val="20"/>
                <w:szCs w:val="20"/>
                <w:color w:val="auto"/>
              </w:rPr>
            </w:pPr>
            <w:r>
              <w:rPr>
                <w:rFonts w:ascii="Arial" w:cs="Arial" w:eastAsia="Arial" w:hAnsi="Arial"/>
                <w:sz w:val="13"/>
                <w:szCs w:val="13"/>
                <w:color w:val="0000FF"/>
                <w:w w:val="93"/>
              </w:rPr>
              <w:t>195,923</w:t>
            </w:r>
          </w:p>
        </w:tc>
        <w:tc>
          <w:tcPr>
            <w:tcW w:w="940" w:type="dxa"/>
            <w:vAlign w:val="bottom"/>
          </w:tcPr>
          <w:p>
            <w:pPr>
              <w:ind w:left="80"/>
              <w:spacing w:after="0" w:line="206" w:lineRule="exact"/>
              <w:rPr>
                <w:sz w:val="20"/>
                <w:szCs w:val="20"/>
                <w:color w:val="auto"/>
              </w:rPr>
            </w:pPr>
            <w:r>
              <w:rPr>
                <w:rFonts w:ascii="Arial" w:cs="Arial" w:eastAsia="Arial" w:hAnsi="Arial"/>
                <w:sz w:val="13"/>
                <w:szCs w:val="13"/>
                <w:color w:val="0000FF"/>
              </w:rPr>
              <w:t>11/11/1999</w:t>
            </w:r>
            <w:r>
              <w:rPr>
                <w:rFonts w:ascii="Arial" w:cs="Arial" w:eastAsia="Arial" w:hAnsi="Arial"/>
                <w:sz w:val="21"/>
                <w:szCs w:val="21"/>
                <w:color w:val="008000"/>
                <w:vertAlign w:val="superscript"/>
              </w:rPr>
              <w:t>(2)</w:t>
            </w:r>
          </w:p>
        </w:tc>
        <w:tc>
          <w:tcPr>
            <w:tcW w:w="660" w:type="dxa"/>
            <w:vAlign w:val="bottom"/>
          </w:tcPr>
          <w:p>
            <w:pPr>
              <w:spacing w:after="0"/>
              <w:rPr>
                <w:sz w:val="20"/>
                <w:szCs w:val="20"/>
                <w:color w:val="auto"/>
              </w:rPr>
            </w:pPr>
            <w:r>
              <w:rPr>
                <w:rFonts w:ascii="Arial" w:cs="Arial" w:eastAsia="Arial" w:hAnsi="Arial"/>
                <w:sz w:val="13"/>
                <w:szCs w:val="13"/>
                <w:color w:val="0000FF"/>
                <w:w w:val="98"/>
              </w:rPr>
              <w:t>11/11/2009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195,923</w:t>
            </w:r>
          </w:p>
        </w:tc>
        <w:tc>
          <w:tcPr>
            <w:tcW w:w="7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15.5625</w:t>
            </w:r>
          </w:p>
        </w:tc>
        <w:tc>
          <w:tcPr>
            <w:tcW w:w="960" w:type="dxa"/>
            <w:vAlign w:val="bottom"/>
          </w:tcPr>
          <w:p>
            <w:pPr>
              <w:ind w:left="260"/>
              <w:spacing w:after="0"/>
              <w:rPr>
                <w:sz w:val="20"/>
                <w:szCs w:val="20"/>
                <w:color w:val="auto"/>
              </w:rPr>
            </w:pPr>
            <w:r>
              <w:rPr>
                <w:rFonts w:ascii="Arial" w:cs="Arial" w:eastAsia="Arial" w:hAnsi="Arial"/>
                <w:sz w:val="13"/>
                <w:szCs w:val="13"/>
                <w:color w:val="0000FF"/>
              </w:rPr>
              <w:t>303,817</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15.5625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06/01/2004</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80" w:type="dxa"/>
            <w:vAlign w:val="bottom"/>
            <w:vMerge w:val="restart"/>
          </w:tcPr>
          <w:p>
            <w:pPr>
              <w:jc w:val="center"/>
              <w:ind w:left="259"/>
              <w:spacing w:after="0"/>
              <w:rPr>
                <w:sz w:val="20"/>
                <w:szCs w:val="20"/>
                <w:color w:val="auto"/>
              </w:rPr>
            </w:pPr>
            <w:r>
              <w:rPr>
                <w:rFonts w:ascii="Arial" w:cs="Arial" w:eastAsia="Arial" w:hAnsi="Arial"/>
                <w:sz w:val="13"/>
                <w:szCs w:val="13"/>
                <w:color w:val="0000FF"/>
                <w:w w:val="90"/>
              </w:rPr>
              <w:t>26,039</w:t>
            </w: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08/08/1988</w:t>
            </w:r>
            <w:r>
              <w:rPr>
                <w:rFonts w:ascii="Arial" w:cs="Arial" w:eastAsia="Arial" w:hAnsi="Arial"/>
                <w:sz w:val="21"/>
                <w:szCs w:val="21"/>
                <w:color w:val="008000"/>
                <w:vertAlign w:val="superscript"/>
              </w:rPr>
              <w:t>(3)</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11/11/2009</w:t>
            </w:r>
          </w:p>
        </w:tc>
        <w:tc>
          <w:tcPr>
            <w:tcW w:w="700" w:type="dxa"/>
            <w:vAlign w:val="bottom"/>
          </w:tcPr>
          <w:p>
            <w:pPr>
              <w:ind w:left="80"/>
              <w:spacing w:after="0" w:line="145"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26,039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15.5625</w:t>
            </w:r>
          </w:p>
        </w:tc>
        <w:tc>
          <w:tcPr>
            <w:tcW w:w="960" w:type="dxa"/>
            <w:vAlign w:val="bottom"/>
            <w:vMerge w:val="restart"/>
          </w:tcPr>
          <w:p>
            <w:pPr>
              <w:ind w:left="260"/>
              <w:spacing w:after="0"/>
              <w:rPr>
                <w:sz w:val="20"/>
                <w:szCs w:val="20"/>
                <w:color w:val="auto"/>
              </w:rPr>
            </w:pPr>
            <w:r>
              <w:rPr>
                <w:rFonts w:ascii="Arial" w:cs="Arial" w:eastAsia="Arial" w:hAnsi="Arial"/>
                <w:sz w:val="13"/>
                <w:szCs w:val="13"/>
                <w:color w:val="0000FF"/>
              </w:rPr>
              <w:t>277,778</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ind w:left="180"/>
              <w:spacing w:after="0" w:line="14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16.6875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06/01/2004</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80" w:type="dxa"/>
            <w:vAlign w:val="bottom"/>
            <w:vMerge w:val="restart"/>
          </w:tcPr>
          <w:p>
            <w:pPr>
              <w:jc w:val="center"/>
              <w:ind w:left="259"/>
              <w:spacing w:after="0"/>
              <w:rPr>
                <w:sz w:val="20"/>
                <w:szCs w:val="20"/>
                <w:color w:val="auto"/>
              </w:rPr>
            </w:pPr>
            <w:r>
              <w:rPr>
                <w:rFonts w:ascii="Arial" w:cs="Arial" w:eastAsia="Arial" w:hAnsi="Arial"/>
                <w:sz w:val="13"/>
                <w:szCs w:val="13"/>
                <w:color w:val="0000FF"/>
                <w:w w:val="90"/>
              </w:rPr>
              <w:t>78,038</w:t>
            </w: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11/10/2002</w:t>
            </w:r>
            <w:r>
              <w:rPr>
                <w:rFonts w:ascii="Arial" w:cs="Arial" w:eastAsia="Arial" w:hAnsi="Arial"/>
                <w:sz w:val="21"/>
                <w:szCs w:val="21"/>
                <w:color w:val="008000"/>
                <w:vertAlign w:val="superscript"/>
              </w:rPr>
              <w:t>(4)</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01/03/2010</w:t>
            </w:r>
          </w:p>
        </w:tc>
        <w:tc>
          <w:tcPr>
            <w:tcW w:w="700" w:type="dxa"/>
            <w:vAlign w:val="bottom"/>
          </w:tcPr>
          <w:p>
            <w:pPr>
              <w:ind w:left="80"/>
              <w:spacing w:after="0" w:line="145"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78,038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16.6875</w:t>
            </w:r>
          </w:p>
        </w:tc>
        <w:tc>
          <w:tcPr>
            <w:tcW w:w="960" w:type="dxa"/>
            <w:vAlign w:val="bottom"/>
            <w:vMerge w:val="restart"/>
          </w:tcPr>
          <w:p>
            <w:pPr>
              <w:ind w:left="260"/>
              <w:spacing w:after="0"/>
              <w:rPr>
                <w:sz w:val="20"/>
                <w:szCs w:val="20"/>
                <w:color w:val="auto"/>
              </w:rPr>
            </w:pPr>
            <w:r>
              <w:rPr>
                <w:rFonts w:ascii="Arial" w:cs="Arial" w:eastAsia="Arial" w:hAnsi="Arial"/>
                <w:sz w:val="13"/>
                <w:szCs w:val="13"/>
                <w:color w:val="0000FF"/>
              </w:rPr>
              <w:t>197,377</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exercised and shares sold pursuant to Mr. Myers' Rule 10b5-1 Sales Plan.</w:t>
      </w:r>
    </w:p>
    <w:p>
      <w:pPr>
        <w:spacing w:after="0" w:line="47" w:lineRule="exact"/>
        <w:rPr>
          <w:rFonts w:ascii="Arial" w:cs="Arial" w:eastAsia="Arial" w:hAnsi="Arial"/>
          <w:sz w:val="13"/>
          <w:szCs w:val="13"/>
          <w:color w:val="008000"/>
        </w:rPr>
      </w:pPr>
    </w:p>
    <w:p>
      <w:pPr>
        <w:ind w:left="20" w:right="240" w:firstLine="5"/>
        <w:spacing w:after="0" w:line="257"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pursuant to the Company's 1993 Stock Incentive Plan. Options vest as follows: (i) 111,111 options vest on November 11, 1999, (ii) 222,222 options vest on November 10, 2001, (iii) 283,333 options vest on November 10, 2002, (iv) 172,222 options vest on November 10, 2003, and (v) 61,112 options vest on November 10, 2004.</w:t>
      </w:r>
    </w:p>
    <w:p>
      <w:pPr>
        <w:spacing w:after="0" w:line="21" w:lineRule="exact"/>
        <w:rPr>
          <w:rFonts w:ascii="Arial" w:cs="Arial" w:eastAsia="Arial" w:hAnsi="Arial"/>
          <w:sz w:val="13"/>
          <w:szCs w:val="13"/>
          <w:color w:val="008000"/>
        </w:rPr>
      </w:pPr>
    </w:p>
    <w:p>
      <w:pPr>
        <w:ind w:left="160" w:hanging="13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Granted pursuant to the Company's 1993 Stock Incentive Plan. Options vest as follows: (i) 1/3 of the options shall vest upon the average closing price of the Company's common stock reaching at least $21.50 for</w:t>
      </w:r>
    </w:p>
    <w:p>
      <w:pPr>
        <w:spacing w:after="0" w:line="16" w:lineRule="exact"/>
        <w:rPr>
          <w:rFonts w:ascii="Arial" w:cs="Arial" w:eastAsia="Arial" w:hAnsi="Arial"/>
          <w:sz w:val="12"/>
          <w:szCs w:val="12"/>
          <w:color w:val="008000"/>
        </w:rPr>
      </w:pPr>
    </w:p>
    <w:p>
      <w:pPr>
        <w:ind w:left="20" w:right="500" w:firstLine="5"/>
        <w:spacing w:after="0" w:line="314" w:lineRule="auto"/>
        <w:tabs>
          <w:tab w:leader="none" w:pos="185"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consecutive days, (ii) 1/3 of the options shall vest upon the average closing price of the Company's common stock reaching at least $27.00 for 60 consecutive days, (iii) 1/3 of the options shall vest upon the average closing price of the Company's common stock reaching at least $34.00 for 60 consecutive days and (iv) 100% of the options shall vest in full on November 11, 2004, notwithstanding the foregoing.</w:t>
      </w:r>
    </w:p>
    <w:p>
      <w:pPr>
        <w:spacing w:after="0" w:line="1" w:lineRule="exact"/>
        <w:rPr>
          <w:rFonts w:ascii="Arial" w:cs="Arial" w:eastAsia="Arial" w:hAnsi="Arial"/>
          <w:sz w:val="11"/>
          <w:szCs w:val="11"/>
          <w:color w:val="008000"/>
        </w:rPr>
      </w:pPr>
    </w:p>
    <w:p>
      <w:pPr>
        <w:ind w:left="160" w:hanging="135"/>
        <w:spacing w:after="0"/>
        <w:tabs>
          <w:tab w:leader="none" w:pos="16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Options granted pursuant to Waste Management, Inc. 1993 Stock Incentive Plan. Options vest in increments of one-third on each of November 10, 2002, November 10, 2003 and November 10, 2004.</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Maurice A. Myers</w:t>
            </w:r>
          </w:p>
        </w:tc>
        <w:tc>
          <w:tcPr>
            <w:tcW w:w="10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06/03/2004</w:t>
            </w:r>
          </w:p>
        </w:tc>
      </w:tr>
      <w:tr>
        <w:trPr>
          <w:trHeight w:val="228"/>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80" w:firstLine="5"/>
        <w:spacing w:after="0" w:line="315" w:lineRule="auto"/>
        <w:tabs>
          <w:tab w:leader="none" w:pos="159"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60"/>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046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2019-12-16T05:36:46Z</dcterms:created>
  <dcterms:modified xsi:type="dcterms:W3CDTF">2019-12-16T05:36:46Z</dcterms:modified>
</cp:coreProperties>
</file>