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175895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212725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27,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197485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 dated April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April 27, 2006, announcing its earnings for the quarter ended March 31, 2006. A copy of the press release is attached hereto as exhibit 99.1.</w:t>
      </w:r>
    </w:p>
    <w:p>
      <w:pPr>
        <w:spacing w:after="0" w:line="62" w:lineRule="exact"/>
        <w:rPr>
          <w:sz w:val="20"/>
          <w:szCs w:val="20"/>
          <w:color w:val="auto"/>
        </w:rPr>
      </w:pPr>
    </w:p>
    <w:p>
      <w:pPr>
        <w:ind w:right="100" w:firstLine="215"/>
        <w:spacing w:after="0" w:line="276" w:lineRule="auto"/>
        <w:rPr>
          <w:sz w:val="20"/>
          <w:szCs w:val="20"/>
          <w:color w:val="auto"/>
        </w:rPr>
      </w:pPr>
      <w:r>
        <w:rPr>
          <w:rFonts w:ascii="Arial" w:cs="Arial" w:eastAsia="Arial" w:hAnsi="Arial"/>
          <w:sz w:val="17"/>
          <w:szCs w:val="17"/>
          <w:color w:val="auto"/>
        </w:rPr>
        <w:t>Additionally, as announced in a press release dated March 30, 2006, the Company is holding a conference call, open to the public, to discuss these results, from 9:00 a.m. to 10:00 a.m. Central time this morning. The call will be webcast live, and may be heard by accessing the Company’s website at www.wm.com. The call may also be listened to by calling (877) 710-6139 and entering the access code 7247347. A replay of the conference call will be available through 5:00 p.m. Central time on May 11, 2006. The replay of the call may be heard over the Internet, by accessing the Company’s website at www.wm.com, or by telephone by dialing 800-642-1687 and entering conference code 7247347.</w:t>
      </w:r>
    </w:p>
    <w:p>
      <w:pPr>
        <w:spacing w:after="0" w:line="64"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On the conference call, management of the Company is expected to discuss its results of operations using certain non-GAAP financial measures, including: free cash flow; adjusted earnings per diluted share; adjusted selling, general and administrative expense as a percent of revenue; and adjusted EBIT margin. The Company’s “EBIT margin” is the same measure as GAAP reported income from operations as a percentage of revenue.</w:t>
      </w:r>
    </w:p>
    <w:p>
      <w:pPr>
        <w:spacing w:after="0" w:line="57" w:lineRule="exact"/>
        <w:rPr>
          <w:sz w:val="20"/>
          <w:szCs w:val="20"/>
          <w:color w:val="auto"/>
        </w:rPr>
      </w:pPr>
    </w:p>
    <w:p>
      <w:pPr>
        <w:ind w:right="500" w:firstLine="222"/>
        <w:spacing w:after="0" w:line="342" w:lineRule="auto"/>
        <w:rPr>
          <w:sz w:val="20"/>
          <w:szCs w:val="20"/>
          <w:color w:val="auto"/>
        </w:rPr>
      </w:pPr>
      <w:r>
        <w:rPr>
          <w:rFonts w:ascii="Arial" w:cs="Arial" w:eastAsia="Arial" w:hAnsi="Arial"/>
          <w:sz w:val="16"/>
          <w:szCs w:val="16"/>
          <w:color w:val="auto"/>
        </w:rPr>
        <w:t>The Company has provided an explanation of its use of free cash flow, as well as a reconciliation of free cash flow to net cash provided by operating activities, the most comparable GAAP measure, in the press release, which is attached to this Form 8-K as exhibit 99.1, and the schedules thereto.</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discusses its earnings per diluted share, as adjusted for (i) a $20 million pre-tax ($12 million on an after-tax basis) charge, consisting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 million of selling, general and administrative expenses and $1 million of interest expense, related to unclaimed property obligations and (ii) a tax benefit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$4 million, consisting of a $6 million tax benefit related to audit settlements, offset by $2 million of tax expense related to repatriation of Canadian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discussed the adjusted measures because it believes they improve investors’ ability to compare the Company’s performance to the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without these items. The reconciliations of as reported diluted EPS to adjusted diluted EPS and as reported net income to adjusted net income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shown below (in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w w:val="94"/>
              </w:rPr>
              <w:t>Three Months Ended</w:t>
            </w:r>
          </w:p>
        </w:tc>
        <w:tc>
          <w:tcPr>
            <w:tcW w:w="1720" w:type="dxa"/>
            <w:vAlign w:val="bottom"/>
          </w:tcPr>
          <w:p>
            <w:pPr>
              <w:spacing w:after="0"/>
              <w:rPr>
                <w:sz w:val="14"/>
                <w:szCs w:val="14"/>
                <w:color w:val="auto"/>
              </w:rPr>
            </w:pPr>
          </w:p>
        </w:tc>
      </w:tr>
      <w:tr>
        <w:trPr>
          <w:trHeight w:val="167"/>
        </w:trPr>
        <w:tc>
          <w:tcPr>
            <w:tcW w:w="17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March 31, 2006</w:t>
            </w:r>
          </w:p>
        </w:tc>
        <w:tc>
          <w:tcPr>
            <w:tcW w:w="1720" w:type="dxa"/>
            <w:vAlign w:val="bottom"/>
          </w:tcPr>
          <w:p>
            <w:pPr>
              <w:spacing w:after="0"/>
              <w:rPr>
                <w:sz w:val="14"/>
                <w:szCs w:val="14"/>
                <w:color w:val="auto"/>
              </w:rPr>
            </w:pPr>
          </w:p>
        </w:tc>
      </w:tr>
      <w:tr>
        <w:trPr>
          <w:trHeight w:val="216"/>
        </w:trPr>
        <w:tc>
          <w:tcPr>
            <w:tcW w:w="17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GAAP Earnings per share —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172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Adjustment to Net income (detailed below)</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per share — Diluted</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40"/>
        </w:trPr>
        <w:tc>
          <w:tcPr>
            <w:tcW w:w="17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w w:val="94"/>
              </w:rPr>
              <w:t>Three Months Ended</w:t>
            </w:r>
          </w:p>
        </w:tc>
        <w:tc>
          <w:tcPr>
            <w:tcW w:w="1720" w:type="dxa"/>
            <w:vAlign w:val="bottom"/>
          </w:tcPr>
          <w:p>
            <w:pPr>
              <w:spacing w:after="0"/>
              <w:rPr>
                <w:sz w:val="24"/>
                <w:szCs w:val="24"/>
                <w:color w:val="auto"/>
              </w:rPr>
            </w:pPr>
          </w:p>
        </w:tc>
      </w:tr>
      <w:tr>
        <w:trPr>
          <w:trHeight w:val="167"/>
        </w:trPr>
        <w:tc>
          <w:tcPr>
            <w:tcW w:w="17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March 31, 2006</w:t>
            </w:r>
          </w:p>
        </w:tc>
        <w:tc>
          <w:tcPr>
            <w:tcW w:w="1720" w:type="dxa"/>
            <w:vAlign w:val="bottom"/>
          </w:tcPr>
          <w:p>
            <w:pPr>
              <w:spacing w:after="0"/>
              <w:rPr>
                <w:sz w:val="14"/>
                <w:szCs w:val="14"/>
                <w:color w:val="auto"/>
              </w:rPr>
            </w:pPr>
          </w:p>
        </w:tc>
      </w:tr>
      <w:tr>
        <w:trPr>
          <w:trHeight w:val="216"/>
        </w:trPr>
        <w:tc>
          <w:tcPr>
            <w:tcW w:w="17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As reported 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Unclaimed property charge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720" w:type="dxa"/>
            <w:vAlign w:val="bottom"/>
          </w:tcPr>
          <w:p>
            <w:pPr>
              <w:spacing w:after="0"/>
              <w:rPr>
                <w:sz w:val="18"/>
                <w:szCs w:val="18"/>
                <w:color w:val="auto"/>
              </w:rPr>
            </w:pPr>
          </w:p>
        </w:tc>
      </w:tr>
      <w:tr>
        <w:trPr>
          <w:trHeight w:val="223"/>
        </w:trPr>
        <w:tc>
          <w:tcPr>
            <w:tcW w:w="8420" w:type="dxa"/>
            <w:vAlign w:val="bottom"/>
            <w:gridSpan w:val="2"/>
          </w:tcPr>
          <w:p>
            <w:pPr>
              <w:ind w:left="1720"/>
              <w:spacing w:after="0"/>
              <w:rPr>
                <w:sz w:val="20"/>
                <w:szCs w:val="20"/>
                <w:color w:val="auto"/>
              </w:rPr>
            </w:pPr>
            <w:r>
              <w:rPr>
                <w:rFonts w:ascii="Arial" w:cs="Arial" w:eastAsia="Arial" w:hAnsi="Arial"/>
                <w:sz w:val="18"/>
                <w:szCs w:val="18"/>
                <w:color w:val="auto"/>
              </w:rPr>
              <w:t>Adjusted Net income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60" w:type="dxa"/>
            <w:vAlign w:val="bottom"/>
            <w:tcBorders>
              <w:bottom w:val="single" w:sz="8" w:color="auto"/>
            </w:tcBorders>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26"/>
        </w:trPr>
        <w:tc>
          <w:tcPr>
            <w:tcW w:w="172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discusses both its selling, general and administrative expenses as a percentage of revenue and its EBIT margin (which, as described above, is the same measure as GAAP reported income from operations as a percentage of revenue) as adjusted for a $19 million (pre-tax) selling, general and administrative expense for unclaimed property obligations. The Company believes that it is helpful for investors to see the Company’s performance without the effect of the adjustment for these obligations, which date back to 1980. The following is a reconciliation of (i) adjusted selling, general and administrative expenses as a percent of revenues and (ii) adjusted income from operations as a percentage of revenue (EBIT margin) (dollars in millions):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940" w:type="dxa"/>
            <w:vAlign w:val="bottom"/>
            <w:gridSpan w:val="4"/>
          </w:tcPr>
          <w:p>
            <w:pPr>
              <w:ind w:left="560"/>
              <w:spacing w:after="0"/>
              <w:rPr>
                <w:sz w:val="20"/>
                <w:szCs w:val="20"/>
                <w:color w:val="auto"/>
              </w:rPr>
            </w:pPr>
            <w:r>
              <w:rPr>
                <w:rFonts w:ascii="Arial" w:cs="Arial" w:eastAsia="Arial" w:hAnsi="Arial"/>
                <w:sz w:val="14"/>
                <w:szCs w:val="14"/>
                <w:color w:val="auto"/>
              </w:rPr>
              <w:t>Three Months Ended</w:t>
            </w:r>
          </w:p>
        </w:tc>
      </w:t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w w:val="94"/>
              </w:rPr>
              <w:t>March 31, 2006</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 reported Operating revenue</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As reported Selling, general and administrative expenses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 as a percentage of revenue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color w:val="auto"/>
              </w:rPr>
              <w:t>As reported Selling, general and administrative expenses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Unclaimed property charge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Adjusted Selling, general and administrative expenses</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Adjusted Selling, general and administrative expenses as a percentage of Operating revenue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346"/>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gridSpan w:val="4"/>
          </w:tcPr>
          <w:p>
            <w:pPr>
              <w:ind w:left="560"/>
              <w:spacing w:after="0"/>
              <w:rPr>
                <w:sz w:val="20"/>
                <w:szCs w:val="20"/>
                <w:color w:val="auto"/>
              </w:rPr>
            </w:pPr>
            <w:r>
              <w:rPr>
                <w:rFonts w:ascii="Arial" w:cs="Arial" w:eastAsia="Arial" w:hAnsi="Arial"/>
                <w:sz w:val="14"/>
                <w:szCs w:val="14"/>
                <w:color w:val="auto"/>
              </w:rPr>
              <w:t>Three Months Ended</w:t>
            </w:r>
          </w:p>
        </w:tc>
      </w:t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w w:val="94"/>
              </w:rPr>
              <w:t>March 31, 2006</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 reported Operating revenue</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As reported Income from operations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EBIT margin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color w:val="auto"/>
              </w:rPr>
              <w:t>As reported Income from operations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unclaimed property charge</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Adjusted Income from operations</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 margin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April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27, 2006</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540" w:type="dxa"/>
            <w:vAlign w:val="bottom"/>
          </w:tcPr>
          <w:p>
            <w:pPr>
              <w:spacing w:after="0"/>
              <w:rPr>
                <w:sz w:val="14"/>
                <w:szCs w:val="14"/>
                <w:color w:val="auto"/>
              </w:rPr>
            </w:pPr>
          </w:p>
        </w:tc>
        <w:tc>
          <w:tcPr>
            <w:tcW w:w="9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200" w:type="dxa"/>
            <w:vAlign w:val="bottom"/>
          </w:tcPr>
          <w:p>
            <w:pPr>
              <w:jc w:val="right"/>
              <w:ind w:right="359"/>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Press Release dated April 27, 2006</w:t>
            </w:r>
          </w:p>
        </w:tc>
      </w:tr>
    </w:tbl>
    <w:p>
      <w:pPr>
        <w:sectPr>
          <w:pgSz w:w="11900" w:h="16838" w:orient="portrait"/>
          <w:cols w:equalWidth="0" w:num="1">
            <w:col w:w="11420"/>
          </w:cols>
          <w:pgMar w:left="240" w:top="419"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2936240</wp:posOffset>
            </wp:positionH>
            <wp:positionV relativeFrom="page">
              <wp:posOffset>620395</wp:posOffset>
            </wp:positionV>
            <wp:extent cx="168973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89735" cy="63436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#06-07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First Quarter 2006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Diluted Share Increase 31%</w:t>
      </w:r>
    </w:p>
    <w:p>
      <w:pPr>
        <w:spacing w:after="0" w:line="11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 xml:space="preserve">HOUSTON — April 27, 2006 — </w:t>
      </w:r>
      <w:r>
        <w:rPr>
          <w:rFonts w:ascii="Arial" w:cs="Arial" w:eastAsia="Arial" w:hAnsi="Arial"/>
          <w:sz w:val="18"/>
          <w:szCs w:val="18"/>
          <w:color w:val="auto"/>
        </w:rPr>
        <w:t>Waste Management, Inc. (NYSE: WMI) today announced financial results for its first quarter ended March 31, 2006.</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for the quarter were $3.23 billion as compared with $3.04 billion in the year ago period, or an increase of 6.3%. Net income for the quarter was $186 million, or $0.34 per diluted share, compared with $150 million, or $0.26 per diluted share in the prior year period, a 31% increase in earnings per diluted share.</w:t>
      </w:r>
    </w:p>
    <w:p>
      <w:pPr>
        <w:spacing w:after="0" w:line="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very pleased with our results in the first quarter as we again accomplished our primary financial goals of earnings growth, margin expansion and strong free cash flow,” said David P. Steiner, Chief Executive Officer of Waste Management. “The continued success of our Pricing Excellence Program and our cost control and productivity initiatives helped drive the 31% increase in earnings per diluted share. Our internal revenue growth from yield on base business increased 3.9% in the first quarter of 2006 compared with the prior year quarter, and it grew 5.3% when you include the impact of our fuel surcharge program. Significantly higher disposal volumes also contributed to the increase in revenues. We believe that unusually warm and dry weather and a solid economic environment contributed to the higher disposal volumes in the first quarter.”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noted two items which impacted the current quarter’s results.</w:t>
      </w:r>
    </w:p>
    <w:p>
      <w:pPr>
        <w:spacing w:after="0" w:line="117"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$20 million before tax, or $0.02 per diluted share, charge with respect to unclaimed property obligations dating back to 1980.</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$4 million after tax, or $0.01 per diluted share, benefit due primarily to favorable state tax audit settlements.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were a number of other encouraging factors in our first quarter results. Net cash provided by operating activities and free cash flow were both strong for the quarter. We returned $496 million to shareholders in the form of our $0.22 per share quarterly dividend and our share repurchase program. We improved productivity in all of our collection lines of business and produced excellent safety results, both of which are important components of our cost control initiatives. And our previously announced divestiture program, which represents over $900 million in annual revenue, is progressing according to our timetable. Finally, on an as reported basis, income from operations as a percent of revenue improved 150 basis points in the quarter compared with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Key Highlights for the Quarter</w:t>
      </w:r>
    </w:p>
    <w:p>
      <w:pPr>
        <w:spacing w:after="0" w:line="121"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of $563 million, a 10.8% increase compared with the first quarter of 2005.</w:t>
      </w:r>
    </w:p>
    <w:p>
      <w:pPr>
        <w:spacing w:after="0" w:line="23"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Capital expenditures of $171 million.</w:t>
      </w:r>
    </w:p>
    <w:p>
      <w:pPr>
        <w:spacing w:after="0" w:line="9"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Free cash flow</w:t>
      </w:r>
      <w:r>
        <w:rPr>
          <w:rFonts w:ascii="Arial" w:cs="Arial" w:eastAsia="Arial" w:hAnsi="Arial"/>
          <w:sz w:val="15"/>
          <w:szCs w:val="15"/>
          <w:color w:val="auto"/>
        </w:rPr>
        <w:t>(a)</w:t>
      </w:r>
      <w:r>
        <w:rPr>
          <w:rFonts w:ascii="Arial" w:cs="Arial" w:eastAsia="Arial" w:hAnsi="Arial"/>
          <w:sz w:val="18"/>
          <w:szCs w:val="18"/>
          <w:color w:val="auto"/>
        </w:rPr>
        <w:t xml:space="preserve"> of $410 million.</w:t>
      </w:r>
    </w:p>
    <w:p>
      <w:pPr>
        <w:spacing w:after="0" w:line="9"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expenses were 65.0% of revenue, down from 67.3% of revenue in the same period in 2005.</w:t>
      </w:r>
    </w:p>
    <w:p>
      <w:pPr>
        <w:spacing w:after="0" w:line="9" w:lineRule="exact"/>
        <w:rPr>
          <w:rFonts w:ascii="Arial" w:cs="Arial" w:eastAsia="Arial" w:hAnsi="Arial"/>
          <w:sz w:val="18"/>
          <w:szCs w:val="18"/>
          <w:b w:val="1"/>
          <w:bCs w:val="1"/>
          <w:color w:val="auto"/>
        </w:rPr>
      </w:pPr>
    </w:p>
    <w:p>
      <w:pPr>
        <w:ind w:left="660" w:right="180" w:hanging="436"/>
        <w:spacing w:after="0" w:line="24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were 11.4% of revenue. Excluding the unclaimed property charge, selling, general and administrative expenses were 10.8% of revenue in the first quarter of 2006, approximately the same level as the first quarter of</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2005. </w:t>
      </w:r>
      <w:r>
        <w:rPr>
          <w:rFonts w:ascii="Arial" w:cs="Arial" w:eastAsia="Arial" w:hAnsi="Arial"/>
          <w:sz w:val="15"/>
          <w:szCs w:val="15"/>
          <w:color w:val="auto"/>
        </w:rPr>
        <w:t>(a)</w:t>
      </w:r>
    </w:p>
    <w:p>
      <w:pPr>
        <w:spacing w:after="0" w:line="1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Income from operations as a percent of revenue was 13.5%, an increase of approximately 150 basis points compared with the prior year quarter.</w:t>
      </w:r>
    </w:p>
    <w:p>
      <w:pPr>
        <w:spacing w:after="0" w:line="32" w:lineRule="exact"/>
        <w:rPr>
          <w:rFonts w:ascii="Arial" w:cs="Arial" w:eastAsia="Arial" w:hAnsi="Arial"/>
          <w:sz w:val="16"/>
          <w:szCs w:val="16"/>
          <w:b w:val="1"/>
          <w:bCs w:val="1"/>
          <w:color w:val="auto"/>
        </w:rPr>
      </w:pPr>
    </w:p>
    <w:p>
      <w:pPr>
        <w:ind w:left="660" w:right="60" w:hanging="436"/>
        <w:spacing w:after="0" w:line="250"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on base business of 5.8%, with 3.9% of that from yield and 1.9% from volume. The yield component excludes the net 0.3% positive impact of higher fuel surcharges and fees, lower recycling commodity prices and slight increases in electricity rates at Independent Power Production facilities.</w:t>
      </w:r>
    </w:p>
    <w:p>
      <w:pPr>
        <w:spacing w:after="0" w:line="1"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$496 million in cash returned to shareholders in the form of $375 million in common stock repurchases and $121 million in dividend payments.</w:t>
      </w:r>
    </w:p>
    <w:p>
      <w:pPr>
        <w:spacing w:after="0" w:line="20" w:lineRule="exact"/>
        <w:rPr>
          <w:rFonts w:ascii="Arial" w:cs="Arial" w:eastAsia="Arial" w:hAnsi="Arial"/>
          <w:sz w:val="17"/>
          <w:szCs w:val="17"/>
          <w:b w:val="1"/>
          <w:bCs w:val="1"/>
          <w:color w:val="auto"/>
        </w:rPr>
      </w:pPr>
    </w:p>
    <w:p>
      <w:pPr>
        <w:ind w:left="660" w:hanging="436"/>
        <w:spacing w:after="0" w:line="255"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quarter was 35.6%, which was higher than the previously projected rate of approximately 31%. This increase in the effective tax rate is due primarily to an estimated phase-out of approximately 61% of our Section 45K (formerly Section 29) tax credits due to higher actual and projected crude oil prices.</w:t>
      </w:r>
    </w:p>
    <w:p>
      <w:pPr>
        <w:spacing w:after="0" w:line="8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Steiner concluded, “We are off to a great start and have laid the foundation for a successful year. We are seeing the continuation of the benefits of our pricing and operational initiatives and our business fundamentals remain solid. While we are optimistic about the year, in the second quarter we will be watching the impact of higher crude oil costs on our Section 45K tax credits, and whether volumes in the first quarter were borrowed from the second quarter. Consequently, until we have more clarity on these factors, we believe it is premature to comment on our full year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240" w:right="20" w:hanging="4"/>
        <w:spacing w:after="0" w:line="277" w:lineRule="auto"/>
        <w:tabs>
          <w:tab w:leader="none" w:pos="448" w:val="left"/>
        </w:tabs>
        <w:numPr>
          <w:ilvl w:val="1"/>
          <w:numId w:val="3"/>
        </w:numPr>
        <w:rPr>
          <w:rFonts w:ascii="Arial" w:cs="Arial" w:eastAsia="Arial" w:hAnsi="Arial"/>
          <w:sz w:val="15"/>
          <w:szCs w:val="15"/>
          <w:color w:val="auto"/>
        </w:rPr>
      </w:pPr>
      <w:r>
        <w:rPr>
          <w:rFonts w:ascii="Arial" w:cs="Arial" w:eastAsia="Arial" w:hAnsi="Arial"/>
          <w:sz w:val="18"/>
          <w:szCs w:val="18"/>
          <w:color w:val="auto"/>
        </w:rPr>
        <w:t>This earnings release contains a discussion of free cash flow, a non-GAAP financial measure as defined in Regulation G of the Securities Exchange Act of 1934, as amended. The Company defines free cash flow as:</w:t>
      </w:r>
    </w:p>
    <w:p>
      <w:pPr>
        <w:spacing w:after="0" w:line="62" w:lineRule="exact"/>
        <w:rPr>
          <w:rFonts w:ascii="Arial" w:cs="Arial" w:eastAsia="Arial" w:hAnsi="Arial"/>
          <w:sz w:val="15"/>
          <w:szCs w:val="15"/>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23"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9"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w:t>
      </w:r>
    </w:p>
    <w:p>
      <w:pPr>
        <w:spacing w:after="0" w:line="117" w:lineRule="exact"/>
        <w:rPr>
          <w:sz w:val="20"/>
          <w:szCs w:val="20"/>
          <w:color w:val="auto"/>
        </w:rPr>
      </w:pPr>
    </w:p>
    <w:p>
      <w:pPr>
        <w:ind w:left="240"/>
        <w:spacing w:after="0" w:line="254" w:lineRule="auto"/>
        <w:rPr>
          <w:sz w:val="20"/>
          <w:szCs w:val="20"/>
          <w:color w:val="auto"/>
        </w:rPr>
      </w:pPr>
      <w:r>
        <w:rPr>
          <w:rFonts w:ascii="Arial" w:cs="Arial" w:eastAsia="Arial" w:hAnsi="Arial"/>
          <w:sz w:val="18"/>
          <w:szCs w:val="18"/>
          <w:color w:val="auto"/>
        </w:rPr>
        <w:t>The Company believes that providing investors with certain non-GAAP financial measures gives investors additional information to enable them to assess, in the way management assesses, the Company’s current and continuing operations. The Company included the non-GAAP financial measure of free cash flow because it uses that measure in the management of its business and because it believes that investors are interested in the cash produced by the Company from non-financing activities that is available for uses such as the Company’s acquisition program, its share repurchase program, its scheduled debt reduction and the payment of dividends. A reconciliation of free cash flow to the Company’s GAAP reported cash flows from operating activities, which is the most comparable GAAP measure, is included in the accompanying schedules. This release also presents an adjusted ratio of selling, general and administrative expenses as a percentage of revenue. The Company excluded the $19 million before tax selling, general and administrative portion of the charge for unclaimed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 w:name="page10"/>
    <w:bookmarkEnd w:id="9"/>
    <w:p>
      <w:pPr>
        <w:ind w:left="240"/>
        <w:spacing w:after="0" w:line="264" w:lineRule="auto"/>
        <w:rPr>
          <w:sz w:val="20"/>
          <w:szCs w:val="20"/>
          <w:color w:val="auto"/>
        </w:rPr>
      </w:pPr>
      <w:r>
        <w:rPr>
          <w:rFonts w:ascii="Arial" w:cs="Arial" w:eastAsia="Arial" w:hAnsi="Arial"/>
          <w:sz w:val="18"/>
          <w:szCs w:val="18"/>
          <w:color w:val="auto"/>
        </w:rPr>
        <w:t>property obligations from selling, general and administrative expenses in its presentation of this adjusted ratio because it believes that it is helpful for investors to see the Company’s performance without the effect of the adjustment for these obligations, which date back to 1980. Investors are urged to take into account GAAP measures as well as non-GAAP measures in evaluating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scheduled an investor and analyst conference call for later this morning to discuss the results of today’s earnings announcement.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information in this press release should be read in conjunction with the information on the conference call. The call will begin at 10:00 a.m. Eastern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 a.m. Central time, and is open to the public. To listen to the conference call, which will be broadcast live over the Internet, go to the Waste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Website at </w:t>
      </w:r>
      <w:r>
        <w:rPr>
          <w:rFonts w:ascii="Arial" w:cs="Arial" w:eastAsia="Arial" w:hAnsi="Arial"/>
          <w:sz w:val="16"/>
          <w:szCs w:val="16"/>
          <w:u w:val="single" w:color="auto"/>
          <w:color w:val="auto"/>
        </w:rPr>
        <w:t>http://www.wm.com</w:t>
      </w:r>
      <w:r>
        <w:rPr>
          <w:rFonts w:ascii="Arial" w:cs="Arial" w:eastAsia="Arial" w:hAnsi="Arial"/>
          <w:sz w:val="16"/>
          <w:szCs w:val="16"/>
          <w:color w:val="auto"/>
        </w:rPr>
        <w:t>, and select “1Q2006 Earnings Report Webcast.” You may also listen to the analyst conference call by telephone by contacting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conference call operator 5 to 10 minutes prior to the scheduled start time and asking for the “Waste Management Conference Call — Call ID 7247347.”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US/Canada Dial-In Number: (877) 710-6139. Int’l/Local Dial-In Number: (706) 643-7398. For those unable to listen to the live call, a replay will be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 hours a day beginning at approximately 11:00 a.m. Central time on April 27 through 5:00 p.m. Central time on May 11. To hear a replay of the call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Internet, access the Waste Management Website at </w:t>
      </w:r>
      <w:r>
        <w:rPr>
          <w:rFonts w:ascii="Arial" w:cs="Arial" w:eastAsia="Arial" w:hAnsi="Arial"/>
          <w:sz w:val="16"/>
          <w:szCs w:val="16"/>
          <w:u w:val="single" w:color="auto"/>
          <w:color w:val="auto"/>
        </w:rPr>
        <w:t>http://www.wm.com</w:t>
      </w:r>
      <w:r>
        <w:rPr>
          <w:rFonts w:ascii="Arial" w:cs="Arial" w:eastAsia="Arial" w:hAnsi="Arial"/>
          <w:sz w:val="16"/>
          <w:szCs w:val="16"/>
          <w:color w:val="auto"/>
        </w:rPr>
        <w:t>. To hear a telephonic replay of the call, dial (800) 642-1687 or (706) 645-9291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enter reservation code 7247347.</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Certain statements contained in this press release include statements that are “forward-looking statements.” Outlined below are some of the risks that the Company faces and that could affect our financial statements for 2006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59" w:lineRule="exact"/>
        <w:rPr>
          <w:sz w:val="20"/>
          <w:szCs w:val="20"/>
          <w:color w:val="auto"/>
        </w:rPr>
      </w:pPr>
    </w:p>
    <w:p>
      <w:pPr>
        <w:ind w:left="660" w:right="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we may be unable to maintain or expand margins as volumes increase if we are unable to control variable costs or fixed cost base increases;</w:t>
      </w:r>
    </w:p>
    <w:p>
      <w:pPr>
        <w:spacing w:after="0" w:line="142" w:lineRule="exact"/>
        <w:rPr>
          <w:rFonts w:ascii="Arial" w:cs="Arial" w:eastAsia="Arial" w:hAnsi="Arial"/>
          <w:sz w:val="17"/>
          <w:szCs w:val="17"/>
          <w:b w:val="1"/>
          <w:bCs w:val="1"/>
          <w:color w:val="auto"/>
        </w:rPr>
      </w:pPr>
    </w:p>
    <w:p>
      <w:pPr>
        <w:ind w:left="660" w:right="2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attract or retain qualified personnel, including licensed commercial drivers and truck maintenance professionals, due to any number of factors including qualified workforce shortages;</w:t>
      </w:r>
    </w:p>
    <w:p>
      <w:pPr>
        <w:spacing w:after="0" w:line="75" w:lineRule="exact"/>
        <w:rPr>
          <w:rFonts w:ascii="Arial" w:cs="Arial" w:eastAsia="Arial" w:hAnsi="Arial"/>
          <w:sz w:val="18"/>
          <w:szCs w:val="18"/>
          <w:b w:val="1"/>
          <w:bCs w:val="1"/>
          <w:color w:val="auto"/>
        </w:rPr>
      </w:pPr>
    </w:p>
    <w:p>
      <w:pPr>
        <w:ind w:left="660" w:right="38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we may not be able to successfully execute or continue our operational or other margin improvement plans and programs, including pricing increases, passing on increased costs to our customers, divesting of under-performing assets and purchasing accretive businesses, any of which could negatively affect our revenues and margins;</w:t>
      </w:r>
    </w:p>
    <w:p>
      <w:pPr>
        <w:spacing w:after="0" w:line="86"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including our tax expense if Section 45K (formerly Section 29) credits are phased out due to continued high crude oil prices;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fluctuating commodity prices may have negative effects on our operating revenues and expenses;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inflation and resulting higher interest rates may have negative effects on the economy, which could result in decreases in volumes of waste generated and increases in our financing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the possible inability of our insurers to meet their obligations may cause our expenses to increase;</w:t>
      </w:r>
    </w:p>
    <w:p>
      <w:pPr>
        <w:spacing w:after="0" w:line="130" w:lineRule="exact"/>
        <w:rPr>
          <w:rFonts w:ascii="Arial" w:cs="Arial" w:eastAsia="Arial" w:hAnsi="Arial"/>
          <w:sz w:val="18"/>
          <w:szCs w:val="18"/>
          <w:b w:val="1"/>
          <w:bCs w:val="1"/>
          <w:color w:val="auto"/>
        </w:rPr>
      </w:pPr>
    </w:p>
    <w:p>
      <w:pPr>
        <w:ind w:left="440" w:right="260" w:hanging="43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 to quarter results to fluctuate, and extremely harsh weather or natural disasters may cause us to shut down operations;</w:t>
      </w:r>
    </w:p>
    <w:p>
      <w:pPr>
        <w:spacing w:after="0" w:line="75" w:lineRule="exact"/>
        <w:rPr>
          <w:rFonts w:ascii="Arial" w:cs="Arial" w:eastAsia="Arial" w:hAnsi="Arial"/>
          <w:sz w:val="18"/>
          <w:szCs w:val="18"/>
          <w:b w:val="1"/>
          <w:bCs w:val="1"/>
          <w:color w:val="auto"/>
        </w:rPr>
      </w:pPr>
    </w:p>
    <w:p>
      <w:pPr>
        <w:ind w:left="440" w:right="160" w:hanging="43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 may increase our expenses or reduce revenues;</w:t>
      </w:r>
    </w:p>
    <w:p>
      <w:pPr>
        <w:spacing w:after="0" w:line="75" w:lineRule="exact"/>
        <w:rPr>
          <w:rFonts w:ascii="Arial" w:cs="Arial" w:eastAsia="Arial" w:hAnsi="Arial"/>
          <w:sz w:val="18"/>
          <w:szCs w:val="18"/>
          <w:b w:val="1"/>
          <w:bCs w:val="1"/>
          <w:color w:val="auto"/>
        </w:rPr>
      </w:pPr>
    </w:p>
    <w:p>
      <w:pPr>
        <w:ind w:left="440" w:right="20" w:hanging="43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increasing the cost to comply with regulatory requirements and the potential liabilities associated with disposal operations;</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operate our facilities our results of operations will be negatively impacted;</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limitations or bans on disposal or transportation of out-of-state or cross-border waste or certain categories of waste can increase our expenses;</w:t>
      </w:r>
    </w:p>
    <w:p>
      <w:pPr>
        <w:spacing w:after="0" w:line="153" w:lineRule="exact"/>
        <w:rPr>
          <w:rFonts w:ascii="Arial" w:cs="Arial" w:eastAsia="Arial" w:hAnsi="Arial"/>
          <w:sz w:val="16"/>
          <w:szCs w:val="16"/>
          <w:b w:val="1"/>
          <w:bCs w:val="1"/>
          <w:color w:val="auto"/>
        </w:rPr>
      </w:pPr>
    </w:p>
    <w:p>
      <w:pPr>
        <w:ind w:left="440" w:right="680" w:hanging="43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440" w:right="180" w:hanging="436"/>
        <w:spacing w:after="0" w:line="308" w:lineRule="auto"/>
        <w:tabs>
          <w:tab w:leader="none" w:pos="44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trends toward requiring recycling, waste reduction at the source and prohibiting the disposal of certain types of wastes could have negative effects on volumes of waste going to landfills and waste-to-energy facilities, which are higher margin businesses than recycling;</w:t>
      </w:r>
    </w:p>
    <w:p>
      <w:pPr>
        <w:spacing w:after="0" w:line="51" w:lineRule="exact"/>
        <w:rPr>
          <w:rFonts w:ascii="Arial" w:cs="Arial" w:eastAsia="Arial" w:hAnsi="Arial"/>
          <w:sz w:val="17"/>
          <w:szCs w:val="17"/>
          <w:b w:val="1"/>
          <w:bCs w:val="1"/>
          <w:color w:val="auto"/>
        </w:rPr>
      </w:pPr>
    </w:p>
    <w:p>
      <w:pPr>
        <w:jc w:val="both"/>
        <w:ind w:left="440" w:right="320" w:hanging="436"/>
        <w:spacing w:after="0" w:line="286" w:lineRule="auto"/>
        <w:tabs>
          <w:tab w:leader="none" w:pos="44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efforts by labor unions to organize our employees may divert management’s attention and increase operating expenses and we may be unable to negotiate acceptable collective bargaining agreements with those who have been chosen to be represented by unions, which could lead to union-initiated work stoppages, including strikes, which could adversely affect our results of operations and cash flows;</w:t>
      </w:r>
    </w:p>
    <w:p>
      <w:pPr>
        <w:spacing w:after="0" w:line="70" w:lineRule="exact"/>
        <w:rPr>
          <w:rFonts w:ascii="Arial" w:cs="Arial" w:eastAsia="Arial" w:hAnsi="Arial"/>
          <w:sz w:val="17"/>
          <w:szCs w:val="17"/>
          <w:b w:val="1"/>
          <w:bCs w:val="1"/>
          <w:color w:val="auto"/>
        </w:rPr>
      </w:pPr>
    </w:p>
    <w:p>
      <w:pPr>
        <w:ind w:left="440" w:right="460" w:hanging="43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or limit our ability to conduct our operations;</w:t>
      </w:r>
    </w:p>
    <w:p>
      <w:pPr>
        <w:spacing w:after="0" w:line="75" w:lineRule="exact"/>
        <w:rPr>
          <w:rFonts w:ascii="Arial" w:cs="Arial" w:eastAsia="Arial" w:hAnsi="Arial"/>
          <w:sz w:val="18"/>
          <w:szCs w:val="18"/>
          <w:b w:val="1"/>
          <w:bCs w:val="1"/>
          <w:color w:val="auto"/>
        </w:rPr>
      </w:pPr>
    </w:p>
    <w:p>
      <w:pPr>
        <w:ind w:left="440" w:right="580" w:hanging="43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errors or problems in connection with the implementation and deployment of new information technology systems may decrease our efficiencies and increase our costs to operate;</w:t>
      </w:r>
    </w:p>
    <w:p>
      <w:pPr>
        <w:spacing w:after="0" w:line="75" w:lineRule="exact"/>
        <w:rPr>
          <w:rFonts w:ascii="Arial" w:cs="Arial" w:eastAsia="Arial" w:hAnsi="Arial"/>
          <w:sz w:val="18"/>
          <w:szCs w:val="18"/>
          <w:b w:val="1"/>
          <w:bCs w:val="1"/>
          <w:color w:val="auto"/>
        </w:rPr>
      </w:pPr>
    </w:p>
    <w:p>
      <w:pPr>
        <w:ind w:left="440" w:hanging="43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quarterly results of operations or adversely impact our results of operations; and</w:t>
      </w:r>
    </w:p>
    <w:p>
      <w:pPr>
        <w:spacing w:after="0" w:line="75" w:lineRule="exact"/>
        <w:rPr>
          <w:rFonts w:ascii="Arial" w:cs="Arial" w:eastAsia="Arial" w:hAnsi="Arial"/>
          <w:sz w:val="18"/>
          <w:szCs w:val="18"/>
          <w:b w:val="1"/>
          <w:bCs w:val="1"/>
          <w:color w:val="auto"/>
        </w:rPr>
      </w:pPr>
    </w:p>
    <w:p>
      <w:pPr>
        <w:ind w:left="440" w:right="120" w:hanging="436"/>
        <w:spacing w:after="0" w:line="342" w:lineRule="auto"/>
        <w:tabs>
          <w:tab w:leader="none" w:pos="44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the reduction or elimination of our dividend or share repurchase program or the need for additional capital if cash flows are less than we expect or capital expenditures are more than we expect, and the possibility that we cannot obtain additional capital on acceptable terms if needed.</w:t>
      </w:r>
    </w:p>
    <w:p>
      <w:pPr>
        <w:spacing w:after="0" w:line="16" w:lineRule="exact"/>
        <w:rPr>
          <w:sz w:val="20"/>
          <w:szCs w:val="20"/>
          <w:color w:val="auto"/>
        </w:rPr>
      </w:pPr>
    </w:p>
    <w:p>
      <w:pPr>
        <w:ind w:left="20" w:right="580"/>
        <w:spacing w:after="0" w:line="342"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2005.</w:t>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407035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439"/>
        </w:trPr>
        <w:tc>
          <w:tcPr>
            <w:tcW w:w="89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impairments and unusual items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439"/>
        </w:trPr>
        <w:tc>
          <w:tcPr>
            <w:tcW w:w="89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8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546.2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w w:val="93"/>
              </w:rPr>
              <w:t>Cash dividends declared per common share (1st quarter 2006 dividend of $0.22 per share declared in December 2005,</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9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paid in March 2006)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ind w:left="560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0.34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14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1,875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11,063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5,352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14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20,846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14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2,504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8,020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20,846</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80" w:type="dxa"/>
            <w:vAlign w:val="bottom"/>
            <w:vMerge w:val="restart"/>
          </w:tcPr>
          <w:p>
            <w:pPr>
              <w:jc w:val="right"/>
              <w:ind w:right="31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60"/>
              <w:spacing w:after="0"/>
              <w:rPr>
                <w:sz w:val="20"/>
                <w:szCs w:val="20"/>
                <w:color w:val="auto"/>
              </w:rPr>
            </w:pPr>
            <w:r>
              <w:rPr>
                <w:rFonts w:ascii="Arial" w:cs="Arial" w:eastAsia="Arial" w:hAnsi="Arial"/>
                <w:sz w:val="14"/>
                <w:szCs w:val="14"/>
                <w:b w:val="1"/>
                <w:bCs w:val="1"/>
                <w:color w:val="auto"/>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439"/>
        </w:trPr>
        <w:tc>
          <w:tcPr>
            <w:tcW w:w="8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 business divestitures, asset sales and other</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ind w:left="5600"/>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2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Quarters Ended</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0"/>
                <w:szCs w:val="10"/>
                <w:color w:val="auto"/>
              </w:rPr>
            </w:pPr>
          </w:p>
        </w:tc>
        <w:tc>
          <w:tcPr>
            <w:tcW w:w="12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11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3860" w:type="dxa"/>
            <w:vAlign w:val="bottom"/>
            <w:tcBorders>
              <w:bottom w:val="single" w:sz="8" w:color="CCEEFF"/>
            </w:tcBorders>
            <w:gridSpan w:val="3"/>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tcPr>
          <w:p>
            <w:pPr>
              <w:ind w:left="400"/>
              <w:spacing w:after="0"/>
              <w:rPr>
                <w:sz w:val="20"/>
                <w:szCs w:val="20"/>
                <w:color w:val="auto"/>
              </w:rPr>
            </w:pPr>
            <w:r>
              <w:rPr>
                <w:rFonts w:ascii="Arial" w:cs="Arial" w:eastAsia="Arial" w:hAnsi="Arial"/>
                <w:sz w:val="18"/>
                <w:szCs w:val="18"/>
                <w:color w:val="auto"/>
              </w:rPr>
              <w:t>Collection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2,159</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2,209</w:t>
            </w:r>
          </w:p>
        </w:tc>
        <w:tc>
          <w:tcPr>
            <w:tcW w:w="34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tcPr>
          <w:p>
            <w:pPr>
              <w:ind w:left="400"/>
              <w:spacing w:after="0"/>
              <w:rPr>
                <w:sz w:val="20"/>
                <w:szCs w:val="20"/>
                <w:color w:val="auto"/>
              </w:rPr>
            </w:pPr>
            <w:r>
              <w:rPr>
                <w:rFonts w:ascii="Arial" w:cs="Arial" w:eastAsia="Arial" w:hAnsi="Arial"/>
                <w:sz w:val="18"/>
                <w:szCs w:val="18"/>
                <w:color w:val="auto"/>
              </w:rPr>
              <w:t>Transfer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tcPr>
          <w:p>
            <w:pPr>
              <w:ind w:left="400"/>
              <w:spacing w:after="0"/>
              <w:rPr>
                <w:sz w:val="20"/>
                <w:szCs w:val="20"/>
                <w:color w:val="auto"/>
              </w:rPr>
            </w:pPr>
            <w:r>
              <w:rPr>
                <w:rFonts w:ascii="Arial" w:cs="Arial" w:eastAsia="Arial" w:hAnsi="Arial"/>
                <w:sz w:val="18"/>
                <w:szCs w:val="18"/>
                <w:color w:val="auto"/>
              </w:rPr>
              <w:t>Recycling and other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6"/>
          </w:tcPr>
          <w:p>
            <w:pPr>
              <w:ind w:left="600"/>
              <w:spacing w:after="0"/>
              <w:rPr>
                <w:sz w:val="20"/>
                <w:szCs w:val="20"/>
                <w:color w:val="auto"/>
              </w:rPr>
            </w:pPr>
            <w:r>
              <w:rPr>
                <w:rFonts w:ascii="Arial" w:cs="Arial" w:eastAsia="Arial" w:hAnsi="Arial"/>
                <w:sz w:val="18"/>
                <w:szCs w:val="18"/>
                <w:color w:val="auto"/>
              </w:rPr>
              <w:t>Operating revenues</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8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Internal Growth of Operating Revenues from Comparable Prior Periods</w:t>
            </w:r>
          </w:p>
        </w:tc>
        <w:tc>
          <w:tcPr>
            <w:tcW w:w="1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tcPr>
          <w:p>
            <w:pPr>
              <w:ind w:left="200"/>
              <w:spacing w:after="0"/>
              <w:rPr>
                <w:sz w:val="20"/>
                <w:szCs w:val="20"/>
                <w:color w:val="auto"/>
              </w:rPr>
            </w:pPr>
            <w:r>
              <w:rPr>
                <w:rFonts w:ascii="Arial" w:cs="Arial" w:eastAsia="Arial" w:hAnsi="Arial"/>
                <w:sz w:val="18"/>
                <w:szCs w:val="18"/>
                <w:color w:val="auto"/>
              </w:rPr>
              <w:t>Internal growth</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w w:val="99"/>
              </w:rPr>
              <w:t>Less: Yield changes due to recycling commodities, electricity (IPP) and fuel surcharge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6"/>
            <w:vMerge w:val="restart"/>
          </w:tcPr>
          <w:p>
            <w:pPr>
              <w:ind w:left="600"/>
              <w:spacing w:after="0"/>
              <w:rPr>
                <w:sz w:val="20"/>
                <w:szCs w:val="20"/>
                <w:color w:val="auto"/>
              </w:rPr>
            </w:pPr>
            <w:r>
              <w:rPr>
                <w:rFonts w:ascii="Arial" w:cs="Arial" w:eastAsia="Arial" w:hAnsi="Arial"/>
                <w:sz w:val="18"/>
                <w:szCs w:val="18"/>
                <w:color w:val="auto"/>
              </w:rPr>
              <w:t>Adjusted internal growth</w:t>
            </w: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6"/>
            <w:vMerge w:val="continue"/>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Acquisition Summary (b)</w:t>
            </w:r>
          </w:p>
        </w:tc>
        <w:tc>
          <w:tcPr>
            <w:tcW w:w="5080" w:type="dxa"/>
            <w:vAlign w:val="bottom"/>
            <w:tcBorders>
              <w:bottom w:val="single" w:sz="8" w:color="CCEEFF"/>
            </w:tcBorders>
            <w:gridSpan w:val="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tcPr>
          <w:p>
            <w:pPr>
              <w:ind w:left="200"/>
              <w:spacing w:after="0"/>
              <w:rPr>
                <w:sz w:val="20"/>
                <w:szCs w:val="20"/>
                <w:color w:val="auto"/>
              </w:rPr>
            </w:pPr>
            <w:r>
              <w:rPr>
                <w:rFonts w:ascii="Arial" w:cs="Arial" w:eastAsia="Arial" w:hAnsi="Arial"/>
                <w:sz w:val="18"/>
                <w:szCs w:val="18"/>
                <w:color w:val="auto"/>
              </w:rPr>
              <w:t>Gross annualized revenue acquired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020" w:type="dxa"/>
            <w:vAlign w:val="bottom"/>
            <w:gridSpan w:val="6"/>
          </w:tcPr>
          <w:p>
            <w:pPr>
              <w:ind w:left="200"/>
              <w:spacing w:after="0"/>
              <w:rPr>
                <w:sz w:val="20"/>
                <w:szCs w:val="20"/>
                <w:color w:val="auto"/>
              </w:rPr>
            </w:pPr>
            <w:r>
              <w:rPr>
                <w:rFonts w:ascii="Arial" w:cs="Arial" w:eastAsia="Arial" w:hAnsi="Arial"/>
                <w:sz w:val="18"/>
                <w:szCs w:val="18"/>
                <w:color w:val="auto"/>
              </w:rPr>
              <w:t>Cash paid for acquisitions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Recycling Segment Supplemental Data (c)</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top w:val="single" w:sz="8" w:color="auto"/>
            </w:tcBorders>
            <w:gridSpan w:val="4"/>
          </w:tcPr>
          <w:p>
            <w:pPr>
              <w:ind w:left="200"/>
              <w:spacing w:after="0"/>
              <w:rPr>
                <w:sz w:val="20"/>
                <w:szCs w:val="20"/>
                <w:color w:val="auto"/>
              </w:rPr>
            </w:pPr>
            <w:r>
              <w:rPr>
                <w:rFonts w:ascii="Arial" w:cs="Arial" w:eastAsia="Arial" w:hAnsi="Arial"/>
                <w:sz w:val="18"/>
                <w:szCs w:val="18"/>
                <w:color w:val="auto"/>
              </w:rPr>
              <w:t>Operating revenues</w:t>
            </w:r>
          </w:p>
        </w:tc>
        <w:tc>
          <w:tcPr>
            <w:tcW w:w="3820" w:type="dxa"/>
            <w:vAlign w:val="bottom"/>
            <w:tcBorders>
              <w:top w:val="single" w:sz="8" w:color="CCEEFF"/>
            </w:tcBorders>
            <w:gridSpan w:val="2"/>
          </w:tcPr>
          <w:p>
            <w:pPr>
              <w:spacing w:after="0"/>
              <w:rPr>
                <w:sz w:val="18"/>
                <w:szCs w:val="18"/>
                <w:color w:val="auto"/>
              </w:rPr>
            </w:pPr>
          </w:p>
        </w:tc>
        <w:tc>
          <w:tcPr>
            <w:tcW w:w="7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189</w:t>
            </w:r>
          </w:p>
        </w:tc>
        <w:tc>
          <w:tcPr>
            <w:tcW w:w="58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198</w:t>
            </w: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Free Cash Flow Analysis (d)</w:t>
            </w:r>
          </w:p>
        </w:tc>
        <w:tc>
          <w:tcPr>
            <w:tcW w:w="4860" w:type="dxa"/>
            <w:vAlign w:val="bottom"/>
            <w:tcBorders>
              <w:bottom w:val="single" w:sz="8" w:color="CCEEFF"/>
            </w:tcBorders>
            <w:gridSpan w:val="4"/>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563</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6"/>
          </w:tcPr>
          <w:p>
            <w:pPr>
              <w:spacing w:after="0"/>
              <w:rPr>
                <w:sz w:val="20"/>
                <w:szCs w:val="20"/>
                <w:color w:val="auto"/>
              </w:rPr>
            </w:pPr>
            <w:r>
              <w:rPr>
                <w:rFonts w:ascii="Arial" w:cs="Arial" w:eastAsia="Arial" w:hAnsi="Arial"/>
                <w:sz w:val="18"/>
                <w:szCs w:val="18"/>
                <w:color w:val="auto"/>
                <w:w w:val="98"/>
              </w:rPr>
              <w:t>Proceeds from divestitures of businesses, net of cash divested, and other sales of assets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410</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Balance Sheet Data</w:t>
            </w:r>
          </w:p>
        </w:tc>
        <w:tc>
          <w:tcPr>
            <w:tcW w:w="5120" w:type="dxa"/>
            <w:vAlign w:val="bottom"/>
            <w:tcBorders>
              <w:bottom w:val="single" w:sz="8" w:color="CCEEFF"/>
            </w:tcBorders>
            <w:gridSpan w:val="2"/>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988</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8,620</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8,687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6,121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3"/>
          </w:tcPr>
          <w:p>
            <w:pPr>
              <w:ind w:left="400"/>
              <w:spacing w:after="0"/>
              <w:rPr>
                <w:sz w:val="20"/>
                <w:szCs w:val="20"/>
                <w:color w:val="auto"/>
              </w:rPr>
            </w:pPr>
            <w:r>
              <w:rPr>
                <w:rFonts w:ascii="Arial" w:cs="Arial" w:eastAsia="Arial" w:hAnsi="Arial"/>
                <w:sz w:val="18"/>
                <w:szCs w:val="18"/>
                <w:color w:val="auto"/>
              </w:rPr>
              <w:t>Total capital</w:t>
            </w:r>
          </w:p>
        </w:tc>
        <w:tc>
          <w:tcPr>
            <w:tcW w:w="10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14,691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14,329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6620" w:type="dxa"/>
            <w:vAlign w:val="bottom"/>
            <w:gridSpan w:val="4"/>
            <w:vMerge w:val="restart"/>
          </w:tcPr>
          <w:p>
            <w:pPr>
              <w:spacing w:after="0"/>
              <w:rPr>
                <w:sz w:val="20"/>
                <w:szCs w:val="20"/>
                <w:color w:val="auto"/>
              </w:rPr>
            </w:pPr>
            <w:r>
              <w:rPr>
                <w:rFonts w:ascii="Arial" w:cs="Arial" w:eastAsia="Arial" w:hAnsi="Arial"/>
                <w:sz w:val="18"/>
                <w:szCs w:val="18"/>
                <w:color w:val="auto"/>
              </w:rPr>
              <w:t>Capitalized interest</w:t>
            </w: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4"/>
            <w:vMerge w:val="continue"/>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Other Operational Data</w:t>
            </w:r>
          </w:p>
        </w:tc>
        <w:tc>
          <w:tcPr>
            <w:tcW w:w="47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Internalization of waste, based on disposal costs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66.7%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20" w:type="dxa"/>
            <w:vAlign w:val="bottom"/>
            <w:gridSpan w:val="4"/>
          </w:tcPr>
          <w:p>
            <w:pPr>
              <w:spacing w:after="0"/>
              <w:rPr>
                <w:sz w:val="20"/>
                <w:szCs w:val="20"/>
                <w:color w:val="auto"/>
              </w:rPr>
            </w:pPr>
            <w:r>
              <w:rPr>
                <w:rFonts w:ascii="Arial" w:cs="Arial" w:eastAsia="Arial" w:hAnsi="Arial"/>
                <w:sz w:val="18"/>
                <w:szCs w:val="18"/>
                <w:color w:val="auto"/>
              </w:rPr>
              <w:t>Active landfills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66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1"/>
              </w:rPr>
              <w:t>Amortization and SFAS No. 143 Expenses for Landfills Included in Operating Groups</w:t>
            </w: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20" w:type="dxa"/>
            <w:vAlign w:val="bottom"/>
            <w:gridSpan w:val="4"/>
            <w:vMerge w:val="continue"/>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76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Non-SFAS No. 143 amortization expense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95.8</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Amortization expense related to SFAS No. 143 obligations (b)</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Accretion and other related expense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124.2</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quarters ended March 31, 2006 and December 31, 2005 include short-term investments available for use of $534 million and $300 million, respectively. There were no short-term investments available for use in the quarter ended March 31, 2005.</w:t>
      </w:r>
    </w:p>
    <w:p>
      <w:pPr>
        <w:spacing w:after="0" w:line="21" w:lineRule="exact"/>
        <w:rPr>
          <w:rFonts w:ascii="Arial" w:cs="Arial" w:eastAsia="Arial" w:hAnsi="Arial"/>
          <w:sz w:val="18"/>
          <w:szCs w:val="18"/>
          <w:color w:val="auto"/>
        </w:rPr>
      </w:pPr>
    </w:p>
    <w:p>
      <w:pPr>
        <w:ind w:left="460" w:right="3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Reflected in the December 31, 2005 results is a reduction in landfill amortization expense of $12.4 million. This reduction relates primarily to adjustments to our fully accrued landfill final capping obligations and is a result of fourth quarter event-driven changes as well as changes in certain estimates resulting from our annual landfill review process.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low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2019-12-20T04:11:42Z</dcterms:created>
  <dcterms:modified xsi:type="dcterms:W3CDTF">2019-12-20T04:11:42Z</dcterms:modified>
</cp:coreProperties>
</file>