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29, 2008</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5"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3">
            <w:col w:w="3980" w:space="720"/>
            <w:col w:w="2960" w:space="720"/>
            <w:col w:w="2920"/>
          </w:cols>
          <w:pgMar w:left="240" w:top="927" w:right="359" w:bottom="1440" w:gutter="0" w:footer="0" w:header="0"/>
          <w:type w:val="continuous"/>
        </w:sectPr>
      </w:pP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1001 Fannin, Suite 4000 Houston, Texas</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22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0"/>
          <w:szCs w:val="20"/>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11" w:lineRule="exact"/>
        <w:rPr>
          <w:sz w:val="20"/>
          <w:szCs w:val="20"/>
          <w:color w:val="auto"/>
        </w:rPr>
      </w:pPr>
    </w:p>
    <w:p>
      <w:pPr>
        <w:sectPr>
          <w:pgSz w:w="11900" w:h="16838" w:orient="portrait"/>
          <w:cols w:equalWidth="0" w:num="2">
            <w:col w:w="7580" w:space="720"/>
            <w:col w:w="3000"/>
          </w:cols>
          <w:pgMar w:left="240" w:top="927" w:right="359" w:bottom="1440" w:gutter="0" w:footer="0" w:header="0"/>
          <w:type w:val="continuous"/>
        </w:sectPr>
      </w:pP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2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Waste Management, Inc. (the “Company”) issued a press release this morning, April 29, 2008, announcing its earnings for the quarter ended March 31, 2008. A copy of the press release is attached hereto as exhibit 99.1.</w:t>
      </w:r>
    </w:p>
    <w:p>
      <w:pPr>
        <w:spacing w:after="0" w:line="62"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Additionally, as previously announced, the Company is holding a conference call, open to the public, to discuss these results, from 9:00 a.m. to 10:00 a.m. Central time this morning. The call will be webcast live, and may be heard by accessing the Company’s website at www.wm.com. The call may also be listened to by calling (877) 710-6139 and entering the access code 39562966. A replay of the conference call will be available through 5:00 p.m. Central time on May 13, 2008. The replay of the call may be heard over the Internet, by accessing the Company’s website at www.wm.com, or by telephone by dialing 800-642-1687 and entering conference code 39562966.</w:t>
      </w:r>
    </w:p>
    <w:p>
      <w:pPr>
        <w:spacing w:after="0" w:line="80"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On the conference call, management of the Company is expected to discuss results of operations using certain non-GAAP financial measures that are also included in the Company’s press release. The Company has provided information regarding its use of these non-GAAP measures and reconciliations of them to their most comparable GAAP measures in the press release that is attached to this Form 8-K as exhibit 99.1 and the schedules thereto.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Press Release dated April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April 29, 2008</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32"/>
        </w:trPr>
        <w:tc>
          <w:tcPr>
            <w:tcW w:w="3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line="32"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2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ind w:left="10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29, 2008</w:t>
      </w:r>
    </w:p>
    <w:p>
      <w:pPr>
        <w:sectPr>
          <w:pgSz w:w="11900" w:h="16838" w:orient="portrait"/>
          <w:cols w:equalWidth="0" w:num="1">
            <w:col w:w="10059"/>
          </w:cols>
          <w:pgMar w:left="400" w:top="144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223520</wp:posOffset>
            </wp:positionV>
            <wp:extent cx="1672590"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7259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Greg Nikkel — 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#08-06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First Quarter 2008 Earnings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Posts Higher Earnings and Cash from Operations and Expresses Confidence in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Achieving Full Year 2008 Earnings Guidance</w:t>
      </w:r>
    </w:p>
    <w:p>
      <w:pPr>
        <w:spacing w:after="0" w:line="99"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 xml:space="preserve">HOUSTON — April 29, 2008 — </w:t>
      </w:r>
      <w:r>
        <w:rPr>
          <w:rFonts w:ascii="Arial" w:cs="Arial" w:eastAsia="Arial" w:hAnsi="Arial"/>
          <w:sz w:val="16"/>
          <w:szCs w:val="16"/>
          <w:color w:val="auto"/>
        </w:rPr>
        <w:t>Waste Management, Inc. (NYSE: WMI) today announced financial results for its first quarter ended March 31, 2008. Net</w:t>
      </w:r>
      <w:r>
        <w:rPr>
          <w:rFonts w:ascii="Arial" w:cs="Arial" w:eastAsia="Arial" w:hAnsi="Arial"/>
          <w:sz w:val="16"/>
          <w:szCs w:val="16"/>
          <w:b w:val="1"/>
          <w:bCs w:val="1"/>
          <w:color w:val="auto"/>
        </w:rPr>
        <w:t xml:space="preserve"> </w:t>
      </w:r>
      <w:r>
        <w:rPr>
          <w:rFonts w:ascii="Arial" w:cs="Arial" w:eastAsia="Arial" w:hAnsi="Arial"/>
          <w:sz w:val="16"/>
          <w:szCs w:val="16"/>
          <w:color w:val="auto"/>
        </w:rPr>
        <w:t>income for the quarter was $241 million, or $0.48 per diluted share, compared with $238 million, or $0.45 per diluted share in the prior year period.</w:t>
      </w:r>
    </w:p>
    <w:p>
      <w:pPr>
        <w:spacing w:after="0" w:line="1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Revenue for the first quarter of 2008 was $3.27 billion as compared with $3.19 billion in the year ago period, an increase of 2.4%. Income from operations as a percent of revenue improved by 50 basis points from the prior year period to 15.6% in the first quarter of 2008.</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noted several items that impacted the results in the 2007 and 2008 first quarters. Results in the first quarter of 2008 included a net $0.01 per diluted share benefit due to a $6 million benefit in net income from income tax audit settlements. Results in the first quarter of 2007 included a net $0.02 per diluted share benefit consisting of a $16 million benefit in net income from income tax audit settlements and a $6 million reduction in net income due to restructuring charges.</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Excluding those items, earnings would have been $0.47 per diluted share in the first quarter of 2008 compared with $0.43 per diluted share in the first quarter of 2007. This is a 9.3% increase in adjusted earnings per diluted share.</w:t>
      </w:r>
      <w:r>
        <w:rPr>
          <w:rFonts w:ascii="Arial" w:cs="Arial" w:eastAsia="Arial" w:hAnsi="Arial"/>
          <w:sz w:val="15"/>
          <w:szCs w:val="15"/>
          <w:color w:val="auto"/>
        </w:rPr>
        <w:t>(a)</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started the year on a solid note as we again accomplished our primary financial goals of earnings growth, margin expansion and strong free cash flow,” said David P. Steiner, Chief Executive Officer of Waste Management. “The 9.3% growth in adjusted earnings per share is an impressive accomplishment in the current business environment. It is even more impressive when you consider that we had a $0.02 per diluted share benefit in Section 45K tax credits in the first quarter of 2007. The Section 45K program expired at the end of 2007. Excluding that benefit, year-over-year earnings would have grown 14.6% in the first quarter of 2008. </w:t>
      </w:r>
      <w:r>
        <w:rPr>
          <w:rFonts w:ascii="Arial" w:cs="Arial" w:eastAsia="Arial" w:hAnsi="Arial"/>
          <w:sz w:val="15"/>
          <w:szCs w:val="15"/>
          <w:color w:val="auto"/>
        </w:rPr>
        <w:t>(a)</w:t>
      </w:r>
    </w:p>
    <w:p>
      <w:pPr>
        <w:spacing w:after="0" w:line="8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grew revenue by 2.4% during the first quarter of 2008, due mainly to our disciplined approach to pricing, which led to internal revenue growth from yield on base business of 3.2%. We also benefited from higher recycling commodity prices, which contributed an additional 2.3% to revenue growth. Partially offsetting these increases were declines in internal revenue growth from volumes of 3.9%, mostly in the collection lines of business, as well as the carry-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over impact of divestitures of certain under-performing operations, which occurred principally during the 2007 fiscal year.</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“We overcame several challenges during the first quarter of 2008, including the impact of sharply rising diesel fuel prices, a slow economy and harsh winter weather in the Midwest. Higher diesel fuel prices caused an approximate $0.01 per share reduction in earnings during the quarter because the increase in our fuel surcharge revenue lagged the sharp rise in diesel fuel prices; and this also caused an approximate 50 basis point decline in income from operations as a percent of revenue. Excluding this negative 50 basis point impact, our income from operations as a percent of revenue increased by 100 basis points in the first quarter of this year compared with the prior year period, in line with our expectations. </w:t>
      </w:r>
      <w:r>
        <w:rPr>
          <w:rFonts w:ascii="Arial" w:cs="Arial" w:eastAsia="Arial" w:hAnsi="Arial"/>
          <w:sz w:val="14"/>
          <w:szCs w:val="14"/>
          <w:color w:val="auto"/>
        </w:rPr>
        <w:t>(a)</w:t>
      </w:r>
      <w:r>
        <w:rPr>
          <w:rFonts w:ascii="Arial" w:cs="Arial" w:eastAsia="Arial" w:hAnsi="Arial"/>
          <w:sz w:val="17"/>
          <w:szCs w:val="17"/>
          <w:color w:val="auto"/>
        </w:rPr>
        <w:t xml:space="preserve"> We estimate that the winter weather conditions caused a $0.01 per share decline in net income during the first quarter of this year.”</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Steiner continued, “We overcame a number of challenges by continuing our focus on pricing and operational excellence and executing our strategy of reviewing low margin accounts and increasing prices or culling that business. And we again produced strong free cash flow that we returned to shareholders in the form of our dividend and share repurchases. We generated $561 million in net cash from operating activities and $362 million of free cash flow during the quarter.” </w:t>
      </w:r>
      <w:r>
        <w:rPr>
          <w:rFonts w:ascii="Arial" w:cs="Arial" w:eastAsia="Arial" w:hAnsi="Arial"/>
          <w:sz w:val="15"/>
          <w:szCs w:val="15"/>
          <w:color w:val="auto"/>
        </w:rPr>
        <w:t>(a)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First Quarter of 2008</w:t>
      </w:r>
    </w:p>
    <w:p>
      <w:pPr>
        <w:spacing w:after="0" w:line="121" w:lineRule="exact"/>
        <w:rPr>
          <w:sz w:val="20"/>
          <w:szCs w:val="20"/>
          <w:color w:val="auto"/>
        </w:rPr>
      </w:pPr>
    </w:p>
    <w:p>
      <w:pPr>
        <w:ind w:left="660" w:right="100" w:hanging="436"/>
        <w:spacing w:after="0" w:line="286"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 xml:space="preserve">Income from operations was $511 million, or 15.6% of revenue, an increase of 50 basis points compared with the prior year first quarter. Excluding the impacts of higher diesel fuel prices on fuel surcharge revenue and operating expenses, income from operations as a percent of revenue was 16.1% in the first quarter of 2008, an increase of 100 basis points compared with the prior year first quarter. </w:t>
      </w:r>
      <w:r>
        <w:rPr>
          <w:rFonts w:ascii="Arial" w:cs="Arial" w:eastAsia="Arial" w:hAnsi="Arial"/>
          <w:sz w:val="14"/>
          <w:szCs w:val="14"/>
          <w:color w:val="auto"/>
        </w:rPr>
        <w:t>(a)</w:t>
      </w:r>
    </w:p>
    <w:p>
      <w:pPr>
        <w:spacing w:after="0" w:line="70" w:lineRule="exact"/>
        <w:rPr>
          <w:rFonts w:ascii="Arial" w:cs="Arial" w:eastAsia="Arial" w:hAnsi="Arial"/>
          <w:sz w:val="17"/>
          <w:szCs w:val="17"/>
          <w:b w:val="1"/>
          <w:bCs w:val="1"/>
          <w:color w:val="auto"/>
        </w:rPr>
      </w:pPr>
    </w:p>
    <w:p>
      <w:pPr>
        <w:ind w:left="660" w:right="12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Internal revenue growth from yield on base business was 3.2%. Including the positive impact of higher recycling commodity prices and higher fuel surcharge revenue, internal revenue growth from yield was 6.8%.</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Internal revenue growth from volume was a negative 3.9%.</w:t>
      </w:r>
    </w:p>
    <w:p>
      <w:pPr>
        <w:spacing w:after="0" w:line="130" w:lineRule="exact"/>
        <w:rPr>
          <w:rFonts w:ascii="Arial" w:cs="Arial" w:eastAsia="Arial" w:hAnsi="Arial"/>
          <w:sz w:val="18"/>
          <w:szCs w:val="18"/>
          <w:b w:val="1"/>
          <w:bCs w:val="1"/>
          <w:color w:val="auto"/>
        </w:rPr>
      </w:pPr>
    </w:p>
    <w:p>
      <w:pPr>
        <w:ind w:left="660" w:right="30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Divestitures caused a 2.0% decline in revenue in the quarter, while acquisitions contributed 0.8% to higher revenue. Foreign currency translation contributed an additional 0.8% to revenue growth.</w:t>
      </w:r>
    </w:p>
    <w:p>
      <w:pPr>
        <w:spacing w:after="0" w:line="75"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expenses were 64.1% of revenue, up from 63.8% of revenue in the same period in 2007. Excluding the impacts of higher diesel fuel prices and higher recycling commodity prices on both operating expenses and revenue, operating expenses were 63.0% of revenue in the first quarter of 2008, or an 80 basis point improvement compared with the prior year period.</w:t>
      </w:r>
      <w:r>
        <w:rPr>
          <w:rFonts w:ascii="Arial" w:cs="Arial" w:eastAsia="Arial" w:hAnsi="Arial"/>
          <w:sz w:val="15"/>
          <w:szCs w:val="15"/>
          <w:color w:val="auto"/>
        </w:rPr>
        <w:t>(a)</w:t>
      </w:r>
    </w:p>
    <w:p>
      <w:pPr>
        <w:spacing w:after="0" w:line="86" w:lineRule="exact"/>
        <w:rPr>
          <w:rFonts w:ascii="Arial" w:cs="Arial" w:eastAsia="Arial" w:hAnsi="Arial"/>
          <w:sz w:val="18"/>
          <w:szCs w:val="18"/>
          <w:b w:val="1"/>
          <w:bCs w:val="1"/>
          <w:color w:val="auto"/>
        </w:rPr>
      </w:pPr>
    </w:p>
    <w:p>
      <w:pPr>
        <w:ind w:left="660" w:right="64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Depreciation and amortization expenses were 9.1% of revenue, down from 9.7% of revenue in the first quarter of 2007, due mainly to lower volumes.</w:t>
      </w:r>
    </w:p>
    <w:p>
      <w:pPr>
        <w:spacing w:after="0" w:line="75"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was $561 million compared with $538 million in the prior year quarter. Capital expenditures were $213 million, compared with $272 million in the prior year quarter.</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Free cash flow was $362 million, compared with $335 million in the prior year quarter.</w:t>
      </w:r>
      <w:r>
        <w:rPr>
          <w:rFonts w:ascii="Arial" w:cs="Arial" w:eastAsia="Arial" w:hAnsi="Arial"/>
          <w:sz w:val="15"/>
          <w:szCs w:val="15"/>
          <w:color w:val="auto"/>
        </w:rPr>
        <w:t>(a)</w:t>
      </w:r>
    </w:p>
    <w:p>
      <w:pPr>
        <w:spacing w:after="0" w:line="130"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We returned $414 million to shareholders in the form of $281 million in common stock repurchases, or approximately 9 million shares, and $133 million in dividend payments.</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Steiner concluded, “Despite the slow economy, we are off to a good start for the year. We continued to execute our disciplined pricing and cost control strategies and we overcame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challenges during the quarter. Our success during the first quarter gives us confidence that we can achieve our previously projected full-year earnings of $2.19 to $2.23 per diluted share and free cash flow of $1.4 billion.”</w:t>
      </w:r>
      <w:r>
        <w:rPr>
          <w:rFonts w:ascii="Arial" w:cs="Arial" w:eastAsia="Arial" w:hAnsi="Arial"/>
          <w:sz w:val="15"/>
          <w:szCs w:val="15"/>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20" w:right="20" w:hanging="312"/>
        <w:spacing w:after="0" w:line="291" w:lineRule="auto"/>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ind w:left="320" w:right="380"/>
        <w:spacing w:after="0" w:line="255" w:lineRule="auto"/>
        <w:rPr>
          <w:rFonts w:ascii="Arial" w:cs="Arial" w:eastAsia="Arial" w:hAnsi="Arial"/>
          <w:sz w:val="16"/>
          <w:szCs w:val="16"/>
          <w:color w:val="auto"/>
        </w:rPr>
      </w:pPr>
      <w:r>
        <w:rPr>
          <w:rFonts w:ascii="Arial" w:cs="Arial" w:eastAsia="Arial" w:hAnsi="Arial"/>
          <w:sz w:val="18"/>
          <w:szCs w:val="18"/>
          <w:color w:val="auto"/>
        </w:rPr>
        <w:t>(i) additional, meaningful comparisons of current results to prior periods’ results by excluding items that the Company does not believe reflect its fundamental business performance and (ii) financial measures the Company uses in the management of its business. GAAP measures that have been adjusted to exclude the impact of certain unusual, non-recurring or otherwise non-operational items include:</w:t>
      </w:r>
    </w:p>
    <w:p>
      <w:pPr>
        <w:spacing w:after="0" w:line="82" w:lineRule="exact"/>
        <w:rPr>
          <w:rFonts w:ascii="Arial" w:cs="Arial" w:eastAsia="Arial" w:hAnsi="Arial"/>
          <w:sz w:val="16"/>
          <w:szCs w:val="16"/>
          <w:color w:val="auto"/>
        </w:rPr>
      </w:pPr>
    </w:p>
    <w:p>
      <w:pPr>
        <w:ind w:left="660" w:hanging="436"/>
        <w:spacing w:after="0"/>
        <w:tabs>
          <w:tab w:leader="none" w:pos="6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Earnings per diluted share;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Income from operations as a percent of revenue;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Operating expenses as a percent of revenue;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Projected earnings per diluted share.</w:t>
      </w:r>
    </w:p>
    <w:p>
      <w:pPr>
        <w:spacing w:after="0" w:line="117" w:lineRule="exact"/>
        <w:rPr>
          <w:sz w:val="20"/>
          <w:szCs w:val="20"/>
          <w:color w:val="auto"/>
        </w:rPr>
      </w:pPr>
    </w:p>
    <w:p>
      <w:pPr>
        <w:ind w:left="220" w:right="140"/>
        <w:spacing w:after="0" w:line="286" w:lineRule="auto"/>
        <w:rPr>
          <w:sz w:val="20"/>
          <w:szCs w:val="20"/>
          <w:color w:val="auto"/>
        </w:rPr>
      </w:pPr>
      <w:r>
        <w:rPr>
          <w:rFonts w:ascii="Arial" w:cs="Arial" w:eastAsia="Arial" w:hAnsi="Arial"/>
          <w:sz w:val="17"/>
          <w:szCs w:val="17"/>
          <w:color w:val="auto"/>
        </w:rPr>
        <w:t>The Company also discusses free cash flow and projected free cash flow, which are non-GAAP measures, because it believes that investors are interested in the cash produced by the Company from non-financing activities that is available for uses such as the Company’s acquisitions, its share repurchase program, its scheduled debt reduction and the payment of dividends. The Company defines free cash flow as:</w:t>
      </w:r>
    </w:p>
    <w:p>
      <w:pPr>
        <w:spacing w:after="0" w:line="57"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Plus, proceeds from divestitures of businesses, net of cash divested, and other sales of assets.</w:t>
      </w:r>
    </w:p>
    <w:p>
      <w:pPr>
        <w:spacing w:after="0" w:line="117" w:lineRule="exact"/>
        <w:rPr>
          <w:sz w:val="20"/>
          <w:szCs w:val="20"/>
          <w:color w:val="auto"/>
        </w:rPr>
      </w:pPr>
    </w:p>
    <w:p>
      <w:pPr>
        <w:ind w:left="220" w:right="40"/>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not subject to comparison.</w:t>
      </w:r>
    </w:p>
    <w:p>
      <w:pPr>
        <w:spacing w:after="0" w:line="76" w:lineRule="exact"/>
        <w:rPr>
          <w:sz w:val="20"/>
          <w:szCs w:val="20"/>
          <w:color w:val="auto"/>
        </w:rPr>
      </w:pPr>
    </w:p>
    <w:p>
      <w:pPr>
        <w:ind w:left="220" w:right="200"/>
        <w:spacing w:after="0" w:line="264" w:lineRule="auto"/>
        <w:rPr>
          <w:sz w:val="20"/>
          <w:szCs w:val="20"/>
          <w:color w:val="auto"/>
        </w:rPr>
      </w:pPr>
      <w:r>
        <w:rPr>
          <w:rFonts w:ascii="Arial" w:cs="Arial" w:eastAsia="Arial" w:hAnsi="Arial"/>
          <w:sz w:val="18"/>
          <w:szCs w:val="18"/>
          <w:color w:val="auto"/>
        </w:rPr>
        <w:t>The quantitative reconciliations of the non-GAAP measures, other than the full year projected earnings per diluted share, to the most comparable GAAP measures are included in the accompanying schedules. Investors are urged to take into account GAAP measures as well as non-GAAP measures in evaluating the Company.</w:t>
      </w:r>
    </w:p>
    <w:p>
      <w:pPr>
        <w:spacing w:after="0" w:line="87" w:lineRule="exact"/>
        <w:rPr>
          <w:sz w:val="20"/>
          <w:szCs w:val="20"/>
          <w:color w:val="auto"/>
        </w:rPr>
      </w:pPr>
    </w:p>
    <w:p>
      <w:pPr>
        <w:ind w:left="220"/>
        <w:spacing w:after="0" w:line="272" w:lineRule="auto"/>
        <w:rPr>
          <w:sz w:val="20"/>
          <w:szCs w:val="20"/>
          <w:color w:val="auto"/>
        </w:rPr>
      </w:pPr>
      <w:r>
        <w:rPr>
          <w:rFonts w:ascii="Arial" w:cs="Arial" w:eastAsia="Arial" w:hAnsi="Arial"/>
          <w:sz w:val="17"/>
          <w:szCs w:val="17"/>
          <w:color w:val="auto"/>
        </w:rPr>
        <w:t>The full year adjusted earnings of $2.19 to $2.23 per diluted share projected by the Company excludes the first quarter impact of a $6 million income tax audit settlement. GAAP net earnings per diluted share for the remaining three quarters of 2008 may include other items that are not currently determinable, but may be significant, such as asset impairment and unusual items, charges, gains or losses from divestitures, or additional resolution of income tax items. The full year 2008 adjusted projected earnings reaffirmed today excludes the impact of any such items that may occur. GAAP net earnings per diluted share projected for the full year would require inclusion of the projected impact of these items. Due to the uncertainty of the likelihood, amount and timing of any such items, we do not believe we have the information available to provide projected full year GAAP net earnings per diluted share and the quantitative reconciliation to our current adjusted earning per diluted share projection.</w:t>
      </w:r>
    </w:p>
    <w:p>
      <w:pPr>
        <w:spacing w:after="0" w:line="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has scheduled an investor and analyst conference call for later this morning to discuss the results of today’s earnings announcement. The information in this press release should be read in conjunction with the information on the conference call. The call will begin at 10:00 a.m. Eastern time and is open to the public. To listen to the conference call, which will be broadcast live over the Internet, go to the Waste Management Website at http://www.wm.com, and select “Earnings Webcast.” You may also listen to the analyst conference call by telephone by contacting the conference call operator 5 to 10 minutes prior to the scheduled start time and asking for the “Waste Management Conference Call — Call ID 39562966.” US/Canada Dial-In Number: (877) 710-6139. Int’l/Local Dial-In Number: (706) 643-7398. For those unable to listen to the live call, a replay will be available 24 hours a day beginning at approximately 1:00 p.m. Eastern time on April 29th through 5:00 p.m. Eastern time on May 13th. To hear a replay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ind w:right="280"/>
        <w:spacing w:after="0" w:line="277" w:lineRule="auto"/>
        <w:rPr>
          <w:sz w:val="20"/>
          <w:szCs w:val="20"/>
          <w:color w:val="auto"/>
        </w:rPr>
      </w:pPr>
      <w:r>
        <w:rPr>
          <w:rFonts w:ascii="Arial" w:cs="Arial" w:eastAsia="Arial" w:hAnsi="Arial"/>
          <w:sz w:val="18"/>
          <w:szCs w:val="18"/>
          <w:color w:val="auto"/>
        </w:rPr>
        <w:t xml:space="preserve">of the call over the Internet, access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To hear a telephonic replay of the call, dial (800) 642-1687 or (706) 645-9291 and enter reservation code 39562966.</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Outlined below are some of the risks that the Company faces and that could affect our financial statements for 2008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any forward-looking statements, which speak only as of their dates. The following are some of the risks that we face:</w:t>
      </w:r>
    </w:p>
    <w:p>
      <w:pPr>
        <w:spacing w:after="0" w:line="70" w:lineRule="exact"/>
        <w:rPr>
          <w:sz w:val="20"/>
          <w:szCs w:val="20"/>
          <w:color w:val="auto"/>
        </w:rPr>
      </w:pPr>
    </w:p>
    <w:p>
      <w:pPr>
        <w:ind w:left="660" w:right="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maintain or expand margins if we are unable to control costs or raise prices;</w:t>
      </w:r>
    </w:p>
    <w:p>
      <w:pPr>
        <w:spacing w:after="0" w:line="130" w:lineRule="exact"/>
        <w:rPr>
          <w:rFonts w:ascii="Arial" w:cs="Arial" w:eastAsia="Arial" w:hAnsi="Arial"/>
          <w:sz w:val="18"/>
          <w:szCs w:val="18"/>
          <w:b w:val="1"/>
          <w:bCs w:val="1"/>
          <w:color w:val="auto"/>
        </w:rPr>
      </w:pPr>
    </w:p>
    <w:p>
      <w:pPr>
        <w:jc w:val="both"/>
        <w:ind w:left="660" w:right="600" w:hanging="436"/>
        <w:spacing w:after="0" w:line="312"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i w:val="1"/>
          <w:iCs w:val="1"/>
          <w:color w:val="auto"/>
        </w:rPr>
        <w:t>we may not be able to successfully execute or continue our operational or other margin improvement plans and programs, including pricing increases; passing on increased costs to our customers; reducing costs due to our operational improvement programs; and divesting under-performing assets and purchasing accretive businesses, any of which could negatively affect our revenue and margins;</w:t>
      </w:r>
    </w:p>
    <w:p>
      <w:pPr>
        <w:spacing w:after="0" w:line="52" w:lineRule="exact"/>
        <w:rPr>
          <w:rFonts w:ascii="Arial" w:cs="Arial" w:eastAsia="Arial" w:hAnsi="Arial"/>
          <w:sz w:val="16"/>
          <w:szCs w:val="16"/>
          <w:b w:val="1"/>
          <w:bCs w:val="1"/>
          <w:color w:val="auto"/>
        </w:rPr>
      </w:pPr>
    </w:p>
    <w:p>
      <w:pPr>
        <w:ind w:left="660" w:right="3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cause our quarter—to-quarter results to fluctuate, and harsh weather or natural disasters may cause us to temporarily shut down operations;</w:t>
      </w:r>
    </w:p>
    <w:p>
      <w:pPr>
        <w:spacing w:after="0" w:line="75"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inflation, higher interest rates and other general and local economic conditions may negatively affect the volumes of waste generated, our financing costs and other expenses;</w:t>
      </w:r>
    </w:p>
    <w:p>
      <w:pPr>
        <w:spacing w:after="0" w:line="75"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costs for site remediation requirements, final capping, closure and post-closure obligations, compliance and regulatory requirements may increase our expenses;</w:t>
      </w:r>
    </w:p>
    <w:p>
      <w:pPr>
        <w:spacing w:after="0" w:line="75"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including regulations to limit greenhouse gas emissions,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cross-border, or certain categories of waste, as well as mandates on the disposal of waste, can increase our expenses and reduce our revenue;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or restrict our ability to operate;</w:t>
      </w:r>
    </w:p>
    <w:p>
      <w:pPr>
        <w:spacing w:after="0" w:line="130"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to obtain financial assurance or the inadequacy of our insurance coverages could negatively impact our liquidity and increase our liabilities;</w:t>
      </w:r>
    </w:p>
    <w:p>
      <w:pPr>
        <w:spacing w:after="0" w:line="75" w:lineRule="exact"/>
        <w:rPr>
          <w:rFonts w:ascii="Arial" w:cs="Arial" w:eastAsia="Arial" w:hAnsi="Arial"/>
          <w:sz w:val="18"/>
          <w:szCs w:val="18"/>
          <w:b w:val="1"/>
          <w:bCs w:val="1"/>
          <w:color w:val="auto"/>
        </w:rPr>
      </w:pPr>
    </w:p>
    <w:p>
      <w:pPr>
        <w:ind w:left="660" w:right="6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fluctuating commodity prices may have negative effects on our operating revenue and expenses;</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trends toward recycling, waste reduction at the source and prohibiting the disposal of certain types of wastes could have negative effects on volumes of waste going to landfills and waste-to-energy facilities;</w:t>
      </w:r>
    </w:p>
    <w:p>
      <w:pPr>
        <w:spacing w:after="0" w:line="75" w:lineRule="exact"/>
        <w:rPr>
          <w:rFonts w:ascii="Arial" w:cs="Arial" w:eastAsia="Arial" w:hAnsi="Arial"/>
          <w:sz w:val="18"/>
          <w:szCs w:val="18"/>
          <w:b w:val="1"/>
          <w:bCs w:val="1"/>
          <w:color w:val="auto"/>
        </w:rPr>
      </w:pPr>
    </w:p>
    <w:p>
      <w:pPr>
        <w:ind w:left="660" w:right="18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been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75"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could decrease our efficiencies, increase our costs, or lead to an impairment charge;</w:t>
      </w:r>
    </w:p>
    <w:p>
      <w:pPr>
        <w:spacing w:after="0" w:line="75"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 and</w:t>
      </w:r>
    </w:p>
    <w:p>
      <w:pPr>
        <w:spacing w:after="0" w:line="75"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we may reduce or eliminate our dividend or share repurchase program or we may need to raise additional capital if cash flows are less than we expect or capital expenditures or acquisition spending are more than we expect, and we may not be able to obtain any needed capital on acceptable terms.</w:t>
      </w:r>
    </w:p>
    <w:p>
      <w:pPr>
        <w:spacing w:after="0" w:line="73"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2007.</w:t>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3,266</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4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0.49</w:t>
            </w:r>
          </w:p>
        </w:tc>
        <w:tc>
          <w:tcPr>
            <w:tcW w:w="34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4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496.0</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c>
          <w:tcPr>
            <w:tcW w:w="34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 xml:space="preserve">Note: The quarter ended March 31, 2007 includes certain adjustments required as a result of the Financial Accounting Standards Board (“FASB”) finalizing and releasing FASB Staff Position (“FSP”) No. FIN 48-1, </w:t>
      </w:r>
      <w:r>
        <w:rPr>
          <w:rFonts w:ascii="Arial" w:cs="Arial" w:eastAsia="Arial" w:hAnsi="Arial"/>
          <w:sz w:val="16"/>
          <w:szCs w:val="16"/>
          <w:i w:val="1"/>
          <w:iCs w:val="1"/>
          <w:color w:val="auto"/>
        </w:rPr>
        <w:t>Definition of Settlement in FASB Interpretation No. 48</w:t>
      </w:r>
      <w:r>
        <w:rPr>
          <w:rFonts w:ascii="Arial" w:cs="Arial" w:eastAsia="Arial" w:hAnsi="Arial"/>
          <w:sz w:val="16"/>
          <w:szCs w:val="16"/>
          <w:color w:val="auto"/>
        </w:rPr>
        <w:t>. This FSP was released subsequent to the Company’s Q1 2007 Press Release and Form 10-Q filing, but was required to be retrospectively applied to the date of the initial adoption of FIN 48.</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496.0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498.3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0"/>
        </w:trPr>
        <w:tc>
          <w:tcPr>
            <w:tcW w:w="8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2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0.49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jc w:val="right"/>
              <w:ind w:right="251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4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4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(Unaudited)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14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1,816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11,297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w:t>
            </w: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5,411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3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14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20,184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20,175</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4140" w:type="dxa"/>
            <w:vAlign w:val="bottom"/>
            <w:gridSpan w:val="2"/>
          </w:tcPr>
          <w:p>
            <w:pPr>
              <w:ind w:left="39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2,104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3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14,266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14,073</w:t>
            </w: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3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20,184</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980" w:type="dxa"/>
            <w:vAlign w:val="bottom"/>
            <w:vMerge w:val="restart"/>
          </w:tcPr>
          <w:p>
            <w:pPr>
              <w:jc w:val="right"/>
              <w:ind w:right="315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241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short-term investments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9"/>
        </w:trPr>
        <w:tc>
          <w:tcPr>
            <w:tcW w:w="79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(544)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 and warrants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348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 xml:space="preserve">Note: The quarter ended March 31, 2007 includes certain adjustments required as a result of the Financial Accounting Standards Board (“FASB”) finalizing and releasing FASB Staff Position (“FSP”) No. FIN 48-1, </w:t>
      </w:r>
      <w:r>
        <w:rPr>
          <w:rFonts w:ascii="Arial" w:cs="Arial" w:eastAsia="Arial" w:hAnsi="Arial"/>
          <w:sz w:val="16"/>
          <w:szCs w:val="16"/>
          <w:i w:val="1"/>
          <w:iCs w:val="1"/>
          <w:color w:val="auto"/>
        </w:rPr>
        <w:t>Definition of Settlement in FASB Interpretation No. 48</w:t>
      </w:r>
      <w:r>
        <w:rPr>
          <w:rFonts w:ascii="Arial" w:cs="Arial" w:eastAsia="Arial" w:hAnsi="Arial"/>
          <w:sz w:val="16"/>
          <w:szCs w:val="16"/>
          <w:color w:val="auto"/>
        </w:rPr>
        <w:t>. This FSP was released subsequent to the Company’s Q1 2007 Press Release and Form 10-Q filing, but was required to be retrospectively applied to the date of the initial adoption of FIN 48.</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Quarters Ended</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Pr>
          <w:p>
            <w:pPr>
              <w:spacing w:after="0"/>
              <w:rPr>
                <w:sz w:val="10"/>
                <w:szCs w:val="10"/>
                <w:color w:val="auto"/>
              </w:rPr>
            </w:pPr>
          </w:p>
        </w:tc>
        <w:tc>
          <w:tcPr>
            <w:tcW w:w="128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6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116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40" w:type="dxa"/>
            <w:vAlign w:val="bottom"/>
          </w:tcPr>
          <w:p>
            <w:pPr>
              <w:ind w:left="400"/>
              <w:spacing w:after="0"/>
              <w:rPr>
                <w:sz w:val="20"/>
                <w:szCs w:val="20"/>
                <w:color w:val="auto"/>
              </w:rPr>
            </w:pPr>
            <w:r>
              <w:rPr>
                <w:rFonts w:ascii="Arial" w:cs="Arial" w:eastAsia="Arial" w:hAnsi="Arial"/>
                <w:sz w:val="18"/>
                <w:szCs w:val="18"/>
                <w:color w:val="auto"/>
              </w:rPr>
              <w:t>Collection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2,138</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2,190</w:t>
            </w:r>
          </w:p>
        </w:tc>
        <w:tc>
          <w:tcPr>
            <w:tcW w:w="340" w:type="dxa"/>
            <w:vAlign w:val="bottom"/>
          </w:tcPr>
          <w:p>
            <w:pPr>
              <w:spacing w:after="0"/>
              <w:rPr>
                <w:sz w:val="24"/>
                <w:szCs w:val="24"/>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2,121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Landfill</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00"/>
              <w:spacing w:after="0"/>
              <w:rPr>
                <w:sz w:val="20"/>
                <w:szCs w:val="20"/>
                <w:color w:val="auto"/>
              </w:rPr>
            </w:pPr>
            <w:r>
              <w:rPr>
                <w:rFonts w:ascii="Arial" w:cs="Arial" w:eastAsia="Arial" w:hAnsi="Arial"/>
                <w:sz w:val="18"/>
                <w:szCs w:val="18"/>
                <w:color w:val="auto"/>
              </w:rPr>
              <w:t>Transfer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Wheelabrator</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00"/>
              <w:spacing w:after="0"/>
              <w:rPr>
                <w:sz w:val="20"/>
                <w:szCs w:val="20"/>
                <w:color w:val="auto"/>
              </w:rPr>
            </w:pPr>
            <w:r>
              <w:rPr>
                <w:rFonts w:ascii="Arial" w:cs="Arial" w:eastAsia="Arial" w:hAnsi="Arial"/>
                <w:sz w:val="18"/>
                <w:szCs w:val="18"/>
                <w:color w:val="auto"/>
              </w:rPr>
              <w:t>Recycling</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320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(515)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(551)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Operating revenues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3,266</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3,361</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Internal Growth of Operating Revenues from Comparable Prior Periods</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Internal growth</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tcPr>
          <w:p>
            <w:pPr>
              <w:ind w:left="200"/>
              <w:spacing w:after="0" w:line="201" w:lineRule="exact"/>
              <w:rPr>
                <w:sz w:val="20"/>
                <w:szCs w:val="20"/>
                <w:color w:val="auto"/>
              </w:rPr>
            </w:pPr>
            <w:r>
              <w:rPr>
                <w:rFonts w:ascii="Arial" w:cs="Arial" w:eastAsia="Arial" w:hAnsi="Arial"/>
                <w:sz w:val="18"/>
                <w:szCs w:val="18"/>
                <w:color w:val="auto"/>
                <w:w w:val="99"/>
              </w:rPr>
              <w:t>Less: Yield changes due to recycling commodities, electricity (IPP), fuel surcharge and</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400"/>
              <w:spacing w:after="0"/>
              <w:rPr>
                <w:sz w:val="20"/>
                <w:szCs w:val="20"/>
                <w:color w:val="auto"/>
              </w:rPr>
            </w:pPr>
            <w:r>
              <w:rPr>
                <w:rFonts w:ascii="Arial" w:cs="Arial" w:eastAsia="Arial" w:hAnsi="Arial"/>
                <w:sz w:val="18"/>
                <w:szCs w:val="18"/>
                <w:color w:val="auto"/>
              </w:rPr>
              <w:t>mandated fees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Adjusted internal growth</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Acquisition Summary (b)</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annualized revenue acquired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vMerge w:val="restart"/>
          </w:tcPr>
          <w:p>
            <w:pPr>
              <w:ind w:left="200"/>
              <w:spacing w:after="0"/>
              <w:rPr>
                <w:sz w:val="20"/>
                <w:szCs w:val="20"/>
                <w:color w:val="auto"/>
              </w:rPr>
            </w:pPr>
            <w:r>
              <w:rPr>
                <w:rFonts w:ascii="Arial" w:cs="Arial" w:eastAsia="Arial" w:hAnsi="Arial"/>
                <w:sz w:val="18"/>
                <w:szCs w:val="18"/>
                <w:color w:val="auto"/>
              </w:rPr>
              <w:t>Total consideration</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acquisitions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WMRA Segment Supplemental Data (c)</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revenues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269</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vMerge w:val="restart"/>
          </w:tcPr>
          <w:p>
            <w:pPr>
              <w:ind w:left="200"/>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(d)</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561</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w w:val="98"/>
              </w:rPr>
              <w:t>Proceeds from divestitures of businesses (net of cash divested) and other sales of assets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362</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7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Quarters Ended</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6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 available for use (a)</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466</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348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8,719</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8,337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5,611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5,792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14,330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14,108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6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67.7%</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66.6%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277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Amortization and SFAS No. 143 Expenses for Landfills Included in Operating Groups (b)</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Non — SFAS No. 143 amortization expense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86.1</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amortization expense (c)(d)</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109.5</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2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quarters ended March 31, 2008, December 31, 2007, and March 31, 2007 include short-term investments available for use of $0 million, $0 million, and $46 million, respectively.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period amounts have been revised to exclude amounts from closed landfills not included in our Operating groups.</w:t>
      </w:r>
    </w:p>
    <w:p>
      <w:pPr>
        <w:spacing w:after="0" w:line="76"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 ended March 31, 2008, as compared with the quarter ended December 31, 2007 reflects a $1.4 million reduction in amortization expense, of which $10.2 million was due to the seasonal reduction in landfill volumes. Additionally, there was a sequential increase of $9.7 million due to rate changes principally as a result of the SFAS No. 143 landfill capping construction and closure/post closure obligations identified in our annual landfill review process during the quarter ended December 31, 2007.</w:t>
      </w:r>
    </w:p>
    <w:p>
      <w:pPr>
        <w:spacing w:after="0" w:line="38" w:lineRule="exact"/>
        <w:rPr>
          <w:rFonts w:ascii="Arial" w:cs="Arial" w:eastAsia="Arial" w:hAnsi="Arial"/>
          <w:sz w:val="18"/>
          <w:szCs w:val="18"/>
          <w:color w:val="auto"/>
        </w:rPr>
      </w:pPr>
    </w:p>
    <w:p>
      <w:pPr>
        <w:ind w:left="460" w:right="26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 ended March 31, 2008, as compared with the quarter ended March 31, 2007 reflects a decline in amortization expense due primarily to a reduction in landfill volumes, as well as a $4.6 million decline resulting principally from changes in our estimates of capping costs. The decline in landfill volumes can be attributed to the Company’s collection pricing initiative, a decline in residential construction activities and other economic impacts.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right"/>
              <w:ind w:right="29"/>
              <w:spacing w:after="0"/>
              <w:rPr>
                <w:sz w:val="20"/>
                <w:szCs w:val="20"/>
                <w:color w:val="auto"/>
              </w:rPr>
            </w:pPr>
            <w:r>
              <w:rPr>
                <w:rFonts w:ascii="Arial" w:cs="Arial" w:eastAsia="Arial" w:hAnsi="Arial"/>
                <w:sz w:val="14"/>
                <w:szCs w:val="14"/>
                <w:b w:val="1"/>
                <w:bCs w:val="1"/>
                <w:color w:val="auto"/>
              </w:rPr>
              <w:t>Quarter Ended</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March 31, 2008</w:t>
            </w:r>
          </w:p>
        </w:tc>
        <w:tc>
          <w:tcPr>
            <w:tcW w:w="4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 2007</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rPr>
              <w:t>After-tax</w:t>
            </w:r>
          </w:p>
        </w:tc>
        <w:tc>
          <w:tcPr>
            <w:tcW w:w="32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c>
          <w:tcPr>
            <w:tcW w:w="660" w:type="dxa"/>
            <w:vAlign w:val="bottom"/>
          </w:tcPr>
          <w:p>
            <w:pPr>
              <w:spacing w:after="0"/>
              <w:rPr>
                <w:sz w:val="10"/>
                <w:szCs w:val="10"/>
                <w:color w:val="auto"/>
              </w:rPr>
            </w:pPr>
          </w:p>
        </w:tc>
        <w:tc>
          <w:tcPr>
            <w:tcW w:w="1360" w:type="dxa"/>
            <w:vAlign w:val="bottom"/>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rPr>
              <w:t>After-tax</w:t>
            </w:r>
          </w:p>
        </w:tc>
        <w:tc>
          <w:tcPr>
            <w:tcW w:w="2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8"/>
              </w:rPr>
              <w:t>Per Share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Adjusted Net income and Diluted Earnings Per Share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241</w:t>
            </w:r>
          </w:p>
        </w:tc>
        <w:tc>
          <w:tcPr>
            <w:tcW w:w="5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0.48</w:t>
            </w: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238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audit settlements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200"/>
              <w:spacing w:after="0"/>
              <w:rPr>
                <w:sz w:val="20"/>
                <w:szCs w:val="20"/>
                <w:color w:val="auto"/>
              </w:rPr>
            </w:pPr>
            <w:r>
              <w:rPr>
                <w:rFonts w:ascii="Arial" w:cs="Arial" w:eastAsia="Arial" w:hAnsi="Arial"/>
                <w:sz w:val="18"/>
                <w:szCs w:val="18"/>
                <w:color w:val="auto"/>
              </w:rPr>
              <w:t>Restructuring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adjusted (a)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235</w:t>
            </w:r>
          </w:p>
        </w:tc>
        <w:tc>
          <w:tcPr>
            <w:tcW w:w="5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0.47</w:t>
            </w: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228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Additional adjustments: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Section 45K tax credit impact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Net income and Diluted EPS, as further adjusted (b)</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0.47</w:t>
            </w:r>
          </w:p>
        </w:tc>
        <w:tc>
          <w:tcPr>
            <w:tcW w:w="6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Full Year 2008 Free Cash Flow Reconciliation</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5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20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8"/>
              </w:rPr>
              <w:t>Proceeds from divestitures of businesses (net of cash divested) and other sales of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gridSpan w:val="3"/>
          </w:tcPr>
          <w:p>
            <w:pPr>
              <w:spacing w:after="0"/>
              <w:rPr>
                <w:sz w:val="20"/>
                <w:szCs w:val="20"/>
                <w:color w:val="auto"/>
              </w:rPr>
            </w:pPr>
            <w:r>
              <w:rPr>
                <w:rFonts w:ascii="Arial" w:cs="Arial" w:eastAsia="Arial" w:hAnsi="Arial"/>
                <w:sz w:val="18"/>
                <w:szCs w:val="18"/>
                <w:b w:val="1"/>
                <w:bCs w:val="1"/>
                <w:color w:val="auto"/>
              </w:rPr>
              <w:t>Free cash flow</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Increase in Diluted EPS, as adjusted, of 9.3%</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Increase in Diluted EPS, as adjusted, of 14.6%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720" w:type="dxa"/>
            <w:vAlign w:val="bottom"/>
          </w:tcPr>
          <w:p>
            <w:pPr>
              <w:jc w:val="center"/>
              <w:ind w:left="1570"/>
              <w:spacing w:after="0"/>
              <w:rPr>
                <w:sz w:val="20"/>
                <w:szCs w:val="20"/>
                <w:color w:val="auto"/>
              </w:rPr>
            </w:pPr>
            <w:r>
              <w:rPr>
                <w:rFonts w:ascii="Arial" w:cs="Arial" w:eastAsia="Arial" w:hAnsi="Arial"/>
                <w:sz w:val="18"/>
                <w:szCs w:val="18"/>
                <w:b w:val="1"/>
                <w:bCs w:val="1"/>
                <w:color w:val="auto"/>
                <w:w w:val="90"/>
              </w:rPr>
              <w:t>Waste Management, Inc.</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jc w:val="center"/>
              <w:ind w:left="1590"/>
              <w:spacing w:after="0"/>
              <w:rPr>
                <w:sz w:val="20"/>
                <w:szCs w:val="20"/>
                <w:color w:val="auto"/>
              </w:rPr>
            </w:pPr>
            <w:r>
              <w:rPr>
                <w:rFonts w:ascii="Arial" w:cs="Arial" w:eastAsia="Arial" w:hAnsi="Arial"/>
                <w:sz w:val="18"/>
                <w:szCs w:val="18"/>
                <w:b w:val="1"/>
                <w:bCs w:val="1"/>
                <w:color w:val="auto"/>
                <w:w w:val="91"/>
              </w:rPr>
              <w:t>Reconciliation of Certain Non-GAAP Measures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jc w:val="center"/>
              <w:ind w:left="1590"/>
              <w:spacing w:after="0"/>
              <w:rPr>
                <w:sz w:val="20"/>
                <w:szCs w:val="20"/>
                <w:color w:val="auto"/>
              </w:rPr>
            </w:pPr>
            <w:r>
              <w:rPr>
                <w:rFonts w:ascii="Arial" w:cs="Arial" w:eastAsia="Arial" w:hAnsi="Arial"/>
                <w:sz w:val="18"/>
                <w:szCs w:val="18"/>
                <w:b w:val="1"/>
                <w:bCs w:val="1"/>
                <w:color w:val="auto"/>
                <w:w w:val="95"/>
              </w:rPr>
              <w:t>(In Millions)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72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(Unaudited)</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720" w:type="dxa"/>
            <w:vAlign w:val="bottom"/>
          </w:tcPr>
          <w:p>
            <w:pPr>
              <w:spacing w:after="0"/>
              <w:rPr>
                <w:sz w:val="24"/>
                <w:szCs w:val="24"/>
                <w:color w:val="auto"/>
              </w:rPr>
            </w:pPr>
          </w:p>
        </w:tc>
        <w:tc>
          <w:tcPr>
            <w:tcW w:w="1680" w:type="dxa"/>
            <w:vAlign w:val="bottom"/>
            <w:gridSpan w:val="4"/>
          </w:tcPr>
          <w:p>
            <w:pPr>
              <w:ind w:left="56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49"/>
        </w:trPr>
        <w:tc>
          <w:tcPr>
            <w:tcW w:w="974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Impact of Rising Diesel Fuel Prices on Income from</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9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Operations as a percent of Revenues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2008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7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Income from Operations as a percent of Revenues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As reported: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revenues</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20" w:type="dxa"/>
            <w:vAlign w:val="bottom"/>
          </w:tcPr>
          <w:p>
            <w:pPr>
              <w:ind w:left="400"/>
              <w:spacing w:after="0"/>
              <w:rPr>
                <w:sz w:val="20"/>
                <w:szCs w:val="20"/>
                <w:color w:val="auto"/>
              </w:rPr>
            </w:pPr>
            <w:r>
              <w:rPr>
                <w:rFonts w:ascii="Arial" w:cs="Arial" w:eastAsia="Arial" w:hAnsi="Arial"/>
                <w:sz w:val="18"/>
                <w:szCs w:val="18"/>
                <w:color w:val="auto"/>
              </w:rPr>
              <w:t>Income from operations</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Income from Operations as a percent of Revenues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Adjustments for Fuel Impact: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revenues (a)</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20" w:type="dxa"/>
            <w:vAlign w:val="bottom"/>
          </w:tcPr>
          <w:p>
            <w:pPr>
              <w:ind w:left="400"/>
              <w:spacing w:after="0"/>
              <w:rPr>
                <w:sz w:val="20"/>
                <w:szCs w:val="20"/>
                <w:color w:val="auto"/>
              </w:rPr>
            </w:pPr>
            <w:r>
              <w:rPr>
                <w:rFonts w:ascii="Arial" w:cs="Arial" w:eastAsia="Arial" w:hAnsi="Arial"/>
                <w:sz w:val="18"/>
                <w:szCs w:val="18"/>
                <w:color w:val="auto"/>
              </w:rPr>
              <w:t>Income from operations</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As adjusted: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00"/>
              <w:spacing w:after="0"/>
              <w:rPr>
                <w:sz w:val="20"/>
                <w:szCs w:val="20"/>
                <w:color w:val="auto"/>
              </w:rPr>
            </w:pPr>
            <w:r>
              <w:rPr>
                <w:rFonts w:ascii="Arial" w:cs="Arial" w:eastAsia="Arial" w:hAnsi="Arial"/>
                <w:sz w:val="18"/>
                <w:szCs w:val="18"/>
                <w:color w:val="auto"/>
              </w:rPr>
              <w:t>Operating revenues</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operations</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Adjusted Income from Operations as a percent of Revenues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16.1%</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720" w:type="dxa"/>
            <w:vAlign w:val="bottom"/>
          </w:tcPr>
          <w:p>
            <w:pPr>
              <w:spacing w:after="0"/>
              <w:rPr>
                <w:sz w:val="24"/>
                <w:szCs w:val="24"/>
                <w:color w:val="auto"/>
              </w:rPr>
            </w:pPr>
          </w:p>
        </w:tc>
        <w:tc>
          <w:tcPr>
            <w:tcW w:w="1680" w:type="dxa"/>
            <w:vAlign w:val="bottom"/>
            <w:gridSpan w:val="4"/>
          </w:tcPr>
          <w:p>
            <w:pPr>
              <w:ind w:left="56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49"/>
        </w:trPr>
        <w:tc>
          <w:tcPr>
            <w:tcW w:w="974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Impacts of Rising Diesel Fuel Prices and Higher Recycling</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9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Commodity Prices on Operating Expenses as a percent of Revenues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2008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7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Operating Expenses as a percent of Revenues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As reported: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revenues</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20" w:type="dxa"/>
            <w:vAlign w:val="bottom"/>
          </w:tcPr>
          <w:p>
            <w:pPr>
              <w:ind w:left="400"/>
              <w:spacing w:after="0"/>
              <w:rPr>
                <w:sz w:val="20"/>
                <w:szCs w:val="20"/>
                <w:color w:val="auto"/>
              </w:rPr>
            </w:pPr>
            <w:r>
              <w:rPr>
                <w:rFonts w:ascii="Arial" w:cs="Arial" w:eastAsia="Arial" w:hAnsi="Arial"/>
                <w:sz w:val="18"/>
                <w:szCs w:val="18"/>
                <w:color w:val="auto"/>
              </w:rPr>
              <w:t>Operating expenses</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Operating Expenses as a percent of Revenues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Adjustments to Operating Revenues: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Fuel surcharges (a)</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20" w:type="dxa"/>
            <w:vAlign w:val="bottom"/>
          </w:tcPr>
          <w:p>
            <w:pPr>
              <w:ind w:left="400"/>
              <w:spacing w:after="0"/>
              <w:rPr>
                <w:sz w:val="20"/>
                <w:szCs w:val="20"/>
                <w:color w:val="auto"/>
              </w:rPr>
            </w:pPr>
            <w:r>
              <w:rPr>
                <w:rFonts w:ascii="Arial" w:cs="Arial" w:eastAsia="Arial" w:hAnsi="Arial"/>
                <w:sz w:val="18"/>
                <w:szCs w:val="18"/>
                <w:color w:val="auto"/>
              </w:rPr>
              <w:t>Recycling commodity prices (b)</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Adjustments to Operating Expenses: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00"/>
              <w:spacing w:after="0"/>
              <w:rPr>
                <w:sz w:val="20"/>
                <w:szCs w:val="20"/>
                <w:color w:val="auto"/>
              </w:rPr>
            </w:pPr>
            <w:r>
              <w:rPr>
                <w:rFonts w:ascii="Arial" w:cs="Arial" w:eastAsia="Arial" w:hAnsi="Arial"/>
                <w:sz w:val="18"/>
                <w:szCs w:val="18"/>
                <w:color w:val="auto"/>
              </w:rPr>
              <w:t>Fuel (c)</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Subcontractor costs — fuel pass-through (d)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20" w:type="dxa"/>
            <w:vAlign w:val="bottom"/>
          </w:tcPr>
          <w:p>
            <w:pPr>
              <w:ind w:left="400"/>
              <w:spacing w:after="0"/>
              <w:rPr>
                <w:sz w:val="20"/>
                <w:szCs w:val="20"/>
                <w:color w:val="auto"/>
              </w:rPr>
            </w:pPr>
            <w:r>
              <w:rPr>
                <w:rFonts w:ascii="Arial" w:cs="Arial" w:eastAsia="Arial" w:hAnsi="Arial"/>
                <w:sz w:val="18"/>
                <w:szCs w:val="18"/>
                <w:color w:val="auto"/>
              </w:rPr>
              <w:t>Cost of goods sold due to recycling commodity prices (e)</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As adjusted: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00"/>
              <w:spacing w:after="0"/>
              <w:rPr>
                <w:sz w:val="20"/>
                <w:szCs w:val="20"/>
                <w:color w:val="auto"/>
              </w:rPr>
            </w:pPr>
            <w:r>
              <w:rPr>
                <w:rFonts w:ascii="Arial" w:cs="Arial" w:eastAsia="Arial" w:hAnsi="Arial"/>
                <w:sz w:val="18"/>
                <w:szCs w:val="18"/>
                <w:color w:val="auto"/>
              </w:rPr>
              <w:t>Operating revenues</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expenses</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720" w:type="dxa"/>
            <w:vAlign w:val="bottom"/>
          </w:tcPr>
          <w:p>
            <w:pPr>
              <w:ind w:left="200"/>
              <w:spacing w:after="0"/>
              <w:rPr>
                <w:sz w:val="20"/>
                <w:szCs w:val="20"/>
                <w:color w:val="auto"/>
              </w:rPr>
            </w:pPr>
            <w:r>
              <w:rPr>
                <w:rFonts w:ascii="Arial" w:cs="Arial" w:eastAsia="Arial" w:hAnsi="Arial"/>
                <w:sz w:val="18"/>
                <w:szCs w:val="18"/>
                <w:b w:val="1"/>
                <w:bCs w:val="1"/>
                <w:color w:val="auto"/>
              </w:rPr>
              <w:t>Adjusted Operating Expenses as a percent of Revenues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63.0%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 in fuel surcharge revenue due to higher diesel fuel prices. Excludes changes in fuel surcharge revenue caused by volume fluctuations.</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 in revenues due to increase in recycling commodity prices. Excludes changes in recycling commodity revenues caused by volume fluctuations.</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in fuel costs due to higher diesel fuel prices. Excludes changes in fuel costs caused by volume fluctuations.</w:t>
      </w:r>
    </w:p>
    <w:p>
      <w:pPr>
        <w:spacing w:after="0" w:line="76" w:lineRule="exact"/>
        <w:rPr>
          <w:rFonts w:ascii="Arial" w:cs="Arial" w:eastAsia="Arial" w:hAnsi="Arial"/>
          <w:sz w:val="18"/>
          <w:szCs w:val="18"/>
          <w:color w:val="auto"/>
        </w:rPr>
      </w:pPr>
    </w:p>
    <w:p>
      <w:pPr>
        <w:ind w:left="460" w:right="58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Estimated impact of higher diesel fuel prices on fuel costs passed-through by subcontractors. Excludes changes in subcontractor costs caused by volume fluctuations.</w:t>
      </w:r>
    </w:p>
    <w:p>
      <w:pPr>
        <w:spacing w:after="0" w:line="21"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in cost of goods sold due to increase in recycling commodity prices. Excludes changes in cost of goods sold caused by recycling commodity volume fluctuations.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9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lvl w:ilvl="1">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2019-12-20T05:06:16Z</dcterms:created>
  <dcterms:modified xsi:type="dcterms:W3CDTF">2019-12-20T05:06:16Z</dcterms:modified>
</cp:coreProperties>
</file>