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4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38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WASTE MANAGEMENT RETIREMENT SAVINGS PLAN FOR BARGAINING UNIT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sectPr>
      </w:pPr>
    </w:p>
    <w:bookmarkStart w:id="2" w:name="page3"/>
    <w:bookmarkEnd w:id="2"/>
    <w:p>
      <w:pPr>
        <w:jc w:val="center"/>
        <w:ind w:left="260" w:right="2760"/>
        <w:spacing w:after="0" w:line="389" w:lineRule="auto"/>
        <w:rPr>
          <w:sz w:val="20"/>
          <w:szCs w:val="20"/>
          <w:color w:val="auto"/>
        </w:rPr>
      </w:pPr>
      <w:r>
        <w:rPr>
          <w:rFonts w:ascii="Arial" w:cs="Arial" w:eastAsia="Arial" w:hAnsi="Arial"/>
          <w:sz w:val="18"/>
          <w:szCs w:val="18"/>
          <w:u w:val="single" w:color="auto"/>
          <w:color w:val="auto"/>
        </w:rPr>
        <w:t>WASTE MANAGEMENT RETIREMENT SAVINGS PLAN FOR BARGAINING UNIT EMPLOYEES INDEX TO FINANCIAL STATEMENTS AND SUPPLEMENTAL SCHEDULE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53"/>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Audited Financial Statements</w:t>
            </w:r>
          </w:p>
        </w:tc>
        <w:tc>
          <w:tcPr>
            <w:tcW w:w="4980" w:type="dxa"/>
            <w:vAlign w:val="bottom"/>
            <w:gridSpan w:val="4"/>
          </w:tcPr>
          <w:p>
            <w:pPr>
              <w:spacing w:after="0"/>
              <w:rPr>
                <w:sz w:val="24"/>
                <w:szCs w:val="24"/>
                <w:color w:val="auto"/>
              </w:rPr>
            </w:pPr>
          </w:p>
        </w:tc>
        <w:tc>
          <w:tcPr>
            <w:tcW w:w="2220" w:type="dxa"/>
            <w:vAlign w:val="bottom"/>
          </w:tcPr>
          <w:p>
            <w:pPr>
              <w:spacing w:after="0"/>
              <w:rPr>
                <w:sz w:val="24"/>
                <w:szCs w:val="24"/>
                <w:color w:val="auto"/>
              </w:rPr>
            </w:pPr>
          </w:p>
        </w:tc>
      </w:tr>
      <w:tr>
        <w:trPr>
          <w:trHeight w:val="392"/>
        </w:trPr>
        <w:tc>
          <w:tcPr>
            <w:tcW w:w="220" w:type="dxa"/>
            <w:vAlign w:val="bottom"/>
          </w:tcPr>
          <w:p>
            <w:pPr>
              <w:spacing w:after="0"/>
              <w:rPr>
                <w:sz w:val="24"/>
                <w:szCs w:val="24"/>
                <w:color w:val="auto"/>
              </w:rPr>
            </w:pPr>
          </w:p>
        </w:tc>
        <w:tc>
          <w:tcPr>
            <w:tcW w:w="898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2006 and 2005</w:t>
              </w:r>
            </w:hyperlink>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2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898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2006</w:t>
              </w:r>
            </w:hyperlink>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412"/>
        </w:trPr>
        <w:tc>
          <w:tcPr>
            <w:tcW w:w="220" w:type="dxa"/>
            <w:vAlign w:val="bottom"/>
          </w:tcPr>
          <w:p>
            <w:pPr>
              <w:spacing w:after="0"/>
              <w:rPr>
                <w:sz w:val="24"/>
                <w:szCs w:val="24"/>
                <w:color w:val="auto"/>
              </w:rPr>
            </w:pPr>
          </w:p>
        </w:tc>
        <w:tc>
          <w:tcPr>
            <w:tcW w:w="7060" w:type="dxa"/>
            <w:vAlign w:val="bottom"/>
            <w:tcBorders>
              <w:top w:val="single" w:sz="8" w:color="0000EE"/>
            </w:tcBorders>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1920" w:type="dxa"/>
            <w:vAlign w:val="bottom"/>
          </w:tcPr>
          <w:p>
            <w:pPr>
              <w:spacing w:after="0"/>
              <w:rPr>
                <w:sz w:val="24"/>
                <w:szCs w:val="24"/>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9200" w:type="dxa"/>
            <w:vAlign w:val="bottom"/>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Supplemental Schedule</w:t>
              </w:r>
            </w:hyperlink>
          </w:p>
        </w:tc>
        <w:tc>
          <w:tcPr>
            <w:tcW w:w="222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8980" w:type="dxa"/>
            <w:vAlign w:val="bottom"/>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Schedule H, Line 4(i) – Schedule of Assets (Held At End of Year)</w:t>
              </w:r>
            </w:hyperlink>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652"/>
        </w:trPr>
        <w:tc>
          <w:tcPr>
            <w:tcW w:w="220" w:type="dxa"/>
            <w:vAlign w:val="bottom"/>
            <w:tcBorders>
              <w:bottom w:val="single" w:sz="8" w:color="808080"/>
            </w:tcBorders>
          </w:tcPr>
          <w:p>
            <w:pPr>
              <w:spacing w:after="0"/>
              <w:rPr>
                <w:sz w:val="24"/>
                <w:szCs w:val="24"/>
                <w:color w:val="auto"/>
              </w:rPr>
            </w:pPr>
          </w:p>
        </w:tc>
        <w:tc>
          <w:tcPr>
            <w:tcW w:w="1480" w:type="dxa"/>
            <w:vAlign w:val="bottom"/>
            <w:tcBorders>
              <w:top w:val="single" w:sz="8" w:color="0000EE"/>
              <w:bottom w:val="single" w:sz="8" w:color="808080"/>
            </w:tcBorders>
          </w:tcPr>
          <w:p>
            <w:pPr>
              <w:spacing w:after="0"/>
              <w:rPr>
                <w:sz w:val="24"/>
                <w:szCs w:val="24"/>
                <w:color w:val="auto"/>
              </w:rPr>
            </w:pPr>
          </w:p>
        </w:tc>
        <w:tc>
          <w:tcPr>
            <w:tcW w:w="660" w:type="dxa"/>
            <w:vAlign w:val="bottom"/>
            <w:tcBorders>
              <w:top w:val="single" w:sz="8" w:color="0000EE"/>
              <w:bottom w:val="single" w:sz="8" w:color="808080"/>
            </w:tcBorders>
          </w:tcPr>
          <w:p>
            <w:pPr>
              <w:spacing w:after="0"/>
              <w:rPr>
                <w:sz w:val="24"/>
                <w:szCs w:val="24"/>
                <w:color w:val="auto"/>
              </w:rPr>
            </w:pPr>
          </w:p>
        </w:tc>
        <w:tc>
          <w:tcPr>
            <w:tcW w:w="1860" w:type="dxa"/>
            <w:vAlign w:val="bottom"/>
            <w:tcBorders>
              <w:top w:val="single" w:sz="8" w:color="0000EE"/>
              <w:bottom w:val="single" w:sz="8" w:color="808080"/>
            </w:tcBorders>
          </w:tcPr>
          <w:p>
            <w:pPr>
              <w:spacing w:after="0"/>
              <w:rPr>
                <w:sz w:val="24"/>
                <w:szCs w:val="24"/>
                <w:color w:val="auto"/>
              </w:rPr>
            </w:pPr>
          </w:p>
        </w:tc>
        <w:tc>
          <w:tcPr>
            <w:tcW w:w="740" w:type="dxa"/>
            <w:vAlign w:val="bottom"/>
            <w:tcBorders>
              <w:top w:val="single" w:sz="8" w:color="0000EE"/>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Bargaining Unit Employees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Waste Management Retirement Savings Plan for Bargaining Unit Employees as of December 31, 2006 and 2005, and the related statement of changes in net assets available for benefits for the year ended December 31, 2006. These financial statements are the responsibility of the Plan’s management. Our responsibility is to express an opinion on these financial statements based on our audits.</w:t>
      </w:r>
    </w:p>
    <w:p>
      <w:pPr>
        <w:spacing w:after="0" w:line="7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31, 2006 and 2005, and the changes in its net assets available for benefits for the year ended December 31, 2006, in conformity with U.S. generally accepted accounting principles.</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2006,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85"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2007</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2006 and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 in the Master Trust (Note 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$ 3,733,685</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$ 2,883,045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Participant loans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81,054</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investments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3,814,739</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2,985,419</w:t>
            </w: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8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contributions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13,963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Transfer of employee contributions from affiliated plan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27,370</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receivables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41,333</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3,856,072</w:t>
            </w:r>
          </w:p>
        </w:tc>
        <w:tc>
          <w:tcPr>
            <w:tcW w:w="6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2,999,053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Refund of employee contributions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13,336</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fair value</w:t>
            </w:r>
          </w:p>
        </w:tc>
        <w:tc>
          <w:tcPr>
            <w:tcW w:w="840" w:type="dxa"/>
            <w:vAlign w:val="bottom"/>
          </w:tcPr>
          <w:p>
            <w:pPr>
              <w:jc w:val="right"/>
              <w:spacing w:after="0"/>
              <w:rPr>
                <w:sz w:val="20"/>
                <w:szCs w:val="20"/>
                <w:color w:val="auto"/>
              </w:rPr>
            </w:pPr>
            <w:r>
              <w:rPr>
                <w:rFonts w:ascii="Arial" w:cs="Arial" w:eastAsia="Arial" w:hAnsi="Arial"/>
                <w:sz w:val="18"/>
                <w:szCs w:val="18"/>
                <w:color w:val="auto"/>
              </w:rPr>
              <w:t>3,842,736</w:t>
            </w:r>
          </w:p>
        </w:tc>
        <w:tc>
          <w:tcPr>
            <w:tcW w:w="6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2,999,053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$ 3,844,740</w:t>
            </w:r>
          </w:p>
        </w:tc>
        <w:tc>
          <w:tcPr>
            <w:tcW w:w="6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$ 3,001,230</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9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980" w:type="dxa"/>
            <w:vAlign w:val="bottom"/>
            <w:gridSpan w:val="2"/>
          </w:tcPr>
          <w:p>
            <w:pPr>
              <w:ind w:left="5660"/>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9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460" w:type="dxa"/>
            <w:vAlign w:val="bottom"/>
          </w:tcPr>
          <w:p>
            <w:pPr>
              <w:jc w:val="center"/>
              <w:ind w:left="850"/>
              <w:spacing w:after="0"/>
              <w:rPr>
                <w:sz w:val="20"/>
                <w:szCs w:val="20"/>
                <w:color w:val="auto"/>
              </w:rPr>
            </w:pPr>
            <w:r>
              <w:rPr>
                <w:rFonts w:ascii="Arial" w:cs="Arial" w:eastAsia="Arial" w:hAnsi="Arial"/>
                <w:sz w:val="18"/>
                <w:szCs w:val="18"/>
                <w:color w:val="auto"/>
                <w:w w:val="88"/>
              </w:rPr>
              <w:t>Waste Management Retirement Savings Plan</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460" w:type="dxa"/>
            <w:vAlign w:val="bottom"/>
          </w:tcPr>
          <w:p>
            <w:pPr>
              <w:jc w:val="center"/>
              <w:ind w:left="830"/>
              <w:spacing w:after="0"/>
              <w:rPr>
                <w:sz w:val="20"/>
                <w:szCs w:val="20"/>
                <w:color w:val="auto"/>
              </w:rPr>
            </w:pPr>
            <w:r>
              <w:rPr>
                <w:rFonts w:ascii="Arial" w:cs="Arial" w:eastAsia="Arial" w:hAnsi="Arial"/>
                <w:sz w:val="18"/>
                <w:szCs w:val="18"/>
                <w:color w:val="auto"/>
                <w:w w:val="92"/>
              </w:rPr>
              <w:t>For Bargaining Unit Employees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460" w:type="dxa"/>
            <w:vAlign w:val="bottom"/>
          </w:tcPr>
          <w:p>
            <w:pPr>
              <w:jc w:val="center"/>
              <w:ind w:left="83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460" w:type="dxa"/>
            <w:vAlign w:val="bottom"/>
          </w:tcPr>
          <w:p>
            <w:pPr>
              <w:jc w:val="center"/>
              <w:ind w:left="830"/>
              <w:spacing w:after="0"/>
              <w:rPr>
                <w:sz w:val="20"/>
                <w:szCs w:val="20"/>
                <w:color w:val="auto"/>
              </w:rPr>
            </w:pPr>
            <w:r>
              <w:rPr>
                <w:rFonts w:ascii="Arial" w:cs="Arial" w:eastAsia="Arial" w:hAnsi="Arial"/>
                <w:sz w:val="18"/>
                <w:szCs w:val="18"/>
                <w:color w:val="auto"/>
                <w:w w:val="89"/>
              </w:rPr>
              <w:t>Year Ended December 31, 2006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Rollover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755,085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Net investment gain from the Master Trust (Note 4)</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420,097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 loan interest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Plan transfers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additions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1,191,947</w:t>
            </w:r>
          </w:p>
        </w:tc>
        <w:tc>
          <w:tcPr>
            <w:tcW w:w="0" w:type="dxa"/>
            <w:vAlign w:val="bottom"/>
          </w:tcPr>
          <w:p>
            <w:pPr>
              <w:spacing w:after="0"/>
              <w:rPr>
                <w:sz w:val="1"/>
                <w:szCs w:val="1"/>
                <w:color w:val="auto"/>
              </w:rPr>
            </w:pPr>
          </w:p>
        </w:tc>
      </w:tr>
      <w:tr>
        <w:trPr>
          <w:trHeight w:val="439"/>
        </w:trPr>
        <w:tc>
          <w:tcPr>
            <w:tcW w:w="10480" w:type="dxa"/>
            <w:vAlign w:val="bottom"/>
            <w:gridSpan w:val="2"/>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 to participants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348,437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600"/>
              <w:spacing w:after="0"/>
              <w:rPr>
                <w:sz w:val="20"/>
                <w:szCs w:val="20"/>
                <w:color w:val="auto"/>
              </w:rPr>
            </w:pPr>
            <w:r>
              <w:rPr>
                <w:rFonts w:ascii="Arial" w:cs="Arial" w:eastAsia="Arial" w:hAnsi="Arial"/>
                <w:sz w:val="18"/>
                <w:szCs w:val="18"/>
                <w:color w:val="auto"/>
              </w:rPr>
              <w:t>Total deductions</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843,510</w:t>
            </w:r>
          </w:p>
        </w:tc>
        <w:tc>
          <w:tcPr>
            <w:tcW w:w="0" w:type="dxa"/>
            <w:vAlign w:val="bottom"/>
          </w:tcPr>
          <w:p>
            <w:pPr>
              <w:spacing w:after="0"/>
              <w:rPr>
                <w:sz w:val="1"/>
                <w:szCs w:val="1"/>
                <w:color w:val="auto"/>
              </w:rPr>
            </w:pPr>
          </w:p>
        </w:tc>
      </w:tr>
      <w:tr>
        <w:trPr>
          <w:trHeight w:val="432"/>
        </w:trPr>
        <w:tc>
          <w:tcPr>
            <w:tcW w:w="104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3,001,230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3,844,740</w:t>
            </w:r>
          </w:p>
        </w:tc>
        <w:tc>
          <w:tcPr>
            <w:tcW w:w="0" w:type="dxa"/>
            <w:vAlign w:val="bottom"/>
          </w:tcPr>
          <w:p>
            <w:pPr>
              <w:spacing w:after="0"/>
              <w:rPr>
                <w:sz w:val="1"/>
                <w:szCs w:val="1"/>
                <w:color w:val="auto"/>
              </w:rPr>
            </w:pPr>
          </w:p>
        </w:tc>
      </w:tr>
      <w:tr>
        <w:trPr>
          <w:trHeight w:val="20"/>
        </w:trPr>
        <w:tc>
          <w:tcPr>
            <w:tcW w:w="104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Waste Management Retirement Savings Plan for Bargaining Unit Employees (the “Plan”) provides only general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Summary Plan Description and the Plan document for a more complete description of the Plan’s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Holdings, Inc. (“Waste Management”), and its affiliates (as defined in the Plan). The Plan is subject to the provisions of the Employee Retirement Income Security Act of 1974, as amended (“ERISA”).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board of directors of Waste Management, Inc. (“WMI” or the “Company”), the parent of Waste Management,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CitiStreet LLC (“CitiStreet”), an affiliate of State Street, serves as record keeper.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Employees (as defined by the Plan) are eligible to participate in the Plan following completion of a 90-day period of service (as defined by the Plan) if they are covered by a collective bargaining agreement that provides for participation in the Plan.</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Individuals who are ineligible to participate in the Plan consist of (a) leased employees, (b) individuals providing services to Waste Management as independent contractors, (c) certain nonresident aliens who have no earned income from sources within the United States of America and (d) individuals who are participants in certain other pension, retirement, profit-sharing, stock bonus, thrift or savings plans maintained by Waste Management or the Company other than the Waste Management Pension Plan for Collectively Bargained Employees or such other plans as may from time to time be determined by the Administrative Committee.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2"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right="882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 (continued) Contributions</w:t>
      </w:r>
    </w:p>
    <w:p>
      <w:pPr>
        <w:ind w:right="180"/>
        <w:spacing w:after="0" w:line="259" w:lineRule="auto"/>
        <w:rPr>
          <w:sz w:val="20"/>
          <w:szCs w:val="20"/>
          <w:color w:val="auto"/>
        </w:rPr>
      </w:pPr>
      <w:r>
        <w:rPr>
          <w:rFonts w:ascii="Arial" w:cs="Arial" w:eastAsia="Arial" w:hAnsi="Arial"/>
          <w:sz w:val="18"/>
          <w:szCs w:val="18"/>
          <w:color w:val="auto"/>
        </w:rPr>
        <w:t>Participants may contribute from one percent to 25 percent of their pre-tax compensation, as defined by the Plan, not to exceed certain limits as described in the Plan document (“Employee Contribution”). After-tax contributions are not permitted by the Plan. Participants may also contribute amounts representing distributions from other qualified plans (“Rollover Contribution”). The Plan does not provide for contributions by Waste Management or participating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Plan, through its investments in the Master Trust, currently offers participants six common collective trust funds; a Company common stock fund; a self-managed account, which allows participants to select various securities sold on the New York Stock Exchange, American Stock Exchange and NASDAQ; and five target retirement-date funds, which are also common collective trust funds. Prior to May 22, 2006, the Plan offered participants three asset allocation models, which were balanced among the six common collective trust funds, in place of the five target retirement-date funds currently offered. Several restrictions apply, and a minimum balance is required to participate in the self-managed account. The Plan utilizes cash equivalents to temporarily hold monies pending settlement for transactions initiated by participants.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 and Rollover Contribution accounts, plus earnings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and Rollover Contribution and an allocation of investment income and loss and expenses. Investment income and loss is allocated to the participant’s account based upon the participant’s proportionate share of the funds within the Master Trust.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Distributions of accounts invested in Company common stock may be taken in whole shares of common stock or cash.</w:t>
      </w:r>
    </w:p>
    <w:p>
      <w:pPr>
        <w:spacing w:after="0" w:line="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Participants may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six months after receiving the hardship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Interest rates and repayment terms are established by the Administrative Committee. Such loans shall be repaid by payroll deduction, or any other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 (continued)</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method approved by the Administrative Committee. The Administrative Committee requires that (i) repayments be made no less frequently than quarterly; (ii) loans be repaid over a period not to exceed 54 months; and (iii) repayments be applied to principal using a level amortization over the repayment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Master Trust administrative expenses, including trustee and investment management fees, are allocated in proportion to the investment balances of the underlying plans. Loan administration fees are charged directly to the account balance of the participant requesting the loan. Plan level administrative expenses, which include primarily recordkeeping fees, are allocated directly to the respective plan. Administrative expenses are reflected as a reduction of Master Trust investment income and are included in net investment gain from the Master Trust in the accompanying Statement of Changes in Net Assets Available for Benefits. In 2006, the Company elected to pay certain audit and legal fees of the Plan.</w:t>
      </w:r>
    </w:p>
    <w:p>
      <w:pPr>
        <w:spacing w:after="0" w:line="169" w:lineRule="exact"/>
        <w:rPr>
          <w:sz w:val="20"/>
          <w:szCs w:val="20"/>
          <w:color w:val="auto"/>
        </w:rPr>
      </w:pPr>
    </w:p>
    <w:p>
      <w:pPr>
        <w:ind w:right="866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38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U.S. generally accepted accounting principles. Benefits paid to participants are recorded when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On December 29, 2005, the Financial Accounting Standards Board issued Financial Accounting Standards Board (“FASB”) Staff Position AAG INV-1 and SOP 94-4-1, </w:t>
      </w:r>
      <w:r>
        <w:rPr>
          <w:rFonts w:ascii="Arial" w:cs="Arial" w:eastAsia="Arial" w:hAnsi="Arial"/>
          <w:sz w:val="17"/>
          <w:szCs w:val="17"/>
          <w:i w:val="1"/>
          <w:iCs w:val="1"/>
          <w:color w:val="auto"/>
        </w:rPr>
        <w:t>Reporting of Fully Benefit-Responsive Investment Contracts Held by Certain Investment Companies Subject to the AICPA Investment Company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Audit Guide and Defined-Contribution Health and Welfare and Pension Plans </w:t>
      </w:r>
      <w:r>
        <w:rPr>
          <w:rFonts w:ascii="Arial" w:cs="Arial" w:eastAsia="Arial" w:hAnsi="Arial"/>
          <w:sz w:val="17"/>
          <w:szCs w:val="17"/>
          <w:color w:val="auto"/>
        </w:rPr>
        <w:t>(the “FSP”). The FSP defines the circumstances in which an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is considered fully benefit-responsive and provides certain reporting and disclosure requirements for fully benefit-responsive investment contracts. The FSP requires fully benefit-responsive investment contracts held by defined-contribution plans to be reported at fair value. The FASB continues to recognize that contract value is a relevant measurement attribute for fully benefit-responsive investment contracts because contract values are representative of the amount that participants would receive if they were to initiate permitted transactions under the terms of the Plan. Accordingly, the FSP requires that the Statements of Net Assets Available for Benefits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2" w:right="2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Accounting Policies (continued)</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present both the fair value of fully benefit-responsive investment contracts and a reconciling adjustment from fair value to contract value of fully benefit-responsive investment contracts to arrive at Net Assets Available for Benefits.</w:t>
      </w:r>
    </w:p>
    <w:p>
      <w:pPr>
        <w:spacing w:after="0" w:line="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Plan has adopted the FSP as of December 31, 2006. The requirements of the FSP have been applied retroactively to the accompanying Statement of Net Assets Available for Benefits as of December 31, 2005 as a result of the adoption of the FSP. The FSP did not impact the Statement of Changes in Net Assets Available for Benefits, which continues to be presented on a contract value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preparation of the financial statements, and accompanying notes and schedule, requires management to make estimates that affect accounting for and recognition of plan assets and liabilities and additions and deductions to/from net assets available for benefits. These estimates must be made because certain of the information used is dependent on future events, which cannot be calculated with a high degree of precision from available data or simply cannot be readily calculated based on generally accepted methodologies. In some cases, management must exercise significant judgment.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purpose of the Master Trust is the collective investment of the assets of participating employee benefit plans of Waste Management and the Company. The Master Trust’s assets are allocated among participating plans by assigning to each plan those transactions (primarily contributions, benefit payments and certain administrative expenses) which can be specifically identified, and by allocating among all plans, in proportion to the fair value of the assets assigned to each plan, income and expenses resulting from the collective investment of the assets of the Master Trust. Corporate stocks and mutual funds held by the Master Trust are stated at fair value based on quoted market prices as of the financial statement date. The fair values of the common collective trust funds held by the Master Trust are generally based on net asset values established by State Street (the issuer of the common collective trust funds) based on fair values of the underlying assets. The common collective trust funds held by the Master Trust include a Stable Value Fund that invests in guaranteed investment contracts (“GICs”) and synthetic investment contracts (“Synthetic GICs”). The fair value measurement of these investments is discussed further in Note 3. Short-term investments and loans to participants are stated at cost, which approximates fair value. The Master Trust records purchases and sales of securities on a trade-date basis and dividends on the ex-dividend date.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right="780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(continued) Risks and Uncertainties</w:t>
      </w:r>
    </w:p>
    <w:p>
      <w:pPr>
        <w:ind w:right="220"/>
        <w:spacing w:after="0" w:line="259" w:lineRule="auto"/>
        <w:rPr>
          <w:sz w:val="20"/>
          <w:szCs w:val="20"/>
          <w:color w:val="auto"/>
        </w:rPr>
      </w:pPr>
      <w:r>
        <w:rPr>
          <w:rFonts w:ascii="Arial" w:cs="Arial" w:eastAsia="Arial" w:hAnsi="Arial"/>
          <w:sz w:val="18"/>
          <w:szCs w:val="18"/>
          <w:color w:val="auto"/>
        </w:rPr>
        <w:t>The Plan provides for investment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Contracts</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common collective trust funds held by the Master Trust include a Stable Value Fund that invests in fully benefit-responsive GICs and Synthetic GICs. The Plan’s adoption of the FSP discussed in Note 2 resulted in a change in the required presentation and disclosures associated with GICs and Synthetic GICs. The following disclosures provide information about the nature of these investments and how fair values of these investments are measured. For information related to the changes in presentation required as a result of the adoption of the FSP, refer to Note 2.</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Guaranteed Investment Contracts </w:t>
      </w:r>
      <w:r>
        <w:rPr>
          <w:rFonts w:ascii="Arial" w:cs="Arial" w:eastAsia="Arial" w:hAnsi="Arial"/>
          <w:sz w:val="18"/>
          <w:szCs w:val="18"/>
          <w:color w:val="auto"/>
        </w:rPr>
        <w:t>- GICs are contracts that provide a specified rate of return for a specific period of time. The fair values of the GICs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Plan’s Stable Value Fund are measured by State Street using a discounted cash flow methodology. Under this approach, the cash flows of each individual contract are discounted at the prevailing interpolated swap rate as of the appropriate measurement date.</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(i) individual assets or investments placed in a trust and (ii) wrapper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that guarantee that participant transactions will be executed at contract value. The investment portfolio of a Synthetic GIC when coupled with a wrapper contract attempts to replicate the investment characteristics of traditional GICs.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State Street measures the fair value of the Synthetic GICs included in the Plan’s Stable Value Fund as follows:</w:t>
      </w:r>
    </w:p>
    <w:p>
      <w:pPr>
        <w:spacing w:after="0" w:line="117" w:lineRule="exact"/>
        <w:rPr>
          <w:sz w:val="20"/>
          <w:szCs w:val="20"/>
          <w:color w:val="auto"/>
        </w:rPr>
      </w:pPr>
    </w:p>
    <w:p>
      <w:pPr>
        <w:ind w:left="220" w:right="500" w:hanging="212"/>
        <w:spacing w:after="0" w:line="308" w:lineRule="auto"/>
        <w:tabs>
          <w:tab w:leader="none" w:pos="22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Contracts (continued)</w:t>
      </w:r>
    </w:p>
    <w:p>
      <w:pPr>
        <w:spacing w:after="0" w:line="121" w:lineRule="exact"/>
        <w:rPr>
          <w:sz w:val="20"/>
          <w:szCs w:val="20"/>
          <w:color w:val="auto"/>
        </w:rPr>
      </w:pPr>
    </w:p>
    <w:p>
      <w:pPr>
        <w:jc w:val="both"/>
        <w:ind w:left="220" w:right="160"/>
        <w:spacing w:after="0" w:line="312" w:lineRule="auto"/>
        <w:rPr>
          <w:sz w:val="20"/>
          <w:szCs w:val="20"/>
          <w:color w:val="auto"/>
        </w:rPr>
      </w:pPr>
      <w:r>
        <w:rPr>
          <w:rFonts w:ascii="Arial" w:cs="Arial" w:eastAsia="Arial" w:hAnsi="Arial"/>
          <w:sz w:val="16"/>
          <w:szCs w:val="16"/>
          <w:color w:val="auto"/>
        </w:rPr>
        <w:t>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52" w:lineRule="exact"/>
        <w:rPr>
          <w:sz w:val="20"/>
          <w:szCs w:val="20"/>
          <w:color w:val="auto"/>
        </w:rPr>
      </w:pPr>
    </w:p>
    <w:p>
      <w:pPr>
        <w:ind w:left="220" w:right="180" w:hanging="212"/>
        <w:spacing w:after="0" w:line="286" w:lineRule="auto"/>
        <w:tabs>
          <w:tab w:leader="none" w:pos="220" w:val="left"/>
        </w:tabs>
        <w:numPr>
          <w:ilvl w:val="0"/>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a market approach discounting methodology that incorporates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current market level rates for contract level wrap fees and the wrap fee being charged for the Synthetic GIC. This difference is calculated as a dollar value and discounted by the prevailing interpolated swap rate as of the appropriate measurement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Interest in the Master Trust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Plan investments are held in the Master Trust along with the Waste Management Retirement Savings Plan (the “Non-Union Plan”). As of December 31, 2006 and 2005, the Plan’s beneficial interest in the net assets of the Master Trust was .28% and .25%, respectively.</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Neither the Plan nor the Non-Union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2"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Interest in the Master Trust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3020" w:type="dxa"/>
            <w:vAlign w:val="bottom"/>
            <w:gridSpan w:val="4"/>
          </w:tcPr>
          <w:p>
            <w:pPr>
              <w:ind w:left="10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400" w:type="dxa"/>
            <w:vAlign w:val="bottom"/>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2006</w:t>
            </w:r>
          </w:p>
        </w:tc>
        <w:tc>
          <w:tcPr>
            <w:tcW w:w="620" w:type="dxa"/>
            <w:vAlign w:val="bottom"/>
          </w:tcPr>
          <w:p>
            <w:pPr>
              <w:spacing w:after="0"/>
              <w:rPr>
                <w:sz w:val="14"/>
                <w:szCs w:val="14"/>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Investments, at fair value-</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collective trust funds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$ 1,171,802,378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$ 1,029,307,424</w:t>
            </w: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2,798,959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2,060,205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stocks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9,968,353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8,856,730</w:t>
            </w: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Waste Management, Inc. common stock</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117,083,348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97,263,653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Mutual funds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13,384,021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11,526,233</w:t>
            </w: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Other</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106,425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366,109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investments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1,315,143,484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1,149,380,354</w:t>
            </w:r>
          </w:p>
        </w:tc>
        <w:tc>
          <w:tcPr>
            <w:tcW w:w="0" w:type="dxa"/>
            <w:vAlign w:val="bottom"/>
          </w:tcPr>
          <w:p>
            <w:pPr>
              <w:spacing w:after="0"/>
              <w:rPr>
                <w:sz w:val="1"/>
                <w:szCs w:val="1"/>
                <w:color w:val="auto"/>
              </w:rPr>
            </w:pPr>
          </w:p>
        </w:tc>
      </w:tr>
      <w:tr>
        <w:trPr>
          <w:trHeight w:val="432"/>
        </w:trPr>
        <w:tc>
          <w:tcPr>
            <w:tcW w:w="8400" w:type="dxa"/>
            <w:vAlign w:val="bottom"/>
          </w:tcPr>
          <w:p>
            <w:pPr>
              <w:ind w:left="220"/>
              <w:spacing w:after="0"/>
              <w:rPr>
                <w:sz w:val="20"/>
                <w:szCs w:val="20"/>
                <w:color w:val="auto"/>
              </w:rPr>
            </w:pPr>
            <w:r>
              <w:rPr>
                <w:rFonts w:ascii="Arial" w:cs="Arial" w:eastAsia="Arial" w:hAnsi="Arial"/>
                <w:sz w:val="18"/>
                <w:szCs w:val="18"/>
                <w:color w:val="auto"/>
              </w:rPr>
              <w:t>Securities sold receivable</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296,094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receivable</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1,009,442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1,100,499</w:t>
            </w: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Cash, non-interest bearing</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18,066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25,188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1,316,170,992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1,150,802,135</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Liabilities-</w:t>
            </w:r>
          </w:p>
        </w:tc>
        <w:tc>
          <w:tcPr>
            <w:tcW w:w="11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Administative fees payable</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953,256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1,119,106</w:t>
            </w: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Securities purchased payable</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86,586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1,039,842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1,119,106</w:t>
            </w:r>
          </w:p>
        </w:tc>
        <w:tc>
          <w:tcPr>
            <w:tcW w:w="0" w:type="dxa"/>
            <w:vAlign w:val="bottom"/>
          </w:tcPr>
          <w:p>
            <w:pPr>
              <w:spacing w:after="0"/>
              <w:rPr>
                <w:sz w:val="1"/>
                <w:szCs w:val="1"/>
                <w:color w:val="auto"/>
              </w:rPr>
            </w:pPr>
          </w:p>
        </w:tc>
      </w:tr>
      <w:tr>
        <w:trPr>
          <w:trHeight w:val="223"/>
        </w:trPr>
        <w:tc>
          <w:tcPr>
            <w:tcW w:w="8400" w:type="dxa"/>
            <w:vAlign w:val="bottom"/>
          </w:tcPr>
          <w:p>
            <w:pPr>
              <w:ind w:left="620"/>
              <w:spacing w:after="0"/>
              <w:rPr>
                <w:sz w:val="20"/>
                <w:szCs w:val="20"/>
                <w:color w:val="auto"/>
              </w:rPr>
            </w:pPr>
            <w:r>
              <w:rPr>
                <w:rFonts w:ascii="Arial" w:cs="Arial" w:eastAsia="Arial" w:hAnsi="Arial"/>
                <w:sz w:val="18"/>
                <w:szCs w:val="18"/>
                <w:color w:val="auto"/>
              </w:rPr>
              <w:t>Total net assets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1,315,131,150</w:t>
            </w:r>
          </w:p>
        </w:tc>
        <w:tc>
          <w:tcPr>
            <w:tcW w:w="6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1,149,683,029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2,535,060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2,457,204</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1,317,666,210</w:t>
            </w:r>
          </w:p>
        </w:tc>
        <w:tc>
          <w:tcPr>
            <w:tcW w:w="6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1,152,140,233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5620"/>
              <w:spacing w:after="0"/>
              <w:rPr>
                <w:sz w:val="20"/>
                <w:szCs w:val="20"/>
                <w:color w:val="auto"/>
              </w:rPr>
            </w:pPr>
            <w:r>
              <w:rPr>
                <w:rFonts w:ascii="Arial" w:cs="Arial" w:eastAsia="Arial" w:hAnsi="Arial"/>
                <w:sz w:val="18"/>
                <w:szCs w:val="18"/>
                <w:color w:val="auto"/>
              </w:rPr>
              <w:t>11</w:t>
            </w: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4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Interest in the Master Trust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Respective interests in the net assets of the Master Trust by the Non-Union Plan and the Plan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color w:val="auto"/>
              </w:rPr>
              <w:t>December 31,</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2006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assets, fair value: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Non-Union Plan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1,311,397,465</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1,146,799,984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3,733,685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0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1,315,131,150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1,149,683,029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contracts: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00"/>
              <w:spacing w:after="0"/>
              <w:rPr>
                <w:sz w:val="20"/>
                <w:szCs w:val="20"/>
                <w:color w:val="auto"/>
              </w:rPr>
            </w:pPr>
            <w:r>
              <w:rPr>
                <w:rFonts w:ascii="Arial" w:cs="Arial" w:eastAsia="Arial" w:hAnsi="Arial"/>
                <w:sz w:val="18"/>
                <w:szCs w:val="18"/>
                <w:color w:val="auto"/>
              </w:rPr>
              <w:t>Non-Union Plan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2,533,056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2,455,027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2,535,060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contracts at contract value: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Non-Union Plan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1,313,930,521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1,149,255,011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3,735,689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0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1,317,666,210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1,152,140,233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1290"/>
              <w:spacing w:after="0"/>
              <w:rPr>
                <w:sz w:val="20"/>
                <w:szCs w:val="20"/>
                <w:color w:val="auto"/>
              </w:rPr>
            </w:pPr>
            <w:r>
              <w:rPr>
                <w:rFonts w:ascii="Arial" w:cs="Arial" w:eastAsia="Arial" w:hAnsi="Arial"/>
                <w:sz w:val="18"/>
                <w:szCs w:val="18"/>
                <w:color w:val="auto"/>
              </w:rPr>
              <w:t>12</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8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200" w:type="dxa"/>
            <w:vAlign w:val="bottom"/>
          </w:tcPr>
          <w:p>
            <w:pPr>
              <w:jc w:val="center"/>
              <w:ind w:left="2110"/>
              <w:spacing w:after="0"/>
              <w:rPr>
                <w:sz w:val="20"/>
                <w:szCs w:val="20"/>
                <w:color w:val="auto"/>
              </w:rPr>
            </w:pPr>
            <w:r>
              <w:rPr>
                <w:rFonts w:ascii="Arial" w:cs="Arial" w:eastAsia="Arial" w:hAnsi="Arial"/>
                <w:sz w:val="18"/>
                <w:szCs w:val="18"/>
                <w:color w:val="auto"/>
                <w:w w:val="88"/>
              </w:rPr>
              <w:t>Waste Management Retirement Savings Plan</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200" w:type="dxa"/>
            <w:vAlign w:val="bottom"/>
          </w:tcPr>
          <w:p>
            <w:pPr>
              <w:jc w:val="center"/>
              <w:ind w:left="2090"/>
              <w:spacing w:after="0"/>
              <w:rPr>
                <w:sz w:val="20"/>
                <w:szCs w:val="20"/>
                <w:color w:val="auto"/>
              </w:rPr>
            </w:pPr>
            <w:r>
              <w:rPr>
                <w:rFonts w:ascii="Arial" w:cs="Arial" w:eastAsia="Arial" w:hAnsi="Arial"/>
                <w:sz w:val="18"/>
                <w:szCs w:val="18"/>
                <w:color w:val="auto"/>
                <w:w w:val="92"/>
              </w:rPr>
              <w:t>For Bargaining Unit Employees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200" w:type="dxa"/>
            <w:vAlign w:val="bottom"/>
          </w:tcPr>
          <w:p>
            <w:pPr>
              <w:jc w:val="center"/>
              <w:ind w:left="2090"/>
              <w:spacing w:after="0"/>
              <w:rPr>
                <w:sz w:val="20"/>
                <w:szCs w:val="20"/>
                <w:color w:val="auto"/>
              </w:rPr>
            </w:pPr>
            <w:r>
              <w:rPr>
                <w:rFonts w:ascii="Arial" w:cs="Arial" w:eastAsia="Arial" w:hAnsi="Arial"/>
                <w:sz w:val="18"/>
                <w:szCs w:val="18"/>
                <w:color w:val="auto"/>
                <w:w w:val="90"/>
              </w:rPr>
              <w:t>Notes to Financial Statements (continued)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4. Plan Interest in the Master Trust (continued)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color w:val="auto"/>
              </w:rPr>
              <w:t>Income or loss from investments held in the Master Trust for the year ended December 31, 2006, was as follows: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12,089,321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Dividends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Dividends — Waste Management, Inc. common stock</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Other income (loss)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appreciation/(depreciation) in fair value of-</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Arial" w:cs="Arial" w:eastAsia="Arial" w:hAnsi="Arial"/>
                <w:sz w:val="18"/>
                <w:szCs w:val="18"/>
                <w:color w:val="auto"/>
              </w:rPr>
              <w:t>Common collective trust funds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114,550,367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stocks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Arial" w:cs="Arial" w:eastAsia="Arial" w:hAnsi="Arial"/>
                <w:sz w:val="18"/>
                <w:szCs w:val="18"/>
                <w:color w:val="auto"/>
              </w:rPr>
              <w:t>Waste Management, Inc. common stock</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20,674,046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(1,361,213)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net appreciation in fair value of investments</w:t>
            </w: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134,111,932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0" w:type="dxa"/>
            <w:vAlign w:val="bottom"/>
          </w:tcPr>
          <w:p>
            <w:pPr>
              <w:ind w:left="600"/>
              <w:spacing w:after="0"/>
              <w:rPr>
                <w:sz w:val="20"/>
                <w:szCs w:val="20"/>
                <w:color w:val="auto"/>
              </w:rPr>
            </w:pPr>
            <w:r>
              <w:rPr>
                <w:rFonts w:ascii="Arial" w:cs="Arial" w:eastAsia="Arial" w:hAnsi="Arial"/>
                <w:sz w:val="18"/>
                <w:szCs w:val="18"/>
                <w:color w:val="auto"/>
              </w:rPr>
              <w:t>Total investment gain</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149,867,264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0" w:type="dxa"/>
            <w:vAlign w:val="bottom"/>
          </w:tcPr>
          <w:p>
            <w:pPr>
              <w:ind w:left="600"/>
              <w:spacing w:after="0"/>
              <w:rPr>
                <w:sz w:val="20"/>
                <w:szCs w:val="20"/>
                <w:color w:val="auto"/>
              </w:rPr>
            </w:pPr>
            <w:r>
              <w:rPr>
                <w:rFonts w:ascii="Arial" w:cs="Arial" w:eastAsia="Arial" w:hAnsi="Arial"/>
                <w:sz w:val="18"/>
                <w:szCs w:val="18"/>
                <w:color w:val="auto"/>
              </w:rPr>
              <w:t>Net gain</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145,549,161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Non-Union Plan interest in net investment gain from the Master Trust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145,129,064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420,097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Taxes</w:t>
      </w:r>
    </w:p>
    <w:p>
      <w:pPr>
        <w:spacing w:after="0" w:line="12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Plan has received a determination letter from the Internal Revenue Service (“IRS”) dated November 30, 2001, stating that the Plan is qualified under Section 401(a) of the Internal Revenue Code (the “Code”) and, therefore, the related trust is exempt from taxation. Subsequent to this determination by the IRS, the Plan was amended. Once qualified, the Plan is required to operate in conformity with the Code to maintain its qualification. The Plan Sponsor has indicated that it will take the necessary steps, if any, to bring the Plan’s operations into compliance with the Code.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assets available for benefits per the financial statements at December 31, 2006, to the Form 5500: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$ 3,844,740</w:t>
            </w: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Less — Adjustment from fair value to contract value for fully benefit- responsive investment contracts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(2,004)</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$ 3,842,736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is a reconciliation of the net increase in net assets available for benefits per the financial statements for the year ended December 31, 2006, to the Form 5500: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2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$ 843,510</w:t>
            </w: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Less — Adjustment from fair value to contract value for fully benefit-responsive investment contracts</w:t>
            </w:r>
          </w:p>
        </w:tc>
        <w:tc>
          <w:tcPr>
            <w:tcW w:w="16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(2,004)</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Form 5500</w:t>
            </w:r>
          </w:p>
        </w:tc>
        <w:tc>
          <w:tcPr>
            <w:tcW w:w="16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$ 841,506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accompanying financial statements present fully benefit-responsive contracts at contract value. The Form 5500 requires fully benefit-responsive investment contracts to be reported at fair value. Therefore, the adjustment from fair value to contract value for fully benefit-responsive investments contracts represents a reconciling item. The 2005 Form 5500 presents the fully benefit-responsive investment contracts at contract value and will not be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Plan Termination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Although it has not expressed any intention to do so, subject to the terms of any applicable collective bargaining agreement, the Company has the right to terminate the Plan subject to the provisions of ERISA.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Certain investments of the Plan are managed by State Street. State Street is the trustee of the Plan and, therefore, these transactions qualify as party-in-interest transactions. Additionally, a portion of the Plan’s assets are invested in the Company’s common stock. Because the Company is the Plan Sponsor, transactions involving the Company’s common stock qualify as party-in-interest transactions. All of these transactions are exempt from the prohibited transactions rules.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7" w:name="page18"/>
    <w:bookmarkEnd w:id="17"/>
    <w:p>
      <w:pPr>
        <w:jc w:val="center"/>
        <w:ind w:right="-1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New Accounting Pronouncement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September 2006, the FASB issued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defines fair value, establishes a framework for measuring fair value and expands disclosures about fair value measurements. SFAS No. 157 is effective for the Plan beginning January 1, 2008. Management is currently evaluating the impact, if any, the adoption of SFAS No. 157 will have on the financial statements of the Plan.</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63" w:right="35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5"/>
          <w:szCs w:val="15"/>
          <w:b w:val="1"/>
          <w:bCs w:val="1"/>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431800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36-2660763 PN: 007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Identity of Issue</w:t>
            </w:r>
          </w:p>
        </w:tc>
        <w:tc>
          <w:tcPr>
            <w:tcW w:w="520" w:type="dxa"/>
            <w:vAlign w:val="bottom"/>
          </w:tcPr>
          <w:p>
            <w:pPr>
              <w:spacing w:after="0"/>
              <w:rPr>
                <w:sz w:val="14"/>
                <w:szCs w:val="14"/>
                <w:color w:val="auto"/>
              </w:rPr>
            </w:pPr>
          </w:p>
        </w:tc>
        <w:tc>
          <w:tcPr>
            <w:tcW w:w="6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Description of Investment</w:t>
            </w:r>
          </w:p>
        </w:tc>
        <w:tc>
          <w:tcPr>
            <w:tcW w:w="520" w:type="dxa"/>
            <w:vAlign w:val="bottom"/>
          </w:tcPr>
          <w:p>
            <w:pPr>
              <w:spacing w:after="0"/>
              <w:rPr>
                <w:sz w:val="14"/>
                <w:szCs w:val="14"/>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Current Value</w:t>
            </w:r>
          </w:p>
        </w:tc>
      </w:tr>
      <w:tr>
        <w:trPr>
          <w:trHeight w:val="224"/>
        </w:trPr>
        <w:tc>
          <w:tcPr>
            <w:tcW w:w="20" w:type="dxa"/>
            <w:vAlign w:val="bottom"/>
          </w:tcPr>
          <w:p>
            <w:pPr>
              <w:spacing w:after="0"/>
              <w:rPr>
                <w:sz w:val="19"/>
                <w:szCs w:val="19"/>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*Participant Loans</w:t>
            </w:r>
          </w:p>
        </w:tc>
        <w:tc>
          <w:tcPr>
            <w:tcW w:w="520" w:type="dxa"/>
            <w:vAlign w:val="bottom"/>
          </w:tcPr>
          <w:p>
            <w:pPr>
              <w:spacing w:after="0"/>
              <w:rPr>
                <w:sz w:val="19"/>
                <w:szCs w:val="19"/>
                <w:color w:val="auto"/>
              </w:rPr>
            </w:pPr>
          </w:p>
        </w:tc>
        <w:tc>
          <w:tcPr>
            <w:tcW w:w="6060" w:type="dxa"/>
            <w:vAlign w:val="bottom"/>
          </w:tcPr>
          <w:p>
            <w:pPr>
              <w:jc w:val="center"/>
              <w:spacing w:after="0"/>
              <w:rPr>
                <w:sz w:val="20"/>
                <w:szCs w:val="20"/>
                <w:color w:val="auto"/>
              </w:rPr>
            </w:pPr>
            <w:r>
              <w:rPr>
                <w:rFonts w:ascii="Arial" w:cs="Arial" w:eastAsia="Arial" w:hAnsi="Arial"/>
                <w:sz w:val="18"/>
                <w:szCs w:val="18"/>
                <w:color w:val="auto"/>
                <w:w w:val="90"/>
              </w:rPr>
              <w:t>Various maturity dates with interest rates ranging from 5.0% to 9.3%</w:t>
            </w:r>
          </w:p>
        </w:tc>
        <w:tc>
          <w:tcPr>
            <w:tcW w:w="520" w:type="dxa"/>
            <w:vAlign w:val="bottom"/>
          </w:tcPr>
          <w:p>
            <w:pPr>
              <w:spacing w:after="0"/>
              <w:rPr>
                <w:sz w:val="19"/>
                <w:szCs w:val="19"/>
                <w:color w:val="auto"/>
              </w:rPr>
            </w:pPr>
          </w:p>
        </w:tc>
        <w:tc>
          <w:tcPr>
            <w:tcW w:w="1400" w:type="dxa"/>
            <w:vAlign w:val="bottom"/>
          </w:tcPr>
          <w:p>
            <w:pPr>
              <w:jc w:val="right"/>
              <w:ind w:right="359"/>
              <w:spacing w:after="0"/>
              <w:rPr>
                <w:sz w:val="20"/>
                <w:szCs w:val="20"/>
                <w:color w:val="auto"/>
              </w:rPr>
            </w:pPr>
            <w:r>
              <w:rPr>
                <w:rFonts w:ascii="Arial" w:cs="Arial" w:eastAsia="Arial" w:hAnsi="Arial"/>
                <w:sz w:val="18"/>
                <w:szCs w:val="18"/>
                <w:color w:val="auto"/>
              </w:rPr>
              <w:t>$81,054</w:t>
            </w:r>
          </w:p>
        </w:tc>
      </w:tr>
      <w:tr>
        <w:trPr>
          <w:trHeight w:val="283"/>
        </w:trPr>
        <w:tc>
          <w:tcPr>
            <w:tcW w:w="280" w:type="dxa"/>
            <w:vAlign w:val="bottom"/>
            <w:tcBorders>
              <w:bottom w:val="single" w:sz="8" w:color="auto"/>
            </w:tcBorders>
            <w:gridSpan w:val="2"/>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7"/>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Party-in-interest</w:t>
            </w:r>
          </w:p>
        </w:tc>
        <w:tc>
          <w:tcPr>
            <w:tcW w:w="5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80" w:type="dxa"/>
            <w:vAlign w:val="bottom"/>
            <w:gridSpan w:val="2"/>
          </w:tcPr>
          <w:p>
            <w:pPr>
              <w:jc w:val="right"/>
              <w:ind w:right="3619"/>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WASTE MANAGEMENT RETIREMENT SAVINGS</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PLAN FOR BARGAINING UNIT EMPLOYEES</w:t>
      </w:r>
    </w:p>
    <w:p>
      <w:pPr>
        <w:spacing w:after="0" w:line="211"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Date: June 28, 2007</w:t>
      </w:r>
      <w:r>
        <w:rPr>
          <w:sz w:val="20"/>
          <w:szCs w:val="20"/>
          <w:color w:val="auto"/>
        </w:rPr>
        <w:tab/>
      </w:r>
      <w:r>
        <w:rPr>
          <w:rFonts w:ascii="Arial" w:cs="Arial" w:eastAsia="Arial" w:hAnsi="Arial"/>
          <w:sz w:val="17"/>
          <w:szCs w:val="17"/>
          <w:color w:val="auto"/>
        </w:rPr>
        <w:t>By:  /s/ Krista DelSota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2529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Krista DelSota</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Compensation and Benefits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 Administrative Committee of the Waste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Employee Benefit Plans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tcPr>
          <w:p>
            <w:pPr>
              <w:jc w:val="center"/>
              <w:ind w:right="816"/>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24"/>
                <w:szCs w:val="24"/>
                <w:color w:val="auto"/>
              </w:rPr>
            </w:pPr>
          </w:p>
        </w:tc>
        <w:tc>
          <w:tcPr>
            <w:tcW w:w="10500" w:type="dxa"/>
            <w:vAlign w:val="bottom"/>
            <w:vMerge w:val="restart"/>
          </w:tcPr>
          <w:p>
            <w:pPr>
              <w:ind w:left="4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34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10840" w:type="dxa"/>
            <w:vAlign w:val="bottom"/>
            <w:gridSpan w:val="2"/>
          </w:tcPr>
          <w:p>
            <w:pPr>
              <w:jc w:val="right"/>
              <w:ind w:right="553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333-45062) pertaining to the Waste Management Retirement Savings Plan For Bargaining Unit Employees of our report dated June 27, 2007, with respect to the financial statements and schedule of the Waste Management Retirement Savings Plan for Bargaining Unit Employees included in this Annual Report (Form 11-K) for the year ended December 31, 2006.</w:t>
      </w:r>
    </w:p>
    <w:p>
      <w:pPr>
        <w:spacing w:after="0" w:line="39"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2007</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2019-12-20T04:07:33Z</dcterms:created>
  <dcterms:modified xsi:type="dcterms:W3CDTF">2019-12-20T04:07:33Z</dcterms:modified>
</cp:coreProperties>
</file>