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5911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20" w:right="1200"/>
        <w:spacing w:after="0" w:line="264" w:lineRule="auto"/>
        <w:rPr>
          <w:sz w:val="20"/>
          <w:szCs w:val="20"/>
          <w:color w:val="auto"/>
        </w:rPr>
      </w:pPr>
      <w:r>
        <w:rPr>
          <w:rFonts w:ascii="Arial" w:cs="Arial" w:eastAsia="Arial" w:hAnsi="Arial"/>
          <w:sz w:val="18"/>
          <w:szCs w:val="18"/>
          <w:color w:val="E8112D"/>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23"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Registration No. 333-162059</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E8112D"/>
        </w:rPr>
        <w:t>SUBJECT TO COMPLETION, DATED AUGUST 24, 2011</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September 22, 2009)</w:t>
      </w:r>
    </w:p>
    <w:p>
      <w:pPr>
        <w:spacing w:after="0" w:line="108" w:lineRule="exact"/>
        <w:rPr>
          <w:sz w:val="20"/>
          <w:szCs w:val="20"/>
          <w:color w:val="auto"/>
        </w:rPr>
      </w:pPr>
    </w:p>
    <w:p>
      <w:pPr>
        <w:jc w:val="center"/>
        <w:ind w:right="42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97790</wp:posOffset>
            </wp:positionV>
            <wp:extent cx="126936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 Senior Notes due 2016</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We are offering $   of our   % senior notes due 2016. Interest on the notes will accrue from and      of each year, beginning     , 2012. The notes will mature on     , 2016.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2011 and will be payable</w:t>
      </w:r>
    </w:p>
    <w:p>
      <w:pPr>
        <w:spacing w:after="0" w:line="369" w:lineRule="exact"/>
        <w:rPr>
          <w:sz w:val="20"/>
          <w:szCs w:val="20"/>
          <w:color w:val="auto"/>
        </w:rPr>
      </w:pPr>
    </w:p>
    <w:p>
      <w:pPr>
        <w:sectPr>
          <w:pgSz w:w="11900" w:h="16838" w:orient="portrait"/>
          <w:cols w:equalWidth="0" w:num="3">
            <w:col w:w="880" w:space="200"/>
            <w:col w:w="6740" w:space="460"/>
            <w:col w:w="3140"/>
          </w:cols>
          <w:pgMar w:left="240" w:top="122" w:right="239" w:bottom="1440" w:gutter="0" w:footer="0" w:header="0"/>
          <w:type w:val="continuous"/>
        </w:sectPr>
      </w:pPr>
    </w:p>
    <w:p>
      <w:pPr>
        <w:jc w:val="both"/>
        <w:ind w:left="700" w:right="840" w:firstLine="397"/>
        <w:spacing w:after="0" w:line="286" w:lineRule="auto"/>
        <w:rPr>
          <w:sz w:val="20"/>
          <w:szCs w:val="20"/>
          <w:color w:val="auto"/>
        </w:rPr>
      </w:pPr>
      <w:r>
        <w:rPr>
          <w:rFonts w:ascii="Arial" w:cs="Arial" w:eastAsia="Arial" w:hAnsi="Arial"/>
          <w:sz w:val="17"/>
          <w:szCs w:val="17"/>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71" w:lineRule="exact"/>
        <w:rPr>
          <w:sz w:val="20"/>
          <w:szCs w:val="20"/>
          <w:color w:val="auto"/>
        </w:rPr>
      </w:pPr>
    </w:p>
    <w:p>
      <w:pPr>
        <w:ind w:left="700" w:right="820" w:firstLine="397"/>
        <w:spacing w:after="0" w:line="342" w:lineRule="auto"/>
        <w:rPr>
          <w:sz w:val="20"/>
          <w:szCs w:val="20"/>
          <w:color w:val="auto"/>
        </w:rPr>
      </w:pPr>
      <w:r>
        <w:rPr>
          <w:rFonts w:ascii="Arial" w:cs="Arial" w:eastAsia="Arial" w:hAnsi="Arial"/>
          <w:sz w:val="16"/>
          <w:szCs w:val="16"/>
          <w:color w:val="auto"/>
        </w:rPr>
        <w:t>We may redeem the notes, in whole or in part, at any time at the redemption prices described beginning on page S-11. If a change of control triggering event as described beginning on page S-14 occurs, we may be required to offer to purchase the notes from holders.</w:t>
      </w:r>
    </w:p>
    <w:p>
      <w:pPr>
        <w:spacing w:after="0" w:line="16" w:lineRule="exact"/>
        <w:rPr>
          <w:sz w:val="20"/>
          <w:szCs w:val="20"/>
          <w:color w:val="auto"/>
        </w:rPr>
      </w:pPr>
    </w:p>
    <w:p>
      <w:pPr>
        <w:ind w:left="700" w:right="1360" w:firstLine="496"/>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S-4 of this prospectus supplement.</w:t>
      </w:r>
    </w:p>
    <w:p>
      <w:pPr>
        <w:spacing w:after="0" w:line="77" w:lineRule="exact"/>
        <w:rPr>
          <w:sz w:val="20"/>
          <w:szCs w:val="20"/>
          <w:color w:val="auto"/>
        </w:rPr>
      </w:pPr>
    </w:p>
    <w:p>
      <w:pPr>
        <w:ind w:left="700" w:right="880" w:firstLine="397"/>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58"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Per Note</w:t>
            </w:r>
          </w:p>
        </w:tc>
        <w:tc>
          <w:tcPr>
            <w:tcW w:w="4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w:t>
            </w:r>
          </w:p>
        </w:tc>
      </w:tr>
      <w:tr>
        <w:trPr>
          <w:trHeight w:val="249"/>
        </w:trPr>
        <w:tc>
          <w:tcPr>
            <w:tcW w:w="2420" w:type="dxa"/>
            <w:vAlign w:val="bottom"/>
            <w:gridSpan w:val="2"/>
          </w:tcPr>
          <w:p>
            <w:pPr>
              <w:spacing w:after="0"/>
              <w:rPr>
                <w:sz w:val="20"/>
                <w:szCs w:val="20"/>
                <w:color w:val="auto"/>
              </w:rPr>
            </w:pPr>
            <w:r>
              <w:rPr>
                <w:rFonts w:ascii="Arial" w:cs="Arial" w:eastAsia="Arial" w:hAnsi="Arial"/>
                <w:sz w:val="18"/>
                <w:szCs w:val="18"/>
                <w:color w:val="auto"/>
              </w:rPr>
              <w:t>Public Offering Price(1)</w:t>
            </w:r>
          </w:p>
        </w:tc>
        <w:tc>
          <w:tcPr>
            <w:tcW w:w="4560" w:type="dxa"/>
            <w:vAlign w:val="bottom"/>
          </w:tcPr>
          <w:p>
            <w:pPr>
              <w:spacing w:after="0"/>
              <w:rPr>
                <w:sz w:val="21"/>
                <w:szCs w:val="21"/>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456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Proceeds to Us (excluding expenses)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r>
      <w:tr>
        <w:trPr>
          <w:trHeight w:val="122"/>
        </w:trPr>
        <w:tc>
          <w:tcPr>
            <w:tcW w:w="126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277"/>
        </w:trPr>
        <w:tc>
          <w:tcPr>
            <w:tcW w:w="2420" w:type="dxa"/>
            <w:vAlign w:val="bottom"/>
            <w:gridSpan w:val="2"/>
          </w:tcPr>
          <w:p>
            <w:pPr>
              <w:spacing w:after="0"/>
              <w:rPr>
                <w:sz w:val="20"/>
                <w:szCs w:val="20"/>
                <w:color w:val="auto"/>
              </w:rPr>
            </w:pPr>
            <w:r>
              <w:rPr>
                <w:rFonts w:ascii="Arial" w:cs="Arial" w:eastAsia="Arial" w:hAnsi="Arial"/>
                <w:sz w:val="18"/>
                <w:szCs w:val="18"/>
                <w:color w:val="auto"/>
              </w:rPr>
              <w:t>(1) Plus accrued interest from</w:t>
            </w:r>
          </w:p>
        </w:tc>
        <w:tc>
          <w:tcPr>
            <w:tcW w:w="4560" w:type="dxa"/>
            <w:vAlign w:val="bottom"/>
          </w:tcPr>
          <w:p>
            <w:pPr>
              <w:ind w:left="220"/>
              <w:spacing w:after="0"/>
              <w:rPr>
                <w:sz w:val="20"/>
                <w:szCs w:val="20"/>
                <w:color w:val="auto"/>
              </w:rPr>
            </w:pPr>
            <w:r>
              <w:rPr>
                <w:rFonts w:ascii="Arial" w:cs="Arial" w:eastAsia="Arial" w:hAnsi="Arial"/>
                <w:sz w:val="18"/>
                <w:szCs w:val="18"/>
                <w:color w:val="auto"/>
              </w:rPr>
              <w:t>, 2011 if delivery occurs after that date.</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1" w:lineRule="exact"/>
        <w:rPr>
          <w:sz w:val="20"/>
          <w:szCs w:val="20"/>
          <w:color w:val="auto"/>
        </w:rPr>
      </w:pPr>
    </w:p>
    <w:p>
      <w:pPr>
        <w:ind w:left="700" w:right="900" w:firstLine="397"/>
        <w:spacing w:after="0" w:line="264" w:lineRule="auto"/>
        <w:rPr>
          <w:sz w:val="20"/>
          <w:szCs w:val="20"/>
          <w:color w:val="auto"/>
        </w:rPr>
      </w:pPr>
      <w:r>
        <w:rPr>
          <w:rFonts w:ascii="Arial" w:cs="Arial" w:eastAsia="Arial" w:hAnsi="Arial"/>
          <w:sz w:val="18"/>
          <w:szCs w:val="18"/>
          <w:color w:val="auto"/>
        </w:rPr>
        <w:t>The underwriters expect to deliver the notes to investors on or about , 2011 only in book-entry form through the facilities of The Depository Trust Company and its participants, including Clearstream Banking, société anonyme, and Euroclear Bank S.A./N.V., as operator of the Euroclear System.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4180" w:type="dxa"/>
            <w:vAlign w:val="bottom"/>
          </w:tcPr>
          <w:p>
            <w:pPr>
              <w:jc w:val="center"/>
              <w:ind w:left="526"/>
              <w:spacing w:after="0"/>
              <w:rPr>
                <w:sz w:val="20"/>
                <w:szCs w:val="20"/>
                <w:color w:val="auto"/>
              </w:rPr>
            </w:pPr>
            <w:r>
              <w:rPr>
                <w:rFonts w:ascii="Arial" w:cs="Arial" w:eastAsia="Arial" w:hAnsi="Arial"/>
                <w:sz w:val="18"/>
                <w:szCs w:val="18"/>
                <w:i w:val="1"/>
                <w:iCs w:val="1"/>
                <w:color w:val="auto"/>
                <w:w w:val="91"/>
              </w:rPr>
              <w:t>Joint Book-Running and Joint Lead Managers</w:t>
            </w:r>
          </w:p>
        </w:tc>
        <w:tc>
          <w:tcPr>
            <w:tcW w:w="4000" w:type="dxa"/>
            <w:vAlign w:val="bottom"/>
          </w:tcPr>
          <w:p>
            <w:pPr>
              <w:spacing w:after="0"/>
              <w:rPr>
                <w:sz w:val="20"/>
                <w:szCs w:val="20"/>
                <w:color w:val="auto"/>
              </w:rPr>
            </w:pPr>
          </w:p>
        </w:tc>
      </w:tr>
      <w:tr>
        <w:trPr>
          <w:trHeight w:val="447"/>
        </w:trPr>
        <w:tc>
          <w:tcPr>
            <w:tcW w:w="3240" w:type="dxa"/>
            <w:vAlign w:val="bottom"/>
          </w:tcPr>
          <w:p>
            <w:pPr>
              <w:ind w:left="700"/>
              <w:spacing w:after="0"/>
              <w:rPr>
                <w:sz w:val="20"/>
                <w:szCs w:val="20"/>
                <w:color w:val="auto"/>
              </w:rPr>
            </w:pPr>
            <w:r>
              <w:rPr>
                <w:rFonts w:ascii="Arial" w:cs="Arial" w:eastAsia="Arial" w:hAnsi="Arial"/>
                <w:sz w:val="32"/>
                <w:szCs w:val="32"/>
                <w:b w:val="1"/>
                <w:bCs w:val="1"/>
                <w:color w:val="auto"/>
              </w:rPr>
              <w:t>Credit Suisse</w:t>
            </w:r>
          </w:p>
        </w:tc>
        <w:tc>
          <w:tcPr>
            <w:tcW w:w="4180" w:type="dxa"/>
            <w:vAlign w:val="bottom"/>
          </w:tcPr>
          <w:p>
            <w:pPr>
              <w:jc w:val="center"/>
              <w:ind w:left="546"/>
              <w:spacing w:after="0"/>
              <w:rPr>
                <w:sz w:val="20"/>
                <w:szCs w:val="20"/>
                <w:color w:val="auto"/>
              </w:rPr>
            </w:pPr>
            <w:r>
              <w:rPr>
                <w:rFonts w:ascii="Arial" w:cs="Arial" w:eastAsia="Arial" w:hAnsi="Arial"/>
                <w:sz w:val="32"/>
                <w:szCs w:val="32"/>
                <w:b w:val="1"/>
                <w:bCs w:val="1"/>
                <w:color w:val="auto"/>
                <w:w w:val="92"/>
              </w:rPr>
              <w:t>J.P. Morgan</w:t>
            </w:r>
          </w:p>
        </w:tc>
        <w:tc>
          <w:tcPr>
            <w:tcW w:w="4000" w:type="dxa"/>
            <w:vAlign w:val="bottom"/>
          </w:tcPr>
          <w:p>
            <w:pPr>
              <w:ind w:left="100"/>
              <w:spacing w:after="0"/>
              <w:rPr>
                <w:sz w:val="20"/>
                <w:szCs w:val="20"/>
                <w:color w:val="auto"/>
              </w:rPr>
            </w:pPr>
            <w:r>
              <w:rPr>
                <w:rFonts w:ascii="Arial" w:cs="Arial" w:eastAsia="Arial" w:hAnsi="Arial"/>
                <w:sz w:val="32"/>
                <w:szCs w:val="32"/>
                <w:b w:val="1"/>
                <w:bCs w:val="1"/>
                <w:color w:val="auto"/>
              </w:rPr>
              <w:t>Wells Fargo Securities</w:t>
            </w:r>
          </w:p>
        </w:tc>
      </w:tr>
      <w:tr>
        <w:trPr>
          <w:trHeight w:val="269"/>
        </w:trPr>
        <w:tc>
          <w:tcPr>
            <w:tcW w:w="3240" w:type="dxa"/>
            <w:vAlign w:val="bottom"/>
          </w:tcPr>
          <w:p>
            <w:pPr>
              <w:spacing w:after="0"/>
              <w:rPr>
                <w:sz w:val="23"/>
                <w:szCs w:val="23"/>
                <w:color w:val="auto"/>
              </w:rPr>
            </w:pPr>
          </w:p>
        </w:tc>
        <w:tc>
          <w:tcPr>
            <w:tcW w:w="4180" w:type="dxa"/>
            <w:vAlign w:val="bottom"/>
          </w:tcPr>
          <w:p>
            <w:pPr>
              <w:jc w:val="right"/>
              <w:ind w:right="1206"/>
              <w:spacing w:after="0"/>
              <w:rPr>
                <w:sz w:val="20"/>
                <w:szCs w:val="20"/>
                <w:color w:val="auto"/>
              </w:rPr>
            </w:pPr>
            <w:r>
              <w:rPr>
                <w:rFonts w:ascii="Arial" w:cs="Arial" w:eastAsia="Arial" w:hAnsi="Arial"/>
                <w:sz w:val="18"/>
                <w:szCs w:val="18"/>
                <w:color w:val="auto"/>
              </w:rPr>
              <w:t>, 2011</w:t>
            </w:r>
          </w:p>
        </w:tc>
        <w:tc>
          <w:tcPr>
            <w:tcW w:w="4000" w:type="dxa"/>
            <w:vAlign w:val="bottom"/>
          </w:tcPr>
          <w:p>
            <w:pPr>
              <w:spacing w:after="0"/>
              <w:rPr>
                <w:sz w:val="23"/>
                <w:szCs w:val="23"/>
                <w:color w:val="auto"/>
              </w:rPr>
            </w:pPr>
          </w:p>
        </w:tc>
      </w:tr>
      <w:tr>
        <w:trPr>
          <w:trHeight w:val="226"/>
        </w:trPr>
        <w:tc>
          <w:tcPr>
            <w:tcW w:w="324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700" w:right="820" w:firstLine="397"/>
        <w:spacing w:after="0" w:line="290"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20" w:type="dxa"/>
            <w:vAlign w:val="bottom"/>
            <w:gridSpan w:val="2"/>
          </w:tcPr>
          <w:p>
            <w:pPr>
              <w:jc w:val="center"/>
              <w:ind w:right="3711"/>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443"/>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800" w:type="dxa"/>
            <w:vAlign w:val="bottom"/>
          </w:tcPr>
          <w:p>
            <w:pPr>
              <w:spacing w:after="0"/>
              <w:rPr>
                <w:sz w:val="24"/>
                <w:szCs w:val="24"/>
                <w:color w:val="auto"/>
              </w:rPr>
            </w:pPr>
          </w:p>
        </w:tc>
      </w:tr>
      <w:tr>
        <w:trPr>
          <w:trHeight w:val="252"/>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20" w:type="dxa"/>
            <w:vAlign w:val="bottom"/>
            <w:gridSpan w:val="2"/>
          </w:tcPr>
          <w:p>
            <w:pPr>
              <w:jc w:val="center"/>
              <w:ind w:right="3711"/>
              <w:spacing w:after="0"/>
              <w:rPr>
                <w:sz w:val="20"/>
                <w:szCs w:val="20"/>
                <w:color w:val="auto"/>
              </w:rPr>
            </w:pPr>
            <w:r>
              <w:rPr>
                <w:rFonts w:ascii="Arial" w:cs="Arial" w:eastAsia="Arial" w:hAnsi="Arial"/>
                <w:sz w:val="18"/>
                <w:szCs w:val="18"/>
                <w:b w:val="1"/>
                <w:bCs w:val="1"/>
                <w:color w:val="auto"/>
                <w:w w:val="86"/>
              </w:rPr>
              <w:t>Prospectus supplement</w:t>
            </w:r>
          </w:p>
        </w:tc>
        <w:tc>
          <w:tcPr>
            <w:tcW w:w="800" w:type="dxa"/>
            <w:vAlign w:val="bottom"/>
          </w:tcPr>
          <w:p>
            <w:pPr>
              <w:spacing w:after="0"/>
              <w:rPr>
                <w:sz w:val="21"/>
                <w:szCs w:val="21"/>
                <w:color w:val="auto"/>
              </w:rPr>
            </w:pPr>
          </w:p>
        </w:tc>
      </w:tr>
      <w:tr>
        <w:trPr>
          <w:trHeight w:val="190"/>
        </w:trPr>
        <w:tc>
          <w:tcPr>
            <w:tcW w:w="70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100" w:type="dxa"/>
            <w:vAlign w:val="bottom"/>
            <w:gridSpan w:val="8"/>
          </w:tcPr>
          <w:p>
            <w:pPr>
              <w:spacing w:after="0"/>
              <w:rPr>
                <w:sz w:val="16"/>
                <w:szCs w:val="16"/>
                <w:color w:val="auto"/>
              </w:rPr>
            </w:pPr>
          </w:p>
        </w:tc>
        <w:tc>
          <w:tcPr>
            <w:tcW w:w="5620" w:type="dxa"/>
            <w:vAlign w:val="bottom"/>
          </w:tcPr>
          <w:p>
            <w:pPr>
              <w:spacing w:after="0"/>
              <w:rPr>
                <w:sz w:val="16"/>
                <w:szCs w:val="16"/>
                <w:color w:val="auto"/>
              </w:rPr>
            </w:pPr>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S-1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2900" w:type="dxa"/>
            <w:vAlign w:val="bottom"/>
            <w:gridSpan w:val="7"/>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2640" w:type="dxa"/>
            <w:vAlign w:val="bottom"/>
            <w:gridSpan w:val="3"/>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Description of Notes</w:t>
              </w:r>
            </w:hyperlink>
          </w:p>
        </w:tc>
        <w:tc>
          <w:tcPr>
            <w:tcW w:w="2300" w:type="dxa"/>
            <w:vAlign w:val="bottom"/>
            <w:gridSpan w:val="2"/>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Underwriting</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Legal Matters</w:t>
              </w:r>
            </w:hyperlink>
          </w:p>
        </w:tc>
        <w:tc>
          <w:tcPr>
            <w:tcW w:w="2800" w:type="dxa"/>
            <w:vAlign w:val="bottom"/>
            <w:gridSpan w:val="5"/>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800" w:type="dxa"/>
            <w:vAlign w:val="bottom"/>
            <w:gridSpan w:val="10"/>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Incorporation of Certain Documents by Reference</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S-24</w:t>
            </w:r>
          </w:p>
        </w:tc>
        <w:tc>
          <w:tcPr>
            <w:tcW w:w="800" w:type="dxa"/>
            <w:vAlign w:val="bottom"/>
          </w:tcPr>
          <w:p>
            <w:pPr>
              <w:spacing w:after="0"/>
              <w:rPr>
                <w:sz w:val="17"/>
                <w:szCs w:val="17"/>
                <w:color w:val="auto"/>
              </w:rPr>
            </w:pPr>
          </w:p>
        </w:tc>
      </w:tr>
      <w:tr>
        <w:trPr>
          <w:trHeight w:val="384"/>
        </w:trPr>
        <w:tc>
          <w:tcPr>
            <w:tcW w:w="7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120" w:type="dxa"/>
            <w:vAlign w:val="bottom"/>
            <w:gridSpan w:val="2"/>
          </w:tcPr>
          <w:p>
            <w:pPr>
              <w:jc w:val="center"/>
              <w:ind w:right="3711"/>
              <w:spacing w:after="0"/>
              <w:rPr>
                <w:sz w:val="20"/>
                <w:szCs w:val="20"/>
                <w:color w:val="auto"/>
              </w:rPr>
            </w:pPr>
            <w:r>
              <w:rPr>
                <w:rFonts w:ascii="Arial" w:cs="Arial" w:eastAsia="Arial" w:hAnsi="Arial"/>
                <w:sz w:val="18"/>
                <w:szCs w:val="18"/>
                <w:b w:val="1"/>
                <w:bCs w:val="1"/>
                <w:color w:val="auto"/>
                <w:w w:val="85"/>
              </w:rPr>
              <w:t>Prospectus</w:t>
            </w:r>
          </w:p>
        </w:tc>
        <w:tc>
          <w:tcPr>
            <w:tcW w:w="80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Forward-Looking Statements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About This Prospectus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w w:val="95"/>
              </w:rPr>
              <w:t>Incorporation of Certain Documents by Reference</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Where You Can Find More Information</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The Company</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Risk Factors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Ratio of Earnings to Fixed Charges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Use of Proceeds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the Debt Securities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Guarantees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Capital Stock</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Description of Other Securities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Plan of Distribution</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Selling Securityholders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Legal Matters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3800" w:type="dxa"/>
            <w:vAlign w:val="bottom"/>
            <w:gridSpan w:val="10"/>
          </w:tcPr>
          <w:p>
            <w:pPr>
              <w:spacing w:after="0"/>
              <w:rPr>
                <w:sz w:val="20"/>
                <w:szCs w:val="20"/>
                <w:color w:val="auto"/>
              </w:rPr>
            </w:pPr>
            <w:r>
              <w:rPr>
                <w:rFonts w:ascii="Arial" w:cs="Arial" w:eastAsia="Arial" w:hAnsi="Arial"/>
                <w:sz w:val="18"/>
                <w:szCs w:val="18"/>
                <w:color w:val="auto"/>
              </w:rPr>
              <w:t>Experts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0"/>
                <w:szCs w:val="20"/>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00" w:firstLine="397"/>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4" w:lineRule="exact"/>
        <w:rPr>
          <w:sz w:val="20"/>
          <w:szCs w:val="20"/>
          <w:color w:val="auto"/>
        </w:rPr>
      </w:pPr>
    </w:p>
    <w:p>
      <w:pPr>
        <w:ind w:left="920" w:firstLine="397"/>
        <w:spacing w:after="0" w:line="342"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24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Waste Management, Inc.</w:t>
      </w:r>
    </w:p>
    <w:p>
      <w:pPr>
        <w:spacing w:after="0" w:line="135" w:lineRule="exact"/>
        <w:rPr>
          <w:sz w:val="20"/>
          <w:szCs w:val="20"/>
          <w:color w:val="auto"/>
        </w:rPr>
      </w:pPr>
    </w:p>
    <w:p>
      <w:pPr>
        <w:ind w:left="920" w:right="140" w:firstLine="397"/>
        <w:spacing w:after="0" w:line="259" w:lineRule="auto"/>
        <w:rPr>
          <w:sz w:val="20"/>
          <w:szCs w:val="20"/>
          <w:color w:val="auto"/>
        </w:rPr>
      </w:pPr>
      <w:r>
        <w:rPr>
          <w:rFonts w:ascii="Arial" w:cs="Arial" w:eastAsia="Arial" w:hAnsi="Arial"/>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9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offices are located at 1001 Fannin Street, Suite 4000, Houston, Texas 77002. Our telephone number at that address is</w:t>
      </w:r>
    </w:p>
    <w:p>
      <w:pPr>
        <w:spacing w:after="0" w:line="46" w:lineRule="exact"/>
        <w:rPr>
          <w:sz w:val="20"/>
          <w:szCs w:val="20"/>
          <w:color w:val="auto"/>
        </w:rPr>
      </w:pPr>
    </w:p>
    <w:p>
      <w:pPr>
        <w:ind w:left="920" w:right="340" w:firstLine="2"/>
        <w:spacing w:after="0" w:line="273" w:lineRule="auto"/>
        <w:tabs>
          <w:tab w:leader="none" w:pos="1355" w:val="left"/>
        </w:tabs>
        <w:numPr>
          <w:ilvl w:val="0"/>
          <w:numId w:val="1"/>
        </w:numPr>
        <w:rPr>
          <w:rFonts w:ascii="Arial" w:cs="Arial" w:eastAsia="Arial" w:hAnsi="Arial"/>
          <w:sz w:val="17"/>
          <w:szCs w:val="17"/>
          <w:color w:val="auto"/>
        </w:rPr>
      </w:pPr>
      <w:r>
        <w:rPr>
          <w:rFonts w:ascii="Arial" w:cs="Arial" w:eastAsia="Arial" w:hAnsi="Arial"/>
          <w:sz w:val="17"/>
          <w:szCs w:val="17"/>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9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Waste Management Holdings, Inc.</w:t>
      </w:r>
    </w:p>
    <w:p>
      <w:pPr>
        <w:spacing w:after="0" w:line="135" w:lineRule="exact"/>
        <w:rPr>
          <w:sz w:val="20"/>
          <w:szCs w:val="20"/>
          <w:color w:val="auto"/>
        </w:rPr>
      </w:pPr>
    </w:p>
    <w:p>
      <w:pPr>
        <w:jc w:val="both"/>
        <w:ind w:left="920" w:right="80" w:firstLine="397"/>
        <w:spacing w:after="0" w:line="264"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pacing w:after="0" w:line="29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920" w:right="60" w:firstLine="397"/>
        <w:spacing w:after="0" w:line="259" w:lineRule="auto"/>
        <w:rPr>
          <w:sz w:val="20"/>
          <w:szCs w:val="20"/>
          <w:color w:val="auto"/>
        </w:rPr>
      </w:pPr>
      <w:r>
        <w:rPr>
          <w:rFonts w:ascii="Arial" w:cs="Arial" w:eastAsia="Arial" w:hAnsi="Arial"/>
          <w:sz w:val="18"/>
          <w:szCs w:val="18"/>
          <w:color w:val="auto"/>
        </w:rPr>
        <w:t>On July 28, 2011, we acquired the primary operations of Oakleaf Global Holdings, a privately-owned waste services company providing outsourced waste and recycling services through a nationwide network of third-party haulers, for $425 million, subject to working capital and other adjustments. The combination pairs our extensive network of directly owned hauling, recycling, diversion and disposal assets with Oakleaf’s extensive managed third-party network.</w:t>
      </w:r>
    </w:p>
    <w:p>
      <w:pPr>
        <w:spacing w:after="0" w:line="92" w:lineRule="exact"/>
        <w:rPr>
          <w:sz w:val="20"/>
          <w:szCs w:val="20"/>
          <w:color w:val="auto"/>
        </w:rPr>
      </w:pPr>
    </w:p>
    <w:p>
      <w:pPr>
        <w:ind w:left="920" w:firstLine="397"/>
        <w:spacing w:after="0" w:line="312" w:lineRule="auto"/>
        <w:rPr>
          <w:sz w:val="20"/>
          <w:szCs w:val="20"/>
          <w:color w:val="auto"/>
        </w:rPr>
      </w:pPr>
      <w:r>
        <w:rPr>
          <w:rFonts w:ascii="Arial" w:cs="Arial" w:eastAsia="Arial" w:hAnsi="Arial"/>
          <w:sz w:val="16"/>
          <w:szCs w:val="16"/>
          <w:color w:val="auto"/>
        </w:rPr>
        <w:t>The acquired operations of Oakleaf generated approximately $580 million in revenues in 2010. The acquisition is intended to increase our national accounts customer base and enhance our ability to provide comprehensive environmental solutions. The acquisition was funded with a combination of cash on hand and $100 million of cash borrowed under our $2.0 billion revolving credit facility.</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920" w:right="520" w:firstLine="397"/>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7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Issuer</w:t>
            </w:r>
          </w:p>
        </w:tc>
        <w:tc>
          <w:tcPr>
            <w:tcW w:w="3660" w:type="dxa"/>
            <w:vAlign w:val="bottom"/>
            <w:gridSpan w:val="3"/>
          </w:tcPr>
          <w:p>
            <w:pPr>
              <w:ind w:left="420"/>
              <w:spacing w:after="0"/>
              <w:rPr>
                <w:sz w:val="20"/>
                <w:szCs w:val="20"/>
                <w:color w:val="auto"/>
              </w:rPr>
            </w:pPr>
            <w:r>
              <w:rPr>
                <w:rFonts w:ascii="Arial" w:cs="Arial" w:eastAsia="Arial" w:hAnsi="Arial"/>
                <w:sz w:val="18"/>
                <w:szCs w:val="18"/>
                <w:color w:val="auto"/>
              </w:rPr>
              <w:t>Waste Management, Inc.</w:t>
            </w:r>
          </w:p>
        </w:tc>
        <w:tc>
          <w:tcPr>
            <w:tcW w:w="4080" w:type="dxa"/>
            <w:vAlign w:val="bottom"/>
          </w:tcPr>
          <w:p>
            <w:pPr>
              <w:spacing w:after="0"/>
              <w:rPr>
                <w:sz w:val="20"/>
                <w:szCs w:val="20"/>
                <w:color w:val="auto"/>
              </w:rPr>
            </w:pP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Securities Offered</w:t>
            </w:r>
          </w:p>
        </w:tc>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w w:val="97"/>
              </w:rPr>
              <w:t>million aggregate principal amount of</w:t>
            </w:r>
          </w:p>
        </w:tc>
        <w:tc>
          <w:tcPr>
            <w:tcW w:w="4080" w:type="dxa"/>
            <w:vAlign w:val="bottom"/>
          </w:tcPr>
          <w:p>
            <w:pPr>
              <w:jc w:val="right"/>
              <w:ind w:right="2030"/>
              <w:spacing w:after="0"/>
              <w:rPr>
                <w:sz w:val="20"/>
                <w:szCs w:val="20"/>
                <w:color w:val="auto"/>
              </w:rPr>
            </w:pPr>
            <w:r>
              <w:rPr>
                <w:rFonts w:ascii="Arial" w:cs="Arial" w:eastAsia="Arial" w:hAnsi="Arial"/>
                <w:sz w:val="18"/>
                <w:szCs w:val="18"/>
                <w:color w:val="auto"/>
                <w:w w:val="92"/>
              </w:rPr>
              <w:t>% Senior Notes due 2016.</w:t>
            </w:r>
          </w:p>
        </w:tc>
      </w:tr>
      <w:tr>
        <w:trPr>
          <w:trHeight w:val="310"/>
        </w:trPr>
        <w:tc>
          <w:tcPr>
            <w:tcW w:w="2180" w:type="dxa"/>
            <w:vAlign w:val="bottom"/>
          </w:tcPr>
          <w:p>
            <w:pPr>
              <w:spacing w:after="0"/>
              <w:rPr>
                <w:sz w:val="20"/>
                <w:szCs w:val="20"/>
                <w:color w:val="auto"/>
              </w:rPr>
            </w:pPr>
            <w:r>
              <w:rPr>
                <w:rFonts w:ascii="Arial" w:cs="Arial" w:eastAsia="Arial" w:hAnsi="Arial"/>
                <w:sz w:val="18"/>
                <w:szCs w:val="18"/>
                <w:color w:val="auto"/>
              </w:rPr>
              <w:t>Subsidiary Guarantee</w:t>
            </w: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7"/>
              </w:rPr>
              <w:t>WM Holdings will fully and unconditionally guarantee, on a senior unsecured basis, the full and</w:t>
            </w:r>
          </w:p>
        </w:tc>
      </w:tr>
      <w:tr>
        <w:trPr>
          <w:trHeight w:val="216"/>
        </w:trPr>
        <w:tc>
          <w:tcPr>
            <w:tcW w:w="2180" w:type="dxa"/>
            <w:vAlign w:val="bottom"/>
          </w:tcPr>
          <w:p>
            <w:pPr>
              <w:spacing w:after="0"/>
              <w:rPr>
                <w:sz w:val="18"/>
                <w:szCs w:val="18"/>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7"/>
              </w:rPr>
              <w:t>prompt payment of the principal and any premium and interest on the notes, when and as they</w:t>
            </w:r>
          </w:p>
        </w:tc>
      </w:tr>
      <w:tr>
        <w:trPr>
          <w:trHeight w:val="230"/>
        </w:trPr>
        <w:tc>
          <w:tcPr>
            <w:tcW w:w="2180" w:type="dxa"/>
            <w:vAlign w:val="bottom"/>
          </w:tcPr>
          <w:p>
            <w:pPr>
              <w:spacing w:after="0"/>
              <w:rPr>
                <w:sz w:val="20"/>
                <w:szCs w:val="20"/>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rPr>
              <w:t>become due and payable, whether at maturity or otherwise.</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Maturity Date</w:t>
            </w:r>
          </w:p>
        </w:tc>
        <w:tc>
          <w:tcPr>
            <w:tcW w:w="58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 2016.</w:t>
            </w:r>
          </w:p>
        </w:tc>
        <w:tc>
          <w:tcPr>
            <w:tcW w:w="212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Interest Rate</w:t>
            </w:r>
          </w:p>
        </w:tc>
        <w:tc>
          <w:tcPr>
            <w:tcW w:w="58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w w:val="95"/>
              </w:rPr>
              <w:t>% per year.</w:t>
            </w:r>
          </w:p>
        </w:tc>
        <w:tc>
          <w:tcPr>
            <w:tcW w:w="212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580" w:type="dxa"/>
            <w:vAlign w:val="bottom"/>
          </w:tcPr>
          <w:p>
            <w:pPr>
              <w:spacing w:after="0"/>
              <w:rPr>
                <w:sz w:val="24"/>
                <w:szCs w:val="24"/>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and</w:t>
            </w:r>
          </w:p>
        </w:tc>
        <w:tc>
          <w:tcPr>
            <w:tcW w:w="2120" w:type="dxa"/>
            <w:vAlign w:val="bottom"/>
          </w:tcPr>
          <w:p>
            <w:pPr>
              <w:ind w:left="80"/>
              <w:spacing w:after="0"/>
              <w:rPr>
                <w:sz w:val="20"/>
                <w:szCs w:val="20"/>
                <w:color w:val="auto"/>
              </w:rPr>
            </w:pPr>
            <w:r>
              <w:rPr>
                <w:rFonts w:ascii="Arial" w:cs="Arial" w:eastAsia="Arial" w:hAnsi="Arial"/>
                <w:sz w:val="18"/>
                <w:szCs w:val="18"/>
                <w:color w:val="auto"/>
              </w:rPr>
              <w:t>of each year, beginning</w:t>
            </w:r>
          </w:p>
        </w:tc>
        <w:tc>
          <w:tcPr>
            <w:tcW w:w="4080" w:type="dxa"/>
            <w:vAlign w:val="bottom"/>
          </w:tcPr>
          <w:p>
            <w:pPr>
              <w:jc w:val="right"/>
              <w:ind w:right="3410"/>
              <w:spacing w:after="0"/>
              <w:rPr>
                <w:sz w:val="20"/>
                <w:szCs w:val="20"/>
                <w:color w:val="auto"/>
              </w:rPr>
            </w:pPr>
            <w:r>
              <w:rPr>
                <w:rFonts w:ascii="Arial" w:cs="Arial" w:eastAsia="Arial" w:hAnsi="Arial"/>
                <w:sz w:val="18"/>
                <w:szCs w:val="18"/>
                <w:color w:val="auto"/>
              </w:rPr>
              <w:t>, 2012.</w:t>
            </w:r>
          </w:p>
        </w:tc>
      </w:tr>
      <w:tr>
        <w:trPr>
          <w:trHeight w:val="310"/>
        </w:trPr>
        <w:tc>
          <w:tcPr>
            <w:tcW w:w="2180" w:type="dxa"/>
            <w:vAlign w:val="bottom"/>
          </w:tcPr>
          <w:p>
            <w:pPr>
              <w:spacing w:after="0"/>
              <w:rPr>
                <w:sz w:val="20"/>
                <w:szCs w:val="20"/>
                <w:color w:val="auto"/>
              </w:rPr>
            </w:pPr>
            <w:r>
              <w:rPr>
                <w:rFonts w:ascii="Arial" w:cs="Arial" w:eastAsia="Arial" w:hAnsi="Arial"/>
                <w:sz w:val="18"/>
                <w:szCs w:val="18"/>
                <w:color w:val="auto"/>
              </w:rPr>
              <w:t>Optional Redemption</w:t>
            </w: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2"/>
              </w:rPr>
              <w:t>We may elect to redeem and repay any or all of the notes at any time in minimum principal amounts</w:t>
            </w:r>
          </w:p>
        </w:tc>
      </w:tr>
      <w:tr>
        <w:trPr>
          <w:trHeight w:val="216"/>
        </w:trPr>
        <w:tc>
          <w:tcPr>
            <w:tcW w:w="2180" w:type="dxa"/>
            <w:vAlign w:val="bottom"/>
          </w:tcPr>
          <w:p>
            <w:pPr>
              <w:spacing w:after="0"/>
              <w:rPr>
                <w:sz w:val="18"/>
                <w:szCs w:val="18"/>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4"/>
              </w:rPr>
              <w:t>of $2,000 or any integral multiple of $1,000 in excess thereof. If we elect to redeem and repay the</w:t>
            </w:r>
          </w:p>
        </w:tc>
      </w:tr>
      <w:tr>
        <w:trPr>
          <w:trHeight w:val="216"/>
        </w:trPr>
        <w:tc>
          <w:tcPr>
            <w:tcW w:w="2180" w:type="dxa"/>
            <w:vAlign w:val="bottom"/>
          </w:tcPr>
          <w:p>
            <w:pPr>
              <w:spacing w:after="0"/>
              <w:rPr>
                <w:sz w:val="18"/>
                <w:szCs w:val="18"/>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1"/>
              </w:rPr>
              <w:t>notes before the date that is one month prior to the maturity date, we will pay an amount equal to the</w:t>
            </w:r>
          </w:p>
        </w:tc>
      </w:tr>
      <w:tr>
        <w:trPr>
          <w:trHeight w:val="216"/>
        </w:trPr>
        <w:tc>
          <w:tcPr>
            <w:tcW w:w="2180" w:type="dxa"/>
            <w:vAlign w:val="bottom"/>
          </w:tcPr>
          <w:p>
            <w:pPr>
              <w:spacing w:after="0"/>
              <w:rPr>
                <w:sz w:val="18"/>
                <w:szCs w:val="18"/>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1"/>
              </w:rPr>
              <w:t>greater of 100% of the principal amount of the notes redeemed and repaid, or the sum of the present</w:t>
            </w:r>
          </w:p>
        </w:tc>
      </w:tr>
      <w:tr>
        <w:trPr>
          <w:trHeight w:val="216"/>
        </w:trPr>
        <w:tc>
          <w:tcPr>
            <w:tcW w:w="2180" w:type="dxa"/>
            <w:vAlign w:val="bottom"/>
          </w:tcPr>
          <w:p>
            <w:pPr>
              <w:spacing w:after="0"/>
              <w:rPr>
                <w:sz w:val="18"/>
                <w:szCs w:val="18"/>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5"/>
              </w:rPr>
              <w:t>values of the remaining scheduled payments of principal and interest on the notes. If we elect to</w:t>
            </w:r>
          </w:p>
        </w:tc>
      </w:tr>
      <w:tr>
        <w:trPr>
          <w:trHeight w:val="216"/>
        </w:trPr>
        <w:tc>
          <w:tcPr>
            <w:tcW w:w="2180" w:type="dxa"/>
            <w:vAlign w:val="bottom"/>
          </w:tcPr>
          <w:p>
            <w:pPr>
              <w:spacing w:after="0"/>
              <w:rPr>
                <w:sz w:val="18"/>
                <w:szCs w:val="18"/>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2"/>
              </w:rPr>
              <w:t>redeem and repay the notes on or after the date that is one month prior to the maturity date, we will</w:t>
            </w:r>
          </w:p>
        </w:tc>
      </w:tr>
      <w:tr>
        <w:trPr>
          <w:trHeight w:val="216"/>
        </w:trPr>
        <w:tc>
          <w:tcPr>
            <w:tcW w:w="2180" w:type="dxa"/>
            <w:vAlign w:val="bottom"/>
          </w:tcPr>
          <w:p>
            <w:pPr>
              <w:spacing w:after="0"/>
              <w:rPr>
                <w:sz w:val="18"/>
                <w:szCs w:val="18"/>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0"/>
              </w:rPr>
              <w:t>pay an amount equal to 100% of the principal amount of the notes redeemed and repaid. We will pay</w:t>
            </w:r>
          </w:p>
        </w:tc>
      </w:tr>
      <w:tr>
        <w:trPr>
          <w:trHeight w:val="216"/>
        </w:trPr>
        <w:tc>
          <w:tcPr>
            <w:tcW w:w="2180" w:type="dxa"/>
            <w:vAlign w:val="bottom"/>
          </w:tcPr>
          <w:p>
            <w:pPr>
              <w:spacing w:after="0"/>
              <w:rPr>
                <w:sz w:val="18"/>
                <w:szCs w:val="18"/>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89"/>
              </w:rPr>
              <w:t>accrued interest on the notes redeemed to the redemption date. See “Description of Notes — Optional</w:t>
            </w:r>
          </w:p>
        </w:tc>
      </w:tr>
      <w:tr>
        <w:trPr>
          <w:trHeight w:val="230"/>
        </w:trPr>
        <w:tc>
          <w:tcPr>
            <w:tcW w:w="2180" w:type="dxa"/>
            <w:vAlign w:val="bottom"/>
          </w:tcPr>
          <w:p>
            <w:pPr>
              <w:spacing w:after="0"/>
              <w:rPr>
                <w:sz w:val="20"/>
                <w:szCs w:val="20"/>
                <w:color w:val="auto"/>
              </w:rPr>
            </w:pPr>
          </w:p>
        </w:tc>
        <w:tc>
          <w:tcPr>
            <w:tcW w:w="3660" w:type="dxa"/>
            <w:vAlign w:val="bottom"/>
            <w:gridSpan w:val="3"/>
          </w:tcPr>
          <w:p>
            <w:pPr>
              <w:ind w:left="420"/>
              <w:spacing w:after="0"/>
              <w:rPr>
                <w:sz w:val="20"/>
                <w:szCs w:val="20"/>
                <w:color w:val="auto"/>
              </w:rPr>
            </w:pPr>
            <w:r>
              <w:rPr>
                <w:rFonts w:ascii="Arial" w:cs="Arial" w:eastAsia="Arial" w:hAnsi="Arial"/>
                <w:sz w:val="18"/>
                <w:szCs w:val="18"/>
                <w:color w:val="auto"/>
                <w:w w:val="91"/>
              </w:rPr>
              <w:t>Redemption” in this prospectus supplement.</w:t>
            </w:r>
          </w:p>
        </w:tc>
        <w:tc>
          <w:tcPr>
            <w:tcW w:w="4080" w:type="dxa"/>
            <w:vAlign w:val="bottom"/>
          </w:tcPr>
          <w:p>
            <w:pPr>
              <w:spacing w:after="0"/>
              <w:rPr>
                <w:sz w:val="20"/>
                <w:szCs w:val="20"/>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0"/>
              </w:rPr>
              <w:t>If a change of control triggering event occurs, holders of the notes may require us to purchase all or a</w:t>
            </w:r>
          </w:p>
        </w:tc>
      </w:tr>
      <w:tr>
        <w:trPr>
          <w:trHeight w:val="216"/>
        </w:trPr>
        <w:tc>
          <w:tcPr>
            <w:tcW w:w="2180" w:type="dxa"/>
            <w:vAlign w:val="bottom"/>
          </w:tcPr>
          <w:p>
            <w:pPr>
              <w:spacing w:after="0"/>
              <w:rPr>
                <w:sz w:val="18"/>
                <w:szCs w:val="18"/>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0"/>
              </w:rPr>
              <w:t>portion of such holders’ notes at a price equal to 101% of the principal amount, plus accrued interest,</w:t>
            </w:r>
          </w:p>
        </w:tc>
      </w:tr>
      <w:tr>
        <w:trPr>
          <w:trHeight w:val="216"/>
        </w:trPr>
        <w:tc>
          <w:tcPr>
            <w:tcW w:w="2180" w:type="dxa"/>
            <w:vAlign w:val="bottom"/>
          </w:tcPr>
          <w:p>
            <w:pPr>
              <w:spacing w:after="0"/>
              <w:rPr>
                <w:sz w:val="18"/>
                <w:szCs w:val="18"/>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rPr>
              <w:t>if any, to the date of purchase. See “Description of Notes — Change of Control Offer” in this</w:t>
            </w:r>
          </w:p>
        </w:tc>
      </w:tr>
      <w:tr>
        <w:trPr>
          <w:trHeight w:val="230"/>
        </w:trPr>
        <w:tc>
          <w:tcPr>
            <w:tcW w:w="2180" w:type="dxa"/>
            <w:vAlign w:val="bottom"/>
          </w:tcPr>
          <w:p>
            <w:pPr>
              <w:spacing w:after="0"/>
              <w:rPr>
                <w:sz w:val="20"/>
                <w:szCs w:val="20"/>
                <w:color w:val="auto"/>
              </w:rPr>
            </w:pPr>
          </w:p>
        </w:tc>
        <w:tc>
          <w:tcPr>
            <w:tcW w:w="3660" w:type="dxa"/>
            <w:vAlign w:val="bottom"/>
            <w:gridSpan w:val="3"/>
          </w:tcPr>
          <w:p>
            <w:pPr>
              <w:ind w:left="420"/>
              <w:spacing w:after="0"/>
              <w:rPr>
                <w:sz w:val="20"/>
                <w:szCs w:val="20"/>
                <w:color w:val="auto"/>
              </w:rPr>
            </w:pPr>
            <w:r>
              <w:rPr>
                <w:rFonts w:ascii="Arial" w:cs="Arial" w:eastAsia="Arial" w:hAnsi="Arial"/>
                <w:sz w:val="18"/>
                <w:szCs w:val="18"/>
                <w:color w:val="auto"/>
              </w:rPr>
              <w:t>prospectus supplement.</w:t>
            </w:r>
          </w:p>
        </w:tc>
        <w:tc>
          <w:tcPr>
            <w:tcW w:w="4080" w:type="dxa"/>
            <w:vAlign w:val="bottom"/>
          </w:tcPr>
          <w:p>
            <w:pPr>
              <w:spacing w:after="0"/>
              <w:rPr>
                <w:sz w:val="20"/>
                <w:szCs w:val="20"/>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color w:val="auto"/>
              </w:rPr>
              <w:t>Ranking</w:t>
            </w: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2"/>
              </w:rPr>
              <w:t>The notes and the guarantees will constitute the senior unsecured debt of Waste Management, Inc.</w:t>
            </w:r>
          </w:p>
        </w:tc>
      </w:tr>
      <w:tr>
        <w:trPr>
          <w:trHeight w:val="216"/>
        </w:trPr>
        <w:tc>
          <w:tcPr>
            <w:tcW w:w="2180" w:type="dxa"/>
            <w:vAlign w:val="bottom"/>
          </w:tcPr>
          <w:p>
            <w:pPr>
              <w:spacing w:after="0"/>
              <w:rPr>
                <w:sz w:val="18"/>
                <w:szCs w:val="18"/>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2"/>
              </w:rPr>
              <w:t>and WM Holdings, respectively, and will rank equally with all of our and its other existing and future</w:t>
            </w:r>
          </w:p>
        </w:tc>
      </w:tr>
      <w:tr>
        <w:trPr>
          <w:trHeight w:val="230"/>
        </w:trPr>
        <w:tc>
          <w:tcPr>
            <w:tcW w:w="2180" w:type="dxa"/>
            <w:vAlign w:val="bottom"/>
          </w:tcPr>
          <w:p>
            <w:pPr>
              <w:spacing w:after="0"/>
              <w:rPr>
                <w:sz w:val="20"/>
                <w:szCs w:val="20"/>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rPr>
              <w:t>senior indebtedness from time to time outstanding.</w:t>
            </w:r>
          </w:p>
        </w:tc>
      </w:tr>
      <w:tr>
        <w:trPr>
          <w:trHeight w:val="310"/>
        </w:trPr>
        <w:tc>
          <w:tcPr>
            <w:tcW w:w="2180" w:type="dxa"/>
            <w:vAlign w:val="bottom"/>
          </w:tcPr>
          <w:p>
            <w:pPr>
              <w:spacing w:after="0"/>
              <w:rPr>
                <w:sz w:val="20"/>
                <w:szCs w:val="20"/>
                <w:color w:val="auto"/>
              </w:rPr>
            </w:pPr>
            <w:r>
              <w:rPr>
                <w:rFonts w:ascii="Arial" w:cs="Arial" w:eastAsia="Arial" w:hAnsi="Arial"/>
                <w:sz w:val="18"/>
                <w:szCs w:val="18"/>
                <w:color w:val="auto"/>
              </w:rPr>
              <w:t>Covenants</w:t>
            </w: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w w:val="92"/>
              </w:rPr>
              <w:t>We will issue the notes under an indenture containing covenants for your benefit. These covenants</w:t>
            </w:r>
          </w:p>
        </w:tc>
      </w:tr>
      <w:tr>
        <w:trPr>
          <w:trHeight w:val="230"/>
        </w:trPr>
        <w:tc>
          <w:tcPr>
            <w:tcW w:w="2180" w:type="dxa"/>
            <w:vAlign w:val="bottom"/>
          </w:tcPr>
          <w:p>
            <w:pPr>
              <w:spacing w:after="0"/>
              <w:rPr>
                <w:sz w:val="20"/>
                <w:szCs w:val="20"/>
                <w:color w:val="auto"/>
              </w:rPr>
            </w:pPr>
          </w:p>
        </w:tc>
        <w:tc>
          <w:tcPr>
            <w:tcW w:w="7740" w:type="dxa"/>
            <w:vAlign w:val="bottom"/>
            <w:gridSpan w:val="4"/>
          </w:tcPr>
          <w:p>
            <w:pPr>
              <w:ind w:left="420"/>
              <w:spacing w:after="0"/>
              <w:rPr>
                <w:sz w:val="20"/>
                <w:szCs w:val="20"/>
                <w:color w:val="auto"/>
              </w:rPr>
            </w:pPr>
            <w:r>
              <w:rPr>
                <w:rFonts w:ascii="Arial" w:cs="Arial" w:eastAsia="Arial" w:hAnsi="Arial"/>
                <w:sz w:val="18"/>
                <w:szCs w:val="18"/>
                <w:color w:val="auto"/>
              </w:rPr>
              <w:t>restrict our ability, with certain exceptions, to:</w:t>
            </w:r>
          </w:p>
        </w:tc>
      </w:tr>
    </w:tbl>
    <w:p>
      <w:pPr>
        <w:spacing w:after="0" w:line="94" w:lineRule="exact"/>
        <w:rPr>
          <w:sz w:val="20"/>
          <w:szCs w:val="20"/>
          <w:color w:val="auto"/>
        </w:rPr>
      </w:pPr>
    </w:p>
    <w:p>
      <w:pPr>
        <w:ind w:left="3620" w:hanging="105"/>
        <w:spacing w:after="0"/>
        <w:tabs>
          <w:tab w:leader="none" w:pos="3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3620" w:hanging="105"/>
        <w:spacing w:after="0"/>
        <w:tabs>
          <w:tab w:leader="none" w:pos="3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 in sale and leaseback transactions; and</w:t>
      </w:r>
    </w:p>
    <w:p>
      <w:pPr>
        <w:spacing w:after="0" w:line="117" w:lineRule="exact"/>
        <w:rPr>
          <w:rFonts w:ascii="Arial" w:cs="Arial" w:eastAsia="Arial" w:hAnsi="Arial"/>
          <w:sz w:val="18"/>
          <w:szCs w:val="18"/>
          <w:color w:val="auto"/>
        </w:rPr>
      </w:pPr>
    </w:p>
    <w:p>
      <w:pPr>
        <w:ind w:left="3620" w:hanging="105"/>
        <w:spacing w:after="0"/>
        <w:tabs>
          <w:tab w:leader="none" w:pos="3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17" w:lineRule="exact"/>
        <w:rPr>
          <w:sz w:val="20"/>
          <w:szCs w:val="20"/>
          <w:color w:val="auto"/>
        </w:rPr>
      </w:pPr>
    </w:p>
    <w:p>
      <w:pPr>
        <w:ind w:left="3520" w:right="100" w:hanging="2592"/>
        <w:spacing w:after="0" w:line="273" w:lineRule="auto"/>
        <w:tabs>
          <w:tab w:leader="none" w:pos="350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expect the net proceeds from the offering of the notes to be $ million, after deducting the underwriting discount and estimated expenses of the offering that we will pay. We intend to use a portion of the net proceeds from the offering of the notes to repay in full the outstanding borrowings under our $2.0 billion revolving credit facility, which totaled approximately $100 million as of August 23, 2011. All remaining proceeds will be used for general corporate purposes, including additions to working capital, capital expenditures and the funding</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520" w:right="60"/>
        <w:spacing w:after="0" w:line="277" w:lineRule="auto"/>
        <w:rPr>
          <w:sz w:val="20"/>
          <w:szCs w:val="20"/>
          <w:color w:val="auto"/>
        </w:rPr>
      </w:pPr>
      <w:r>
        <w:rPr>
          <w:rFonts w:ascii="Arial" w:cs="Arial" w:eastAsia="Arial" w:hAnsi="Arial"/>
          <w:sz w:val="18"/>
          <w:szCs w:val="18"/>
          <w:color w:val="auto"/>
        </w:rPr>
        <w:t>of potential share repurchases and acquisitions and investments in businesses. See “Use of Proceeds” in this prospectus supplement.</w:t>
      </w:r>
    </w:p>
    <w:p>
      <w:pPr>
        <w:spacing w:after="0" w:line="62"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Trustee</w:t>
      </w:r>
      <w:r>
        <w:rPr>
          <w:sz w:val="20"/>
          <w:szCs w:val="20"/>
          <w:color w:val="auto"/>
        </w:rPr>
        <w:tab/>
      </w:r>
      <w:r>
        <w:rPr>
          <w:rFonts w:ascii="Arial" w:cs="Arial" w:eastAsia="Arial" w:hAnsi="Arial"/>
          <w:sz w:val="18"/>
          <w:szCs w:val="18"/>
          <w:color w:val="auto"/>
        </w:rPr>
        <w:t>The Bank of New York Mellon Trust Company, N.A.</w:t>
      </w:r>
    </w:p>
    <w:p>
      <w:pPr>
        <w:spacing w:after="0" w:line="117" w:lineRule="exact"/>
        <w:rPr>
          <w:sz w:val="20"/>
          <w:szCs w:val="20"/>
          <w:color w:val="auto"/>
        </w:rPr>
      </w:pPr>
    </w:p>
    <w:p>
      <w:pPr>
        <w:ind w:left="920"/>
        <w:spacing w:after="0"/>
        <w:tabs>
          <w:tab w:leader="none" w:pos="3500" w:val="left"/>
        </w:tabs>
        <w:rPr>
          <w:sz w:val="20"/>
          <w:szCs w:val="20"/>
          <w:color w:val="auto"/>
        </w:rPr>
      </w:pPr>
      <w:r>
        <w:rPr>
          <w:rFonts w:ascii="Arial" w:cs="Arial" w:eastAsia="Arial" w:hAnsi="Arial"/>
          <w:sz w:val="18"/>
          <w:szCs w:val="18"/>
          <w:color w:val="auto"/>
        </w:rPr>
        <w:t>Additional Issues</w:t>
      </w:r>
      <w:r>
        <w:rPr>
          <w:sz w:val="20"/>
          <w:szCs w:val="20"/>
          <w:color w:val="auto"/>
        </w:rPr>
        <w:tab/>
      </w:r>
      <w:r>
        <w:rPr>
          <w:rFonts w:ascii="Arial" w:cs="Arial" w:eastAsia="Arial" w:hAnsi="Arial"/>
          <w:sz w:val="16"/>
          <w:szCs w:val="16"/>
          <w:color w:val="auto"/>
        </w:rPr>
        <w:t>We may create and issue additional notes ranking equally and ratably with the notes offered by this</w:t>
      </w:r>
    </w:p>
    <w:p>
      <w:pPr>
        <w:spacing w:after="0" w:line="23" w:lineRule="exact"/>
        <w:rPr>
          <w:sz w:val="20"/>
          <w:szCs w:val="20"/>
          <w:color w:val="auto"/>
        </w:rPr>
      </w:pPr>
    </w:p>
    <w:p>
      <w:pPr>
        <w:ind w:left="3520" w:right="60"/>
        <w:spacing w:after="0" w:line="295" w:lineRule="auto"/>
        <w:rPr>
          <w:sz w:val="20"/>
          <w:szCs w:val="20"/>
          <w:color w:val="auto"/>
        </w:rPr>
      </w:pPr>
      <w:r>
        <w:rPr>
          <w:rFonts w:ascii="Arial" w:cs="Arial" w:eastAsia="Arial" w:hAnsi="Arial"/>
          <w:sz w:val="16"/>
          <w:szCs w:val="16"/>
          <w:color w:val="auto"/>
        </w:rPr>
        <w:t>prospectus supplement in all respects, so that such additional notes will be consolidated and form a single series with the notes offered by this prospectus supplement and will have the same terms, as to status, redemption or otherwise except for the issue date, the initial interest payment date, if applicable, and the payment of interest accruing prior to the issue date of such additional notes.</w:t>
      </w:r>
    </w:p>
    <w:p>
      <w:pPr>
        <w:spacing w:after="0" w:line="27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10"/>
            <w:vMerge w:val="restart"/>
          </w:tcPr>
          <w:p>
            <w:pPr>
              <w:jc w:val="center"/>
              <w:ind w:right="28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Ended 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2010</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4"/>
              </w:rPr>
              <w:t>(Unaudited)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1,656</w:t>
            </w:r>
          </w:p>
        </w:tc>
        <w:tc>
          <w:tcPr>
            <w:tcW w:w="1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1,475</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1,801</w:t>
            </w:r>
          </w:p>
        </w:tc>
        <w:tc>
          <w:tcPr>
            <w:tcW w:w="2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1,560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gridSpan w:val="3"/>
          </w:tcPr>
          <w:p>
            <w:pPr>
              <w:spacing w:after="0"/>
              <w:rPr>
                <w:sz w:val="20"/>
                <w:szCs w:val="20"/>
                <w:color w:val="auto"/>
              </w:rPr>
            </w:pPr>
            <w:r>
              <w:rPr>
                <w:rFonts w:ascii="Arial" w:cs="Arial" w:eastAsia="Arial" w:hAnsi="Arial"/>
                <w:sz w:val="18"/>
                <w:szCs w:val="18"/>
                <w:color w:val="auto"/>
              </w:rPr>
              <w:t>Fixed charges deducted from income:</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Implicit interest in rents</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Earnings available for fixed charges(b)</w:t>
            </w:r>
          </w:p>
        </w:tc>
        <w:tc>
          <w:tcPr>
            <w:tcW w:w="6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1,939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2,294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2,357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2"/>
          </w:tcPr>
          <w:p>
            <w:pPr>
              <w:ind w:left="340"/>
              <w:spacing w:after="0"/>
              <w:rPr>
                <w:sz w:val="20"/>
                <w:szCs w:val="20"/>
                <w:color w:val="auto"/>
              </w:rPr>
            </w:pPr>
            <w:r>
              <w:rPr>
                <w:rFonts w:ascii="Arial" w:cs="Arial" w:eastAsia="Arial" w:hAnsi="Arial"/>
                <w:sz w:val="18"/>
                <w:szCs w:val="18"/>
                <w:color w:val="auto"/>
              </w:rPr>
              <w:t>Total fixed charges(b)</w:t>
            </w:r>
          </w:p>
        </w:tc>
        <w:tc>
          <w:tcPr>
            <w:tcW w:w="6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Ratio of earnings to fixed charges(a)</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3.6x</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4.1x</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4.0x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4.5x</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4.0x</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3.5x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40" w:right="240" w:hanging="318"/>
        <w:spacing w:after="0" w:line="279"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“Income before income taxes and losses in equity investments” for the periods presented has been significantly affected by restructurings, asset impairments, divestitures and other items that management believes are not representative of our results. The effect of these items on our “Income before income taxes and losses in equity investments” should be considered when comparing the “Ratio of earnings to fixed charges” for the periods presented.</w:t>
      </w:r>
    </w:p>
    <w:p>
      <w:pPr>
        <w:spacing w:after="0" w:line="9" w:lineRule="exact"/>
        <w:rPr>
          <w:rFonts w:ascii="Arial" w:cs="Arial" w:eastAsia="Arial" w:hAnsi="Arial"/>
          <w:sz w:val="17"/>
          <w:szCs w:val="17"/>
          <w:color w:val="auto"/>
        </w:rPr>
      </w:pPr>
    </w:p>
    <w:p>
      <w:pPr>
        <w:ind w:left="1240" w:right="120" w:hanging="318"/>
        <w:spacing w:after="0" w:line="259"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w:t>
      </w:r>
    </w:p>
    <w:p>
      <w:pPr>
        <w:spacing w:after="0" w:line="92" w:lineRule="exact"/>
        <w:rPr>
          <w:sz w:val="20"/>
          <w:szCs w:val="20"/>
          <w:color w:val="auto"/>
        </w:rPr>
      </w:pPr>
    </w:p>
    <w:p>
      <w:pPr>
        <w:jc w:val="both"/>
        <w:ind w:left="920" w:right="120" w:firstLine="397"/>
        <w:spacing w:after="0" w:line="302" w:lineRule="auto"/>
        <w:rPr>
          <w:sz w:val="20"/>
          <w:szCs w:val="20"/>
          <w:color w:val="auto"/>
        </w:rPr>
      </w:pPr>
      <w:r>
        <w:rPr>
          <w:rFonts w:ascii="Arial" w:cs="Arial" w:eastAsia="Arial" w:hAnsi="Arial"/>
          <w:sz w:val="16"/>
          <w:szCs w:val="16"/>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i w:val="1"/>
          <w:iCs w:val="1"/>
          <w:color w:val="auto"/>
        </w:rPr>
        <w:t>You should carefully consider the risk factors identified in Part 1, Item 1A, “Risk Factors,” of our Annual Report on Form 10-K for the year ended December 31, 2010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decision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76" w:lineRule="exact"/>
        <w:rPr>
          <w:sz w:val="20"/>
          <w:szCs w:val="20"/>
          <w:color w:val="auto"/>
        </w:rPr>
      </w:pPr>
    </w:p>
    <w:p>
      <w:pPr>
        <w:ind w:left="700" w:right="400" w:firstLine="397"/>
        <w:spacing w:after="0" w:line="279" w:lineRule="auto"/>
        <w:rPr>
          <w:sz w:val="20"/>
          <w:szCs w:val="20"/>
          <w:color w:val="auto"/>
        </w:rPr>
      </w:pPr>
      <w:r>
        <w:rPr>
          <w:rFonts w:ascii="Arial" w:cs="Arial" w:eastAsia="Arial" w:hAnsi="Arial"/>
          <w:sz w:val="17"/>
          <w:szCs w:val="17"/>
          <w:color w:val="auto"/>
        </w:rPr>
        <w:t>We have substantial indebtedness. At June 30, 2011, our ratio of total debt to total capitalization was 57.7% and our total consolidated indebtedness was $9.04 billion. In addition, as of June 30, 2011, we had approximately $1.5 billion of letters of credit outstanding under our $2.0 billion revolving credit facility and letter of credit facilities. Our level of indebtedness and the covenants contained in the agreements governing our debt could have important consequences, including:</w:t>
      </w:r>
    </w:p>
    <w:p>
      <w:pPr>
        <w:spacing w:after="0" w:line="77" w:lineRule="exact"/>
        <w:rPr>
          <w:sz w:val="20"/>
          <w:szCs w:val="20"/>
          <w:color w:val="auto"/>
        </w:rPr>
      </w:pPr>
    </w:p>
    <w:p>
      <w:pPr>
        <w:ind w:left="1300" w:right="2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2"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ind w:left="1300" w:right="300" w:hanging="202"/>
        <w:spacing w:after="0" w:line="34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 and</w:t>
      </w:r>
    </w:p>
    <w:p>
      <w:pPr>
        <w:spacing w:after="0" w:line="117"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us vulnerable to increases in interest rates, as $2.14 billion of our total debt as of June 30, 2011 is exposed to changes in market interest rates within the next twelve months.</w:t>
      </w:r>
    </w:p>
    <w:p>
      <w:pPr>
        <w:spacing w:after="0" w:line="76"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$2.0 billion revolving credit facility requires us to comply with specified ratios of Total Debt to EBITDA and EBIT to Consolidated Total Interest Expense (each as defined in our revolving credit facility), as of June 30, 2011 and after giving effect to the offering of the notes, we have the ability to incur substantial additional indebtedness while remaining in compliance with these ratios. Our incurrence of significant additional indebtedness would exacerbate the negative consequences mentioned above, and could adversely affect our ability to service and repay the notes.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131"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6" w:lineRule="auto"/>
        <w:rPr>
          <w:sz w:val="20"/>
          <w:szCs w:val="20"/>
          <w:color w:val="auto"/>
        </w:rPr>
      </w:pPr>
      <w:r>
        <w:rPr>
          <w:rFonts w:ascii="Arial" w:cs="Arial" w:eastAsia="Arial" w:hAnsi="Arial"/>
          <w:sz w:val="17"/>
          <w:szCs w:val="17"/>
          <w:color w:val="auto"/>
        </w:rPr>
        <w:t>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our secured debt.</w:t>
      </w:r>
    </w:p>
    <w:p>
      <w:pPr>
        <w:spacing w:after="0" w:line="131" w:lineRule="exact"/>
        <w:rPr>
          <w:sz w:val="20"/>
          <w:szCs w:val="20"/>
          <w:color w:val="auto"/>
        </w:rPr>
      </w:pPr>
    </w:p>
    <w:p>
      <w:pPr>
        <w:ind w:left="700" w:right="80" w:firstLine="397"/>
        <w:spacing w:after="0" w:line="289" w:lineRule="auto"/>
        <w:rPr>
          <w:sz w:val="20"/>
          <w:szCs w:val="20"/>
          <w:color w:val="auto"/>
        </w:rPr>
      </w:pPr>
      <w:r>
        <w:rPr>
          <w:rFonts w:ascii="Arial" w:cs="Arial" w:eastAsia="Arial" w:hAnsi="Arial"/>
          <w:sz w:val="16"/>
          <w:szCs w:val="16"/>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As of June 30, 2011, we had no outstanding secured indebtedness. As of June 30, 2011, our operating subsidiaries had $3.23 billion of indebtedness and WM Holdings had $449 million of indebtedness (excluding guarantees of $5.18 billion of our senior debt), in each case excluding intercompany loans. For a description of the ranking of the notes, see “Description of Notes — Ranking” in this prospectus supplement.</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13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08" w:lineRule="exact"/>
        <w:rPr>
          <w:sz w:val="20"/>
          <w:szCs w:val="20"/>
          <w:color w:val="auto"/>
        </w:rPr>
      </w:pPr>
    </w:p>
    <w:p>
      <w:pPr>
        <w:ind w:left="900" w:right="42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6" w:lineRule="exact"/>
        <w:rPr>
          <w:sz w:val="20"/>
          <w:szCs w:val="20"/>
          <w:color w:val="auto"/>
        </w:rPr>
      </w:pPr>
    </w:p>
    <w:p>
      <w:pPr>
        <w:ind w:left="700" w:right="360" w:firstLine="397"/>
        <w:spacing w:after="0" w:line="302" w:lineRule="auto"/>
        <w:rPr>
          <w:sz w:val="20"/>
          <w:szCs w:val="20"/>
          <w:color w:val="auto"/>
        </w:rPr>
      </w:pPr>
      <w:r>
        <w:rPr>
          <w:rFonts w:ascii="Arial" w:cs="Arial" w:eastAsia="Arial" w:hAnsi="Arial"/>
          <w:sz w:val="16"/>
          <w:szCs w:val="16"/>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60"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3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131"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77"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expect the net proceeds from the offering of the notes to be $ million, after deducting the underwriting discount and estimated expenses of the offering that we will pay. We intend to use a portion of the net proceeds from the offering of the notes to repay in full the outstanding borrowings under our $2.0 billion revolving credit facility, which totaled approximately $100 million as of August 23, 2011. All remaining net proceeds will be used for general corporate purposes, including additions to working capital, capital expenditures and the funding of potential share repurchases and acquisitions and investments in businesses. Pending application of the net proceeds from the offering as described, we may temporarily invest the proceeds in short-term investments.</w:t>
      </w:r>
    </w:p>
    <w:p>
      <w:pPr>
        <w:spacing w:after="0" w:line="8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Outstanding borrowings under our revolving credit facility were incurred to finance a portion of the purchase price for Oakleaf Global Holdings, which we purchased on July 28, 2011 for $425 million, subject to working capital and other adjustments. See “Recent Developments” in the prospectus supplement.</w:t>
      </w:r>
    </w:p>
    <w:p>
      <w:pPr>
        <w:spacing w:after="0" w:line="87"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As of August 23, 2011, outstanding borrowings under our revolving credit facility bore an interest rate of 1.36%. The maturity date of the revolving credit facility is May 9, 2016.</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Affiliates of certain of the underwriters are lenders under our revolving credit facility and, accordingly, will receive a portion of the net proceeds from this offering. See “Underwriting” in this prospectus supplement.</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jc w:val="both"/>
        <w:ind w:left="700" w:right="920" w:firstLine="397"/>
        <w:spacing w:after="0" w:line="312" w:lineRule="auto"/>
        <w:rPr>
          <w:sz w:val="20"/>
          <w:szCs w:val="20"/>
          <w:color w:val="auto"/>
        </w:rPr>
      </w:pPr>
      <w:r>
        <w:rPr>
          <w:rFonts w:ascii="Arial" w:cs="Arial" w:eastAsia="Arial" w:hAnsi="Arial"/>
          <w:sz w:val="16"/>
          <w:szCs w:val="16"/>
          <w:color w:val="auto"/>
        </w:rPr>
        <w:t>The following table sets forth our consolidated cash and cash equivalents and consolidated capitalization as of June 30, 2011 on an actual basis, as adjusted for our acquisition of Oakleaf Global Holdings, and as further adjusted to give effect to the offering of the notes and the application of the estimated net proceeds as described under “Use of Proceeds” in this prospectus supplement.</w:t>
      </w:r>
    </w:p>
    <w:p>
      <w:pPr>
        <w:spacing w:after="0" w:line="52" w:lineRule="exact"/>
        <w:rPr>
          <w:sz w:val="20"/>
          <w:szCs w:val="20"/>
          <w:color w:val="auto"/>
        </w:rPr>
      </w:pPr>
    </w:p>
    <w:p>
      <w:pPr>
        <w:ind w:left="700" w:right="900" w:firstLine="397"/>
        <w:spacing w:after="0" w:line="312" w:lineRule="auto"/>
        <w:rPr>
          <w:sz w:val="20"/>
          <w:szCs w:val="20"/>
          <w:color w:val="auto"/>
        </w:rPr>
      </w:pPr>
      <w:r>
        <w:rPr>
          <w:rFonts w:ascii="Arial" w:cs="Arial" w:eastAsia="Arial" w:hAnsi="Arial"/>
          <w:sz w:val="16"/>
          <w:szCs w:val="16"/>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6"/>
              </w:rPr>
              <w:t>June 30, 2011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As Adjusted</w:t>
            </w:r>
          </w:p>
        </w:tc>
        <w:tc>
          <w:tcPr>
            <w:tcW w:w="10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As Further</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Adjusted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Actual</w:t>
            </w:r>
          </w:p>
        </w:tc>
        <w:tc>
          <w:tcPr>
            <w:tcW w:w="2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for Oakleaf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for this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Acquisition(a)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Offering(a)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ind w:left="70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Revolving credit facility(b)(c)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Letter of credit facilities(b)</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Canadian credit facility, net of discount (weighted average interest rate of 2.3% at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June 30, 2011)(d)</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Senior notes and debentures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Maturing through 2039, interest rates ranging from 4.60% to 7.75% (weighted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interest rate of 6.3% at June 30, 2011)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 Senior Notes due 2016 offered hereby (net of any unamortized discount)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Tax-exempt bonds maturing through 2039, fixed and variable interest rates ranging</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from 0.1% to 7.4% (weighted average interest rate of 3.1% at June 30, 2011)(e)</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540" w:type="dxa"/>
            <w:vAlign w:val="bottom"/>
          </w:tcPr>
          <w:p>
            <w:pPr>
              <w:ind w:left="180"/>
              <w:spacing w:after="0" w:line="201" w:lineRule="exact"/>
              <w:rPr>
                <w:sz w:val="20"/>
                <w:szCs w:val="20"/>
                <w:color w:val="auto"/>
              </w:rPr>
            </w:pPr>
            <w:r>
              <w:rPr>
                <w:rFonts w:ascii="Arial" w:cs="Arial" w:eastAsia="Arial" w:hAnsi="Arial"/>
                <w:sz w:val="18"/>
                <w:szCs w:val="18"/>
                <w:color w:val="auto"/>
              </w:rPr>
              <w:t>Tax-exempt project bonds, principal payable in periodic installments, maturing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w w:val="92"/>
              </w:rPr>
              <w:t>through 2029, fixed and variable interest rates ranging from 0.1% to 3.4% (weighted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average interest rate of 1.3% at June 30, 2011)(f)</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leases and other, maturing through 2050, interest rates up to 12%</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Waste Management, Inc. Stockholders’ Equity: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5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$0.01 par value; 1,500,000,000 shares authorized; 630,282,461 shares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157,950,900 shares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Total Waste Management, Inc. stockholders’ equity</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540" w:type="dxa"/>
            <w:vAlign w:val="bottom"/>
          </w:tcPr>
          <w:p>
            <w:pPr>
              <w:ind w:left="180"/>
              <w:spacing w:after="0"/>
              <w:rPr>
                <w:sz w:val="20"/>
                <w:szCs w:val="20"/>
                <w:color w:val="auto"/>
              </w:rPr>
            </w:pPr>
            <w:r>
              <w:rPr>
                <w:rFonts w:ascii="Arial" w:cs="Arial" w:eastAsia="Arial" w:hAnsi="Arial"/>
                <w:sz w:val="18"/>
                <w:szCs w:val="18"/>
                <w:b w:val="1"/>
                <w:bCs w:val="1"/>
                <w:color w:val="auto"/>
              </w:rPr>
              <w:t>Total equity</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debt and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15,660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15,760</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8"/>
        </w:trPr>
        <w:tc>
          <w:tcPr>
            <w:tcW w:w="700" w:type="dxa"/>
            <w:vAlign w:val="bottom"/>
          </w:tcPr>
          <w:p>
            <w:pPr>
              <w:spacing w:after="0"/>
              <w:rPr>
                <w:sz w:val="24"/>
                <w:szCs w:val="24"/>
                <w:color w:val="auto"/>
              </w:rPr>
            </w:pPr>
          </w:p>
        </w:tc>
        <w:tc>
          <w:tcPr>
            <w:tcW w:w="6540" w:type="dxa"/>
            <w:vAlign w:val="bottom"/>
          </w:tcPr>
          <w:p>
            <w:pPr>
              <w:ind w:left="4840"/>
              <w:spacing w:after="0"/>
              <w:rPr>
                <w:sz w:val="20"/>
                <w:szCs w:val="20"/>
                <w:color w:val="auto"/>
              </w:rPr>
            </w:pPr>
            <w:r>
              <w:rPr>
                <w:rFonts w:ascii="Arial" w:cs="Arial" w:eastAsia="Arial" w:hAnsi="Arial"/>
                <w:sz w:val="18"/>
                <w:szCs w:val="18"/>
                <w:color w:val="auto"/>
              </w:rPr>
              <w:t>S-8</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000" w:hanging="30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impact of certain acquisition-related transaction costs.</w:t>
      </w:r>
    </w:p>
    <w:p>
      <w:pPr>
        <w:spacing w:after="0" w:line="63" w:lineRule="exact"/>
        <w:rPr>
          <w:rFonts w:ascii="Arial" w:cs="Arial" w:eastAsia="Arial" w:hAnsi="Arial"/>
          <w:sz w:val="18"/>
          <w:szCs w:val="18"/>
          <w:color w:val="auto"/>
        </w:rPr>
      </w:pPr>
    </w:p>
    <w:p>
      <w:pPr>
        <w:ind w:left="1000" w:hanging="307"/>
        <w:spacing w:after="0" w:line="25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2011, we amended and restated our $2.0 billion revolving credit facility as a result of changes in market conditions, which significantly reduced the cost of the facility. We also extended the maturity of the facility until May 9, 2016. Our revolving credit facility can be used for either cash borrowings or to support letters of credit and is our primary source of letter of credit capacity. Our remaining letter of credit capacity is provided under facilities with terms that extend from June 2013 to June 2015. As of June 30, 2011, we had an aggregate committed capacity of $2.5 billion for letters of credit under various credit facilities, and we had an aggregate of $1.5 billion of letters of credit outstanding thereunder. Approximately $1.1 billion of these letters of credit have been issued under our revolving credit facility.</w:t>
      </w:r>
    </w:p>
    <w:p>
      <w:pPr>
        <w:spacing w:after="0" w:line="27" w:lineRule="exact"/>
        <w:rPr>
          <w:rFonts w:ascii="Arial" w:cs="Arial" w:eastAsia="Arial" w:hAnsi="Arial"/>
          <w:sz w:val="18"/>
          <w:szCs w:val="18"/>
          <w:color w:val="auto"/>
        </w:rPr>
      </w:pPr>
    </w:p>
    <w:p>
      <w:pPr>
        <w:ind w:left="1000" w:right="180" w:hanging="307"/>
        <w:spacing w:after="0" w:line="298"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Outstanding borrowings under our $2.0 billion revolving credit facility were incurred to finance a portion of the purchase price for Oakleaf Global Holdings. See “Summary — Recent Developments” and “Use of Proceeds” in this prospectus supplement.</w:t>
      </w:r>
    </w:p>
    <w:p>
      <w:pPr>
        <w:ind w:left="1000" w:right="580" w:hanging="307"/>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Waste Management of Canada Corporation, our wholly-owned subsidiary, is party to a Cdn$340 million credit facility with a maturity of November 2012 that is guaranteed by Waste Management, Inc. and WM Holdings.</w:t>
      </w:r>
    </w:p>
    <w:p>
      <w:pPr>
        <w:spacing w:after="0" w:line="8" w:lineRule="exact"/>
        <w:rPr>
          <w:rFonts w:ascii="Arial" w:cs="Arial" w:eastAsia="Arial" w:hAnsi="Arial"/>
          <w:sz w:val="18"/>
          <w:szCs w:val="18"/>
          <w:color w:val="auto"/>
        </w:rPr>
      </w:pPr>
    </w:p>
    <w:p>
      <w:pPr>
        <w:ind w:left="1000" w:right="40" w:hanging="307"/>
        <w:spacing w:after="0" w:line="279"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capitalization table does not reflect the issuance of $80 million of tax-exempt bonds subsequent to June 30, 2011. 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22" w:lineRule="exact"/>
        <w:rPr>
          <w:rFonts w:ascii="Arial" w:cs="Arial" w:eastAsia="Arial" w:hAnsi="Arial"/>
          <w:sz w:val="17"/>
          <w:szCs w:val="17"/>
          <w:color w:val="auto"/>
        </w:rPr>
      </w:pPr>
    </w:p>
    <w:p>
      <w:pPr>
        <w:ind w:left="1000" w:right="20" w:hanging="307"/>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project bonds are used by our Wheelabrator Group, which owns and operates waste-to-energy facilities and independent power production plants, to finance the development of the waste-to-energy facilities.</w:t>
      </w: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The notes will be issued under and pursuant to an Indenture dated as of September 10, 1997, between us and The Bank of New York Mellon Trust Company, N.A. (the current successor to the initial trustee, Texas Commerce Bank National Association), as Trustee. We will issue the notes pursuant to a resolution of our Board of Directors and accompanying officers’ certificate setting forth the specific terms applicable to the notes.</w:t>
      </w:r>
    </w:p>
    <w:p>
      <w:pPr>
        <w:spacing w:after="0" w:line="92"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a copy of which is available from us, for a complete description of our obligations and your rights.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 will:</w:t>
      </w:r>
    </w:p>
    <w:p>
      <w:pPr>
        <w:spacing w:after="0" w:line="131"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constitute a new series of debt securities issued under the Indenture and will be initially limited to an aggregate principal amount of $ million;</w:t>
      </w:r>
    </w:p>
    <w:p>
      <w:pPr>
        <w:spacing w:after="0" w:line="62"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  mature on</w:t>
            </w:r>
          </w:p>
        </w:tc>
        <w:tc>
          <w:tcPr>
            <w:tcW w:w="72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94"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117" w:lineRule="exact"/>
        <w:rPr>
          <w:rFonts w:ascii="Arial" w:cs="Arial" w:eastAsia="Arial" w:hAnsi="Arial"/>
          <w:sz w:val="18"/>
          <w:szCs w:val="18"/>
          <w:color w:val="auto"/>
        </w:rPr>
      </w:pPr>
    </w:p>
    <w:p>
      <w:pPr>
        <w:ind w:left="1300" w:right="100" w:hanging="202"/>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ectPr>
          <w:pgSz w:w="11900" w:h="16838" w:orient="portrait"/>
          <w:cols w:equalWidth="0" w:num="1">
            <w:col w:w="10620"/>
          </w:cols>
          <w:pgMar w:left="240" w:top="419" w:right="1039" w:bottom="1440" w:gutter="0" w:footer="0" w:header="0"/>
        </w:sectPr>
      </w:pPr>
    </w:p>
    <w:p>
      <w:pPr>
        <w:spacing w:after="0" w:line="131"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accrue on the notes at the rate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per annum;</w:t>
      </w:r>
    </w:p>
    <w:p>
      <w:pPr>
        <w:spacing w:after="0" w:line="139" w:lineRule="exact"/>
        <w:rPr>
          <w:sz w:val="20"/>
          <w:szCs w:val="20"/>
          <w:color w:val="auto"/>
        </w:rPr>
      </w:pPr>
    </w:p>
    <w:p>
      <w:pPr>
        <w:sectPr>
          <w:pgSz w:w="11900" w:h="16838" w:orient="portrait"/>
          <w:cols w:equalWidth="0" w:num="2">
            <w:col w:w="3640" w:space="220"/>
            <w:col w:w="676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accrue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2011 or the most recent interest payment date;</w:t>
      </w:r>
    </w:p>
    <w:p>
      <w:pPr>
        <w:spacing w:after="0" w:line="139" w:lineRule="exact"/>
        <w:rPr>
          <w:sz w:val="20"/>
          <w:szCs w:val="20"/>
          <w:color w:val="auto"/>
        </w:rPr>
      </w:pPr>
    </w:p>
    <w:p>
      <w:pPr>
        <w:sectPr>
          <w:pgSz w:w="11900" w:h="16838" w:orient="portrait"/>
          <w:cols w:equalWidth="0" w:num="2">
            <w:col w:w="2160" w:space="460"/>
            <w:col w:w="800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payable in cash semi-annually in arrears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 each year, beginning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2012;</w:t>
      </w:r>
    </w:p>
    <w:p>
      <w:pPr>
        <w:spacing w:after="0" w:line="139" w:lineRule="exact"/>
        <w:rPr>
          <w:sz w:val="20"/>
          <w:szCs w:val="20"/>
          <w:color w:val="auto"/>
        </w:rPr>
      </w:pPr>
    </w:p>
    <w:p>
      <w:pPr>
        <w:sectPr>
          <w:pgSz w:w="11900" w:h="16838" w:orient="portrait"/>
          <w:cols w:equalWidth="0" w:num="4">
            <w:col w:w="4640" w:space="480"/>
            <w:col w:w="260" w:space="500"/>
            <w:col w:w="1920" w:space="440"/>
            <w:col w:w="238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payable to holders of record on 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immediately preceding the related interest payment dates; and</w:t>
      </w:r>
    </w:p>
    <w:p>
      <w:pPr>
        <w:spacing w:after="0" w:line="139" w:lineRule="exact"/>
        <w:rPr>
          <w:sz w:val="20"/>
          <w:szCs w:val="20"/>
          <w:color w:val="auto"/>
        </w:rPr>
      </w:pPr>
    </w:p>
    <w:p>
      <w:pPr>
        <w:sectPr>
          <w:pgSz w:w="11900" w:h="16838" w:orient="portrait"/>
          <w:cols w:equalWidth="0" w:num="3">
            <w:col w:w="4020" w:space="500"/>
            <w:col w:w="260" w:space="500"/>
            <w:col w:w="534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60"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3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Before the date that is one month prior to the maturity date, the notes will be redeemable and repayable, at our option, at any time in whole, or from time to time in part, at a price equal to the greater of:</w:t>
      </w:r>
    </w:p>
    <w:p>
      <w:pPr>
        <w:spacing w:after="0" w:line="76"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(at the rate in effect on the date of</w:t>
      </w:r>
    </w:p>
    <w:p>
      <w:pPr>
        <w:spacing w:after="0" w:line="46" w:lineRule="exact"/>
        <w:rPr>
          <w:sz w:val="20"/>
          <w:szCs w:val="20"/>
          <w:color w:val="auto"/>
        </w:rPr>
      </w:pPr>
    </w:p>
    <w:p>
      <w:pPr>
        <w:ind w:left="1300" w:right="260"/>
        <w:spacing w:after="0" w:line="281" w:lineRule="auto"/>
        <w:rPr>
          <w:sz w:val="20"/>
          <w:szCs w:val="20"/>
          <w:color w:val="auto"/>
        </w:rPr>
      </w:pPr>
      <w:r>
        <w:rPr>
          <w:rFonts w:ascii="Arial" w:cs="Arial" w:eastAsia="Arial" w:hAnsi="Arial"/>
          <w:sz w:val="16"/>
          <w:szCs w:val="16"/>
          <w:color w:val="auto"/>
        </w:rPr>
        <w:t>calculation of the redemption price) on the notes to be redeemed (exclusive of interest accrued to the date of redemption) discounted to the date of redemption on a semi-annual basis (assuming a 360-day year consisting of twelve 30-day months) at</w:t>
      </w:r>
    </w:p>
    <w:p>
      <w:pPr>
        <w:spacing w:after="0" w:line="1" w:lineRule="exact"/>
        <w:rPr>
          <w:sz w:val="20"/>
          <w:szCs w:val="20"/>
          <w:color w:val="auto"/>
        </w:rPr>
      </w:pPr>
    </w:p>
    <w:p>
      <w:pPr>
        <w:ind w:left="1300"/>
        <w:spacing w:after="0"/>
        <w:tabs>
          <w:tab w:leader="none" w:pos="4240" w:val="left"/>
        </w:tabs>
        <w:rPr>
          <w:sz w:val="20"/>
          <w:szCs w:val="20"/>
          <w:color w:val="auto"/>
        </w:rPr>
      </w:pPr>
      <w:r>
        <w:rPr>
          <w:rFonts w:ascii="Arial" w:cs="Arial" w:eastAsia="Arial" w:hAnsi="Arial"/>
          <w:sz w:val="18"/>
          <w:szCs w:val="18"/>
          <w:color w:val="auto"/>
        </w:rPr>
        <w:t>the applicable Treasury Yield plus</w:t>
      </w:r>
      <w:r>
        <w:rPr>
          <w:sz w:val="20"/>
          <w:szCs w:val="20"/>
          <w:color w:val="auto"/>
        </w:rPr>
        <w:tab/>
      </w:r>
      <w:r>
        <w:rPr>
          <w:rFonts w:ascii="Arial" w:cs="Arial" w:eastAsia="Arial" w:hAnsi="Arial"/>
          <w:sz w:val="16"/>
          <w:szCs w:val="16"/>
          <w:color w:val="auto"/>
        </w:rPr>
        <w:t>basis points;</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31" w:lineRule="exact"/>
        <w:rPr>
          <w:sz w:val="20"/>
          <w:szCs w:val="20"/>
          <w:color w:val="auto"/>
        </w:rPr>
      </w:pPr>
    </w:p>
    <w:p>
      <w:pPr>
        <w:jc w:val="both"/>
        <w:ind w:left="700" w:right="260" w:firstLine="397"/>
        <w:spacing w:after="0" w:line="264" w:lineRule="auto"/>
        <w:rPr>
          <w:sz w:val="20"/>
          <w:szCs w:val="20"/>
          <w:color w:val="auto"/>
        </w:rPr>
      </w:pPr>
      <w:r>
        <w:rPr>
          <w:rFonts w:ascii="Arial" w:cs="Arial" w:eastAsia="Arial" w:hAnsi="Arial"/>
          <w:sz w:val="18"/>
          <w:szCs w:val="18"/>
          <w:color w:val="auto"/>
        </w:rPr>
        <w:t>On or after the date that is one month prior to the maturity date, the notes will be redeemable and repayable, at our option, at any time in whole, or from time to time in part, at a price equal to 100% of the principal amount of the notes to be redeemed plus accrued interest on the notes to be redeemed to the date of redemption.</w:t>
      </w:r>
    </w:p>
    <w:p>
      <w:pPr>
        <w:spacing w:after="0" w:line="87"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72"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before one month prior to the maturity date. We are currently unaware of any circumstances under which we would redeem the notes.</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131" w:lineRule="exact"/>
        <w:rPr>
          <w:sz w:val="20"/>
          <w:szCs w:val="20"/>
          <w:color w:val="auto"/>
        </w:rPr>
      </w:pPr>
    </w:p>
    <w:p>
      <w:pPr>
        <w:ind w:left="1080" w:right="20" w:firstLine="381"/>
        <w:spacing w:after="0" w:line="259"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37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firstLine="381"/>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w:t>
      </w:r>
      <w:r>
        <w:rPr>
          <w:rFonts w:ascii="Arial" w:cs="Arial" w:eastAsia="Arial" w:hAnsi="Arial"/>
          <w:sz w:val="18"/>
          <w:szCs w:val="18"/>
          <w:i w:val="1"/>
          <w:iCs w:val="1"/>
          <w:color w:val="auto"/>
        </w:rPr>
        <w:t xml:space="preserve"> </w:t>
      </w:r>
      <w:r>
        <w:rPr>
          <w:rFonts w:ascii="Arial" w:cs="Arial" w:eastAsia="Arial" w:hAnsi="Arial"/>
          <w:sz w:val="18"/>
          <w:szCs w:val="18"/>
          <w:color w:val="auto"/>
        </w:rPr>
        <w:t>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92" w:lineRule="exact"/>
        <w:rPr>
          <w:sz w:val="20"/>
          <w:szCs w:val="20"/>
          <w:color w:val="auto"/>
        </w:rPr>
      </w:pPr>
    </w:p>
    <w:p>
      <w:pPr>
        <w:ind w:left="1080" w:right="180" w:firstLine="381"/>
        <w:spacing w:after="0" w:line="279" w:lineRule="auto"/>
        <w:rPr>
          <w:sz w:val="20"/>
          <w:szCs w:val="20"/>
          <w:color w:val="auto"/>
        </w:rPr>
      </w:pPr>
      <w:r>
        <w:rPr>
          <w:rFonts w:ascii="Arial" w:cs="Arial" w:eastAsia="Arial" w:hAnsi="Arial"/>
          <w:sz w:val="17"/>
          <w:szCs w:val="17"/>
          <w:i w:val="1"/>
          <w:iCs w:val="1"/>
          <w:color w:val="auto"/>
        </w:rPr>
        <w:t xml:space="preserve">“Independent Investment Banker” </w:t>
      </w:r>
      <w:r>
        <w:rPr>
          <w:rFonts w:ascii="Arial" w:cs="Arial" w:eastAsia="Arial" w:hAnsi="Arial"/>
          <w:sz w:val="17"/>
          <w:szCs w:val="17"/>
          <w:color w:val="auto"/>
        </w:rPr>
        <w:t>means any of J.P. Morgan Securities LLC, Credit Suisse Securities (USA) LLC and a</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Treasury Dealer (as defined below) selected by Wells Fargo Securities, LLC (and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77" w:lineRule="exact"/>
        <w:rPr>
          <w:sz w:val="20"/>
          <w:szCs w:val="20"/>
          <w:color w:val="auto"/>
        </w:rPr>
      </w:pPr>
    </w:p>
    <w:p>
      <w:pPr>
        <w:ind w:left="1080" w:right="60" w:firstLine="381"/>
        <w:spacing w:after="0" w:line="259" w:lineRule="auto"/>
        <w:rPr>
          <w:sz w:val="20"/>
          <w:szCs w:val="20"/>
          <w:color w:val="auto"/>
        </w:rPr>
      </w:pPr>
      <w:r>
        <w:rPr>
          <w:rFonts w:ascii="Arial" w:cs="Arial" w:eastAsia="Arial" w:hAnsi="Arial"/>
          <w:sz w:val="18"/>
          <w:szCs w:val="18"/>
          <w:i w:val="1"/>
          <w:iCs w:val="1"/>
          <w:color w:val="auto"/>
        </w:rPr>
        <w:t xml:space="preserve">“Comparable Treasury Price” </w:t>
      </w:r>
      <w:r>
        <w:rPr>
          <w:rFonts w:ascii="Arial" w:cs="Arial" w:eastAsia="Arial" w:hAnsi="Arial"/>
          <w:sz w:val="18"/>
          <w:szCs w:val="18"/>
          <w:color w:val="auto"/>
        </w:rPr>
        <w:t>means, with respect to any redemption date, (i) the average of the Reference Treasury Dealer</w:t>
      </w:r>
      <w:r>
        <w:rPr>
          <w:rFonts w:ascii="Arial" w:cs="Arial" w:eastAsia="Arial" w:hAnsi="Arial"/>
          <w:sz w:val="18"/>
          <w:szCs w:val="18"/>
          <w:i w:val="1"/>
          <w:iCs w:val="1"/>
          <w:color w:val="auto"/>
        </w:rPr>
        <w:t xml:space="preserve"> </w:t>
      </w:r>
      <w:r>
        <w:rPr>
          <w:rFonts w:ascii="Arial" w:cs="Arial" w:eastAsia="Arial" w:hAnsi="Arial"/>
          <w:sz w:val="18"/>
          <w:szCs w:val="18"/>
          <w:color w:val="auto"/>
        </w:rPr>
        <w:t>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92" w:lineRule="exact"/>
        <w:rPr>
          <w:sz w:val="20"/>
          <w:szCs w:val="20"/>
          <w:color w:val="auto"/>
        </w:rPr>
      </w:pPr>
    </w:p>
    <w:p>
      <w:pPr>
        <w:ind w:left="1080" w:right="200" w:firstLine="381"/>
        <w:spacing w:after="0" w:line="302" w:lineRule="auto"/>
        <w:rPr>
          <w:sz w:val="20"/>
          <w:szCs w:val="20"/>
          <w:color w:val="auto"/>
        </w:rPr>
      </w:pPr>
      <w:r>
        <w:rPr>
          <w:rFonts w:ascii="Arial" w:cs="Arial" w:eastAsia="Arial" w:hAnsi="Arial"/>
          <w:sz w:val="16"/>
          <w:szCs w:val="16"/>
          <w:i w:val="1"/>
          <w:iCs w:val="1"/>
          <w:color w:val="auto"/>
        </w:rPr>
        <w:t xml:space="preserve">“Reference Treasury Dealer” </w:t>
      </w:r>
      <w:r>
        <w:rPr>
          <w:rFonts w:ascii="Arial" w:cs="Arial" w:eastAsia="Arial" w:hAnsi="Arial"/>
          <w:sz w:val="16"/>
          <w:szCs w:val="16"/>
          <w:color w:val="auto"/>
        </w:rPr>
        <w:t>means (i) each of J.P. Morgan Securities LLC, Credit Suisse Securities (USA) LLC and a</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Treasury Dealer (as defined below) selected by Wells Fargo Securities, LLC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60" w:lineRule="exact"/>
        <w:rPr>
          <w:sz w:val="20"/>
          <w:szCs w:val="20"/>
          <w:color w:val="auto"/>
        </w:rPr>
      </w:pPr>
    </w:p>
    <w:p>
      <w:pPr>
        <w:ind w:left="1080" w:firstLine="381"/>
        <w:spacing w:after="0" w:line="279" w:lineRule="auto"/>
        <w:rPr>
          <w:sz w:val="20"/>
          <w:szCs w:val="20"/>
          <w:color w:val="auto"/>
        </w:rPr>
      </w:pPr>
      <w:r>
        <w:rPr>
          <w:rFonts w:ascii="Arial" w:cs="Arial" w:eastAsia="Arial" w:hAnsi="Arial"/>
          <w:sz w:val="17"/>
          <w:szCs w:val="17"/>
          <w:i w:val="1"/>
          <w:iCs w:val="1"/>
          <w:color w:val="auto"/>
        </w:rPr>
        <w:t xml:space="preserve">“Reference Treasury Dealer Quotations” </w:t>
      </w:r>
      <w:r>
        <w:rPr>
          <w:rFonts w:ascii="Arial" w:cs="Arial" w:eastAsia="Arial" w:hAnsi="Arial"/>
          <w:sz w:val="17"/>
          <w:szCs w:val="17"/>
          <w:color w:val="auto"/>
        </w:rPr>
        <w:t>means, with respect to each Reference Treasury Dealer and any redemption 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77"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w:t>
      </w:r>
    </w:p>
    <w:p>
      <w:pPr>
        <w:spacing w:after="0" w:line="13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w:t>
      </w:r>
    </w:p>
    <w:p>
      <w:pPr>
        <w:spacing w:after="0" w:line="135" w:lineRule="exact"/>
        <w:rPr>
          <w:sz w:val="20"/>
          <w:szCs w:val="20"/>
          <w:color w:val="auto"/>
        </w:rPr>
      </w:pPr>
    </w:p>
    <w:p>
      <w:pPr>
        <w:jc w:val="both"/>
        <w:ind w:left="700" w:right="340" w:firstLine="397"/>
        <w:spacing w:after="0" w:line="264"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87" w:lineRule="exact"/>
        <w:rPr>
          <w:sz w:val="20"/>
          <w:szCs w:val="20"/>
          <w:color w:val="auto"/>
        </w:rPr>
      </w:pPr>
    </w:p>
    <w:p>
      <w:pPr>
        <w:ind w:left="1720" w:hanging="249"/>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120" w:firstLine="372"/>
        <w:spacing w:after="0" w:line="312" w:lineRule="auto"/>
        <w:tabs>
          <w:tab w:leader="none" w:pos="20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52" w:lineRule="exact"/>
        <w:rPr>
          <w:rFonts w:ascii="Arial" w:cs="Arial" w:eastAsia="Arial" w:hAnsi="Arial"/>
          <w:sz w:val="16"/>
          <w:szCs w:val="16"/>
          <w:color w:val="auto"/>
        </w:rPr>
      </w:pPr>
    </w:p>
    <w:p>
      <w:pPr>
        <w:ind w:left="1480" w:right="100" w:firstLine="372"/>
        <w:spacing w:after="0" w:line="297" w:lineRule="auto"/>
        <w:tabs>
          <w:tab w:leader="none" w:pos="21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40"/>
        <w:spacing w:after="0" w:line="277" w:lineRule="auto"/>
        <w:rPr>
          <w:sz w:val="20"/>
          <w:szCs w:val="20"/>
          <w:color w:val="auto"/>
        </w:rPr>
      </w:pPr>
      <w:r>
        <w:rPr>
          <w:rFonts w:ascii="Arial" w:cs="Arial" w:eastAsia="Arial" w:hAnsi="Arial"/>
          <w:sz w:val="18"/>
          <w:szCs w:val="18"/>
          <w:color w:val="auto"/>
        </w:rPr>
        <w:t>date of such deposit (in the case of notes already due and payable) or to the date of stated maturity or redemption, as the case may be;</w:t>
      </w:r>
    </w:p>
    <w:p>
      <w:pPr>
        <w:spacing w:after="0" w:line="76" w:lineRule="exact"/>
        <w:rPr>
          <w:sz w:val="20"/>
          <w:szCs w:val="20"/>
          <w:color w:val="auto"/>
        </w:rPr>
      </w:pPr>
    </w:p>
    <w:p>
      <w:pPr>
        <w:ind w:left="1720" w:hanging="249"/>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130" w:lineRule="exact"/>
        <w:rPr>
          <w:rFonts w:ascii="Arial" w:cs="Arial" w:eastAsia="Arial" w:hAnsi="Arial"/>
          <w:sz w:val="18"/>
          <w:szCs w:val="18"/>
          <w:color w:val="auto"/>
        </w:rPr>
      </w:pPr>
    </w:p>
    <w:p>
      <w:pPr>
        <w:ind w:left="1080" w:right="440" w:firstLine="391"/>
        <w:spacing w:after="0" w:line="308" w:lineRule="auto"/>
        <w:tabs>
          <w:tab w:leader="none" w:pos="17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76"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94" w:lineRule="exact"/>
        <w:rPr>
          <w:sz w:val="20"/>
          <w:szCs w:val="20"/>
          <w:color w:val="auto"/>
        </w:rPr>
      </w:pPr>
    </w:p>
    <w:p>
      <w:pPr>
        <w:ind w:left="700" w:right="80" w:firstLine="397"/>
        <w:spacing w:after="0" w:line="269" w:lineRule="auto"/>
        <w:rPr>
          <w:sz w:val="20"/>
          <w:szCs w:val="20"/>
          <w:color w:val="auto"/>
        </w:rPr>
      </w:pPr>
      <w:r>
        <w:rPr>
          <w:rFonts w:ascii="Arial" w:cs="Arial" w:eastAsia="Arial" w:hAnsi="Arial"/>
          <w:sz w:val="17"/>
          <w:szCs w:val="17"/>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85" w:lineRule="exact"/>
        <w:rPr>
          <w:sz w:val="20"/>
          <w:szCs w:val="20"/>
          <w:color w:val="auto"/>
        </w:rPr>
      </w:pPr>
    </w:p>
    <w:p>
      <w:pPr>
        <w:ind w:left="700" w:right="840" w:firstLine="397"/>
        <w:spacing w:after="0" w:line="342" w:lineRule="auto"/>
        <w:rPr>
          <w:sz w:val="20"/>
          <w:szCs w:val="20"/>
          <w:color w:val="auto"/>
        </w:rPr>
      </w:pPr>
      <w:r>
        <w:rPr>
          <w:rFonts w:ascii="Arial" w:cs="Arial" w:eastAsia="Arial" w:hAnsi="Arial"/>
          <w:sz w:val="16"/>
          <w:szCs w:val="16"/>
          <w:color w:val="auto"/>
        </w:rPr>
        <w:t>As of June 30, 2011, our operating subsidiaries had $3.23 billion of indebtedness and WM Holdings had $449 million of indebtedness (excluding guarantees of $5.18 billion of our senior debt), in each case excluding intercompany loans.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6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6"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WM Holdings’ guarantees under the facilities can only be released with the written consent of each of the lenders that is a party thereto.</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offer</w:t>
      </w:r>
    </w:p>
    <w:p>
      <w:pPr>
        <w:spacing w:after="0" w:line="135"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84"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withdrawn pursuant to the change of control offer;</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31" w:lineRule="exact"/>
        <w:rPr>
          <w:sz w:val="20"/>
          <w:szCs w:val="20"/>
          <w:color w:val="auto"/>
        </w:rPr>
      </w:pPr>
    </w:p>
    <w:p>
      <w:pPr>
        <w:ind w:left="1080" w:right="20" w:firstLine="381"/>
        <w:spacing w:after="0" w:line="297"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the occurrence of any of the following: (1) the direct or indirect sale, lease, transfer, conveyance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89" w:lineRule="auto"/>
        <w:rPr>
          <w:sz w:val="20"/>
          <w:szCs w:val="20"/>
          <w:color w:val="auto"/>
        </w:rPr>
      </w:pPr>
      <w:r>
        <w:rPr>
          <w:rFonts w:ascii="Arial" w:cs="Arial" w:eastAsia="Arial" w:hAnsi="Arial"/>
          <w:sz w:val="16"/>
          <w:szCs w:val="16"/>
          <w:color w:val="auto"/>
        </w:rPr>
        <w:t>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72" w:lineRule="exact"/>
        <w:rPr>
          <w:sz w:val="20"/>
          <w:szCs w:val="20"/>
          <w:color w:val="auto"/>
        </w:rPr>
      </w:pPr>
    </w:p>
    <w:p>
      <w:pPr>
        <w:ind w:left="1080" w:firstLine="381"/>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95"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131" w:lineRule="exact"/>
        <w:rPr>
          <w:sz w:val="20"/>
          <w:szCs w:val="20"/>
          <w:color w:val="auto"/>
        </w:rPr>
      </w:pPr>
    </w:p>
    <w:p>
      <w:pPr>
        <w:ind w:left="1080" w:right="20" w:firstLine="381"/>
        <w:spacing w:after="0" w:line="276" w:lineRule="auto"/>
        <w:rPr>
          <w:sz w:val="20"/>
          <w:szCs w:val="20"/>
          <w:color w:val="auto"/>
        </w:rPr>
      </w:pPr>
      <w:r>
        <w:rPr>
          <w:rFonts w:ascii="Arial" w:cs="Arial" w:eastAsia="Arial" w:hAnsi="Arial"/>
          <w:sz w:val="17"/>
          <w:szCs w:val="17"/>
          <w:i w:val="1"/>
          <w:iCs w:val="1"/>
          <w:color w:val="auto"/>
        </w:rPr>
        <w:t xml:space="preserve">“continuing directors” </w:t>
      </w:r>
      <w:r>
        <w:rPr>
          <w:rFonts w:ascii="Arial" w:cs="Arial" w:eastAsia="Arial" w:hAnsi="Arial"/>
          <w:sz w:val="17"/>
          <w:szCs w:val="17"/>
          <w:color w:val="auto"/>
        </w:rPr>
        <w:t>means, as of any date of determination, any member of our Board of Directors who (1) was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78"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131" w:lineRule="exact"/>
        <w:rPr>
          <w:sz w:val="20"/>
          <w:szCs w:val="20"/>
          <w:color w:val="auto"/>
        </w:rPr>
      </w:pPr>
    </w:p>
    <w:p>
      <w:pPr>
        <w:jc w:val="both"/>
        <w:ind w:left="1080" w:right="140" w:firstLine="381"/>
        <w:spacing w:after="0" w:line="264" w:lineRule="auto"/>
        <w:rPr>
          <w:sz w:val="20"/>
          <w:szCs w:val="20"/>
          <w:color w:val="auto"/>
        </w:rPr>
      </w:pPr>
      <w:r>
        <w:rPr>
          <w:rFonts w:ascii="Arial" w:cs="Arial" w:eastAsia="Arial" w:hAnsi="Arial"/>
          <w:sz w:val="18"/>
          <w:szCs w:val="18"/>
          <w:i w:val="1"/>
          <w:iCs w:val="1"/>
          <w:color w:val="auto"/>
        </w:rPr>
        <w:t xml:space="preserve">“investment grade rating” </w:t>
      </w:r>
      <w:r>
        <w:rPr>
          <w:rFonts w:ascii="Arial" w:cs="Arial" w:eastAsia="Arial" w:hAnsi="Arial"/>
          <w:sz w:val="18"/>
          <w:szCs w:val="18"/>
          <w:color w:val="auto"/>
        </w:rPr>
        <w:t>means a rating equal to or higher than BBB- (or the equivalent) by Fitch, Baa3 (or the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by Moody’s and BBB- (or the equivalent) by S&amp;P, and the equivalent investment grade credit rating from any replacement rating agency or rating agencies selected by us.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131" w:lineRule="exact"/>
        <w:rPr>
          <w:sz w:val="20"/>
          <w:szCs w:val="20"/>
          <w:color w:val="auto"/>
        </w:rPr>
      </w:pPr>
    </w:p>
    <w:p>
      <w:pPr>
        <w:ind w:left="1080" w:right="40" w:firstLine="381"/>
        <w:spacing w:after="0" w:line="279" w:lineRule="auto"/>
        <w:rPr>
          <w:sz w:val="20"/>
          <w:szCs w:val="20"/>
          <w:color w:val="auto"/>
        </w:rPr>
      </w:pPr>
      <w:r>
        <w:rPr>
          <w:rFonts w:ascii="Arial" w:cs="Arial" w:eastAsia="Arial" w:hAnsi="Arial"/>
          <w:sz w:val="17"/>
          <w:szCs w:val="17"/>
          <w:i w:val="1"/>
          <w:iCs w:val="1"/>
          <w:color w:val="auto"/>
        </w:rPr>
        <w:t xml:space="preserve">“rating agencies” </w:t>
      </w:r>
      <w:r>
        <w:rPr>
          <w:rFonts w:ascii="Arial" w:cs="Arial" w:eastAsia="Arial" w:hAnsi="Arial"/>
          <w:sz w:val="17"/>
          <w:szCs w:val="17"/>
          <w:color w:val="auto"/>
        </w:rPr>
        <w:t>means (1) each of Fitch, Moody’s and S&amp;P and (2) if any of Fitch, Moody’s or S&amp;P ceases to rate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77" w:lineRule="exact"/>
        <w:rPr>
          <w:sz w:val="20"/>
          <w:szCs w:val="20"/>
          <w:color w:val="auto"/>
        </w:rPr>
      </w:pPr>
    </w:p>
    <w:p>
      <w:pPr>
        <w:ind w:left="1080" w:right="280" w:firstLine="381"/>
        <w:spacing w:after="0" w:line="297" w:lineRule="auto"/>
        <w:rPr>
          <w:sz w:val="20"/>
          <w:szCs w:val="20"/>
          <w:color w:val="auto"/>
        </w:rPr>
      </w:pPr>
      <w:r>
        <w:rPr>
          <w:rFonts w:ascii="Arial" w:cs="Arial" w:eastAsia="Arial" w:hAnsi="Arial"/>
          <w:sz w:val="16"/>
          <w:szCs w:val="16"/>
          <w:i w:val="1"/>
          <w:iCs w:val="1"/>
          <w:color w:val="auto"/>
        </w:rPr>
        <w:t xml:space="preserve">“rating event” </w:t>
      </w:r>
      <w:r>
        <w:rPr>
          <w:rFonts w:ascii="Arial" w:cs="Arial" w:eastAsia="Arial" w:hAnsi="Arial"/>
          <w:sz w:val="16"/>
          <w:szCs w:val="16"/>
          <w:color w:val="auto"/>
        </w:rPr>
        <w:t>means the rating on the notes is lowered by at least two of the three rating agencies and the notes are rated</w:t>
      </w:r>
      <w:r>
        <w:rPr>
          <w:rFonts w:ascii="Arial" w:cs="Arial" w:eastAsia="Arial" w:hAnsi="Arial"/>
          <w:sz w:val="16"/>
          <w:szCs w:val="16"/>
          <w:i w:val="1"/>
          <w:iCs w:val="1"/>
          <w:color w:val="auto"/>
        </w:rPr>
        <w:t xml:space="preserve"> </w:t>
      </w:r>
      <w:r>
        <w:rPr>
          <w:rFonts w:ascii="Arial" w:cs="Arial" w:eastAsia="Arial" w:hAnsi="Arial"/>
          <w:sz w:val="16"/>
          <w:szCs w:val="16"/>
          <w:color w:val="auto"/>
        </w:rPr>
        <w:t>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 xml:space="preserve">“S&amp;P” </w:t>
      </w:r>
      <w:r>
        <w:rPr>
          <w:rFonts w:ascii="Arial" w:cs="Arial" w:eastAsia="Arial" w:hAnsi="Arial"/>
          <w:sz w:val="17"/>
          <w:szCs w:val="17"/>
          <w:color w:val="auto"/>
        </w:rPr>
        <w:t>means Standard &amp; Poor’s Ratings Services, a division of The McGraw-Hill Companies, Inc., and its successors.</w:t>
      </w: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firstLine="381"/>
        <w:spacing w:after="0" w:line="264"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means, with respect to any specified “person” (as that term is used in Section 13(d)(3) of the Exchange Act) as</w:t>
      </w:r>
      <w:r>
        <w:rPr>
          <w:rFonts w:ascii="Arial" w:cs="Arial" w:eastAsia="Arial" w:hAnsi="Arial"/>
          <w:sz w:val="18"/>
          <w:szCs w:val="18"/>
          <w:i w:val="1"/>
          <w:iCs w:val="1"/>
          <w:color w:val="auto"/>
        </w:rPr>
        <w:t xml:space="preserve"> </w:t>
      </w:r>
      <w:r>
        <w:rPr>
          <w:rFonts w:ascii="Arial" w:cs="Arial" w:eastAsia="Arial" w:hAnsi="Arial"/>
          <w:sz w:val="18"/>
          <w:szCs w:val="18"/>
          <w:color w:val="auto"/>
        </w:rPr>
        <w:t>of any date, the capital stock of such person that is at the time entitled to vote generally in the election of the board of directors of such person.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23"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9"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16"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For a description of these covenants, see “Description of Debt Securities — Provisions Applicable to Each Indenture — Consolidation, Merger and Sale of Assets” and “—Provisions Applicable Solely to Senior Debt Securities — Restrictive Covenants” in the accompanying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We may from time to time, without notice or the consent of the registered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systems</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offered notes.</w:t>
      </w:r>
    </w:p>
    <w:p>
      <w:pPr>
        <w:spacing w:after="0" w:line="94" w:lineRule="exact"/>
        <w:rPr>
          <w:sz w:val="20"/>
          <w:szCs w:val="20"/>
          <w:color w:val="auto"/>
        </w:rPr>
      </w:pPr>
    </w:p>
    <w:p>
      <w:pPr>
        <w:ind w:left="700" w:right="220" w:firstLine="397"/>
        <w:spacing w:after="0" w:line="286" w:lineRule="auto"/>
        <w:rPr>
          <w:sz w:val="20"/>
          <w:szCs w:val="20"/>
          <w:color w:val="auto"/>
        </w:rPr>
      </w:pPr>
      <w:r>
        <w:rPr>
          <w:rFonts w:ascii="Arial" w:cs="Arial" w:eastAsia="Arial" w:hAnsi="Arial"/>
          <w:sz w:val="17"/>
          <w:szCs w:val="17"/>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9" w:lineRule="exact"/>
        <w:rPr>
          <w:sz w:val="20"/>
          <w:szCs w:val="20"/>
          <w:color w:val="auto"/>
        </w:rPr>
      </w:pPr>
    </w:p>
    <w:p>
      <w:pPr>
        <w:ind w:left="700" w:right="340" w:firstLine="397"/>
        <w:spacing w:after="0" w:line="308" w:lineRule="auto"/>
        <w:rPr>
          <w:sz w:val="20"/>
          <w:szCs w:val="20"/>
          <w:color w:val="auto"/>
        </w:rPr>
      </w:pPr>
      <w:r>
        <w:rPr>
          <w:rFonts w:ascii="Arial" w:cs="Arial" w:eastAsia="Arial" w:hAnsi="Arial"/>
          <w:sz w:val="17"/>
          <w:szCs w:val="17"/>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1300" w:right="120" w:hanging="202"/>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“clearing agency” registered pursuant to the provisions of Section 17A of the Securities Exchange Act of 1934, as amended.</w:t>
      </w:r>
    </w:p>
    <w:p>
      <w:pPr>
        <w:spacing w:after="0" w:line="154" w:lineRule="exact"/>
        <w:rPr>
          <w:sz w:val="20"/>
          <w:szCs w:val="20"/>
          <w:color w:val="auto"/>
        </w:rPr>
      </w:pPr>
    </w:p>
    <w:p>
      <w:pPr>
        <w:ind w:left="1300" w:right="40" w:hanging="202"/>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8" w:lineRule="exact"/>
        <w:rPr>
          <w:rFonts w:ascii="Arial" w:cs="Arial" w:eastAsia="Arial" w:hAnsi="Arial"/>
          <w:sz w:val="18"/>
          <w:szCs w:val="18"/>
          <w:color w:val="auto"/>
        </w:rPr>
      </w:pPr>
    </w:p>
    <w:p>
      <w:pPr>
        <w:ind w:left="1300" w:right="20" w:hanging="202"/>
        <w:spacing w:after="0" w:line="279"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3" w:lineRule="exact"/>
        <w:rPr>
          <w:rFonts w:ascii="Arial" w:cs="Arial" w:eastAsia="Arial" w:hAnsi="Arial"/>
          <w:sz w:val="17"/>
          <w:szCs w:val="17"/>
          <w:color w:val="auto"/>
        </w:rPr>
      </w:pPr>
    </w:p>
    <w:p>
      <w:pPr>
        <w:ind w:left="1300" w:right="240" w:hanging="202"/>
        <w:spacing w:after="0" w:line="308"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rules applicable to DTC and its direct and indirect participants are on file with the Securities and Exchange Commission.</w:t>
      </w:r>
    </w:p>
    <w:p>
      <w:pPr>
        <w:spacing w:after="0" w:line="154"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4" w:lineRule="exact"/>
        <w:rPr>
          <w:sz w:val="20"/>
          <w:szCs w:val="20"/>
          <w:color w:val="auto"/>
        </w:rPr>
      </w:pPr>
    </w:p>
    <w:p>
      <w:pPr>
        <w:ind w:left="700" w:right="180" w:firstLine="397"/>
        <w:spacing w:after="0" w:line="273" w:lineRule="auto"/>
        <w:rPr>
          <w:sz w:val="20"/>
          <w:szCs w:val="20"/>
          <w:color w:val="auto"/>
        </w:rPr>
      </w:pPr>
      <w:r>
        <w:rPr>
          <w:rFonts w:ascii="Arial" w:cs="Arial" w:eastAsia="Arial" w:hAnsi="Arial"/>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84"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87"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7"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7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participants to whose accounts the notes are credited on the record date (identified in a listing attached to the omnibus proxy).</w:t>
      </w:r>
    </w:p>
    <w:p>
      <w:pPr>
        <w:spacing w:after="0" w:line="142" w:lineRule="exact"/>
        <w:rPr>
          <w:sz w:val="20"/>
          <w:szCs w:val="20"/>
          <w:color w:val="auto"/>
        </w:rPr>
      </w:pPr>
    </w:p>
    <w:p>
      <w:pPr>
        <w:ind w:left="700" w:right="160" w:firstLine="397"/>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72"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60"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92" w:lineRule="exact"/>
        <w:rPr>
          <w:sz w:val="20"/>
          <w:szCs w:val="20"/>
          <w:color w:val="auto"/>
        </w:rPr>
      </w:pPr>
    </w:p>
    <w:p>
      <w:pPr>
        <w:ind w:left="700" w:right="440" w:firstLine="397"/>
        <w:spacing w:after="0" w:line="342" w:lineRule="auto"/>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Euroclear</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9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83"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76"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withdrawal of securities and cash from Euroclear and receipts of payments with respect to securities in Euroclear.</w:t>
      </w:r>
    </w:p>
    <w:p>
      <w:pPr>
        <w:spacing w:after="0" w:line="131" w:lineRule="exact"/>
        <w:rPr>
          <w:sz w:val="20"/>
          <w:szCs w:val="20"/>
          <w:color w:val="auto"/>
        </w:rPr>
      </w:pPr>
    </w:p>
    <w:p>
      <w:pPr>
        <w:jc w:val="both"/>
        <w:ind w:left="700" w:right="300" w:firstLine="397"/>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87" w:lineRule="exact"/>
        <w:rPr>
          <w:sz w:val="20"/>
          <w:szCs w:val="20"/>
          <w:color w:val="auto"/>
        </w:rPr>
      </w:pPr>
    </w:p>
    <w:p>
      <w:pPr>
        <w:ind w:left="700" w:right="400" w:firstLine="397"/>
        <w:spacing w:after="0" w:line="342" w:lineRule="auto"/>
        <w:rPr>
          <w:sz w:val="20"/>
          <w:szCs w:val="20"/>
          <w:color w:val="auto"/>
        </w:rPr>
      </w:pPr>
      <w:r>
        <w:rPr>
          <w:rFonts w:ascii="Arial" w:cs="Arial" w:eastAsia="Arial" w:hAnsi="Arial"/>
          <w:sz w:val="16"/>
          <w:szCs w:val="16"/>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2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84"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w:t>
      </w:r>
    </w:p>
    <w:p>
      <w:pPr>
        <w:ind w:left="700"/>
        <w:spacing w:after="0" w:line="254" w:lineRule="auto"/>
        <w:rPr>
          <w:sz w:val="20"/>
          <w:szCs w:val="20"/>
          <w:color w:val="auto"/>
        </w:rPr>
      </w:pPr>
      <w:r>
        <w:rPr>
          <w:rFonts w:ascii="Arial" w:cs="Arial" w:eastAsia="Arial" w:hAnsi="Arial"/>
          <w:sz w:val="18"/>
          <w:szCs w:val="18"/>
          <w:color w:val="auto"/>
        </w:rPr>
        <w:t>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95"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Clearstream</w:t>
      </w:r>
    </w:p>
    <w:p>
      <w:pPr>
        <w:spacing w:after="0" w:line="13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84"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60"/>
        <w:spacing w:after="0" w:line="264" w:lineRule="auto"/>
        <w:rPr>
          <w:sz w:val="20"/>
          <w:szCs w:val="20"/>
          <w:color w:val="auto"/>
        </w:rPr>
      </w:pPr>
      <w:r>
        <w:rPr>
          <w:rFonts w:ascii="Arial" w:cs="Arial" w:eastAsia="Arial" w:hAnsi="Arial"/>
          <w:sz w:val="18"/>
          <w:szCs w:val="18"/>
          <w:color w:val="auto"/>
        </w:rPr>
        <w:t>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87"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84"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84"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67"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Credit Suisse Securities (USA) LLC, J.P. Morgan Securities LLC and Wells Fargo Securities, LLC are acting as joint book-running and joint lead managers of the offering and as representatives of the underwriters named below.</w:t>
      </w:r>
    </w:p>
    <w:p>
      <w:pPr>
        <w:spacing w:after="0" w:line="8"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notes set forth opposite the respective underwriters’ names.</w:t>
      </w:r>
    </w:p>
    <w:tbl>
      <w:tblPr>
        <w:tblLayout w:type="fixed"/>
        <w:tblInd w:w="70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1"/>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Notes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7"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may offer the notes to dealers at the public offering price less a concession not to exceed % of the principal amount of the notes. The underwriters may allow, and dealers may reallow, a concession not to exceed % of the principal amount of the notes on sales to other dealers. After the initial offering of the notes to the public, the representatives may change the public offering price and other selling terms applicable to the notes.</w:t>
      </w:r>
    </w:p>
    <w:p>
      <w:pPr>
        <w:spacing w:after="0" w:line="9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70"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$650,000.</w:t>
      </w:r>
    </w:p>
    <w:p>
      <w:pPr>
        <w:spacing w:after="0" w:line="131"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29" w:lineRule="exact"/>
        <w:rPr>
          <w:sz w:val="20"/>
          <w:szCs w:val="20"/>
          <w:color w:val="auto"/>
        </w:rPr>
      </w:pPr>
    </w:p>
    <w:p>
      <w:pPr>
        <w:ind w:left="700" w:right="280" w:firstLine="397"/>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700" w:right="640" w:firstLine="397"/>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64" w:lineRule="auto"/>
        <w:rPr>
          <w:sz w:val="20"/>
          <w:szCs w:val="20"/>
          <w:color w:val="auto"/>
        </w:rPr>
      </w:pPr>
      <w:r>
        <w:rPr>
          <w:rFonts w:ascii="Arial" w:cs="Arial" w:eastAsia="Arial" w:hAnsi="Arial"/>
          <w:sz w:val="18"/>
          <w:szCs w:val="18"/>
          <w:color w:val="auto"/>
        </w:rPr>
        <w:t>and including the date on which the Prospectus Directive is implemented in that Relevant Member State (the “Relevant Implementation Date”), it has not made and will not make an offer of notes which are the subject of the offering contemplated by this prospectus supplement to the public in that Relevant Member State other than:</w:t>
      </w:r>
    </w:p>
    <w:p>
      <w:pPr>
        <w:spacing w:after="0" w:line="87" w:lineRule="exact"/>
        <w:rPr>
          <w:sz w:val="20"/>
          <w:szCs w:val="20"/>
          <w:color w:val="auto"/>
        </w:rPr>
      </w:pPr>
    </w:p>
    <w:p>
      <w:pPr>
        <w:ind w:left="1660" w:hanging="189"/>
        <w:spacing w:after="0"/>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80" w:right="180" w:firstLine="391"/>
        <w:spacing w:after="0" w:line="286" w:lineRule="auto"/>
        <w:tabs>
          <w:tab w:leader="none" w:pos="16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or representatives nominated by us for any such offer; or</w:t>
      </w:r>
    </w:p>
    <w:p>
      <w:pPr>
        <w:spacing w:after="0" w:line="70" w:lineRule="exact"/>
        <w:rPr>
          <w:rFonts w:ascii="Arial" w:cs="Arial" w:eastAsia="Arial" w:hAnsi="Arial"/>
          <w:sz w:val="17"/>
          <w:szCs w:val="17"/>
          <w:color w:val="auto"/>
        </w:rPr>
      </w:pPr>
    </w:p>
    <w:p>
      <w:pPr>
        <w:ind w:left="1660" w:hanging="189"/>
        <w:spacing w:after="0"/>
        <w:tabs>
          <w:tab w:leader="none" w:pos="1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1"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provided that no such offer of notes shall require us or any underwriter to publish a prospectus pursuant to Article 3 of the Prospectus Directive.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For the purposes of the preceding sentence, the expression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the notes, as the same may be varied in that Relevant Member State by any 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each Relevant Member State; and the term “2010 PD Amending Directive” means Directive 2010/73/EU.</w:t>
      </w:r>
    </w:p>
    <w:p>
      <w:pPr>
        <w:spacing w:after="0" w:line="9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Relationships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 In addition, certain affiliates of J.P. Morgan Securities LLC, Credit Suisse Securities (USA) LLC and Wells Fargo Securities, LLC are lenders under our revolving credit facility and, accordingly, will receive a portion of the proceeds from this offering.</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2010, including the schedule appearing therein, and the effectiveness of Waste Management, Inc.’s internal control over financial reporting as of December 31, 2010,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1" w:lineRule="exact"/>
        <w:rPr>
          <w:sz w:val="20"/>
          <w:szCs w:val="20"/>
          <w:color w:val="auto"/>
        </w:rPr>
      </w:pPr>
    </w:p>
    <w:p>
      <w:pPr>
        <w:ind w:left="700" w:right="220" w:firstLine="397"/>
        <w:spacing w:after="0" w:line="289" w:lineRule="auto"/>
        <w:rPr>
          <w:sz w:val="20"/>
          <w:szCs w:val="20"/>
          <w:color w:val="auto"/>
        </w:rPr>
      </w:pPr>
      <w:r>
        <w:rPr>
          <w:rFonts w:ascii="Arial" w:cs="Arial" w:eastAsia="Arial" w:hAnsi="Arial"/>
          <w:sz w:val="17"/>
          <w:szCs w:val="17"/>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68"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Date Filed</w:t>
            </w:r>
          </w:p>
        </w:tc>
      </w:tr>
      <w:tr>
        <w:trPr>
          <w:trHeight w:val="20"/>
        </w:trPr>
        <w:tc>
          <w:tcPr>
            <w:tcW w:w="8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249"/>
        </w:trPr>
        <w:tc>
          <w:tcPr>
            <w:tcW w:w="814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2010</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February 17,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Amendment No. 1 to Form 10-K for the year ended December 31, 2010</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February 22,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2011</w:t>
            </w:r>
          </w:p>
        </w:tc>
        <w:tc>
          <w:tcPr>
            <w:tcW w:w="1780" w:type="dxa"/>
            <w:vAlign w:val="bottom"/>
          </w:tcPr>
          <w:p>
            <w:pPr>
              <w:jc w:val="center"/>
              <w:spacing w:after="0"/>
              <w:rPr>
                <w:sz w:val="20"/>
                <w:szCs w:val="20"/>
                <w:color w:val="auto"/>
              </w:rPr>
            </w:pPr>
            <w:r>
              <w:rPr>
                <w:rFonts w:ascii="Arial" w:cs="Arial" w:eastAsia="Arial" w:hAnsi="Arial"/>
                <w:sz w:val="18"/>
                <w:szCs w:val="18"/>
                <w:color w:val="auto"/>
                <w:w w:val="95"/>
              </w:rPr>
              <w:t>April 28,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2011</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July 28,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February 28,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March 11,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May 16,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May 17,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June 8,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June 14, 2011</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June 24, 2011</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August 16, 2011</w:t>
            </w:r>
          </w:p>
        </w:tc>
      </w:tr>
    </w:tbl>
    <w:p>
      <w:pPr>
        <w:spacing w:after="0" w:line="107"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64"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92"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4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231775</wp:posOffset>
            </wp:positionV>
            <wp:extent cx="1380490" cy="47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0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19"/>
        <w:spacing w:after="0"/>
        <w:rPr>
          <w:sz w:val="20"/>
          <w:szCs w:val="20"/>
          <w:color w:val="auto"/>
        </w:rPr>
      </w:pPr>
      <w:r>
        <w:rPr>
          <w:rFonts w:ascii="Arial" w:cs="Arial" w:eastAsia="Arial" w:hAnsi="Arial"/>
          <w:sz w:val="43"/>
          <w:szCs w:val="43"/>
          <w:b w:val="1"/>
          <w:bCs w:val="1"/>
          <w:color w:val="auto"/>
        </w:rPr>
        <w:t>WASTE MANAGEMENT, INC.</w:t>
      </w:r>
    </w:p>
    <w:p>
      <w:pPr>
        <w:spacing w:after="0" w:line="147"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GUARANTEES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UNITS</w:t>
      </w:r>
    </w:p>
    <w:p>
      <w:pPr>
        <w:spacing w:after="0" w:line="112"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118" w:lineRule="exact"/>
        <w:rPr>
          <w:sz w:val="20"/>
          <w:szCs w:val="20"/>
          <w:color w:val="auto"/>
        </w:rPr>
      </w:pPr>
    </w:p>
    <w:p>
      <w:pPr>
        <w:jc w:val="both"/>
        <w:ind w:left="700" w:right="360" w:firstLine="496"/>
        <w:spacing w:after="0" w:line="301" w:lineRule="auto"/>
        <w:rPr>
          <w:sz w:val="20"/>
          <w:szCs w:val="20"/>
          <w:color w:val="auto"/>
        </w:rPr>
      </w:pPr>
      <w:r>
        <w:rPr>
          <w:rFonts w:ascii="Arial" w:cs="Arial" w:eastAsia="Arial" w:hAnsi="Arial"/>
          <w:sz w:val="19"/>
          <w:szCs w:val="19"/>
          <w:b w:val="1"/>
          <w:bCs w:val="1"/>
          <w:color w:val="auto"/>
        </w:rPr>
        <w:t>Investing in our securities involves risks. See “Risk Factors” on page 5 of this prospectus, the risk factors included in our periodic reports that we file with the Securities Exchange Commission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113030</wp:posOffset>
            </wp:positionV>
            <wp:extent cx="11322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87"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96520</wp:posOffset>
            </wp:positionV>
            <wp:extent cx="11322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This prospectus is dated September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28" w:name="page29"/>
    <w:bookmarkEnd w:id="28"/>
    <w:p>
      <w:pPr>
        <w:ind w:right="40" w:firstLine="397"/>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40" w:type="dxa"/>
            <w:vAlign w:val="bottom"/>
          </w:tcPr>
          <w:p>
            <w:pPr>
              <w:jc w:val="right"/>
              <w:ind w:right="38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342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Forward-Looking Statements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About this Prospectus</w:t>
              </w:r>
            </w:hyperlink>
          </w:p>
        </w:tc>
        <w:tc>
          <w:tcPr>
            <w:tcW w:w="520" w:type="dxa"/>
            <w:vAlign w:val="bottom"/>
            <w:tcBorders>
              <w:top w:val="single" w:sz="8" w:color="0000EE"/>
            </w:tcBorders>
            <w:gridSpan w:val="5"/>
          </w:tcPr>
          <w:p>
            <w:pPr>
              <w:spacing w:after="0"/>
              <w:rPr>
                <w:sz w:val="17"/>
                <w:szCs w:val="17"/>
                <w:color w:val="auto"/>
              </w:rPr>
            </w:pPr>
          </w:p>
        </w:tc>
        <w:tc>
          <w:tcPr>
            <w:tcW w:w="1320" w:type="dxa"/>
            <w:vAlign w:val="bottom"/>
            <w:gridSpan w:val="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Incorporation by Reference</w:t>
              </w:r>
            </w:hyperlink>
          </w:p>
        </w:tc>
        <w:tc>
          <w:tcPr>
            <w:tcW w:w="1440" w:type="dxa"/>
            <w:vAlign w:val="bottom"/>
            <w:gridSpan w:val="7"/>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Where You Can Find More Information</w:t>
              </w:r>
            </w:hyperlink>
          </w:p>
        </w:tc>
        <w:tc>
          <w:tcPr>
            <w:tcW w:w="560" w:type="dxa"/>
            <w:vAlign w:val="bottom"/>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The Company</w:t>
              </w:r>
            </w:hyperlink>
          </w:p>
        </w:tc>
        <w:tc>
          <w:tcPr>
            <w:tcW w:w="2400" w:type="dxa"/>
            <w:vAlign w:val="bottom"/>
            <w:gridSpan w:val="1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2520" w:type="dxa"/>
            <w:vAlign w:val="bottom"/>
            <w:gridSpan w:val="1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Ratio of Earnings to Fixed Charges</w:t>
              </w:r>
            </w:hyperlink>
          </w:p>
        </w:tc>
        <w:tc>
          <w:tcPr>
            <w:tcW w:w="880" w:type="dxa"/>
            <w:vAlign w:val="bottom"/>
            <w:gridSpan w:val="2"/>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Description of Debt Securities</w:t>
              </w:r>
            </w:hyperlink>
          </w:p>
        </w:tc>
        <w:tc>
          <w:tcPr>
            <w:tcW w:w="1240" w:type="dxa"/>
            <w:vAlign w:val="bottom"/>
            <w:gridSpan w:val="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Guarantees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Capital Stock</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Description of Other Securities</w:t>
              </w:r>
            </w:hyperlink>
          </w:p>
        </w:tc>
        <w:tc>
          <w:tcPr>
            <w:tcW w:w="1180" w:type="dxa"/>
            <w:vAlign w:val="bottom"/>
            <w:gridSpan w:val="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Selling Securityholders</w:t>
              </w:r>
            </w:hyperlink>
          </w:p>
        </w:tc>
        <w:tc>
          <w:tcPr>
            <w:tcW w:w="1740" w:type="dxa"/>
            <w:vAlign w:val="bottom"/>
            <w:gridSpan w:val="9"/>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Legal Matters</w:t>
              </w:r>
            </w:hyperlink>
          </w:p>
        </w:tc>
        <w:tc>
          <w:tcPr>
            <w:tcW w:w="2420" w:type="dxa"/>
            <w:vAlign w:val="bottom"/>
            <w:gridSpan w:val="1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42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40" w:firstLine="397"/>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73" w:lineRule="exact"/>
        <w:rPr>
          <w:sz w:val="20"/>
          <w:szCs w:val="20"/>
          <w:color w:val="auto"/>
        </w:rPr>
      </w:pPr>
    </w:p>
    <w:p>
      <w:pPr>
        <w:ind w:right="80" w:firstLine="397"/>
        <w:spacing w:after="0" w:line="286"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Form 10-K for the year ended December 31, 2008.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96" w:lineRule="exact"/>
        <w:rPr>
          <w:sz w:val="20"/>
          <w:szCs w:val="20"/>
          <w:color w:val="auto"/>
        </w:rPr>
      </w:pPr>
    </w:p>
    <w:p>
      <w:pPr>
        <w:ind w:left="600" w:hanging="202"/>
        <w:spacing w:after="0" w:line="342"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73"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 or raise prices;</w:t>
      </w:r>
    </w:p>
    <w:p>
      <w:pPr>
        <w:spacing w:after="0" w:line="117"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7" w:lineRule="exact"/>
        <w:rPr>
          <w:rFonts w:ascii="Arial" w:cs="Arial" w:eastAsia="Arial" w:hAnsi="Arial"/>
          <w:sz w:val="17"/>
          <w:szCs w:val="17"/>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 cause our quarter-to-quarter results to fluctuate, and harsh weather or natural disasters may cause us to temporarily shut down operations;</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62" w:lineRule="exact"/>
        <w:rPr>
          <w:rFonts w:ascii="Arial" w:cs="Arial" w:eastAsia="Arial" w:hAnsi="Arial"/>
          <w:sz w:val="18"/>
          <w:szCs w:val="18"/>
          <w:color w:val="auto"/>
        </w:rPr>
      </w:pPr>
    </w:p>
    <w:p>
      <w:pPr>
        <w:jc w:val="both"/>
        <w:ind w:left="1300" w:right="2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73"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cross-border, or certain categories of waste, as well as mandates on the disposal of waste, can increase our expenses and reduce our revenue;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or restrict our ability to operate;</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or the inability to obtain financial assurance or the inadequacy of our insurance coverages could negatively impact our liquidity and increase our liabilities;</w:t>
      </w:r>
    </w:p>
    <w:p>
      <w:pPr>
        <w:spacing w:after="0" w:line="62"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commodity prices may have negative effects on our operating results;</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 could have negative effects on volumes of waste going to landfills and waste-to-energy facilities;</w:t>
      </w:r>
    </w:p>
    <w:p>
      <w:pPr>
        <w:spacing w:after="0" w:line="62"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7"/>
          <w:szCs w:val="17"/>
          <w:color w:val="auto"/>
        </w:rPr>
      </w:pPr>
    </w:p>
    <w:p>
      <w:pPr>
        <w:ind w:left="1300" w:right="1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or the development and deployment of new information systems could decrease our efficiencies and increase our costs;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 and</w:t>
      </w:r>
    </w:p>
    <w:p>
      <w:pPr>
        <w:spacing w:after="0" w:line="62"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87"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88"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types of securities that we or selling securityholders may offer and sell from time to time pursuant to this prospectus are:</w:t>
      </w:r>
    </w:p>
    <w:p>
      <w:pPr>
        <w:spacing w:after="0" w:line="264"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information about any securities exchanges or automated quotation systems on which the securities will be listed or traded.</w:t>
      </w:r>
    </w:p>
    <w:p>
      <w:pPr>
        <w:spacing w:after="0" w:line="154" w:lineRule="exact"/>
        <w:rPr>
          <w:sz w:val="20"/>
          <w:szCs w:val="20"/>
          <w:color w:val="auto"/>
        </w:rPr>
      </w:pPr>
    </w:p>
    <w:p>
      <w:pPr>
        <w:jc w:val="both"/>
        <w:ind w:left="700" w:right="240" w:firstLine="397"/>
        <w:spacing w:after="0" w:line="286" w:lineRule="auto"/>
        <w:rPr>
          <w:sz w:val="20"/>
          <w:szCs w:val="20"/>
          <w:color w:val="auto"/>
        </w:rPr>
      </w:pPr>
      <w:r>
        <w:rPr>
          <w:rFonts w:ascii="Arial" w:cs="Arial" w:eastAsia="Arial" w:hAnsi="Arial"/>
          <w:sz w:val="17"/>
          <w:szCs w:val="17"/>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71" w:lineRule="exact"/>
        <w:rPr>
          <w:sz w:val="20"/>
          <w:szCs w:val="20"/>
          <w:color w:val="auto"/>
        </w:rPr>
      </w:pPr>
    </w:p>
    <w:p>
      <w:pPr>
        <w:ind w:left="700" w:right="140" w:firstLine="397"/>
        <w:spacing w:after="0" w:line="28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ind w:left="700" w:right="260" w:hanging="7"/>
        <w:spacing w:after="0" w:line="261" w:lineRule="auto"/>
        <w:tabs>
          <w:tab w:leader="none" w:pos="9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filings we make with the SEC that are incorporated by reference into this prospectus; or (iii) by any other method as may then be permitted under applicable law, rules or regulations.</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92"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5"/>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1-1254)</w:t>
            </w:r>
          </w:p>
        </w:tc>
        <w:tc>
          <w:tcPr>
            <w:tcW w:w="1840" w:type="dxa"/>
            <w:vAlign w:val="bottom"/>
          </w:tcPr>
          <w:p>
            <w:pPr>
              <w:ind w:left="94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6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Annual Report on Form 10-K (including the portions of our proxy statement for our 2009 annual meeting of</w:t>
            </w: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incorporated by reference therein) for the year ended December 31, 2008</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Quarterly report on Form 10-Q for the quarter ended March 31, 2009</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April 29,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2009</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February 26,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2,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12,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Description of our Common Stock on Form 8-B</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July 13, 1995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-1286510</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 13(a),</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13(c), 14 or 15(d) of the Exchange Act from the date of this prospectus until all of the securities offered by this prospectus have been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issued as described in this prospectus. These documents may include annual reports on Form 10-K, quarterly reports on Form 10-Q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current reports on Form 8-K, as well as proxy statements. We are not incorporating by reference any information furnished under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items 2.02 or 7.01 (or corresponding information furnished under item 9.01 or included as an exhibit) in any past or future current report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Form 8-K that we may file with the SEC, unless otherwise specified in such current report.</w:t>
      </w:r>
    </w:p>
    <w:p>
      <w:pPr>
        <w:spacing w:after="0" w:line="116"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obtain information about us at the offices of the New York Stock Exchange, 20 Broad Street, New York, New York 10005.</w:t>
      </w:r>
    </w:p>
    <w:p>
      <w:pPr>
        <w:spacing w:after="0" w:line="64"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COMPANY</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principal executive offices are located at 1001 Fannin Street, Suite 4000, Houston, Texas 77002 and our telephone number is (713) 512-6200.</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For the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3.9x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3.2x</w:t>
            </w:r>
          </w:p>
        </w:tc>
        <w:tc>
          <w:tcPr>
            <w:tcW w:w="420" w:type="dxa"/>
            <w:vAlign w:val="bottom"/>
          </w:tcPr>
          <w:p>
            <w:pPr>
              <w:jc w:val="right"/>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For the purposes of computing these ratios, earnings represents income before income taxes and losses in equity investments plus interest expense and implicit interest in rent expense. Fixed charges consists of interest expense, capitalized interest and implicit interest in rent expense.</w:t>
      </w:r>
    </w:p>
    <w:p>
      <w:pPr>
        <w:spacing w:after="0" w:line="29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and possible acquisitions. Unless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otherwise specified in the applicable prospectus supplement, we will not receive any proceeds from the sale of securities by selling securityholders.</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THE DEBT SECURITIES</w:t>
      </w:r>
    </w:p>
    <w:p>
      <w:pPr>
        <w:spacing w:after="0" w:line="135" w:lineRule="exact"/>
        <w:rPr>
          <w:sz w:val="20"/>
          <w:szCs w:val="20"/>
          <w:color w:val="auto"/>
        </w:rPr>
      </w:pPr>
    </w:p>
    <w:p>
      <w:pPr>
        <w:ind w:left="700" w:right="140" w:firstLine="397"/>
        <w:spacing w:after="0" w:line="305" w:lineRule="auto"/>
        <w:rPr>
          <w:sz w:val="20"/>
          <w:szCs w:val="20"/>
          <w:color w:val="auto"/>
        </w:rPr>
      </w:pPr>
      <w:r>
        <w:rPr>
          <w:rFonts w:ascii="Arial" w:cs="Arial" w:eastAsia="Arial" w:hAnsi="Arial"/>
          <w:sz w:val="15"/>
          <w:szCs w:val="15"/>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The Bank of New York Trust Company, N.A.), as trustee. We will issue subordinated debt securities under an indenture dated as of February 1, 1997, among Waste Management, as issuer, and The Bank of New York</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6"/>
          <w:szCs w:val="16"/>
          <w:color w:val="auto"/>
        </w:rPr>
        <w:t>Trust Company, N.A., as trustee. The indentures are substantially identical, except for provisions relating to subordination and covenants.</w:t>
      </w:r>
    </w:p>
    <w:p>
      <w:pPr>
        <w:spacing w:after="0" w:line="139"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These terms will include some or all of the following:</w:t>
      </w:r>
    </w:p>
    <w:p>
      <w:pPr>
        <w:spacing w:after="0" w:line="76"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interest rate, the date from which interest will accrue, interest payment dates and record dates for interest payments;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8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terms for the conversion or exchange of the debt securities for other securities of Waste Management or any other entity;</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1"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indentures generally prohibit a consolidation or merger of Waste Management into</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person, or a lease, transfer or disposition of all or substantially all of our assets to another person unless:</w:t>
      </w:r>
    </w:p>
    <w:p>
      <w:pPr>
        <w:spacing w:after="0" w:line="29" w:lineRule="exact"/>
        <w:rPr>
          <w:sz w:val="20"/>
          <w:szCs w:val="20"/>
          <w:color w:val="auto"/>
        </w:rPr>
      </w:pPr>
    </w:p>
    <w:p>
      <w:pPr>
        <w:ind w:left="1300" w:right="6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all or substantially all of our assets assumes the performance of the covenants and obligations under the indentures and the due and punctual payments on the debt securities; and</w:t>
      </w:r>
    </w:p>
    <w:p>
      <w:pPr>
        <w:spacing w:after="0" w:line="73"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76"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series of debt securities:</w:t>
      </w:r>
    </w:p>
    <w:p>
      <w:pPr>
        <w:spacing w:after="0" w:line="76"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17"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131"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 amount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8"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8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the indentures.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92" w:lineRule="exact"/>
        <w:rPr>
          <w:sz w:val="20"/>
          <w:szCs w:val="20"/>
          <w:color w:val="auto"/>
        </w:rPr>
      </w:pPr>
    </w:p>
    <w:p>
      <w:pPr>
        <w:ind w:left="1300" w:right="68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ind w:left="1300" w:right="620" w:hanging="202"/>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the merger covenant and other specified covenants under the applicable indenture, and the related events of default will no longer apply (“covenant defeasance”).</w:t>
      </w:r>
    </w:p>
    <w:p>
      <w:pPr>
        <w:spacing w:after="0" w:line="29"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78"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Arial" w:cs="Arial" w:eastAsia="Arial" w:hAnsi="Arial"/>
          <w:sz w:val="18"/>
          <w:szCs w:val="18"/>
          <w:color w:val="auto"/>
        </w:rPr>
        <w:t>U.S. federal income tax purposes. If we elect legal defeasance, that opinion of counsel must be based upon a ruling from the U.S. Internal Revenue Service or a change in law to that effect.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3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Trustee. </w:t>
      </w:r>
      <w:r>
        <w:rPr>
          <w:rFonts w:ascii="Arial" w:cs="Arial" w:eastAsia="Arial" w:hAnsi="Arial"/>
          <w:sz w:val="16"/>
          <w:szCs w:val="16"/>
          <w:color w:val="auto"/>
        </w:rPr>
        <w:t>The Bank of New York Mellon Trust Company, N.A. is the trustee under the senior indenture and the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The Bank of New York Trust Company, N.A. serves as trustee or custodian relating to a number of series of debt obligations of Waste Management as of December 31, 2008. Certain of The Bank of New York Trust Company, N.A.’s affiliates perform certain commercial banking services for us for which they receive customary fees and act as a lender under our current credit facility.</w:t>
      </w:r>
    </w:p>
    <w:p>
      <w:pPr>
        <w:spacing w:after="0" w:line="60"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 without interest coupons, or in</w:t>
      </w:r>
      <w:r>
        <w:rPr>
          <w:rFonts w:ascii="Arial" w:cs="Arial" w:eastAsia="Arial" w:hAnsi="Arial"/>
          <w:sz w:val="18"/>
          <w:szCs w:val="18"/>
          <w:i w:val="1"/>
          <w:iCs w:val="1"/>
          <w:color w:val="auto"/>
        </w:rPr>
        <w:t xml:space="preserve"> </w:t>
      </w:r>
      <w:r>
        <w:rPr>
          <w:rFonts w:ascii="Arial" w:cs="Arial" w:eastAsia="Arial" w:hAnsi="Arial"/>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 on the debt securities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78"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9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2" w:lineRule="exact"/>
        <w:rPr>
          <w:sz w:val="20"/>
          <w:szCs w:val="20"/>
          <w:color w:val="auto"/>
        </w:rPr>
      </w:pPr>
    </w:p>
    <w:p>
      <w:pPr>
        <w:jc w:val="both"/>
        <w:ind w:left="700" w:right="380" w:firstLine="397"/>
        <w:spacing w:after="0" w:line="279" w:lineRule="auto"/>
        <w:rPr>
          <w:sz w:val="20"/>
          <w:szCs w:val="20"/>
          <w:color w:val="auto"/>
        </w:rPr>
      </w:pPr>
      <w:r>
        <w:rPr>
          <w:rFonts w:ascii="Arial" w:cs="Arial" w:eastAsia="Arial" w:hAnsi="Arial"/>
          <w:sz w:val="17"/>
          <w:szCs w:val="17"/>
          <w:i w:val="1"/>
          <w:iCs w:val="1"/>
          <w:color w:val="auto"/>
        </w:rPr>
        <w:t xml:space="preserve">Book-Entry Debt Securities. </w:t>
      </w:r>
      <w:r>
        <w:rPr>
          <w:rFonts w:ascii="Arial" w:cs="Arial" w:eastAsia="Arial" w:hAnsi="Arial"/>
          <w:sz w:val="17"/>
          <w:szCs w:val="17"/>
          <w:color w:val="auto"/>
        </w:rPr>
        <w:t>The debt securities of a series may be issued in the form of one or more global debt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 holders of the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7" w:lineRule="exact"/>
        <w:rPr>
          <w:sz w:val="20"/>
          <w:szCs w:val="20"/>
          <w:color w:val="auto"/>
        </w:rPr>
      </w:pPr>
    </w:p>
    <w:p>
      <w:pPr>
        <w:ind w:left="1080" w:right="10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108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1080" w:right="500" w:firstLine="391"/>
        <w:spacing w:after="0" w:line="277" w:lineRule="auto"/>
        <w:tabs>
          <w:tab w:leader="none" w:pos="17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 entity that becomes us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 Consolidation, Merger and Sale of Assets,” </w:t>
      </w:r>
      <w:r>
        <w:rPr>
          <w:rFonts w:ascii="Arial" w:cs="Arial" w:eastAsia="Arial" w:hAnsi="Arial"/>
          <w:sz w:val="18"/>
          <w:szCs w:val="18"/>
          <w:color w:val="auto"/>
        </w:rPr>
        <w:t>above;</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color w:val="auto"/>
        </w:rPr>
      </w:pPr>
    </w:p>
    <w:p>
      <w:pPr>
        <w:ind w:left="1700" w:right="40" w:hanging="211"/>
        <w:spacing w:after="0" w:line="259" w:lineRule="auto"/>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2" w:lineRule="exact"/>
        <w:rPr>
          <w:rFonts w:ascii="Arial" w:cs="Arial" w:eastAsia="Arial" w:hAnsi="Arial"/>
          <w:sz w:val="18"/>
          <w:szCs w:val="18"/>
          <w:color w:val="auto"/>
        </w:rPr>
      </w:pPr>
    </w:p>
    <w:p>
      <w:pPr>
        <w:ind w:left="1700" w:hanging="229"/>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arising by deposits or security given to governmental agencies required in order to do business with the government;</w:t>
      </w:r>
    </w:p>
    <w:p>
      <w:pPr>
        <w:spacing w:after="0" w:line="153" w:lineRule="exact"/>
        <w:rPr>
          <w:rFonts w:ascii="Arial" w:cs="Arial" w:eastAsia="Arial" w:hAnsi="Arial"/>
          <w:sz w:val="16"/>
          <w:szCs w:val="16"/>
          <w:color w:val="auto"/>
        </w:rPr>
      </w:pPr>
    </w:p>
    <w:p>
      <w:pPr>
        <w:ind w:left="1680" w:hanging="209"/>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1680" w:hanging="209"/>
        <w:spacing w:after="0"/>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stayed;</w:t>
      </w:r>
    </w:p>
    <w:p>
      <w:pPr>
        <w:spacing w:after="0" w:line="116" w:lineRule="exact"/>
        <w:rPr>
          <w:rFonts w:ascii="Arial" w:cs="Arial" w:eastAsia="Arial" w:hAnsi="Arial"/>
          <w:sz w:val="16"/>
          <w:szCs w:val="16"/>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landlord’s liens on fixtures located on property leased by us or Restricted Subsidiaries in the ordinary course of business;</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firstLine="391"/>
        <w:spacing w:after="0" w:line="277" w:lineRule="auto"/>
        <w:tabs>
          <w:tab w:leader="none" w:pos="16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75" w:lineRule="exact"/>
        <w:rPr>
          <w:rFonts w:ascii="Arial" w:cs="Arial" w:eastAsia="Arial" w:hAnsi="Arial"/>
          <w:sz w:val="18"/>
          <w:szCs w:val="18"/>
          <w:color w:val="auto"/>
        </w:rPr>
      </w:pPr>
    </w:p>
    <w:p>
      <w:pPr>
        <w:ind w:left="1080" w:right="160" w:firstLine="391"/>
        <w:spacing w:after="0" w:line="277" w:lineRule="auto"/>
        <w:tabs>
          <w:tab w:leader="none" w:pos="17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securing industrial development, pollution control or other revenue bonds of a domestic government entity;</w:t>
      </w:r>
    </w:p>
    <w:p>
      <w:pPr>
        <w:spacing w:after="0" w:line="142" w:lineRule="exact"/>
        <w:rPr>
          <w:rFonts w:ascii="Arial" w:cs="Arial" w:eastAsia="Arial" w:hAnsi="Arial"/>
          <w:sz w:val="17"/>
          <w:szCs w:val="17"/>
          <w:color w:val="auto"/>
        </w:rPr>
      </w:pPr>
    </w:p>
    <w:p>
      <w:pPr>
        <w:ind w:left="1720" w:hanging="249"/>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1080" w:right="80" w:firstLine="391"/>
        <w:spacing w:after="0" w:line="277" w:lineRule="auto"/>
        <w:tabs>
          <w:tab w:leader="none" w:pos="17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76"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76" w:lineRule="exact"/>
        <w:rPr>
          <w:sz w:val="20"/>
          <w:szCs w:val="20"/>
          <w:color w:val="auto"/>
        </w:rPr>
      </w:pPr>
    </w:p>
    <w:p>
      <w:pPr>
        <w:ind w:left="1080" w:right="36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6" w:lineRule="exact"/>
        <w:rPr>
          <w:rFonts w:ascii="Arial" w:cs="Arial" w:eastAsia="Arial" w:hAnsi="Arial"/>
          <w:sz w:val="18"/>
          <w:szCs w:val="18"/>
          <w:color w:val="auto"/>
        </w:rPr>
      </w:pPr>
    </w:p>
    <w:p>
      <w:pPr>
        <w:ind w:left="1080" w:firstLine="391"/>
        <w:spacing w:after="0" w:line="264" w:lineRule="auto"/>
        <w:tabs>
          <w:tab w:leader="none" w:pos="17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 or</w:t>
      </w:r>
    </w:p>
    <w:p>
      <w:pPr>
        <w:spacing w:after="0" w:line="86" w:lineRule="exact"/>
        <w:rPr>
          <w:rFonts w:ascii="Arial" w:cs="Arial" w:eastAsia="Arial" w:hAnsi="Arial"/>
          <w:sz w:val="18"/>
          <w:szCs w:val="18"/>
          <w:color w:val="auto"/>
        </w:rPr>
      </w:pPr>
    </w:p>
    <w:p>
      <w:pPr>
        <w:ind w:left="1080" w:right="12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87"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Glossary</w:t>
      </w:r>
    </w:p>
    <w:p>
      <w:pPr>
        <w:spacing w:after="0" w:line="131"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reduced if the lessee terminated the lease on the first date that it could be terminated, then this lower net amount will be used.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“Consolidated Net Tangible Assets” </w:t>
      </w:r>
      <w:r>
        <w:rPr>
          <w:rFonts w:ascii="Arial" w:cs="Arial" w:eastAsia="Arial" w:hAnsi="Arial"/>
          <w:sz w:val="16"/>
          <w:szCs w:val="16"/>
          <w:color w:val="auto"/>
        </w:rPr>
        <w:t>means the total amount of assets of Waste Management, Inc. and its consolidated subsidiaries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less:</w:t>
      </w:r>
    </w:p>
    <w:p>
      <w:pPr>
        <w:spacing w:after="0" w:line="116" w:lineRule="exact"/>
        <w:rPr>
          <w:sz w:val="20"/>
          <w:szCs w:val="20"/>
          <w:color w:val="auto"/>
        </w:rPr>
      </w:pPr>
    </w:p>
    <w:p>
      <w:pPr>
        <w:ind w:left="1300" w:right="12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sheet of the indebted party and (b) all guarantees of Indebtedness.</w:t>
      </w:r>
    </w:p>
    <w:p>
      <w:pPr>
        <w:spacing w:after="0" w:line="76"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i w:val="1"/>
          <w:iCs w:val="1"/>
          <w:color w:val="auto"/>
        </w:rPr>
        <w:t xml:space="preserve">“Restricted Subsidiary” </w:t>
      </w:r>
      <w:r>
        <w:rPr>
          <w:rFonts w:ascii="Arial" w:cs="Arial" w:eastAsia="Arial" w:hAnsi="Arial"/>
          <w:sz w:val="17"/>
          <w:szCs w:val="17"/>
          <w:color w:val="auto"/>
        </w:rPr>
        <w:t>means any Subsidiary (a) principally engaged in, or whose principal assets consist of property used by us</w:t>
      </w:r>
      <w:r>
        <w:rPr>
          <w:rFonts w:ascii="Arial" w:cs="Arial" w:eastAsia="Arial" w:hAnsi="Arial"/>
          <w:sz w:val="17"/>
          <w:szCs w:val="17"/>
          <w:i w:val="1"/>
          <w:iCs w:val="1"/>
          <w:color w:val="auto"/>
        </w:rPr>
        <w:t xml:space="preserve"> </w:t>
      </w:r>
      <w:r>
        <w:rPr>
          <w:rFonts w:ascii="Arial" w:cs="Arial" w:eastAsia="Arial" w:hAnsi="Arial"/>
          <w:sz w:val="17"/>
          <w:szCs w:val="17"/>
          <w:color w:val="auto"/>
        </w:rPr>
        <w:t>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1"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Property that we or such Restricted Subsidiary has sold or transferred or will sell or transfer to that person. This term excludes the following:</w:t>
      </w:r>
    </w:p>
    <w:p>
      <w:pPr>
        <w:spacing w:after="0" w:line="87" w:lineRule="exact"/>
        <w:rPr>
          <w:sz w:val="20"/>
          <w:szCs w:val="20"/>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31"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by one or more other Subsidiaries, or by us and one or more other Subsidiaries.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that may be outstanding from time to time.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2"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87"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authorized to issue 1,500,000,000 shares of common stock, of which 490,957,915 shares were outstanding at September 18, 2009. We are also authorized to issue 10,000,000 shares of preferred stock, none of which were outstanding on that date.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are entitled to receive dividends when declared by our Board of Directors. In certain cases,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may not receive dividends until we satisfy our obligations to any preferred stockholders.</w:t>
      </w:r>
    </w:p>
    <w:p>
      <w:pPr>
        <w:spacing w:after="0" w:line="5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vote on. Common stockholders do not have cumulative voting rights. Accordingly, the holders of a majority of shares voting for the election of directors can elect all of the directors standing for election.</w:t>
      </w:r>
    </w:p>
    <w:p>
      <w:pPr>
        <w:spacing w:after="0" w:line="8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will also be, upon issuance and sale, validly issued, fully paid and non-assessable.</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share ratably in the assets remaining after we pay our creditors and any preferred stockholders.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BNY Mellon Shareowner Services in Jersey</w:t>
      </w:r>
      <w:r>
        <w:rPr>
          <w:rFonts w:ascii="Arial" w:cs="Arial" w:eastAsia="Arial" w:hAnsi="Arial"/>
          <w:sz w:val="18"/>
          <w:szCs w:val="18"/>
          <w:i w:val="1"/>
          <w:iCs w:val="1"/>
          <w:color w:val="auto"/>
        </w:rPr>
        <w:t xml:space="preserve"> </w:t>
      </w:r>
      <w:r>
        <w:rPr>
          <w:rFonts w:ascii="Arial" w:cs="Arial" w:eastAsia="Arial" w:hAnsi="Arial"/>
          <w:sz w:val="18"/>
          <w:szCs w:val="18"/>
          <w:color w:val="auto"/>
        </w:rPr>
        <w:t>City, New Jersey.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9"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7" w:lineRule="exact"/>
        <w:rPr>
          <w:sz w:val="20"/>
          <w:szCs w:val="20"/>
          <w:color w:val="auto"/>
        </w:rPr>
      </w:pPr>
    </w:p>
    <w:p>
      <w:pPr>
        <w:ind w:left="1300" w:right="18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7"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 In addition, we have entered into indemnification agreements with each of our directors as well as certain of our executive officers. These agreements generally provide that the individuals will be indemnified to the fullest extent of Delaware law.</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7" w:lineRule="exact"/>
        <w:rPr>
          <w:sz w:val="20"/>
          <w:szCs w:val="20"/>
          <w:color w:val="auto"/>
        </w:rPr>
      </w:pPr>
    </w:p>
    <w:p>
      <w:pPr>
        <w:ind w:left="700" w:right="460" w:firstLine="397"/>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17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7"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4"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firstLine="397"/>
        <w:spacing w:after="0" w:line="312" w:lineRule="auto"/>
        <w:rPr>
          <w:sz w:val="20"/>
          <w:szCs w:val="20"/>
          <w:color w:val="auto"/>
        </w:rPr>
      </w:pPr>
      <w:r>
        <w:rPr>
          <w:rFonts w:ascii="Arial" w:cs="Arial" w:eastAsia="Arial" w:hAnsi="Arial"/>
          <w:sz w:val="16"/>
          <w:szCs w:val="16"/>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92" w:lineRule="exact"/>
        <w:rPr>
          <w:sz w:val="20"/>
          <w:szCs w:val="20"/>
          <w:color w:val="auto"/>
        </w:rPr>
      </w:pPr>
    </w:p>
    <w:p>
      <w:pPr>
        <w:ind w:left="700" w:right="480" w:firstLine="397"/>
        <w:spacing w:after="0" w:line="276"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7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4"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SELLING SECURITYHOLDERS</w:t>
      </w:r>
    </w:p>
    <w:p>
      <w:pPr>
        <w:spacing w:after="0" w:line="135" w:lineRule="exact"/>
        <w:rPr>
          <w:sz w:val="20"/>
          <w:szCs w:val="20"/>
          <w:color w:val="auto"/>
        </w:rPr>
      </w:pPr>
    </w:p>
    <w:p>
      <w:pPr>
        <w:ind w:left="700" w:right="640" w:firstLine="397"/>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5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2008 including the schedule appearing therein, and the effectiveness of Waste Management, Inc.’s internal control over financial reporting as of December 31, 2008,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44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63500</wp:posOffset>
            </wp:positionV>
            <wp:extent cx="1269365"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24"/>
          <w:szCs w:val="24"/>
          <w:b w:val="1"/>
          <w:bCs w:val="1"/>
          <w:color w:val="auto"/>
        </w:rPr>
        <w:t>% Senior Notes due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79375</wp:posOffset>
            </wp:positionV>
            <wp:extent cx="19551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13" w:lineRule="exact"/>
        <w:rPr>
          <w:sz w:val="20"/>
          <w:szCs w:val="20"/>
          <w:color w:val="auto"/>
        </w:rPr>
      </w:pPr>
    </w:p>
    <w:p>
      <w:pPr>
        <w:jc w:val="center"/>
        <w:ind w:right="-108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88265</wp:posOffset>
            </wp:positionV>
            <wp:extent cx="19551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86" w:lineRule="exact"/>
        <w:rPr>
          <w:sz w:val="20"/>
          <w:szCs w:val="20"/>
          <w:color w:val="auto"/>
        </w:rPr>
      </w:pPr>
    </w:p>
    <w:p>
      <w:pPr>
        <w:jc w:val="center"/>
        <w:ind w:right="-1080"/>
        <w:spacing w:after="0"/>
        <w:rPr>
          <w:sz w:val="20"/>
          <w:szCs w:val="20"/>
          <w:color w:val="auto"/>
        </w:rPr>
      </w:pPr>
      <w:r>
        <w:rPr>
          <w:rFonts w:ascii="Arial" w:cs="Arial" w:eastAsia="Arial" w:hAnsi="Arial"/>
          <w:sz w:val="16"/>
          <w:szCs w:val="16"/>
          <w:i w:val="1"/>
          <w:iCs w:val="1"/>
          <w:color w:val="auto"/>
        </w:rPr>
        <w:t>Joint Book-Running and Joint Lead Managers</w:t>
      </w:r>
    </w:p>
    <w:p>
      <w:pPr>
        <w:spacing w:after="0" w:line="194"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Credit Suisse</w:t>
      </w:r>
    </w:p>
    <w:p>
      <w:pPr>
        <w:spacing w:after="0" w:line="226"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J.P. Morgan</w:t>
      </w:r>
    </w:p>
    <w:p>
      <w:pPr>
        <w:spacing w:after="0" w:line="226" w:lineRule="exact"/>
        <w:rPr>
          <w:sz w:val="20"/>
          <w:szCs w:val="20"/>
          <w:color w:val="auto"/>
        </w:rPr>
      </w:pPr>
    </w:p>
    <w:p>
      <w:pPr>
        <w:jc w:val="center"/>
        <w:ind w:right="-1080"/>
        <w:spacing w:after="0"/>
        <w:rPr>
          <w:sz w:val="20"/>
          <w:szCs w:val="20"/>
          <w:color w:val="auto"/>
        </w:rPr>
      </w:pPr>
      <w:r>
        <w:rPr>
          <w:rFonts w:ascii="Arial" w:cs="Arial" w:eastAsia="Arial" w:hAnsi="Arial"/>
          <w:sz w:val="31"/>
          <w:szCs w:val="31"/>
          <w:b w:val="1"/>
          <w:bCs w:val="1"/>
          <w:color w:val="auto"/>
        </w:rPr>
        <w:t>Wells Fargo Securities</w:t>
      </w:r>
    </w:p>
    <w:p>
      <w:pPr>
        <w:spacing w:after="0" w:line="1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160655</wp:posOffset>
            </wp:positionV>
            <wp:extent cx="630301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713"/>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lvl w:ilvl="1">
      <w:lvlJc w:val="left"/>
      <w:lvlText w:val="(%2)"/>
      <w:numFmt w:val="lowerLetter"/>
      <w:start w:val="1"/>
    </w:lvl>
  </w:abstractNum>
  <w:abstractNum w:abstractNumId="10">
    <w:nsid w:val="B03E0C6"/>
    <w:multiLevelType w:val="hybridMultilevel"/>
    <w:lvl w:ilvl="0">
      <w:lvlJc w:val="left"/>
      <w:lvlText w:val="(%1)"/>
      <w:numFmt w:val="decimal"/>
      <w:start w:val="2"/>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Roman"/>
      <w:start w:val="2"/>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Letter"/>
      <w:start w:val="1"/>
    </w:lvl>
    <w:lvl w:ilvl="1">
      <w:lvlJc w:val="left"/>
      <w:lvlText w:val="•"/>
      <w:numFmt w:val="bullet"/>
      <w:start w:val="1"/>
    </w:lvl>
  </w:abstractNum>
  <w:abstractNum w:abstractNumId="35">
    <w:nsid w:val="2463B9EA"/>
    <w:multiLevelType w:val="hybridMultilevel"/>
    <w:lvl w:ilvl="0">
      <w:lvlJc w:val="left"/>
      <w:lvlText w:val="(%1)"/>
      <w:numFmt w:val="lowerLetter"/>
      <w:start w:val="12"/>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2019-12-16T13:22:20Z</dcterms:created>
  <dcterms:modified xsi:type="dcterms:W3CDTF">2019-12-16T13:22:20Z</dcterms:modified>
</cp:coreProperties>
</file>