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936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0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6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CHARLES 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FANNIN</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06/01/2006</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11"/>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01" w:lineRule="exact"/>
        <w:rPr>
          <w:sz w:val="24"/>
          <w:szCs w:val="24"/>
          <w:color w:val="auto"/>
        </w:rPr>
      </w:pPr>
    </w:p>
    <w:p>
      <w:pPr>
        <w:sectPr>
          <w:pgSz w:w="11900" w:h="16838" w:orient="portrait"/>
          <w:cols w:equalWidth="0" w:num="3">
            <w:col w:w="3340" w:space="720"/>
            <w:col w:w="3380" w:space="609"/>
            <w:col w:w="3471"/>
          </w:cols>
          <w:pgMar w:left="240" w:top="218" w:right="139" w:bottom="65"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58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100,000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24.01</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154,454.9821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60,000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19.61</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214,454.9821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65,000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27.88</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279,454.9821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15,000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27.125</w:t>
            </w: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294,454.9821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w w:val="99"/>
              </w:rPr>
              <w:t>5,300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36.95</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289,154.9821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16,000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36.91</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273,154.9821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w w:val="99"/>
              </w:rPr>
              <w:t>7,300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265,854.9821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02"/>
              <w:spacing w:after="0"/>
              <w:rPr>
                <w:sz w:val="20"/>
                <w:szCs w:val="20"/>
                <w:color w:val="auto"/>
              </w:rPr>
            </w:pPr>
            <w:r>
              <w:rPr>
                <w:rFonts w:ascii="Times New Roman" w:cs="Times New Roman" w:eastAsia="Times New Roman" w:hAnsi="Times New Roman"/>
                <w:sz w:val="17"/>
                <w:szCs w:val="17"/>
                <w:color w:val="0000FF"/>
              </w:rPr>
              <w:t>48,700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36.88</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217,154.9821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rPr>
              <w:t>800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36.87</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216,354.9821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w w:val="99"/>
              </w:rPr>
              <w:t>1,700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36.86</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214,654.9821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36.85</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214,554.9821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w w:val="99"/>
              </w:rPr>
              <w:t>3,300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36.84</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211,254.9821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rPr>
              <w:t>900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36.83</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210,354.9821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w w:val="99"/>
              </w:rPr>
              <w:t>8,300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36.82</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202,054.9821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rPr>
              <w:t>400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36.81</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201,654.9821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gridSpan w:val="3"/>
          </w:tcPr>
          <w:p>
            <w:pPr>
              <w:jc w:val="center"/>
              <w:ind w:left="582"/>
              <w:spacing w:after="0"/>
              <w:rPr>
                <w:sz w:val="20"/>
                <w:szCs w:val="20"/>
                <w:color w:val="auto"/>
              </w:rPr>
            </w:pPr>
            <w:r>
              <w:rPr>
                <w:rFonts w:ascii="Times New Roman" w:cs="Times New Roman" w:eastAsia="Times New Roman" w:hAnsi="Times New Roman"/>
                <w:sz w:val="17"/>
                <w:szCs w:val="17"/>
                <w:color w:val="0000FF"/>
              </w:rPr>
              <w:t>06/01/2006</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5"/>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Pr>
          <w:p>
            <w:pPr>
              <w:jc w:val="center"/>
              <w:ind w:left="122"/>
              <w:spacing w:after="0"/>
              <w:rPr>
                <w:sz w:val="20"/>
                <w:szCs w:val="20"/>
                <w:color w:val="auto"/>
              </w:rPr>
            </w:pPr>
            <w:r>
              <w:rPr>
                <w:rFonts w:ascii="Times New Roman" w:cs="Times New Roman" w:eastAsia="Times New Roman" w:hAnsi="Times New Roman"/>
                <w:sz w:val="17"/>
                <w:szCs w:val="17"/>
                <w:color w:val="0000FF"/>
              </w:rPr>
              <w:t>800</w:t>
            </w:r>
          </w:p>
        </w:tc>
        <w:tc>
          <w:tcPr>
            <w:tcW w:w="640" w:type="dxa"/>
            <w:vAlign w:val="bottom"/>
          </w:tcPr>
          <w:p>
            <w:pPr>
              <w:jc w:val="center"/>
              <w:ind w:left="125"/>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w:t>
            </w:r>
          </w:p>
        </w:tc>
        <w:tc>
          <w:tcPr>
            <w:tcW w:w="40" w:type="dxa"/>
            <w:vAlign w:val="bottom"/>
          </w:tcPr>
          <w:p>
            <w:pPr>
              <w:spacing w:after="0"/>
              <w:rPr>
                <w:sz w:val="23"/>
                <w:szCs w:val="23"/>
                <w:color w:val="auto"/>
              </w:rPr>
            </w:pPr>
          </w:p>
        </w:tc>
        <w:tc>
          <w:tcPr>
            <w:tcW w:w="1340" w:type="dxa"/>
            <w:vAlign w:val="bottom"/>
            <w:gridSpan w:val="3"/>
          </w:tcPr>
          <w:p>
            <w:pPr>
              <w:jc w:val="right"/>
              <w:ind w:right="139"/>
              <w:spacing w:after="0"/>
              <w:rPr>
                <w:sz w:val="20"/>
                <w:szCs w:val="20"/>
                <w:color w:val="auto"/>
              </w:rPr>
            </w:pPr>
            <w:r>
              <w:rPr>
                <w:rFonts w:ascii="Times New Roman" w:cs="Times New Roman" w:eastAsia="Times New Roman" w:hAnsi="Times New Roman"/>
                <w:sz w:val="17"/>
                <w:szCs w:val="17"/>
                <w:color w:val="0000FF"/>
              </w:rPr>
              <w:t>200,854.9821</w:t>
            </w:r>
          </w:p>
        </w:tc>
        <w:tc>
          <w:tcPr>
            <w:tcW w:w="28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60" w:type="dxa"/>
            <w:vAlign w:val="bottom"/>
            <w:gridSpan w:val="10"/>
          </w:tcPr>
          <w:p>
            <w:pPr>
              <w:jc w:val="center"/>
              <w:ind w:left="46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jc w:val="center"/>
              <w:ind w:right="480"/>
              <w:spacing w:after="0" w:line="133" w:lineRule="exact"/>
              <w:rPr>
                <w:sz w:val="20"/>
                <w:szCs w:val="20"/>
                <w:color w:val="auto"/>
              </w:rPr>
            </w:pPr>
            <w:r>
              <w:rPr>
                <w:rFonts w:ascii="Arial" w:cs="Arial" w:eastAsia="Arial" w:hAnsi="Arial"/>
                <w:sz w:val="12"/>
                <w:szCs w:val="12"/>
                <w:b w:val="1"/>
                <w:bCs w:val="1"/>
                <w:color w:val="auto"/>
                <w:w w:val="97"/>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jc w:val="center"/>
              <w:ind w:left="100"/>
              <w:spacing w:after="0"/>
              <w:rPr>
                <w:sz w:val="20"/>
                <w:szCs w:val="20"/>
                <w:color w:val="auto"/>
              </w:rPr>
            </w:pPr>
            <w:r>
              <w:rPr>
                <w:rFonts w:ascii="Arial" w:cs="Arial" w:eastAsia="Arial" w:hAnsi="Arial"/>
                <w:sz w:val="12"/>
                <w:szCs w:val="12"/>
                <w:color w:val="auto"/>
                <w:w w:val="98"/>
              </w:rPr>
              <w:t>$</w:t>
            </w:r>
            <w:r>
              <w:rPr>
                <w:rFonts w:ascii="Times New Roman" w:cs="Times New Roman" w:eastAsia="Times New Roman" w:hAnsi="Times New Roman"/>
                <w:sz w:val="13"/>
                <w:szCs w:val="13"/>
                <w:color w:val="0000FF"/>
                <w:w w:val="98"/>
              </w:rPr>
              <w:t>27.125</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06/01/2006</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jc w:val="center"/>
              <w:ind w:left="279"/>
              <w:spacing w:after="0"/>
              <w:rPr>
                <w:sz w:val="20"/>
                <w:szCs w:val="20"/>
                <w:color w:val="auto"/>
              </w:rPr>
            </w:pPr>
            <w:r>
              <w:rPr>
                <w:rFonts w:ascii="Times New Roman" w:cs="Times New Roman" w:eastAsia="Times New Roman" w:hAnsi="Times New Roman"/>
                <w:sz w:val="13"/>
                <w:szCs w:val="13"/>
                <w:color w:val="0000FF"/>
              </w:rPr>
              <w:t>15,000</w:t>
            </w: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08/30/1997</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08/30/2006</w:t>
            </w:r>
          </w:p>
        </w:tc>
        <w:tc>
          <w:tcPr>
            <w:tcW w:w="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27.125</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12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jc w:val="cente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24.01</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06/01/2006</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jc w:val="center"/>
              <w:ind w:left="279"/>
              <w:spacing w:after="0"/>
              <w:rPr>
                <w:sz w:val="20"/>
                <w:szCs w:val="20"/>
                <w:color w:val="auto"/>
              </w:rPr>
            </w:pPr>
            <w:r>
              <w:rPr>
                <w:rFonts w:ascii="Times New Roman" w:cs="Times New Roman" w:eastAsia="Times New Roman" w:hAnsi="Times New Roman"/>
                <w:sz w:val="13"/>
                <w:szCs w:val="13"/>
                <w:color w:val="0000FF"/>
                <w:w w:val="99"/>
              </w:rPr>
              <w:t>100,000</w:t>
            </w: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03/01/2002</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03/01/2011</w:t>
            </w:r>
          </w:p>
        </w:tc>
        <w:tc>
          <w:tcPr>
            <w:tcW w:w="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12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jc w:val="cente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27.88</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06/01/2006</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jc w:val="center"/>
              <w:ind w:left="279"/>
              <w:spacing w:after="0"/>
              <w:rPr>
                <w:sz w:val="20"/>
                <w:szCs w:val="20"/>
                <w:color w:val="auto"/>
              </w:rPr>
            </w:pPr>
            <w:r>
              <w:rPr>
                <w:rFonts w:ascii="Times New Roman" w:cs="Times New Roman" w:eastAsia="Times New Roman" w:hAnsi="Times New Roman"/>
                <w:sz w:val="13"/>
                <w:szCs w:val="13"/>
                <w:color w:val="0000FF"/>
              </w:rPr>
              <w:t>65,000</w:t>
            </w: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03/07/2003</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03/07/2012</w:t>
            </w:r>
          </w:p>
        </w:tc>
        <w:tc>
          <w:tcPr>
            <w:tcW w:w="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65,000</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27.88</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0.0000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(3)</w:t>
      </w:r>
    </w:p>
    <w:p>
      <w:pPr>
        <w:sectPr>
          <w:pgSz w:w="11900" w:h="16838" w:orient="portrait"/>
          <w:cols w:equalWidth="0" w:num="1">
            <w:col w:w="11520"/>
          </w:cols>
          <w:pgMar w:left="240" w:top="218" w:right="139" w:bottom="6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1919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1919605"/>
                    </a:xfrm>
                    <a:prstGeom prst="rect">
                      <a:avLst/>
                    </a:prstGeom>
                    <a:noFill/>
                  </pic:spPr>
                </pic:pic>
              </a:graphicData>
            </a:graphic>
          </wp:anchor>
        </w:drawing>
        <w:t>Table II - Derivative Securities Acquired, Disposed of, or Beneficially Owned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19.61</w:t>
            </w:r>
          </w:p>
        </w:tc>
        <w:tc>
          <w:tcPr>
            <w:tcW w:w="1120" w:type="dxa"/>
            <w:vAlign w:val="bottom"/>
            <w:vMerge w:val="restart"/>
          </w:tcPr>
          <w:p>
            <w:pPr>
              <w:jc w:val="right"/>
              <w:ind w:right="199"/>
              <w:spacing w:after="0"/>
              <w:rPr>
                <w:sz w:val="20"/>
                <w:szCs w:val="20"/>
                <w:color w:val="auto"/>
              </w:rPr>
            </w:pPr>
            <w:r>
              <w:rPr>
                <w:rFonts w:ascii="Times New Roman" w:cs="Times New Roman" w:eastAsia="Times New Roman" w:hAnsi="Times New Roman"/>
                <w:sz w:val="13"/>
                <w:szCs w:val="13"/>
                <w:color w:val="0000FF"/>
              </w:rPr>
              <w:t>06/01/2006</w:t>
            </w:r>
          </w:p>
        </w:tc>
        <w:tc>
          <w:tcPr>
            <w:tcW w:w="110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60,000</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03/06/2004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03/06/2013</w:t>
            </w:r>
          </w:p>
        </w:tc>
        <w:tc>
          <w:tcPr>
            <w:tcW w:w="70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60,000</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19.61</w:t>
            </w: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0.0000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60" w:hanging="134"/>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1993 Stock Incentive Plan. Stock option vests in 20% annual increments, commencing on the first anniversary date of the date of grant.</w:t>
      </w:r>
    </w:p>
    <w:p>
      <w:pPr>
        <w:spacing w:after="0" w:line="48" w:lineRule="exact"/>
        <w:rPr>
          <w:rFonts w:ascii="Times New Roman" w:cs="Times New Roman" w:eastAsia="Times New Roman" w:hAnsi="Times New Roman"/>
          <w:sz w:val="13"/>
          <w:szCs w:val="13"/>
          <w:color w:val="008000"/>
        </w:rPr>
      </w:pPr>
    </w:p>
    <w:p>
      <w:pPr>
        <w:ind w:left="160" w:hanging="134"/>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2000 Stock Incentive Plan. Stock option vests in 25% annual increments, commencing on the first anniversary of the date of grant.</w:t>
      </w:r>
    </w:p>
    <w:p>
      <w:pPr>
        <w:spacing w:after="0" w:line="48" w:lineRule="exact"/>
        <w:rPr>
          <w:rFonts w:ascii="Times New Roman" w:cs="Times New Roman" w:eastAsia="Times New Roman" w:hAnsi="Times New Roman"/>
          <w:sz w:val="13"/>
          <w:szCs w:val="13"/>
          <w:color w:val="008000"/>
        </w:rPr>
      </w:pPr>
    </w:p>
    <w:p>
      <w:pPr>
        <w:ind w:left="20" w:right="280" w:firstLine="6"/>
        <w:spacing w:after="0" w:line="269" w:lineRule="auto"/>
        <w:tabs>
          <w:tab w:leader="none" w:pos="15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0000FF"/>
        </w:rPr>
        <w:t>Linda J. Smith, attorney-in-fact  06/05/2006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-6350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45" w:lineRule="exact"/>
        <w:rPr>
          <w:sz w:val="20"/>
          <w:szCs w:val="20"/>
          <w:color w:val="auto"/>
        </w:rPr>
      </w:pPr>
    </w:p>
    <w:p>
      <w:pPr>
        <w:ind w:left="684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40" w:firstLine="6"/>
        <w:spacing w:after="0" w:line="316"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5"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1"/>
        </w:trPr>
        <w:tc>
          <w:tcPr>
            <w:tcW w:w="88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ATTORNEY</w:t>
            </w: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by these</w:t>
            </w:r>
          </w:p>
        </w:tc>
        <w:tc>
          <w:tcPr>
            <w:tcW w:w="58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8"/>
        </w:trPr>
        <w:tc>
          <w:tcPr>
            <w:tcW w:w="130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620" w:type="dxa"/>
            <w:vAlign w:val="bottom"/>
          </w:tcPr>
          <w:p>
            <w:pPr>
              <w:ind w:left="60"/>
              <w:spacing w:after="0"/>
              <w:rPr>
                <w:sz w:val="20"/>
                <w:szCs w:val="20"/>
                <w:color w:val="auto"/>
              </w:rPr>
            </w:pPr>
            <w:r>
              <w:rPr>
                <w:rFonts w:ascii="Courier New" w:cs="Courier New" w:eastAsia="Courier New" w:hAnsi="Courier New"/>
                <w:sz w:val="17"/>
                <w:szCs w:val="17"/>
                <w:color w:val="auto"/>
              </w:rPr>
              <w:t>P. Steiner, John Tsai, Amanda Maki</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w w:val="99"/>
              </w:rPr>
              <w:t>and Linda J.</w:t>
            </w: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undersigned's</w:t>
            </w:r>
          </w:p>
        </w:tc>
        <w:tc>
          <w:tcPr>
            <w:tcW w:w="3620" w:type="dxa"/>
            <w:vAlign w:val="bottom"/>
          </w:tcPr>
          <w:p>
            <w:pPr>
              <w:ind w:left="60"/>
              <w:spacing w:after="0"/>
              <w:rPr>
                <w:sz w:val="20"/>
                <w:szCs w:val="20"/>
                <w:color w:val="auto"/>
              </w:rPr>
            </w:pPr>
            <w:r>
              <w:rPr>
                <w:rFonts w:ascii="Courier New" w:cs="Courier New" w:eastAsia="Courier New" w:hAnsi="Courier New"/>
                <w:sz w:val="17"/>
                <w:szCs w:val="17"/>
                <w:color w:val="auto"/>
              </w:rPr>
              <w:t>true and lawful attorneys-in-fact,</w:t>
            </w:r>
          </w:p>
        </w:tc>
        <w:tc>
          <w:tcPr>
            <w:tcW w:w="128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291"/>
        </w:trPr>
        <w:tc>
          <w:tcPr>
            <w:tcW w:w="58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substitution, to:</w:t>
            </w:r>
          </w:p>
        </w:tc>
        <w:tc>
          <w:tcPr>
            <w:tcW w:w="36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06" w:lineRule="exact"/>
        <w:rPr>
          <w:sz w:val="20"/>
          <w:szCs w:val="20"/>
          <w:color w:val="auto"/>
        </w:rPr>
      </w:pPr>
    </w:p>
    <w:p>
      <w:pPr>
        <w:ind w:right="2679" w:firstLine="6"/>
        <w:spacing w:after="0" w:line="257"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ind w:right="2379"/>
        <w:spacing w:after="0" w:line="28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68" w:lineRule="exact"/>
        <w:rPr>
          <w:rFonts w:ascii="Courier New" w:cs="Courier New" w:eastAsia="Courier New" w:hAnsi="Courier New"/>
          <w:sz w:val="17"/>
          <w:szCs w:val="17"/>
          <w:color w:val="auto"/>
        </w:rPr>
      </w:pPr>
    </w:p>
    <w:p>
      <w:pPr>
        <w:ind w:right="2259" w:firstLine="6"/>
        <w:spacing w:after="0" w:line="288"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67" w:lineRule="exact"/>
        <w:rPr>
          <w:rFonts w:ascii="Courier New" w:cs="Courier New" w:eastAsia="Courier New" w:hAnsi="Courier New"/>
          <w:sz w:val="17"/>
          <w:szCs w:val="17"/>
          <w:color w:val="auto"/>
        </w:rPr>
      </w:pPr>
    </w:p>
    <w:p>
      <w:pPr>
        <w:ind w:right="2379" w:firstLine="6"/>
        <w:spacing w:after="0" w:line="264"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1" w:lineRule="exact"/>
        <w:rPr>
          <w:sz w:val="20"/>
          <w:szCs w:val="20"/>
          <w:color w:val="auto"/>
        </w:rPr>
      </w:pPr>
    </w:p>
    <w:p>
      <w:pPr>
        <w:ind w:right="2779"/>
        <w:spacing w:after="0" w:line="256"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01" w:lineRule="exact"/>
        <w:rPr>
          <w:sz w:val="20"/>
          <w:szCs w:val="20"/>
          <w:color w:val="auto"/>
        </w:rPr>
      </w:pPr>
    </w:p>
    <w:p>
      <w:pPr>
        <w:ind w:right="2999"/>
        <w:spacing w:after="0" w:line="27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75" w:lineRule="exact"/>
        <w:rPr>
          <w:sz w:val="20"/>
          <w:szCs w:val="20"/>
          <w:color w:val="auto"/>
        </w:rPr>
      </w:pPr>
    </w:p>
    <w:p>
      <w:pPr>
        <w:ind w:right="3099"/>
        <w:spacing w:after="0" w:line="370"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29th day of August, 2002.</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Charles E. Williams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E. Williams</w:t>
      </w:r>
    </w:p>
    <w:sectPr>
      <w:pgSz w:w="11900" w:h="16838" w:orient="portrait"/>
      <w:cols w:equalWidth="0" w:num="2">
        <w:col w:w="1040" w:space="620"/>
        <w:col w:w="855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9704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2019-12-16T05:29:15Z</dcterms:created>
  <dcterms:modified xsi:type="dcterms:W3CDTF">2019-12-16T05:29:15Z</dcterms:modified>
</cp:coreProperties>
</file>