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Material Definitive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On November 5, 2024, Waste Management, Inc. (the “Company”) repaid in full all borrowings under its </w:t>
      </w:r>
      <w:r>
        <w:rPr>
          <w:rFonts w:ascii="Times New Roman" w:cs="Times New Roman" w:eastAsia="Times New Roman" w:hAnsi="Times New Roman"/>
          <w:sz w:val="18"/>
          <w:szCs w:val="18"/>
          <w:color w:val="000000"/>
        </w:rPr>
        <w:t>delayed draw Term Credit Agreement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dated August 28, 2024 (as amended, the “Credit Agreement”) and terminated the 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$5.2 billion principal amount of borrowings under the Credit Agreement on October 30, 2024. The borrowings were used to fund the majority of the consideration for the Company’s acquisition of Stericycle, Inc. that closed on November 4, 2024. Net proceeds from the Company’s issuance and sale of $5.2 billion of senior notes that also closed on November 4, 2024 were applied to repayment of the Credit Agreement borrowings.</w:t>
      </w:r>
    </w:p>
    <w:p>
      <w:pPr>
        <w:spacing w:after="0" w:line="180"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summary of the material terms of the Credit Agreement are set forth in Item 1.01 of the Company’s Current Report on Form 8-K filed </w:t>
      </w:r>
      <w:hyperlink r:id="rId14">
        <w:r>
          <w:rPr>
            <w:rFonts w:ascii="Times New Roman" w:cs="Times New Roman" w:eastAsia="Times New Roman" w:hAnsi="Times New Roman"/>
            <w:sz w:val="18"/>
            <w:szCs w:val="18"/>
            <w:u w:val="single" w:color="auto"/>
            <w:color w:val="0000EE"/>
          </w:rPr>
          <w:t>September 3,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4" Type="http://schemas.openxmlformats.org/officeDocument/2006/relationships/hyperlink" Target="https://www.sec.gov/ix?doc=/Archives/edgar/data/823768/000110465924096357/tm242297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2024-11-07T16:17:07Z</dcterms:created>
  <dcterms:modified xsi:type="dcterms:W3CDTF">2024-11-07T16:17:07Z</dcterms:modified>
</cp:coreProperties>
</file>