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213288-3_424b3.htm"/>
        <w:bookmarkStart w:id="1" w:name="kstm22132883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4">
                <wp:simplePos x="0" y="0"/>
                <wp:positionH relativeFrom="column">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wps:spPr>
                      <wps:txbx>
                        <w:txbxContent>
                          <w:p>
                            <w:pPr>
                              <w:pStyle w:val="TextBody"/>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text">
                <v:textbox>
                  <w:txbxContent>
                    <w:p>
                      <w:pPr>
                        <w:pStyle w:val="TextBody"/>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v:rect>
            </w:pict>
          </mc:Fallback>
        </mc:AlternateContent>
      </w:r>
    </w:p>
    <w:p>
      <w:pPr>
        <w:pStyle w:val="TextBody"/>
        <w:spacing w:lineRule="atLeast" w:line="240" w:before="557" w:after="283"/>
        <w:ind w:left="1260" w:right="0" w:hanging="0"/>
        <w:jc w:val="right"/>
        <w:rPr>
          <w:caps w:val="false"/>
          <w:smallCaps w:val="false"/>
          <w:color w:val="000000"/>
        </w:rPr>
      </w:pPr>
      <w:r>
        <w:rPr>
          <w:caps w:val="false"/>
          <w:smallCaps w:val="false"/>
          <w:color w:val="000000"/>
          <w:spacing w:val="-4"/>
        </w:rPr>
        <w:t xml:space="preserve">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spacing w:lineRule="atLeast" w:line="200" w:before="36" w:after="283"/>
        <w:jc w:val="right"/>
        <w:rPr>
          <w:caps w:val="false"/>
          <w:smallCaps w:val="false"/>
          <w:color w:val="000000"/>
        </w:rPr>
      </w:pPr>
      <w:r>
        <w:rPr>
          <w:caps w:val="false"/>
          <w:smallCaps w:val="false"/>
          <w:color w:val="000000"/>
          <w:spacing w:val="-4"/>
        </w:rPr>
        <w:t xml:space="preserve">  </w:t>
      </w:r>
      <w:r>
        <w:rPr>
          <w:rFonts w:ascii="Times New Roman;Times;serif" w:hAnsi="Times New Roman;Times;serif"/>
          <w:b/>
          <w:i w:val="false"/>
          <w:caps w:val="false"/>
          <w:smallCaps w:val="false"/>
          <w:color w:val="000000"/>
          <w:spacing w:val="-4"/>
          <w:sz w:val="20"/>
        </w:rPr>
        <w:t>Registration File No. 333-264493</w:t>
      </w:r>
      <w:r>
        <w:rPr>
          <w:rFonts w:ascii="Times New Roman;Times;serif" w:hAnsi="Times New Roman;Times;serif"/>
          <w:b/>
          <w:i w:val="false"/>
          <w:caps w:val="false"/>
          <w:smallCaps w:val="false"/>
          <w:color w:val="000000"/>
          <w:sz w:val="20"/>
        </w:rPr>
        <w:t>​</w:t>
      </w:r>
    </w:p>
    <w:p>
      <w:pPr>
        <w:pStyle w:val="TextBody"/>
        <w:spacing w:lineRule="atLeast" w:line="240" w:before="0"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APRIL 28, 2022</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April 26, 2022)</w:t>
      </w:r>
      <w:r>
        <w:rPr>
          <w:rFonts w:ascii="Times New Roman;Times;serif" w:hAnsi="Times New Roman;Times;serif"/>
          <w:b/>
          <w:i w:val="false"/>
          <w:caps w:val="false"/>
          <w:smallCaps w:val="false"/>
          <w:color w:val="000000"/>
          <w:spacing w:val="4"/>
          <w:sz w:val="20"/>
        </w:rPr>
        <w:t xml:space="preserve"> </w:t>
      </w:r>
    </w:p>
    <w:p>
      <w:pPr>
        <w:pStyle w:val="TextBody"/>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spacing w:before="196" w:after="283"/>
        <w:jc w:val="center"/>
        <w:rPr>
          <w:caps w:val="false"/>
          <w:smallCaps w:val="false"/>
          <w:color w:val="000000"/>
        </w:rPr>
      </w:pPr>
      <w:r>
        <w:rPr>
          <w:caps w:val="false"/>
          <w:smallCaps w:val="false"/>
          <w:color w:val="000000"/>
        </w:rPr>
        <w:drawing>
          <wp:inline distT="0" distB="0" distL="0" distR="0">
            <wp:extent cx="2743200" cy="733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43200" cy="733425"/>
                    </a:xfrm>
                    <a:prstGeom prst="rect">
                      <a:avLst/>
                    </a:prstGeom>
                  </pic:spPr>
                </pic:pic>
              </a:graphicData>
            </a:graphic>
          </wp:inline>
        </w:drawing>
      </w:r>
      <w:r>
        <w:rPr>
          <w:caps w:val="false"/>
          <w:smallCaps w:val="false"/>
          <w:color w:val="000000"/>
        </w:rPr>
        <w:t xml:space="preserve"> </w:t>
      </w:r>
    </w:p>
    <w:p>
      <w:pPr>
        <w:pStyle w:val="TextBody"/>
        <w:spacing w:lineRule="atLeast" w:line="320" w:before="332"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Senior Notes due 2032</w:t>
      </w:r>
      <w:r>
        <w:rPr>
          <w:rFonts w:ascii="Times New Roman;Times;serif" w:hAnsi="Times New Roman;Times;serif"/>
          <w:b/>
          <w:i w:val="false"/>
          <w:caps w:val="false"/>
          <w:smallCaps w:val="false"/>
          <w:color w:val="000000"/>
          <w:spacing w:val="6"/>
          <w:sz w:val="28"/>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316" w:after="283"/>
        <w:ind w:left="126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$      of our    % senior notes due 2032 (the “notes”). Interest on the notes will accrue from          , 2022 and will be payable on          and          of each year, beginning          , 2022. The notes will mature on          , 2032. </w:t>
      </w:r>
    </w:p>
    <w:p>
      <w:pPr>
        <w:pStyle w:val="TextBody"/>
        <w:spacing w:lineRule="atLeast" w:line="220" w:before="240" w:after="283"/>
        <w:ind w:left="126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 </w:t>
      </w:r>
    </w:p>
    <w:p>
      <w:pPr>
        <w:pStyle w:val="TextBody"/>
        <w:spacing w:lineRule="atLeast" w:line="220" w:before="240" w:after="283"/>
        <w:ind w:left="1260" w:right="0" w:firstLine="400"/>
        <w:rPr/>
      </w:pPr>
      <w:r>
        <w:rPr>
          <w:rFonts w:ascii="Times New Roman;Times;serif" w:hAnsi="Times New Roman;Times;serif"/>
          <w:b w:val="false"/>
          <w:i w:val="false"/>
          <w:caps w:val="false"/>
          <w:smallCaps w:val="false"/>
          <w:color w:val="000000"/>
          <w:spacing w:val="4"/>
          <w:sz w:val="20"/>
        </w:rPr>
        <w:t xml:space="preserve">We may redeem the notes, in whole or in part, at any time at the redemption prices described beginning on page </w:t>
      </w:r>
      <w:hyperlink w:anchor="tOPT1">
        <w:r>
          <w:rPr>
            <w:rStyle w:val="InternetLink"/>
          </w:rPr>
          <w:t>S-11</w:t>
        </w:r>
      </w:hyperlink>
      <w:r>
        <w:rPr>
          <w:rFonts w:ascii="Times New Roman;Times;serif" w:hAnsi="Times New Roman;Times;serif"/>
          <w:b w:val="false"/>
          <w:i w:val="false"/>
          <w:caps w:val="false"/>
          <w:smallCaps w:val="false"/>
          <w:color w:val="000000"/>
          <w:spacing w:val="4"/>
          <w:sz w:val="20"/>
        </w:rPr>
        <w:t xml:space="preserve">. If a change of control triggering event as described beginning on page </w:t>
      </w:r>
      <w:hyperlink w:anchor="tCHAN1">
        <w:r>
          <w:rPr>
            <w:rStyle w:val="InternetLink"/>
          </w:rPr>
          <w:t>S-14</w:t>
        </w:r>
      </w:hyperlink>
      <w:r>
        <w:rPr>
          <w:rFonts w:ascii="Times New Roman;Times;serif" w:hAnsi="Times New Roman;Times;serif"/>
          <w:b w:val="false"/>
          <w:i w:val="false"/>
          <w:caps w:val="false"/>
          <w:smallCaps w:val="false"/>
          <w:color w:val="000000"/>
          <w:spacing w:val="4"/>
          <w:sz w:val="20"/>
        </w:rPr>
        <w:t xml:space="preserve"> occurs, we may be required to offer to purchase the notes from holders. </w:t>
      </w:r>
    </w:p>
    <w:p>
      <w:pPr>
        <w:pStyle w:val="TextBody"/>
        <w:spacing w:lineRule="atLeast" w:line="220" w:before="240" w:after="283"/>
        <w:ind w:left="1260" w:right="0" w:firstLine="400"/>
        <w:rPr/>
      </w:pPr>
      <w:r>
        <w:rPr>
          <w:rFonts w:ascii="Times New Roman;Times;serif" w:hAnsi="Times New Roman;Times;serif"/>
          <w:b/>
          <w:i w:val="false"/>
          <w:caps w:val="false"/>
          <w:smallCaps w:val="false"/>
          <w:color w:val="000000"/>
          <w:spacing w:val="-4"/>
          <w:sz w:val="20"/>
        </w:rPr>
        <w:t>Investing in the notes involves risks. See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sRIFA">
        <w:r>
          <w:rPr>
            <w:rStyle w:val="InternetLink"/>
          </w:rPr>
          <w:t>S-4</w:t>
        </w:r>
      </w:hyperlink>
      <w:r>
        <w:rPr>
          <w:rFonts w:ascii="Times New Roman;Times;serif" w:hAnsi="Times New Roman;Times;serif"/>
          <w:b/>
          <w:i w:val="false"/>
          <w:caps w:val="false"/>
          <w:smallCaps w:val="false"/>
          <w:color w:val="000000"/>
          <w:spacing w:val="-4"/>
          <w:sz w:val="20"/>
        </w:rPr>
        <w:t xml:space="preserve"> of this prospectus supplement and page </w:t>
      </w:r>
      <w:hyperlink w:anchor="tRIFA">
        <w:r>
          <w:rPr>
            <w:rStyle w:val="InternetLink"/>
          </w:rPr>
          <w:t>8</w:t>
        </w:r>
      </w:hyperlink>
      <w:r>
        <w:rPr>
          <w:rFonts w:ascii="Times New Roman;Times;serif" w:hAnsi="Times New Roman;Times;serif"/>
          <w:b/>
          <w:i w:val="false"/>
          <w:caps w:val="false"/>
          <w:smallCaps w:val="false"/>
          <w:color w:val="000000"/>
          <w:spacing w:val="-4"/>
          <w:sz w:val="20"/>
        </w:rPr>
        <w:t xml:space="preserve"> of the accompanying prospectus.</w:t>
      </w:r>
      <w:r>
        <w:rPr>
          <w:rFonts w:ascii="Times New Roman;Times;serif" w:hAnsi="Times New Roman;Times;serif"/>
          <w:b/>
          <w:i w:val="false"/>
          <w:caps w:val="false"/>
          <w:smallCaps w:val="false"/>
          <w:color w:val="000000"/>
          <w:spacing w:val="4"/>
          <w:sz w:val="20"/>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306" w:after="283"/>
        <w:ind w:left="1260"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6313" w:type="dxa"/>
        <w:jc w:val="left"/>
        <w:tblInd w:w="1260" w:type="dxa"/>
        <w:tblCellMar>
          <w:top w:w="0" w:type="dxa"/>
          <w:left w:w="0" w:type="dxa"/>
          <w:bottom w:w="28" w:type="dxa"/>
          <w:right w:w="0" w:type="dxa"/>
        </w:tblCellMar>
      </w:tblPr>
      <w:tblGrid>
        <w:gridCol w:w="3765"/>
        <w:gridCol w:w="109"/>
        <w:gridCol w:w="109"/>
        <w:gridCol w:w="109"/>
        <w:gridCol w:w="109"/>
        <w:gridCol w:w="721"/>
        <w:gridCol w:w="109"/>
        <w:gridCol w:w="109"/>
        <w:gridCol w:w="109"/>
        <w:gridCol w:w="109"/>
        <w:gridCol w:w="226"/>
        <w:gridCol w:w="466"/>
        <w:gridCol w:w="109"/>
        <w:gridCol w:w="154"/>
      </w:tblGrid>
      <w:tr>
        <w:trPr/>
        <w:tc>
          <w:tcPr>
            <w:tcW w:w="376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8"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Per Note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10"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Total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765" w:type="dxa"/>
            <w:tcBorders/>
            <w:shd w:fill="CCEEFF" w:val="clear"/>
            <w:tcMar>
              <w:bottom w:w="0" w:type="dxa"/>
            </w:tcMar>
            <w:vAlign w:val="center"/>
          </w:tcPr>
          <w:p>
            <w:pPr>
              <w:pStyle w:val="TableContents"/>
              <w:spacing w:before="0" w:after="0"/>
              <w:jc w:val="left"/>
              <w:rPr/>
            </w:pPr>
            <w:r>
              <w:rPr>
                <w:spacing w:val="4"/>
              </w:rPr>
              <w:t>Public Offering Price</w:t>
            </w:r>
            <w:r>
              <w:rPr>
                <w:spacing w:val="3"/>
                <w:sz w:val="13"/>
              </w:rPr>
              <w:t>(1)</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21" w:type="dxa"/>
            <w:tcBorders/>
            <w:shd w:fill="CCEEFF" w:val="clear"/>
            <w:tcMar>
              <w:bottom w:w="0" w:type="dxa"/>
            </w:tcMar>
            <w:vAlign w:val="center"/>
          </w:tcPr>
          <w:p>
            <w:pPr>
              <w:pStyle w:val="TableContents"/>
              <w:spacing w:before="0" w:after="283"/>
              <w:jc w:val="right"/>
              <w:rPr/>
            </w:pPr>
            <w:r>
              <w:rPr/>
              <w:t>   </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765" w:type="dxa"/>
            <w:tcBorders/>
            <w:shd w:fill="auto" w:val="clear"/>
            <w:tcMar>
              <w:bottom w:w="0" w:type="dxa"/>
            </w:tcMar>
            <w:vAlign w:val="center"/>
          </w:tcPr>
          <w:p>
            <w:pPr>
              <w:pStyle w:val="TableContents"/>
              <w:spacing w:before="0" w:after="0"/>
              <w:jc w:val="left"/>
              <w:rPr>
                <w:spacing w:val="4"/>
              </w:rPr>
            </w:pPr>
            <w:r>
              <w:rPr>
                <w:spacing w:val="4"/>
              </w:rPr>
              <w:t xml:space="preserve">Underwriting Discount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1" w:type="dxa"/>
            <w:tcBorders/>
            <w:shd w:fill="auto" w:val="clear"/>
            <w:tcMar>
              <w:bottom w:w="0" w:type="dxa"/>
            </w:tcMar>
            <w:vAlign w:val="center"/>
          </w:tcPr>
          <w:p>
            <w:pPr>
              <w:pStyle w:val="TableContents"/>
              <w:spacing w:before="0" w:after="283"/>
              <w:jc w:val="right"/>
              <w:rPr/>
            </w:pPr>
            <w:r>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rPr>
                <w:sz w:val="4"/>
                <w:szCs w:val="4"/>
              </w:rPr>
            </w:pPr>
            <w:r>
              <w:rPr>
                <w:sz w:val="4"/>
                <w:szCs w:val="4"/>
              </w:rPr>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765" w:type="dxa"/>
            <w:tcBorders/>
            <w:shd w:fill="CCEEFF" w:val="clear"/>
            <w:tcMar>
              <w:bottom w:w="0" w:type="dxa"/>
            </w:tcMar>
            <w:vAlign w:val="center"/>
          </w:tcPr>
          <w:p>
            <w:pPr>
              <w:pStyle w:val="TableContents"/>
              <w:spacing w:before="0" w:after="0"/>
              <w:jc w:val="left"/>
              <w:rPr>
                <w:spacing w:val="4"/>
              </w:rPr>
            </w:pPr>
            <w:r>
              <w:rPr>
                <w:spacing w:val="4"/>
              </w:rPr>
              <w:t xml:space="preserve">Proceeds to Us (excluding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21" w:type="dxa"/>
            <w:tcBorders/>
            <w:shd w:fill="CCEEFF" w:val="clear"/>
            <w:tcMar>
              <w:bottom w:w="0" w:type="dxa"/>
            </w:tcMar>
            <w:vAlign w:val="center"/>
          </w:tcPr>
          <w:p>
            <w:pPr>
              <w:pStyle w:val="TableContents"/>
              <w:spacing w:before="0" w:after="283"/>
              <w:jc w:val="right"/>
              <w:rPr/>
            </w:pPr>
            <w:r>
              <w:rPr/>
              <w: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26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6" w:after="0"/>
        <w:ind w:left="16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2022, if delivery occurs after that date. </w:t>
      </w:r>
      <w:r>
        <mc:AlternateContent>
          <mc:Choice Requires="wps">
            <w:drawing>
              <wp:anchor behindDoc="0" distT="9906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largest"/>
                <wp:docPr id="3"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260" w:right="0" w:hanging="0"/>
        <w:rPr>
          <w:caps w:val="false"/>
          <w:smallCaps w:val="false"/>
          <w:color w:val="000000"/>
        </w:rPr>
      </w:pPr>
      <w:r>
        <w:rPr>
          <w:caps w:val="false"/>
          <w:smallCaps w:val="false"/>
          <w:color w:val="000000"/>
        </w:rPr>
        <w:t>​</w:t>
      </w:r>
    </w:p>
    <w:p>
      <w:pPr>
        <w:pStyle w:val="TextBody"/>
        <w:spacing w:lineRule="atLeast" w:line="230" w:before="240" w:after="283"/>
        <w:ind w:left="1660"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listed on any securities exchange. Currently, there is no public market for the notes. </w:t>
      </w:r>
    </w:p>
    <w:p>
      <w:pPr>
        <w:pStyle w:val="TextBody"/>
        <w:spacing w:lineRule="atLeast" w:line="220" w:before="240" w:after="283"/>
        <w:ind w:left="126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notes to investors on or about          , 2022 only in book-entry form through the facilities of The Depository Trust Company and its participants, including Clearstream Banking S.A. and Euroclear Bank SA/NV, as operator of the Euroclear System. </w:t>
      </w:r>
    </w:p>
    <w:p>
      <w:pPr>
        <w:pStyle w:val="TextBody"/>
        <w:spacing w:lineRule="atLeast" w:line="230" w:before="2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spacing w:lineRule="atLeast" w:line="350" w:before="240" w:after="283"/>
        <w:ind w:left="1503" w:right="0" w:hanging="0"/>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BarclaysBofA Securities</w:t>
      </w:r>
      <w:r>
        <w:rPr>
          <w:rFonts w:ascii="Times New Roman;Times;serif" w:hAnsi="Times New Roman;Times;serif"/>
          <w:b/>
          <w:i w:val="false"/>
          <w:caps w:val="false"/>
          <w:smallCaps w:val="false"/>
          <w:color w:val="000000"/>
          <w:sz w:val="32"/>
        </w:rPr>
        <w:t xml:space="preserve"> </w:t>
      </w:r>
      <w:r>
        <w:rPr>
          <w:rFonts w:ascii="Times New Roman;Times;serif" w:hAnsi="Times New Roman;Times;serif"/>
          <w:b/>
          <w:i w:val="false"/>
          <w:caps w:val="false"/>
          <w:smallCaps w:val="false"/>
          <w:color w:val="000000"/>
          <w:spacing w:val="-6"/>
          <w:sz w:val="32"/>
        </w:rPr>
        <w:t>Deutsche Bank Securities</w:t>
      </w:r>
      <w:r>
        <w:rPr>
          <w:rFonts w:ascii="Times New Roman;Times;serif" w:hAnsi="Times New Roman;Times;serif"/>
          <w:b/>
          <w:i w:val="false"/>
          <w:caps w:val="false"/>
          <w:smallCaps w:val="false"/>
          <w:color w:val="000000"/>
          <w:sz w:val="32"/>
        </w:rPr>
        <w:t xml:space="preserve"> </w:t>
      </w:r>
      <w:r>
        <w:rPr>
          <w:rFonts w:ascii="Times New Roman;Times;serif" w:hAnsi="Times New Roman;Times;serif"/>
          <w:b/>
          <w:i w:val="false"/>
          <w:caps w:val="false"/>
          <w:smallCaps w:val="false"/>
          <w:color w:val="000000"/>
          <w:spacing w:val="-6"/>
          <w:sz w:val="32"/>
        </w:rPr>
        <w:t>MUFG</w:t>
      </w:r>
      <w:r>
        <w:rPr>
          <w:rFonts w:ascii="Times New Roman;Times;serif" w:hAnsi="Times New Roman;Times;serif"/>
          <w:b/>
          <w:i w:val="false"/>
          <w:caps w:val="false"/>
          <w:smallCaps w:val="false"/>
          <w:color w:val="000000"/>
          <w:sz w:val="32"/>
        </w:rPr>
        <w:t xml:space="preserve"> </w:t>
      </w:r>
      <w:r>
        <w:rPr>
          <w:rFonts w:ascii="Times New Roman;Times;serif" w:hAnsi="Times New Roman;Times;serif"/>
          <w:b/>
          <w:i w:val="false"/>
          <w:caps w:val="false"/>
          <w:smallCaps w:val="false"/>
          <w:color w:val="000000"/>
          <w:spacing w:val="-6"/>
          <w:sz w:val="32"/>
        </w:rPr>
        <w:t>Scotiabank</w:t>
      </w:r>
      <w:r>
        <w:rPr>
          <w:rFonts w:ascii="Times New Roman;Times;serif" w:hAnsi="Times New Roman;Times;serif"/>
          <w:b/>
          <w:i w:val="false"/>
          <w:caps w:val="false"/>
          <w:smallCaps w:val="false"/>
          <w:color w:val="000000"/>
          <w:spacing w:val="6"/>
          <w:sz w:val="32"/>
        </w:rPr>
        <w:t xml:space="preserve"> </w:t>
      </w:r>
    </w:p>
    <w:p>
      <w:pPr>
        <w:pStyle w:val="TextBody"/>
        <w:spacing w:lineRule="atLeast" w:line="23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 2022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28" w:type="dxa"/>
          <w:right w:w="0" w:type="dxa"/>
        </w:tblCellMar>
      </w:tblPr>
      <w:tblGrid>
        <w:gridCol w:w="7541"/>
        <w:gridCol w:w="109"/>
        <w:gridCol w:w="109"/>
        <w:gridCol w:w="109"/>
        <w:gridCol w:w="109"/>
        <w:gridCol w:w="571"/>
        <w:gridCol w:w="109"/>
        <w:gridCol w:w="155"/>
      </w:tblGrid>
      <w:tr>
        <w:trPr/>
        <w:tc>
          <w:tcPr>
            <w:tcW w:w="754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98"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Page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7541" w:type="dxa"/>
            <w:tcBorders/>
            <w:shd w:fill="CCEEFF" w:val="clear"/>
            <w:tcMar>
              <w:bottom w:w="0" w:type="dxa"/>
            </w:tcMar>
            <w:vAlign w:val="center"/>
          </w:tcPr>
          <w:p>
            <w:pPr>
              <w:pStyle w:val="TableContents"/>
              <w:spacing w:before="0" w:after="0"/>
              <w:jc w:val="left"/>
              <w:rPr/>
            </w:pPr>
            <w:hyperlink w:anchor="sSUM">
              <w:r>
                <w:rPr>
                  <w:rStyle w:val="InternetLink"/>
                  <w:spacing w:val="4"/>
                </w:rPr>
                <w:t xml:space="preserve">SUMMARY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71" w:type="dxa"/>
            <w:tcBorders/>
            <w:shd w:fill="CCEEFF" w:val="clear"/>
            <w:tcMar>
              <w:bottom w:w="0" w:type="dxa"/>
            </w:tcMar>
            <w:vAlign w:val="center"/>
          </w:tcPr>
          <w:p>
            <w:pPr>
              <w:pStyle w:val="TableContents"/>
              <w:spacing w:before="0" w:after="283"/>
              <w:jc w:val="right"/>
              <w:rPr/>
            </w:pPr>
            <w:hyperlink w:anchor="sSUM">
              <w:r>
                <w:rPr>
                  <w:rStyle w:val="InternetLink"/>
                  <w:spacing w:val="4"/>
                </w:rPr>
                <w:t>S-1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541" w:type="dxa"/>
            <w:tcBorders/>
            <w:shd w:fill="auto" w:val="clear"/>
            <w:tcMar>
              <w:bottom w:w="0" w:type="dxa"/>
            </w:tcMar>
            <w:vAlign w:val="center"/>
          </w:tcPr>
          <w:p>
            <w:pPr>
              <w:pStyle w:val="TableContents"/>
              <w:spacing w:before="0" w:after="0"/>
              <w:jc w:val="left"/>
              <w:rPr/>
            </w:pPr>
            <w:hyperlink w:anchor="sRIFA">
              <w:r>
                <w:rPr>
                  <w:rStyle w:val="InternetLink"/>
                  <w:spacing w:val="4"/>
                </w:rPr>
                <w:t xml:space="preserve">RISK FACTORS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71" w:type="dxa"/>
            <w:tcBorders/>
            <w:shd w:fill="auto" w:val="clear"/>
            <w:tcMar>
              <w:bottom w:w="0" w:type="dxa"/>
            </w:tcMar>
            <w:vAlign w:val="center"/>
          </w:tcPr>
          <w:p>
            <w:pPr>
              <w:pStyle w:val="TableContents"/>
              <w:spacing w:before="0" w:after="283"/>
              <w:jc w:val="right"/>
              <w:rPr/>
            </w:pPr>
            <w:hyperlink w:anchor="sRIFA">
              <w:r>
                <w:rPr>
                  <w:rStyle w:val="InternetLink"/>
                  <w:spacing w:val="4"/>
                </w:rPr>
                <w:t>S-4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541" w:type="dxa"/>
            <w:tcBorders/>
            <w:shd w:fill="CCEEFF" w:val="clear"/>
            <w:tcMar>
              <w:bottom w:w="0" w:type="dxa"/>
            </w:tcMar>
            <w:vAlign w:val="center"/>
          </w:tcPr>
          <w:p>
            <w:pPr>
              <w:pStyle w:val="TableContents"/>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71" w:type="dxa"/>
            <w:tcBorders/>
            <w:shd w:fill="CCEEFF" w:val="clear"/>
            <w:tcMar>
              <w:bottom w:w="0" w:type="dxa"/>
            </w:tcMar>
            <w:vAlign w:val="center"/>
          </w:tcPr>
          <w:p>
            <w:pPr>
              <w:pStyle w:val="TableContents"/>
              <w:spacing w:before="0" w:after="283"/>
              <w:jc w:val="right"/>
              <w:rPr/>
            </w:pPr>
            <w:hyperlink w:anchor="sUOP">
              <w:r>
                <w:rPr>
                  <w:rStyle w:val="InternetLink"/>
                  <w:spacing w:val="4"/>
                </w:rPr>
                <w:t>S-7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541" w:type="dxa"/>
            <w:tcBorders/>
            <w:shd w:fill="auto" w:val="clear"/>
            <w:tcMar>
              <w:bottom w:w="0" w:type="dxa"/>
            </w:tcMar>
            <w:vAlign w:val="center"/>
          </w:tcPr>
          <w:p>
            <w:pPr>
              <w:pStyle w:val="TableContents"/>
              <w:spacing w:before="0" w:after="0"/>
              <w:jc w:val="left"/>
              <w:rPr/>
            </w:pPr>
            <w:hyperlink w:anchor="sCAP">
              <w:r>
                <w:rPr>
                  <w:rStyle w:val="InternetLink"/>
                  <w:spacing w:val="4"/>
                </w:rPr>
                <w:t xml:space="preserve">CAPITALIZATION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71" w:type="dxa"/>
            <w:tcBorders/>
            <w:shd w:fill="auto" w:val="clear"/>
            <w:tcMar>
              <w:bottom w:w="0" w:type="dxa"/>
            </w:tcMar>
            <w:vAlign w:val="center"/>
          </w:tcPr>
          <w:p>
            <w:pPr>
              <w:pStyle w:val="TableContents"/>
              <w:spacing w:before="0" w:after="283"/>
              <w:jc w:val="right"/>
              <w:rPr/>
            </w:pPr>
            <w:hyperlink w:anchor="sCAP">
              <w:r>
                <w:rPr>
                  <w:rStyle w:val="InternetLink"/>
                  <w:spacing w:val="4"/>
                </w:rPr>
                <w:t>S-8</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541" w:type="dxa"/>
            <w:tcBorders/>
            <w:shd w:fill="CCEEFF" w:val="clear"/>
            <w:tcMar>
              <w:bottom w:w="0" w:type="dxa"/>
            </w:tcMar>
            <w:vAlign w:val="center"/>
          </w:tcPr>
          <w:p>
            <w:pPr>
              <w:pStyle w:val="TableContents"/>
              <w:spacing w:before="0" w:after="0"/>
              <w:jc w:val="left"/>
              <w:rPr/>
            </w:pPr>
            <w:hyperlink w:anchor="s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71" w:type="dxa"/>
            <w:tcBorders/>
            <w:shd w:fill="CCEEFF" w:val="clear"/>
            <w:tcMar>
              <w:bottom w:w="0" w:type="dxa"/>
            </w:tcMar>
            <w:vAlign w:val="center"/>
          </w:tcPr>
          <w:p>
            <w:pPr>
              <w:pStyle w:val="TableContents"/>
              <w:spacing w:before="0" w:after="283"/>
              <w:jc w:val="right"/>
              <w:rPr/>
            </w:pPr>
            <w:hyperlink w:anchor="sDON">
              <w:r>
                <w:rPr>
                  <w:rStyle w:val="InternetLink"/>
                  <w:spacing w:val="4"/>
                </w:rPr>
                <w:t>S-10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541" w:type="dxa"/>
            <w:tcBorders/>
            <w:shd w:fill="auto" w:val="clear"/>
            <w:tcMar>
              <w:bottom w:w="0" w:type="dxa"/>
            </w:tcMar>
            <w:vAlign w:val="center"/>
          </w:tcPr>
          <w:p>
            <w:pPr>
              <w:pStyle w:val="TableContents"/>
              <w:spacing w:before="0" w:after="0"/>
              <w:jc w:val="left"/>
              <w:rPr/>
            </w:pPr>
            <w:hyperlink w:anchor="sCUFT">
              <w:r>
                <w:rPr>
                  <w:rStyle w:val="InternetLink"/>
                  <w:spacing w:val="4"/>
                </w:rPr>
                <w:t xml:space="preserve">CERTAIN U.S. FEDERAL TAX CONSIDERATIONS FOR NON-U.S. HOLDERS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71" w:type="dxa"/>
            <w:tcBorders/>
            <w:shd w:fill="auto" w:val="clear"/>
            <w:tcMar>
              <w:bottom w:w="0" w:type="dxa"/>
            </w:tcMar>
            <w:vAlign w:val="center"/>
          </w:tcPr>
          <w:p>
            <w:pPr>
              <w:pStyle w:val="TableContents"/>
              <w:spacing w:before="0" w:after="283"/>
              <w:jc w:val="right"/>
              <w:rPr/>
            </w:pPr>
            <w:hyperlink w:anchor="sCUFT">
              <w:r>
                <w:rPr>
                  <w:rStyle w:val="InternetLink"/>
                  <w:spacing w:val="4"/>
                </w:rPr>
                <w:t>S-21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541" w:type="dxa"/>
            <w:tcBorders/>
            <w:shd w:fill="CCEEFF" w:val="clear"/>
            <w:tcMar>
              <w:bottom w:w="0" w:type="dxa"/>
            </w:tcMar>
            <w:vAlign w:val="center"/>
          </w:tcPr>
          <w:p>
            <w:pPr>
              <w:pStyle w:val="TableContents"/>
              <w:spacing w:before="0" w:after="0"/>
              <w:jc w:val="left"/>
              <w:rPr/>
            </w:pPr>
            <w:hyperlink w:anchor="s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71" w:type="dxa"/>
            <w:tcBorders/>
            <w:shd w:fill="CCEEFF" w:val="clear"/>
            <w:tcMar>
              <w:bottom w:w="0" w:type="dxa"/>
            </w:tcMar>
            <w:vAlign w:val="center"/>
          </w:tcPr>
          <w:p>
            <w:pPr>
              <w:pStyle w:val="TableContents"/>
              <w:spacing w:before="0" w:after="283"/>
              <w:jc w:val="right"/>
              <w:rPr/>
            </w:pPr>
            <w:hyperlink w:anchor="sUCOI">
              <w:r>
                <w:rPr>
                  <w:rStyle w:val="InternetLink"/>
                  <w:spacing w:val="4"/>
                </w:rPr>
                <w:t>S-25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541" w:type="dxa"/>
            <w:tcBorders/>
            <w:shd w:fill="auto" w:val="clear"/>
            <w:tcMar>
              <w:bottom w:w="0" w:type="dxa"/>
            </w:tcMar>
            <w:vAlign w:val="center"/>
          </w:tcPr>
          <w:p>
            <w:pPr>
              <w:pStyle w:val="TableContents"/>
              <w:spacing w:before="0" w:after="0"/>
              <w:jc w:val="left"/>
              <w:rPr/>
            </w:pPr>
            <w:hyperlink w:anchor="sLEMA">
              <w:r>
                <w:rPr>
                  <w:rStyle w:val="InternetLink"/>
                  <w:spacing w:val="4"/>
                </w:rPr>
                <w:t xml:space="preserve">LEGAL MATTERS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71" w:type="dxa"/>
            <w:tcBorders/>
            <w:shd w:fill="auto" w:val="clear"/>
            <w:tcMar>
              <w:bottom w:w="0" w:type="dxa"/>
            </w:tcMar>
            <w:vAlign w:val="center"/>
          </w:tcPr>
          <w:p>
            <w:pPr>
              <w:pStyle w:val="TableContents"/>
              <w:spacing w:before="0" w:after="283"/>
              <w:jc w:val="right"/>
              <w:rPr/>
            </w:pPr>
            <w:hyperlink w:anchor="sLEMA">
              <w:r>
                <w:rPr>
                  <w:rStyle w:val="InternetLink"/>
                  <w:spacing w:val="4"/>
                </w:rPr>
                <w:t>S-32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541" w:type="dxa"/>
            <w:tcBorders/>
            <w:shd w:fill="CCEEFF" w:val="clear"/>
            <w:tcMar>
              <w:bottom w:w="0" w:type="dxa"/>
            </w:tcMar>
            <w:vAlign w:val="center"/>
          </w:tcPr>
          <w:p>
            <w:pPr>
              <w:pStyle w:val="TableContents"/>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71" w:type="dxa"/>
            <w:tcBorders/>
            <w:shd w:fill="CCEEFF" w:val="clear"/>
            <w:tcMar>
              <w:bottom w:w="0" w:type="dxa"/>
            </w:tcMar>
            <w:vAlign w:val="center"/>
          </w:tcPr>
          <w:p>
            <w:pPr>
              <w:pStyle w:val="TableContents"/>
              <w:spacing w:before="0" w:after="283"/>
              <w:jc w:val="right"/>
              <w:rPr/>
            </w:pPr>
            <w:hyperlink w:anchor="sEXP">
              <w:r>
                <w:rPr>
                  <w:rStyle w:val="InternetLink"/>
                  <w:spacing w:val="4"/>
                </w:rPr>
                <w:t>S-32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541" w:type="dxa"/>
            <w:tcBorders/>
            <w:shd w:fill="auto" w:val="clear"/>
            <w:tcMar>
              <w:bottom w:w="0" w:type="dxa"/>
            </w:tcMar>
            <w:vAlign w:val="center"/>
          </w:tcPr>
          <w:p>
            <w:pPr>
              <w:pStyle w:val="TableContents"/>
              <w:spacing w:before="0" w:after="0"/>
              <w:jc w:val="left"/>
              <w:rPr/>
            </w:pPr>
            <w:hyperlink w:anchor="sIOCD">
              <w:r>
                <w:rPr>
                  <w:rStyle w:val="InternetLink"/>
                  <w:spacing w:val="4"/>
                </w:rPr>
                <w:t xml:space="preserve">INCORPORATION OF CERTAIN DOCUMENTS BY REFERENCE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71" w:type="dxa"/>
            <w:tcBorders/>
            <w:shd w:fill="auto" w:val="clear"/>
            <w:tcMar>
              <w:bottom w:w="0" w:type="dxa"/>
            </w:tcMar>
            <w:vAlign w:val="center"/>
          </w:tcPr>
          <w:p>
            <w:pPr>
              <w:pStyle w:val="TableContents"/>
              <w:spacing w:before="0" w:after="283"/>
              <w:jc w:val="right"/>
              <w:rPr/>
            </w:pPr>
            <w:hyperlink w:anchor="sIOCD">
              <w:r>
                <w:rPr>
                  <w:rStyle w:val="InternetLink"/>
                  <w:spacing w:val="4"/>
                </w:rPr>
                <w:t>S-33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409" w:type="dxa"/>
        <w:jc w:val="left"/>
        <w:tblInd w:w="1393" w:type="dxa"/>
        <w:tblCellMar>
          <w:top w:w="0" w:type="dxa"/>
          <w:left w:w="0" w:type="dxa"/>
          <w:bottom w:w="28" w:type="dxa"/>
          <w:right w:w="0" w:type="dxa"/>
        </w:tblCellMar>
      </w:tblPr>
      <w:tblGrid>
        <w:gridCol w:w="7300"/>
        <w:gridCol w:w="109"/>
        <w:gridCol w:w="109"/>
        <w:gridCol w:w="109"/>
        <w:gridCol w:w="109"/>
        <w:gridCol w:w="410"/>
        <w:gridCol w:w="109"/>
        <w:gridCol w:w="154"/>
      </w:tblGrid>
      <w:tr>
        <w:trPr/>
        <w:tc>
          <w:tcPr>
            <w:tcW w:w="730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37"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Page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7300" w:type="dxa"/>
            <w:tcBorders/>
            <w:shd w:fill="CCEEFF" w:val="clear"/>
            <w:tcMar>
              <w:bottom w:w="0" w:type="dxa"/>
            </w:tcMar>
            <w:vAlign w:val="center"/>
          </w:tcPr>
          <w:p>
            <w:pPr>
              <w:pStyle w:val="TableContents"/>
              <w:spacing w:before="0" w:after="0"/>
              <w:jc w:val="left"/>
              <w:rPr/>
            </w:pPr>
            <w:hyperlink w:anchor="t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10" w:type="dxa"/>
            <w:tcBorders/>
            <w:shd w:fill="CCEEFF" w:val="clear"/>
            <w:tcMar>
              <w:bottom w:w="0" w:type="dxa"/>
            </w:tcMar>
            <w:vAlign w:val="center"/>
          </w:tcPr>
          <w:p>
            <w:pPr>
              <w:pStyle w:val="TableContents"/>
              <w:spacing w:before="0" w:after="283"/>
              <w:jc w:val="right"/>
              <w:rPr/>
            </w:pPr>
            <w:hyperlink w:anchor="tFOST">
              <w:r>
                <w:rPr>
                  <w:rStyle w:val="InternetLink"/>
                  <w:spacing w:val="4"/>
                </w:rPr>
                <w:t>1</w:t>
              </w:r>
            </w:hyperlink>
            <w:hyperlink w:anchor="tFOST">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300" w:type="dxa"/>
            <w:tcBorders/>
            <w:shd w:fill="auto" w:val="clear"/>
            <w:tcMar>
              <w:bottom w:w="0" w:type="dxa"/>
            </w:tcMar>
            <w:vAlign w:val="center"/>
          </w:tcPr>
          <w:p>
            <w:pPr>
              <w:pStyle w:val="TableContents"/>
              <w:spacing w:before="0" w:after="0"/>
              <w:jc w:val="left"/>
              <w:rPr/>
            </w:pPr>
            <w:hyperlink w:anchor="tATP">
              <w:r>
                <w:rPr>
                  <w:rStyle w:val="InternetLink"/>
                  <w:spacing w:val="4"/>
                </w:rPr>
                <w:t xml:space="preserve">ABOUT THIS PROSPECTUS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10" w:type="dxa"/>
            <w:tcBorders/>
            <w:shd w:fill="auto" w:val="clear"/>
            <w:tcMar>
              <w:bottom w:w="0" w:type="dxa"/>
            </w:tcMar>
            <w:vAlign w:val="center"/>
          </w:tcPr>
          <w:p>
            <w:pPr>
              <w:pStyle w:val="TableContents"/>
              <w:spacing w:before="0" w:after="283"/>
              <w:jc w:val="right"/>
              <w:rPr/>
            </w:pPr>
            <w:hyperlink w:anchor="tATP">
              <w:r>
                <w:rPr>
                  <w:rStyle w:val="InternetLink"/>
                  <w:spacing w:val="4"/>
                </w:rPr>
                <w:t>5</w:t>
              </w:r>
            </w:hyperlink>
            <w:hyperlink w:anchor="tATP">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300" w:type="dxa"/>
            <w:tcBorders/>
            <w:shd w:fill="CCEEFF" w:val="clear"/>
            <w:tcMar>
              <w:bottom w:w="0" w:type="dxa"/>
            </w:tcMar>
            <w:vAlign w:val="center"/>
          </w:tcPr>
          <w:p>
            <w:pPr>
              <w:pStyle w:val="TableContents"/>
              <w:spacing w:before="0" w:after="0"/>
              <w:jc w:val="left"/>
              <w:rPr/>
            </w:pPr>
            <w:hyperlink w:anchor="t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10" w:type="dxa"/>
            <w:tcBorders/>
            <w:shd w:fill="CCEEFF" w:val="clear"/>
            <w:tcMar>
              <w:bottom w:w="0" w:type="dxa"/>
            </w:tcMar>
            <w:vAlign w:val="center"/>
          </w:tcPr>
          <w:p>
            <w:pPr>
              <w:pStyle w:val="TableContents"/>
              <w:spacing w:before="0" w:after="283"/>
              <w:jc w:val="right"/>
              <w:rPr/>
            </w:pPr>
            <w:hyperlink w:anchor="tIOCD">
              <w:r>
                <w:rPr>
                  <w:rStyle w:val="InternetLink"/>
                  <w:spacing w:val="4"/>
                </w:rPr>
                <w:t>6</w:t>
              </w:r>
            </w:hyperlink>
            <w:hyperlink w:anchor="tIOCD">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300" w:type="dxa"/>
            <w:tcBorders/>
            <w:shd w:fill="auto" w:val="clear"/>
            <w:tcMar>
              <w:bottom w:w="0" w:type="dxa"/>
            </w:tcMar>
            <w:vAlign w:val="center"/>
          </w:tcPr>
          <w:p>
            <w:pPr>
              <w:pStyle w:val="TableContents"/>
              <w:spacing w:before="0" w:after="0"/>
              <w:jc w:val="left"/>
              <w:rPr/>
            </w:pPr>
            <w:hyperlink w:anchor="tWYCF">
              <w:r>
                <w:rPr>
                  <w:rStyle w:val="InternetLink"/>
                  <w:spacing w:val="4"/>
                </w:rPr>
                <w:t xml:space="preserve">WHERE YOU CAN FIND MORE INFORMATION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10" w:type="dxa"/>
            <w:tcBorders/>
            <w:shd w:fill="auto" w:val="clear"/>
            <w:tcMar>
              <w:bottom w:w="0" w:type="dxa"/>
            </w:tcMar>
            <w:vAlign w:val="center"/>
          </w:tcPr>
          <w:p>
            <w:pPr>
              <w:pStyle w:val="TableContents"/>
              <w:spacing w:before="0" w:after="283"/>
              <w:jc w:val="right"/>
              <w:rPr/>
            </w:pPr>
            <w:hyperlink w:anchor="tWYCF">
              <w:r>
                <w:rPr>
                  <w:rStyle w:val="InternetLink"/>
                  <w:spacing w:val="4"/>
                </w:rPr>
                <w:t>7</w:t>
              </w:r>
            </w:hyperlink>
            <w:hyperlink w:anchor="tWYCF">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300" w:type="dxa"/>
            <w:tcBorders/>
            <w:shd w:fill="CCEEFF" w:val="clear"/>
            <w:tcMar>
              <w:bottom w:w="0" w:type="dxa"/>
            </w:tcMar>
            <w:vAlign w:val="center"/>
          </w:tcPr>
          <w:p>
            <w:pPr>
              <w:pStyle w:val="TableContents"/>
              <w:spacing w:before="0" w:after="0"/>
              <w:jc w:val="left"/>
              <w:rPr/>
            </w:pPr>
            <w:hyperlink w:anchor="tTHCO">
              <w:r>
                <w:rPr>
                  <w:rStyle w:val="InternetLink"/>
                  <w:spacing w:val="4"/>
                </w:rPr>
                <w:t xml:space="preserve">THE COMPANY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10" w:type="dxa"/>
            <w:tcBorders/>
            <w:shd w:fill="CCEEFF" w:val="clear"/>
            <w:tcMar>
              <w:bottom w:w="0" w:type="dxa"/>
            </w:tcMar>
            <w:vAlign w:val="center"/>
          </w:tcPr>
          <w:p>
            <w:pPr>
              <w:pStyle w:val="TableContents"/>
              <w:spacing w:before="0" w:after="283"/>
              <w:jc w:val="right"/>
              <w:rPr/>
            </w:pPr>
            <w:hyperlink w:anchor="tTHCO">
              <w:r>
                <w:rPr>
                  <w:rStyle w:val="InternetLink"/>
                  <w:spacing w:val="4"/>
                </w:rPr>
                <w:t>8</w:t>
              </w:r>
            </w:hyperlink>
            <w:hyperlink w:anchor="tTHCO">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300" w:type="dxa"/>
            <w:tcBorders/>
            <w:shd w:fill="auto" w:val="clear"/>
            <w:tcMar>
              <w:bottom w:w="0" w:type="dxa"/>
            </w:tcMar>
            <w:vAlign w:val="center"/>
          </w:tcPr>
          <w:p>
            <w:pPr>
              <w:pStyle w:val="TableContents"/>
              <w:spacing w:before="0" w:after="0"/>
              <w:jc w:val="left"/>
              <w:rPr/>
            </w:pPr>
            <w:hyperlink w:anchor="tRIFA">
              <w:r>
                <w:rPr>
                  <w:rStyle w:val="InternetLink"/>
                  <w:spacing w:val="4"/>
                </w:rPr>
                <w:t xml:space="preserve">RISK FACTORS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10" w:type="dxa"/>
            <w:tcBorders/>
            <w:shd w:fill="auto" w:val="clear"/>
            <w:tcMar>
              <w:bottom w:w="0" w:type="dxa"/>
            </w:tcMar>
            <w:vAlign w:val="center"/>
          </w:tcPr>
          <w:p>
            <w:pPr>
              <w:pStyle w:val="TableContents"/>
              <w:spacing w:before="0" w:after="283"/>
              <w:jc w:val="right"/>
              <w:rPr/>
            </w:pPr>
            <w:hyperlink w:anchor="tRIFA">
              <w:r>
                <w:rPr>
                  <w:rStyle w:val="InternetLink"/>
                  <w:spacing w:val="4"/>
                </w:rPr>
                <w:t>8</w:t>
              </w:r>
            </w:hyperlink>
            <w:hyperlink w:anchor="tRIFA">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300" w:type="dxa"/>
            <w:tcBorders/>
            <w:shd w:fill="CCEEFF" w:val="clear"/>
            <w:tcMar>
              <w:bottom w:w="0" w:type="dxa"/>
            </w:tcMar>
            <w:vAlign w:val="center"/>
          </w:tcPr>
          <w:p>
            <w:pPr>
              <w:pStyle w:val="TableContents"/>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10" w:type="dxa"/>
            <w:tcBorders/>
            <w:shd w:fill="CCEEFF" w:val="clear"/>
            <w:tcMar>
              <w:bottom w:w="0" w:type="dxa"/>
            </w:tcMar>
            <w:vAlign w:val="center"/>
          </w:tcPr>
          <w:p>
            <w:pPr>
              <w:pStyle w:val="TableContents"/>
              <w:spacing w:before="0" w:after="283"/>
              <w:jc w:val="right"/>
              <w:rPr/>
            </w:pPr>
            <w:hyperlink w:anchor="tUOP">
              <w:r>
                <w:rPr>
                  <w:rStyle w:val="InternetLink"/>
                  <w:spacing w:val="4"/>
                </w:rPr>
                <w:t>9</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300" w:type="dxa"/>
            <w:tcBorders/>
            <w:shd w:fill="auto" w:val="clear"/>
            <w:tcMar>
              <w:bottom w:w="0" w:type="dxa"/>
            </w:tcMar>
            <w:vAlign w:val="center"/>
          </w:tcPr>
          <w:p>
            <w:pPr>
              <w:pStyle w:val="TableContents"/>
              <w:spacing w:before="0" w:after="0"/>
              <w:jc w:val="left"/>
              <w:rPr/>
            </w:pPr>
            <w:hyperlink w:anchor="tDOTD">
              <w:r>
                <w:rPr>
                  <w:rStyle w:val="InternetLink"/>
                  <w:spacing w:val="4"/>
                </w:rPr>
                <w:t xml:space="preserve">DESCRIPTION OF THE DEBT SECURITIES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10" w:type="dxa"/>
            <w:tcBorders/>
            <w:shd w:fill="auto" w:val="clear"/>
            <w:tcMar>
              <w:bottom w:w="0" w:type="dxa"/>
            </w:tcMar>
            <w:vAlign w:val="center"/>
          </w:tcPr>
          <w:p>
            <w:pPr>
              <w:pStyle w:val="TableContents"/>
              <w:spacing w:before="0" w:after="283"/>
              <w:jc w:val="right"/>
              <w:rPr/>
            </w:pPr>
            <w:hyperlink w:anchor="tDOTD">
              <w:r>
                <w:rPr>
                  <w:rStyle w:val="InternetLink"/>
                  <w:spacing w:val="4"/>
                </w:rPr>
                <w:t>10</w:t>
              </w:r>
            </w:hyperlink>
            <w:hyperlink w:anchor="tDOTD">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300" w:type="dxa"/>
            <w:tcBorders/>
            <w:shd w:fill="CCEEFF" w:val="clear"/>
            <w:tcMar>
              <w:bottom w:w="0" w:type="dxa"/>
            </w:tcMar>
            <w:vAlign w:val="center"/>
          </w:tcPr>
          <w:p>
            <w:pPr>
              <w:pStyle w:val="TableContents"/>
              <w:spacing w:before="0" w:after="0"/>
              <w:jc w:val="left"/>
              <w:rPr/>
            </w:pPr>
            <w:hyperlink w:anchor="tDOG">
              <w:r>
                <w:rPr>
                  <w:rStyle w:val="InternetLink"/>
                  <w:spacing w:val="4"/>
                </w:rPr>
                <w:t xml:space="preserve">DESCRIPTION OF GUARANTEES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10" w:type="dxa"/>
            <w:tcBorders/>
            <w:shd w:fill="CCEEFF" w:val="clear"/>
            <w:tcMar>
              <w:bottom w:w="0" w:type="dxa"/>
            </w:tcMar>
            <w:vAlign w:val="center"/>
          </w:tcPr>
          <w:p>
            <w:pPr>
              <w:pStyle w:val="TableContents"/>
              <w:spacing w:before="0" w:after="283"/>
              <w:jc w:val="right"/>
              <w:rPr/>
            </w:pPr>
            <w:hyperlink w:anchor="tDOG">
              <w:r>
                <w:rPr>
                  <w:rStyle w:val="InternetLink"/>
                  <w:spacing w:val="4"/>
                </w:rPr>
                <w:t>18</w:t>
              </w:r>
            </w:hyperlink>
            <w:hyperlink w:anchor="tDOG">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300" w:type="dxa"/>
            <w:tcBorders/>
            <w:shd w:fill="auto" w:val="clear"/>
            <w:tcMar>
              <w:bottom w:w="0" w:type="dxa"/>
            </w:tcMar>
            <w:vAlign w:val="center"/>
          </w:tcPr>
          <w:p>
            <w:pPr>
              <w:pStyle w:val="TableContents"/>
              <w:spacing w:before="0" w:after="0"/>
              <w:jc w:val="left"/>
              <w:rPr/>
            </w:pPr>
            <w:hyperlink w:anchor="tDOCS">
              <w:r>
                <w:rPr>
                  <w:rStyle w:val="InternetLink"/>
                  <w:spacing w:val="4"/>
                </w:rPr>
                <w:t xml:space="preserve">DESCRIPTION OF CAPITAL STOCK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10" w:type="dxa"/>
            <w:tcBorders/>
            <w:shd w:fill="auto" w:val="clear"/>
            <w:tcMar>
              <w:bottom w:w="0" w:type="dxa"/>
            </w:tcMar>
            <w:vAlign w:val="center"/>
          </w:tcPr>
          <w:p>
            <w:pPr>
              <w:pStyle w:val="TableContents"/>
              <w:spacing w:before="0" w:after="283"/>
              <w:jc w:val="right"/>
              <w:rPr/>
            </w:pPr>
            <w:hyperlink w:anchor="tDOCS">
              <w:r>
                <w:rPr>
                  <w:rStyle w:val="InternetLink"/>
                  <w:spacing w:val="4"/>
                </w:rPr>
                <w:t>19</w:t>
              </w:r>
            </w:hyperlink>
            <w:hyperlink w:anchor="tDOCS">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300" w:type="dxa"/>
            <w:tcBorders/>
            <w:shd w:fill="CCEEFF" w:val="clear"/>
            <w:tcMar>
              <w:bottom w:w="0" w:type="dxa"/>
            </w:tcMar>
            <w:vAlign w:val="center"/>
          </w:tcPr>
          <w:p>
            <w:pPr>
              <w:pStyle w:val="TableContents"/>
              <w:spacing w:before="0" w:after="0"/>
              <w:jc w:val="left"/>
              <w:rPr/>
            </w:pPr>
            <w:hyperlink w:anchor="tDOOS">
              <w:r>
                <w:rPr>
                  <w:rStyle w:val="InternetLink"/>
                  <w:spacing w:val="4"/>
                </w:rPr>
                <w:t xml:space="preserve">DESCRIPTION OF OTHER SECURITIES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10" w:type="dxa"/>
            <w:tcBorders/>
            <w:shd w:fill="CCEEFF" w:val="clear"/>
            <w:tcMar>
              <w:bottom w:w="0" w:type="dxa"/>
            </w:tcMar>
            <w:vAlign w:val="center"/>
          </w:tcPr>
          <w:p>
            <w:pPr>
              <w:pStyle w:val="TableContents"/>
              <w:spacing w:before="0" w:after="283"/>
              <w:jc w:val="right"/>
              <w:rPr/>
            </w:pPr>
            <w:hyperlink w:anchor="tDOOS">
              <w:r>
                <w:rPr>
                  <w:rStyle w:val="InternetLink"/>
                  <w:spacing w:val="4"/>
                </w:rPr>
                <w:t>22</w:t>
              </w:r>
            </w:hyperlink>
            <w:hyperlink w:anchor="tDOOS">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300" w:type="dxa"/>
            <w:tcBorders/>
            <w:shd w:fill="auto" w:val="clear"/>
            <w:tcMar>
              <w:bottom w:w="0" w:type="dxa"/>
            </w:tcMar>
            <w:vAlign w:val="center"/>
          </w:tcPr>
          <w:p>
            <w:pPr>
              <w:pStyle w:val="TableContents"/>
              <w:spacing w:before="0" w:after="0"/>
              <w:jc w:val="left"/>
              <w:rPr/>
            </w:pPr>
            <w:hyperlink w:anchor="tPOD">
              <w:r>
                <w:rPr>
                  <w:rStyle w:val="InternetLink"/>
                  <w:spacing w:val="4"/>
                </w:rPr>
                <w:t xml:space="preserve">PLAN OF DISTRIBUTION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10" w:type="dxa"/>
            <w:tcBorders/>
            <w:shd w:fill="auto" w:val="clear"/>
            <w:tcMar>
              <w:bottom w:w="0" w:type="dxa"/>
            </w:tcMar>
            <w:vAlign w:val="center"/>
          </w:tcPr>
          <w:p>
            <w:pPr>
              <w:pStyle w:val="TableContents"/>
              <w:spacing w:before="0" w:after="283"/>
              <w:jc w:val="right"/>
              <w:rPr/>
            </w:pPr>
            <w:hyperlink w:anchor="tPOD">
              <w:r>
                <w:rPr>
                  <w:rStyle w:val="InternetLink"/>
                  <w:spacing w:val="4"/>
                </w:rPr>
                <w:t>23</w:t>
              </w:r>
            </w:hyperlink>
            <w:hyperlink w:anchor="tPOD">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300" w:type="dxa"/>
            <w:tcBorders/>
            <w:shd w:fill="CCEEFF" w:val="clear"/>
            <w:tcMar>
              <w:bottom w:w="0" w:type="dxa"/>
            </w:tcMar>
            <w:vAlign w:val="center"/>
          </w:tcPr>
          <w:p>
            <w:pPr>
              <w:pStyle w:val="TableContents"/>
              <w:spacing w:before="0" w:after="0"/>
              <w:jc w:val="left"/>
              <w:rPr/>
            </w:pPr>
            <w:hyperlink w:anchor="tSSH">
              <w:r>
                <w:rPr>
                  <w:rStyle w:val="InternetLink"/>
                  <w:spacing w:val="4"/>
                </w:rPr>
                <w:t xml:space="preserve">SELLING SECURITYHOLDERS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10" w:type="dxa"/>
            <w:tcBorders/>
            <w:shd w:fill="CCEEFF" w:val="clear"/>
            <w:tcMar>
              <w:bottom w:w="0" w:type="dxa"/>
            </w:tcMar>
            <w:vAlign w:val="center"/>
          </w:tcPr>
          <w:p>
            <w:pPr>
              <w:pStyle w:val="TableContents"/>
              <w:spacing w:before="0" w:after="283"/>
              <w:jc w:val="right"/>
              <w:rPr/>
            </w:pPr>
            <w:hyperlink w:anchor="tSSH">
              <w:r>
                <w:rPr>
                  <w:rStyle w:val="InternetLink"/>
                  <w:spacing w:val="4"/>
                </w:rPr>
                <w:t>25</w:t>
              </w:r>
            </w:hyperlink>
            <w:hyperlink w:anchor="tSSH">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300" w:type="dxa"/>
            <w:tcBorders/>
            <w:shd w:fill="auto" w:val="clear"/>
            <w:tcMar>
              <w:bottom w:w="0" w:type="dxa"/>
            </w:tcMar>
            <w:vAlign w:val="center"/>
          </w:tcPr>
          <w:p>
            <w:pPr>
              <w:pStyle w:val="TableContents"/>
              <w:spacing w:before="0" w:after="0"/>
              <w:jc w:val="left"/>
              <w:rPr/>
            </w:pPr>
            <w:hyperlink w:anchor="tLEMA">
              <w:r>
                <w:rPr>
                  <w:rStyle w:val="InternetLink"/>
                  <w:spacing w:val="4"/>
                </w:rPr>
                <w:t xml:space="preserve">LEGAL MATTERS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10" w:type="dxa"/>
            <w:tcBorders/>
            <w:shd w:fill="auto" w:val="clear"/>
            <w:tcMar>
              <w:bottom w:w="0" w:type="dxa"/>
            </w:tcMar>
            <w:vAlign w:val="center"/>
          </w:tcPr>
          <w:p>
            <w:pPr>
              <w:pStyle w:val="TableContents"/>
              <w:spacing w:before="0" w:after="283"/>
              <w:jc w:val="right"/>
              <w:rPr/>
            </w:pPr>
            <w:hyperlink w:anchor="tLEMA">
              <w:r>
                <w:rPr>
                  <w:rStyle w:val="InternetLink"/>
                  <w:spacing w:val="4"/>
                </w:rPr>
                <w:t>26</w:t>
              </w:r>
            </w:hyperlink>
            <w:hyperlink w:anchor="tLEMA">
              <w:r>
                <w:rPr>
                  <w:rStyle w:val="InternetLink"/>
                </w:rPr>
                <w:t xml:space="preserve"> </w:t>
              </w:r>
            </w:hyperlink>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300" w:type="dxa"/>
            <w:tcBorders/>
            <w:shd w:fill="CCEEFF" w:val="clear"/>
            <w:tcMar>
              <w:bottom w:w="0" w:type="dxa"/>
            </w:tcMar>
            <w:vAlign w:val="center"/>
          </w:tcPr>
          <w:p>
            <w:pPr>
              <w:pStyle w:val="TableContents"/>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10" w:type="dxa"/>
            <w:tcBorders/>
            <w:shd w:fill="CCEEFF" w:val="clear"/>
            <w:tcMar>
              <w:bottom w:w="0" w:type="dxa"/>
            </w:tcMar>
            <w:vAlign w:val="center"/>
          </w:tcPr>
          <w:p>
            <w:pPr>
              <w:pStyle w:val="TableContents"/>
              <w:spacing w:before="0" w:after="283"/>
              <w:jc w:val="right"/>
              <w:rPr/>
            </w:pPr>
            <w:hyperlink w:anchor="tEXP">
              <w:r>
                <w:rPr>
                  <w:rStyle w:val="InternetLink"/>
                  <w:spacing w:val="4"/>
                </w:rPr>
                <w:t>26</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SUM"/>
      <w:bookmarkEnd w:id="4"/>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As used in this prospectus supplement, the terms “we,” “us” or “our” refer to Waste Management, Inc. and its consolidated subsidiaries and consolidated variable interest entities, taken as a whole, unless the context clearly indicates otherwise. </w:t>
      </w:r>
    </w:p>
    <w:p>
      <w:pPr>
        <w:pStyle w:val="TextBody"/>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Waste Management,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800 Capitol Street, Suite 3000, Houston, Texas 77002. Our telephone number is (713) 512-6200. Our website address is </w:t>
      </w:r>
      <w:r>
        <w:rPr>
          <w:rFonts w:ascii="Times New Roman;Times;serif" w:hAnsi="Times New Roman;Times;serif"/>
          <w:b w:val="false"/>
          <w:i/>
          <w:caps w:val="false"/>
          <w:smallCaps w:val="false"/>
          <w:color w:val="000000"/>
          <w:spacing w:val="4"/>
          <w:sz w:val="20"/>
          <w:bdr w:val="single" w:sz="8" w:space="1" w:color="000000"/>
        </w:rPr>
        <w:t>www.wm.com</w:t>
      </w:r>
      <w:r>
        <w:rPr>
          <w:rFonts w:ascii="Times New Roman;Times;serif" w:hAnsi="Times New Roman;Times;serif"/>
          <w:b w:val="false"/>
          <w:i w:val="false"/>
          <w:caps w:val="false"/>
          <w:smallCaps w:val="false"/>
          <w:color w:val="000000"/>
          <w:spacing w:val="4"/>
          <w:sz w:val="20"/>
          <w:bdr w:val="single" w:sz="8" w:space="1" w:color="000000"/>
        </w:rPr>
        <w:t xml:space="preserve">.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 </w:t>
      </w:r>
    </w:p>
    <w:p>
      <w:pPr>
        <w:pStyle w:val="TextBody"/>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Waste Management Holdings,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Waste Management Holdings, Inc., which we refer to in this prospectus supplement as “WM Holdings,” is a direct wholly owned subsidiary of Waste Management, Inc. WM Holdings is a holding company and all operations are conducted by subsidiaries.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Waste Management, Inc.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Securities Offered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 Senior Notes due 2032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Subsidiary Guarantees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WM Holdings will fully and unconditionally guarantee, on a senior unsecured basis, the full and prompt payment of the principal and any premium and interest on the notes, when and as they become due and payable, whether at maturity or otherwise.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spacing w:lineRule="atLeast" w:line="240" w:before="0" w:after="283"/>
        <w:ind w:left="4753" w:right="0" w:hanging="0"/>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2032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w:t>
      </w:r>
    </w:p>
    <w:p>
      <w:pPr>
        <w:pStyle w:val="TextBody"/>
        <w:spacing w:lineRule="atLeast" w:line="240" w:before="0" w:after="283"/>
        <w:ind w:left="4753" w:right="0" w:hanging="0"/>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per year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spacing w:lineRule="atLeast" w:line="240" w:before="0" w:after="283"/>
        <w:ind w:left="4753" w:right="0" w:hanging="0"/>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 xml:space="preserve">and         of each year, beginning        , 2022.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elect to redeem and repay any or all of the notes at any time and from time to time in minimum principal amounts of $2,000 or any integral multiple of $1,000 in excess thereof. </w:t>
      </w:r>
    </w:p>
    <w:p>
      <w:pPr>
        <w:pStyle w:val="TextBody"/>
        <w:spacing w:lineRule="atLeast" w:line="240" w:before="10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 2032, we may redeem the notes at our option, in whole or in part, at any time and from time to time, at a redemption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under “Description of Notes — Optional Redemption”) plus          basis points less (b) interest accrued to the date of redemption, and (2) 100% of the principal amount of the notes to be redeemed, plus, in either case, accrued and unpaid interest thereon to the redemption date. </w:t>
      </w:r>
    </w:p>
    <w:p>
      <w:pPr>
        <w:pStyle w:val="TextBody"/>
        <w:spacing w:lineRule="atLeast" w:line="240" w:before="10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or after               , 2032, we may redeem the notes at our option, in whole or in part, at any time and from time to time, at a redemption price equal to 100% of the principal amount of the notes to be redeemed, plus accrued and unpaid interest thereon to the redemption date. </w:t>
      </w:r>
    </w:p>
    <w:p>
      <w:pPr>
        <w:pStyle w:val="TextBody"/>
        <w:spacing w:lineRule="atLeast" w:line="240" w:before="10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Notes — Optional Redemption” in this prospectus supplement.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Offer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change of control triggering event occurs, holders of the notes may require us to purchase all or a portion of such holders’ notes at a price equal to 101% of the principal amount, plus accrued interest, if any, to the date of purchase. See “Description of Notes — Change of Control Offer” in this prospectus supplement.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and the guarantees will constitute the senior unsecured debt of Waste Management, Inc. and WM Holdings, respectively, and will rank equally with all of our and its other existing and future senior obligations from time to time outstanding.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issue the notes under an indenture containing covenants for your benefit. These covenants restrict our ability, with certain exceptions, to: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14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create, incur or assume debt secured by liens; </w:t>
      </w:r>
      <w:r>
        <mc:AlternateContent>
          <mc:Choice Requires="wps">
            <w:drawing>
              <wp:anchor behindDoc="0" distT="0" distB="0" distL="2133600" distR="0" simplePos="0" locked="0" layoutInCell="1" allowOverlap="1" relativeHeight="7">
                <wp:simplePos x="0" y="0"/>
                <wp:positionH relativeFrom="column">
                  <wp:align>left</wp:align>
                </wp:positionH>
                <wp:positionV relativeFrom="line">
                  <wp:posOffset>635</wp:posOffset>
                </wp:positionV>
                <wp:extent cx="254000" cy="350520"/>
                <wp:effectExtent l="0" t="0" r="0" b="0"/>
                <wp:wrapSquare wrapText="largest"/>
                <wp:docPr id="4"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engage in sale and leaseback transactions; and </w:t>
      </w:r>
      <w:r>
        <mc:AlternateContent>
          <mc:Choice Requires="wps">
            <w:drawing>
              <wp:anchor behindDoc="0" distT="63500" distB="0" distL="21336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5"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5pt;mso-wrap-distance-bottom:0pt;margin-top:5pt;mso-position-vertical:top;mso-position-vertical-relative:text;margin-left:168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 consolidate or transfer all or substantially all of our assets. </w:t>
      </w:r>
      <w:r>
        <mc:AlternateContent>
          <mc:Choice Requires="wps">
            <w:drawing>
              <wp:anchor behindDoc="0" distT="63500" distB="0" distL="21336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largest"/>
                <wp:docPr id="6"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5pt;mso-wrap-distance-bottom:0pt;margin-top:5pt;mso-position-vertical:top;mso-position-vertical-relative:text;margin-left:168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the net proceeds from the offering of the notes to be $      , after deducting the underwriting discounts and estimated expenses of the offering that we will pay. We intend to use the net proceeds from the offering of the notes to redeem our $500 million aggregate principal amount of 2.90% Senior Notes due 2022. This prospectus supplement does not constitute a notice of redemption under the indenture governing such 2.90% Senior Notes due 2022.</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spacing w:lineRule="atLeast" w:line="240" w:before="100" w:after="283"/>
        <w:ind w:left="4753" w:right="0" w:hanging="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Pending application of the net proceeds as described immediately above, we may repay borrowings under our commercial paper program used for working capital, which is fully supported by our $3.5 billion revolving credit facility, and we may temporarily invest in short-term investments. Any excess net proceeds will be used for general corporate purposes.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spacing w:lineRule="atLeast" w:line="240" w:before="10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“Use of Proceeds” in this prospectus supplement.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underwriters or their respective affiliates in this offering are lenders to us under our $3.5 billion revolving credit facility and may receive 5% or more of the net proceeds of this offering by reason of the repayment of amounts outstanding under our commercial paper program, which is fully supported by such credit facility, pending application of the net proceeds as described in the first paragraph under “Use of Proceeds” in this prospectus supplement. Accordingly, such underwriters are deemed to have a “conflict of interest” within the meaning of Rule 5121 of the Financial Industry Regulatory Authority, Inc.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Trust Company, N.A.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Issuances </w:t>
      </w:r>
    </w:p>
    <w:p>
      <w:pPr>
        <w:pStyle w:val="TextBody"/>
        <w:spacing w:lineRule="atLeast" w:line="240" w:before="0" w:after="283"/>
        <w:ind w:left="475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create and issue additional notes ranking equally and ratably with the notes offered by this prospectus supplement in all respects, so that such additional notes will be consolidated and form a single series with the notes offered by this prospectus supplement and will have the same terms, as to status, redemption or otherwise except for the issue date, the initial interest payment date, if applicable, and the payment of interest accruing prior to the issue date of such additional notes; provided, however, that a separate CUSIP or ISIN will be issued for the additional notes unless the notes and the additional notes are fungible for U.S. federal income tax purposes.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spacing w:lineRule="atLeast" w:line="240" w:before="0" w:after="283"/>
        <w:ind w:left="4753" w:right="0" w:hanging="0"/>
        <w:rPr/>
      </w:pPr>
      <w:r>
        <w:rPr>
          <w:rFonts w:ascii="Times New Roman;Times;serif" w:hAnsi="Times New Roman;Times;serif"/>
          <w:b w:val="false"/>
          <w:i w:val="false"/>
          <w:caps w:val="false"/>
          <w:smallCaps w:val="false"/>
          <w:color w:val="000000"/>
          <w:spacing w:val="4"/>
          <w:sz w:val="20"/>
          <w:bdr w:val="single" w:sz="8" w:space="1" w:color="000000"/>
        </w:rPr>
        <w:t xml:space="preserve">See page </w:t>
      </w:r>
      <w:hyperlink w:anchor="sRIFA">
        <w:r>
          <w:rPr>
            <w:rStyle w:val="InternetLink"/>
          </w:rPr>
          <w:t>S-4</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page </w:t>
      </w:r>
      <w:hyperlink w:anchor="tRIFA">
        <w:r>
          <w:rPr>
            <w:rStyle w:val="InternetLink"/>
          </w:rPr>
          <w:t>8</w:t>
        </w:r>
      </w:hyperlink>
      <w:r>
        <w:rPr>
          <w:rFonts w:ascii="Times New Roman;Times;serif" w:hAnsi="Times New Roman;Times;serif"/>
          <w:b w:val="false"/>
          <w:i w:val="false"/>
          <w:caps w:val="false"/>
          <w:smallCaps w:val="false"/>
          <w:color w:val="000000"/>
          <w:spacing w:val="4"/>
          <w:sz w:val="20"/>
          <w:bdr w:val="single" w:sz="8" w:space="1" w:color="000000"/>
        </w:rPr>
        <w:t xml:space="preserve"> of the accompanying prospectus for a discussion of the risks you should consider before investing in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RIFA"/>
      <w:bookmarkEnd w:id="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pPr>
      <w:r>
        <w:rPr>
          <w:rFonts w:ascii="Times New Roman;Times;serif" w:hAnsi="Times New Roman;Times;serif"/>
          <w:b w:val="false"/>
          <w:i/>
          <w:caps w:val="false"/>
          <w:smallCaps w:val="false"/>
          <w:color w:val="000000"/>
          <w:spacing w:val="4"/>
          <w:sz w:val="20"/>
        </w:rPr>
        <w:t xml:space="preserve">You should carefully consider the risk factors identified in Part I, Item 1A., “Risk Factors,” of our </w:t>
      </w:r>
      <w:hyperlink r:id="rId3">
        <w:r>
          <w:rPr>
            <w:rStyle w:val="InternetLink"/>
          </w:rPr>
          <w:t>Annual Report on Form 10-K for the year ended December 31, 2021</w:t>
        </w:r>
      </w:hyperlink>
      <w:r>
        <w:rPr>
          <w:rFonts w:ascii="Times New Roman;Times;serif" w:hAnsi="Times New Roman;Times;serif"/>
          <w:b w:val="false"/>
          <w:i/>
          <w:caps w:val="false"/>
          <w:smallCaps w:val="false"/>
          <w:color w:val="000000"/>
          <w:spacing w:val="4"/>
          <w:sz w:val="20"/>
        </w:rPr>
        <w:t xml:space="preserve"> and the risks identified in our other 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Notes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substantial indebtedness could impair our financial condition and our ability to fulfill our debt obligations, including our obligations under the notes.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substantial indebtedness. At March 31, 2022, our ratio of total debt to total capitalization was 65.4%, and we had $13.5 billion of total debt. In addition, as of March 31, 2022, we had approximately $935 million of total letters of credit outstanding under our various facilities and certain bi-lateral agreements, including $166 million of such outstanding letters of credit that were issued under and supported by our $3.5 billion revolving credit facility. Our indebtedness that bears interest at a floating rate makes us vulnerable to changes in interest rates. As of March 31, 2022, we had approximately $3.0 billion of debt maturing within the next 12 months, including: (i) $1.7 billion of short-term borrowings (net of related discount on issuance) under our commercial paper program; (ii) $645 million of tax-exempt bonds with term interest rate periods that expire within the next 12 months, which is prior to their scheduled maturities; and (iii) $180 million of other debt with scheduled maturities within the next 12 months, including $71 million of tax-exempt bonds. Our level of indebtedness and the covenants contained in the agreements governing our debt could have important consequences, including: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it more difficult for us to satisfy our obligations with respect to the notes and our other indebtedness, which could in turn result in an event of default on such other indebtedness or the notes;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largest"/>
                <wp:docPr id="7" name="Frame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impairing our ability to obtain additional financing in the future for working capital, capital expenditures, acquisitions, general corporate purposes or other purposes;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largest"/>
                <wp:docPr id="8" name="Frame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requiring us to dedicate a substantial portion of our cash flow from operations to debt service payments, thereby reducing the availability of cash for working capital, capital expenditures, acquisitions, general corporate purposes or other purposes;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largest"/>
                <wp:docPr id="9" name="Frame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limiting our flexibility in planning for, or reacting to, changes in our business and the industry in which we operate; and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largest"/>
                <wp:docPr id="10" name="Frame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placing us at a competitive disadvantage compared to our competitors that have proportionately less debt.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largest"/>
                <wp:docPr id="11" name="Frame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prohibited under the indenture governing the notes from incurring additional indebtedness. Although our $3.5 billion revolving credit facility requires us to maintain a specified ratio of Total Debt to EBITDA (as defined in our $3.5 billion revolving credit facility), following this offering of notes and the use of proceeds contemplated hereby, we expect to have the ability to incur additional indebtedness while remaining in compliance with this covenant. Our incurrence of additional indebtedness would exacerbate the negative consequences mentioned above, and could adversely affect our ability to service and repay the notes.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holding company and we depend upon cash distributions from our subsidiaries to service our debt.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holding company, we conduct our operations through our operating subsidiaries, and our only significant assets are the capital stock of our subsidiaries. Accordingly, our ability to meet our cash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effectively subordinated to certain of our subsidiaries’ debt and our secured debt.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March 31, 2022 was $372 million. As of March 31, 2022, our operating subsidiaries had $2.261 billion of indebtedness and WM Holdings had $223 million of long-term debt (excluding guarantees of $7.845 billion of our senior debt), in each case excluding intercompany loans. For a description of the ranking of the notes, see “Description of Notes — Ranking” in this prospectus supplement.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Fraudulent transfer statutes may limit your rights under the guarantees of the notes.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have sufficient funds to purchase the notes upon a change of control triggering event, and this covenant provides limited protection to investors.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480"/>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not be able to sell the notes for a profit or at all.</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UOP"/>
      <w:bookmarkEnd w:id="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the offering of the notes to be $      , after deducting the underwriting discounts and estimated expenses of the offering that we will pay. We intend to use the net proceeds from the offering of the notes to redeem our $500 million aggregate principal amount of 2.90% Senior Notes due 2022. This prospectus supplement does not constitute a notice of redemption under the indenture governing such 2.90% Senior Notes due 2022.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application of the net proceeds as described immediately above, we may repay borrowings under our commercial paper program used for working capital, which is fully supported by our $3.5 billion revolving credit facility, and we may temporarily invest in short-term investments. Any excess net proceeds will be used for general corporate purposes.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underwriters or their respective affiliates in this offering are lenders to us under our $3.5 billion revolving credit facility and may receive 5% or more of the net proceeds of this offering by reason of the repayment of amounts outstanding under our commercial paper program, which is fully supported by such credit facility, pending application of the net proceeds as described in the first paragraph under this section.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Commercial Paper Program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commercial paper program enables us to borrow up to $3.5 billion, which capacity is reduced by the aggregate amount of borrowings outstanding under our $3.5 billion revolving credit facility, for up to 397 days at competitive interest rates. As of April 25, 2022, we had $1.429 billion of outstanding borrowings under our commercial paper program with a weighted average interest rate of 0.50% and a weighted average maturity of 100.35 days. The proceeds of our commercial paper program were used for general corporate purposes.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CAP"/>
      <w:bookmarkEnd w:id="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consolidated cash and cash equivalents and consolidated capitalization as of March 31, 2022 on an actual basis and as adjusted to give effect to the offering of the notes but not the use of proceeds thereof. For purposes of this table, the net proceeds of the offering of the notes are reflected in As Adjusted Cash and Cash Equivalents.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 </w:t>
      </w:r>
    </w:p>
    <w:tbl>
      <w:tblPr>
        <w:tblW w:w="8812" w:type="dxa"/>
        <w:jc w:val="left"/>
        <w:tblInd w:w="1393" w:type="dxa"/>
        <w:tblCellMar>
          <w:top w:w="0" w:type="dxa"/>
          <w:left w:w="0" w:type="dxa"/>
          <w:bottom w:w="28" w:type="dxa"/>
          <w:right w:w="0" w:type="dxa"/>
        </w:tblCellMar>
      </w:tblPr>
      <w:tblGrid>
        <w:gridCol w:w="5502"/>
        <w:gridCol w:w="109"/>
        <w:gridCol w:w="109"/>
        <w:gridCol w:w="110"/>
        <w:gridCol w:w="228"/>
        <w:gridCol w:w="890"/>
        <w:gridCol w:w="110"/>
        <w:gridCol w:w="110"/>
        <w:gridCol w:w="110"/>
        <w:gridCol w:w="112"/>
        <w:gridCol w:w="234"/>
        <w:gridCol w:w="915"/>
        <w:gridCol w:w="112"/>
        <w:gridCol w:w="161"/>
      </w:tblGrid>
      <w:tr>
        <w:trPr/>
        <w:tc>
          <w:tcPr>
            <w:tcW w:w="550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931"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March 31, 2022 </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550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8"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Actual </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373" w:type="dxa"/>
            <w:gridSpan w:val="4"/>
            <w:tcBorders>
              <w:bottom w:val="single" w:sz="2" w:space="0" w:color="000000"/>
            </w:tcBorders>
            <w:shd w:fill="auto" w:val="clear"/>
            <w:tcMar>
              <w:bottom w:w="50" w:type="dxa"/>
            </w:tcMar>
            <w:vAlign w:val="center"/>
          </w:tcPr>
          <w:p>
            <w:pPr>
              <w:pStyle w:val="TableContents"/>
              <w:spacing w:lineRule="atLeast" w:line="141" w:before="0" w:after="0"/>
              <w:jc w:val="center"/>
              <w:rPr/>
            </w:pPr>
            <w:r>
              <w:rPr>
                <w:spacing w:val="-3"/>
              </w:rPr>
              <w:t>As Adjusted</w:t>
            </w:r>
            <w:r>
              <w:rPr>
                <w:spacing w:val="-2"/>
                <w:sz w:val="10"/>
              </w:rPr>
              <w:t>(a)</w:t>
            </w:r>
            <w:r>
              <w:rPr/>
              <w:t xml:space="preserve"> </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31" w:type="dxa"/>
            <w:gridSpan w:val="10"/>
            <w:tcBorders/>
            <w:shd w:fill="auto" w:val="clear"/>
            <w:tcMar>
              <w:bottom w:w="0" w:type="dxa"/>
            </w:tcMar>
            <w:vAlign w:val="center"/>
          </w:tcPr>
          <w:p>
            <w:pPr>
              <w:pStyle w:val="TableContents"/>
              <w:spacing w:before="0" w:after="0"/>
              <w:jc w:val="center"/>
              <w:rPr>
                <w:spacing w:val="-3"/>
              </w:rPr>
            </w:pPr>
            <w:r>
              <w:rPr>
                <w:spacing w:val="-3"/>
              </w:rPr>
              <w:t xml:space="preserve">(Unaudited, Dollars in millions) </w:t>
            </w:r>
          </w:p>
        </w:tc>
        <w:tc>
          <w:tcPr>
            <w:tcW w:w="161" w:type="dxa"/>
            <w:tcBorders/>
            <w:shd w:fill="auto" w:val="clear"/>
            <w:tcMar>
              <w:bottom w:w="0" w:type="dxa"/>
            </w:tcMar>
            <w:vAlign w:val="center"/>
          </w:tcPr>
          <w:p>
            <w:pPr>
              <w:pStyle w:val="TableContents"/>
              <w:spacing w:before="0" w:after="283"/>
              <w:rPr/>
            </w:pPr>
            <w:r>
              <w:rPr/>
              <w:t>​</w:t>
            </w:r>
          </w:p>
        </w:tc>
      </w:tr>
      <w:tr>
        <w:trPr/>
        <w:tc>
          <w:tcPr>
            <w:tcW w:w="5502" w:type="dxa"/>
            <w:tcBorders>
              <w:bottom w:val="single" w:sz="2" w:space="0" w:color="CCEEFF"/>
            </w:tcBorders>
            <w:shd w:fill="CCEEFF" w:val="clear"/>
            <w:tcMar>
              <w:bottom w:w="50" w:type="dxa"/>
            </w:tcMar>
            <w:vAlign w:val="center"/>
          </w:tcPr>
          <w:p>
            <w:pPr>
              <w:pStyle w:val="TableContents"/>
              <w:spacing w:before="0" w:after="0"/>
              <w:jc w:val="left"/>
              <w:rPr>
                <w:b/>
              </w:rPr>
            </w:pPr>
            <w:r>
              <w:rPr>
                <w:b/>
                <w:spacing w:val="-4"/>
              </w:rPr>
              <w:t>Cash and Cash Equivalents</w:t>
            </w:r>
            <w:r>
              <w:rPr>
                <w:b/>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228"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890" w:type="dxa"/>
            <w:tcBorders>
              <w:bottom w:val="single" w:sz="2" w:space="0" w:color="000000"/>
            </w:tcBorders>
            <w:shd w:fill="CCEEFF" w:val="clear"/>
            <w:tcMar>
              <w:bottom w:w="50" w:type="dxa"/>
            </w:tcMar>
            <w:vAlign w:val="center"/>
          </w:tcPr>
          <w:p>
            <w:pPr>
              <w:pStyle w:val="TableContents"/>
              <w:spacing w:before="0" w:after="283"/>
              <w:jc w:val="right"/>
              <w:rPr/>
            </w:pPr>
            <w:r>
              <w:rPr/>
              <w:t>155</w:t>
            </w:r>
          </w:p>
        </w:tc>
        <w:tc>
          <w:tcPr>
            <w:tcW w:w="110"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112" w:type="dxa"/>
            <w:tcBorders>
              <w:bottom w:val="single" w:sz="2" w:space="0" w:color="CCEEFF"/>
            </w:tcBorders>
            <w:shd w:fill="CCEEFF" w:val="clear"/>
            <w:vAlign w:val="center"/>
          </w:tcPr>
          <w:p>
            <w:pPr>
              <w:pStyle w:val="TableContents"/>
              <w:spacing w:before="0" w:after="283"/>
              <w:rPr/>
            </w:pPr>
            <w:r>
              <w:rPr/>
              <w:t>​</w:t>
            </w:r>
          </w:p>
        </w:tc>
        <w:tc>
          <w:tcPr>
            <w:tcW w:w="234"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9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2" w:type="dxa"/>
            <w:tcBorders>
              <w:bottom w:val="single" w:sz="2" w:space="0" w:color="CCEEFF"/>
            </w:tcBorders>
            <w:shd w:fill="CCEEFF" w:val="clear"/>
            <w:vAlign w:val="center"/>
          </w:tcPr>
          <w:p>
            <w:pPr>
              <w:pStyle w:val="TableContents"/>
              <w:spacing w:before="0" w:after="283"/>
              <w:rPr/>
            </w:pPr>
            <w:r>
              <w:rPr/>
              <w:t>​</w:t>
            </w:r>
          </w:p>
        </w:tc>
        <w:tc>
          <w:tcPr>
            <w:tcW w:w="161" w:type="dxa"/>
            <w:tcBorders>
              <w:bottom w:val="single" w:sz="2" w:space="0" w:color="CCEEFF"/>
            </w:tcBorders>
            <w:shd w:fill="CCEEFF" w:val="cle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283"/>
              <w:jc w:val="left"/>
              <w:rPr/>
            </w:pPr>
            <w:r>
              <w:rPr>
                <w:spacing w:val="-4"/>
              </w:rPr>
              <w:t>Debt: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234"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5502" w:type="dxa"/>
            <w:tcBorders/>
            <w:shd w:fill="CCEEFF" w:val="clear"/>
            <w:tcMar>
              <w:bottom w:w="0" w:type="dxa"/>
            </w:tcMar>
            <w:vAlign w:val="center"/>
          </w:tcPr>
          <w:p>
            <w:pPr>
              <w:pStyle w:val="TableContents"/>
              <w:spacing w:before="0" w:after="0"/>
              <w:ind w:left="200" w:right="0" w:hanging="0"/>
              <w:jc w:val="left"/>
              <w:rPr/>
            </w:pPr>
            <w:r>
              <w:rPr>
                <w:spacing w:val="4"/>
              </w:rPr>
              <w:t>Commercial paper program</w:t>
            </w:r>
            <w:r>
              <w:rPr>
                <w:spacing w:val="3"/>
                <w:sz w:val="13"/>
              </w:rPr>
              <w:t>(b)</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1,689</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234" w:type="dxa"/>
            <w:tcBorders/>
            <w:shd w:fill="CCEEFF" w:val="clear"/>
            <w:tcMar>
              <w:bottom w:w="0" w:type="dxa"/>
            </w:tcMar>
            <w:vAlign w:val="center"/>
          </w:tcPr>
          <w:p>
            <w:pPr>
              <w:pStyle w:val="TableContents"/>
              <w:spacing w:before="0" w:after="283"/>
              <w:jc w:val="right"/>
              <w:rPr/>
            </w:pPr>
            <w:r>
              <w:rPr/>
              <w:t>​</w:t>
            </w:r>
          </w:p>
        </w:tc>
        <w:tc>
          <w:tcPr>
            <w:tcW w:w="915" w:type="dxa"/>
            <w:tcBorders/>
            <w:shd w:fill="CCEEFF" w:val="clear"/>
            <w:tcMar>
              <w:bottom w:w="0" w:type="dxa"/>
            </w:tcMar>
            <w:vAlign w:val="center"/>
          </w:tcPr>
          <w:p>
            <w:pPr>
              <w:pStyle w:val="TableContents"/>
              <w:spacing w:before="0" w:after="283"/>
              <w:jc w:val="right"/>
              <w:rPr/>
            </w:pPr>
            <w:r>
              <w:rPr/>
              <w:t>1,689</w:t>
            </w:r>
          </w:p>
        </w:tc>
        <w:tc>
          <w:tcPr>
            <w:tcW w:w="112"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0"/>
              <w:ind w:left="200" w:right="0" w:hanging="0"/>
              <w:jc w:val="left"/>
              <w:rPr/>
            </w:pPr>
            <w:r>
              <w:rPr>
                <w:spacing w:val="4"/>
              </w:rPr>
              <w:t>$3.5 billion revolving credit facility</w:t>
            </w:r>
            <w:r>
              <w:rPr>
                <w:spacing w:val="3"/>
                <w:sz w:val="13"/>
              </w:rPr>
              <w:t>(b)(c)</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234"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5502"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Senior notes, maturing through 2050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8,126</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234" w:type="dxa"/>
            <w:tcBorders/>
            <w:shd w:fill="CCEEFF" w:val="clear"/>
            <w:tcMar>
              <w:bottom w:w="0" w:type="dxa"/>
            </w:tcMar>
            <w:vAlign w:val="center"/>
          </w:tcPr>
          <w:p>
            <w:pPr>
              <w:pStyle w:val="TableContents"/>
              <w:spacing w:before="0" w:after="283"/>
              <w:jc w:val="right"/>
              <w:rPr/>
            </w:pPr>
            <w:r>
              <w:rPr/>
              <w:t>​</w:t>
            </w:r>
          </w:p>
        </w:tc>
        <w:tc>
          <w:tcPr>
            <w:tcW w:w="915" w:type="dxa"/>
            <w:tcBorders/>
            <w:shd w:fill="CCEEFF" w:val="clear"/>
            <w:tcMar>
              <w:bottom w:w="0" w:type="dxa"/>
            </w:tcMar>
            <w:vAlign w:val="center"/>
          </w:tcPr>
          <w:p>
            <w:pPr>
              <w:pStyle w:val="TableContents"/>
              <w:spacing w:before="0" w:after="283"/>
              <w:jc w:val="right"/>
              <w:rPr/>
            </w:pPr>
            <w:r>
              <w:rPr/>
              <w:t>8,126</w:t>
            </w:r>
          </w:p>
        </w:tc>
        <w:tc>
          <w:tcPr>
            <w:tcW w:w="112"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0"/>
              <w:ind w:left="200" w:right="0" w:hanging="0"/>
              <w:jc w:val="left"/>
              <w:rPr/>
            </w:pPr>
            <w:r>
              <w:rPr>
                <w:spacing w:val="4"/>
              </w:rPr>
              <w:t>Canadian senior notes, C$500 million maturing September 2026</w:t>
            </w:r>
            <w:r>
              <w:rPr>
                <w:spacing w:val="3"/>
                <w:sz w:val="13"/>
              </w:rPr>
              <w:t>(d)</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400</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234"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400</w:t>
            </w:r>
          </w:p>
        </w:tc>
        <w:tc>
          <w:tcPr>
            <w:tcW w:w="112"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5502" w:type="dxa"/>
            <w:tcBorders/>
            <w:shd w:fill="CCEEFF" w:val="clear"/>
            <w:tcMar>
              <w:bottom w:w="0" w:type="dxa"/>
            </w:tcMar>
            <w:vAlign w:val="center"/>
          </w:tcPr>
          <w:p>
            <w:pPr>
              <w:pStyle w:val="TableContents"/>
              <w:spacing w:before="0" w:after="0"/>
              <w:ind w:left="400" w:right="0" w:hanging="200"/>
              <w:jc w:val="left"/>
              <w:rPr>
                <w:spacing w:val="4"/>
              </w:rPr>
            </w:pPr>
            <w:r>
              <w:rPr>
                <w:spacing w:val="4"/>
              </w:rPr>
              <w:t>    </w:t>
            </w:r>
            <w:r>
              <w:rPr>
                <w:spacing w:val="4"/>
              </w:rPr>
              <w:t xml:space="preserve">% Senior Notes due 2032 offered hereby (including unamortized discount)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234" w:type="dxa"/>
            <w:tcBorders/>
            <w:shd w:fill="CCEEFF" w:val="clear"/>
            <w:tcMar>
              <w:bottom w:w="0" w:type="dxa"/>
            </w:tcMar>
            <w:vAlign w:val="center"/>
          </w:tcPr>
          <w:p>
            <w:pPr>
              <w:pStyle w:val="TableContents"/>
              <w:spacing w:before="0" w:after="283"/>
              <w:jc w:val="right"/>
              <w:rPr/>
            </w:pPr>
            <w:r>
              <w:rPr/>
              <w:t>​</w:t>
            </w:r>
          </w:p>
        </w:tc>
        <w:tc>
          <w:tcPr>
            <w:tcW w:w="915"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0"/>
              <w:ind w:left="200" w:right="0" w:hanging="0"/>
              <w:jc w:val="left"/>
              <w:rPr/>
            </w:pPr>
            <w:r>
              <w:rPr>
                <w:spacing w:val="4"/>
              </w:rPr>
              <w:t>Tax-exempt bonds, maturing through 2048</w:t>
            </w:r>
            <w:r>
              <w:rPr>
                <w:spacing w:val="3"/>
                <w:sz w:val="13"/>
              </w:rPr>
              <w:t>(e)</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2,619</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234"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2,619</w:t>
            </w:r>
          </w:p>
        </w:tc>
        <w:tc>
          <w:tcPr>
            <w:tcW w:w="112"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5502"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Financing leases and other, maturing through 2085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731</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234" w:type="dxa"/>
            <w:tcBorders/>
            <w:shd w:fill="CCEEFF" w:val="clear"/>
            <w:tcMar>
              <w:bottom w:w="0" w:type="dxa"/>
            </w:tcMar>
            <w:vAlign w:val="center"/>
          </w:tcPr>
          <w:p>
            <w:pPr>
              <w:pStyle w:val="TableContents"/>
              <w:spacing w:before="0" w:after="283"/>
              <w:jc w:val="right"/>
              <w:rPr/>
            </w:pPr>
            <w:r>
              <w:rPr/>
              <w:t>​</w:t>
            </w:r>
          </w:p>
        </w:tc>
        <w:tc>
          <w:tcPr>
            <w:tcW w:w="915" w:type="dxa"/>
            <w:tcBorders/>
            <w:shd w:fill="CCEEFF" w:val="clear"/>
            <w:tcMar>
              <w:bottom w:w="0" w:type="dxa"/>
            </w:tcMar>
            <w:vAlign w:val="center"/>
          </w:tcPr>
          <w:p>
            <w:pPr>
              <w:pStyle w:val="TableContents"/>
              <w:spacing w:before="0" w:after="283"/>
              <w:jc w:val="right"/>
              <w:rPr/>
            </w:pPr>
            <w:r>
              <w:rPr/>
              <w:t>731</w:t>
            </w:r>
          </w:p>
        </w:tc>
        <w:tc>
          <w:tcPr>
            <w:tcW w:w="112"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5502" w:type="dxa"/>
            <w:tcBorders>
              <w:bottom w:val="single" w:sz="2" w:space="0" w:color="FFFFFF"/>
            </w:tcBorders>
            <w:shd w:fill="auto" w:val="clear"/>
            <w:tcMar>
              <w:bottom w:w="50" w:type="dxa"/>
            </w:tcMar>
            <w:vAlign w:val="center"/>
          </w:tcPr>
          <w:p>
            <w:pPr>
              <w:pStyle w:val="TableContents"/>
              <w:spacing w:before="0" w:after="0"/>
              <w:ind w:left="200" w:right="0" w:hanging="0"/>
              <w:jc w:val="left"/>
              <w:rPr/>
            </w:pPr>
            <w:r>
              <w:rPr>
                <w:spacing w:val="4"/>
              </w:rPr>
              <w:t>Debt issuance costs, discounts and other</w:t>
            </w:r>
            <w:r>
              <w:rPr>
                <w:spacing w:val="3"/>
                <w:sz w:val="13"/>
              </w:rPr>
              <w:t>(f)</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22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90" w:type="dxa"/>
            <w:tcBorders>
              <w:bottom w:val="single" w:sz="2" w:space="0" w:color="000000"/>
            </w:tcBorders>
            <w:shd w:fill="auto" w:val="clear"/>
            <w:tcMar>
              <w:bottom w:w="50" w:type="dxa"/>
            </w:tcMar>
            <w:vAlign w:val="center"/>
          </w:tcPr>
          <w:p>
            <w:pPr>
              <w:pStyle w:val="TableContents"/>
              <w:spacing w:before="0" w:after="283"/>
              <w:jc w:val="right"/>
              <w:rPr/>
            </w:pPr>
            <w:r>
              <w:rPr/>
              <w:t>(78)</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rPr/>
            </w:pPr>
            <w:r>
              <w:rPr/>
              <w:t>​</w:t>
            </w:r>
          </w:p>
        </w:tc>
        <w:tc>
          <w:tcPr>
            <w:tcW w:w="23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915" w:type="dxa"/>
            <w:tcBorders>
              <w:bottom w:val="single" w:sz="2" w:space="0" w:color="000000"/>
            </w:tcBorders>
            <w:shd w:fill="auto" w:val="clear"/>
            <w:tcMar>
              <w:bottom w:w="50" w:type="dxa"/>
            </w:tcMar>
            <w:vAlign w:val="center"/>
          </w:tcPr>
          <w:p>
            <w:pPr>
              <w:pStyle w:val="TableContents"/>
              <w:spacing w:before="0" w:after="283"/>
              <w:jc w:val="right"/>
              <w:rPr/>
            </w:pPr>
            <w:r>
              <w:rPr/>
              <w:t>(78)</w:t>
            </w:r>
          </w:p>
        </w:tc>
        <w:tc>
          <w:tcPr>
            <w:tcW w:w="112" w:type="dxa"/>
            <w:tcBorders>
              <w:bottom w:val="single" w:sz="2" w:space="0" w:color="FFFFFF"/>
            </w:tcBorders>
            <w:shd w:fill="auto" w:val="clear"/>
            <w:vAlign w:val="center"/>
          </w:tcPr>
          <w:p>
            <w:pPr>
              <w:pStyle w:val="TableContents"/>
              <w:spacing w:before="0" w:after="283"/>
              <w:rPr/>
            </w:pPr>
            <w:r>
              <w:rPr/>
              <w:t>​</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5502"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Total debt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228"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890" w:type="dxa"/>
            <w:tcBorders>
              <w:bottom w:val="single" w:sz="2" w:space="0" w:color="000000"/>
            </w:tcBorders>
            <w:shd w:fill="CCEEFF" w:val="clear"/>
            <w:tcMar>
              <w:bottom w:w="50" w:type="dxa"/>
            </w:tcMar>
            <w:vAlign w:val="center"/>
          </w:tcPr>
          <w:p>
            <w:pPr>
              <w:pStyle w:val="TableContents"/>
              <w:spacing w:before="0" w:after="283"/>
              <w:jc w:val="right"/>
              <w:rPr/>
            </w:pPr>
            <w:r>
              <w:rPr/>
              <w:t>13,487</w:t>
            </w:r>
          </w:p>
        </w:tc>
        <w:tc>
          <w:tcPr>
            <w:tcW w:w="110"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112" w:type="dxa"/>
            <w:tcBorders>
              <w:bottom w:val="single" w:sz="2" w:space="0" w:color="CCEEFF"/>
            </w:tcBorders>
            <w:shd w:fill="CCEEFF" w:val="clear"/>
            <w:vAlign w:val="center"/>
          </w:tcPr>
          <w:p>
            <w:pPr>
              <w:pStyle w:val="TableContents"/>
              <w:spacing w:before="0" w:after="283"/>
              <w:rPr/>
            </w:pPr>
            <w:r>
              <w:rPr/>
              <w:t>​</w:t>
            </w:r>
          </w:p>
        </w:tc>
        <w:tc>
          <w:tcPr>
            <w:tcW w:w="234"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9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2" w:type="dxa"/>
            <w:tcBorders>
              <w:bottom w:val="single" w:sz="2" w:space="0" w:color="CCEEFF"/>
            </w:tcBorders>
            <w:shd w:fill="CCEEFF" w:val="clear"/>
            <w:vAlign w:val="center"/>
          </w:tcPr>
          <w:p>
            <w:pPr>
              <w:pStyle w:val="TableContents"/>
              <w:spacing w:before="0" w:after="283"/>
              <w:rPr/>
            </w:pPr>
            <w:r>
              <w:rPr/>
              <w:t>​</w:t>
            </w:r>
          </w:p>
        </w:tc>
        <w:tc>
          <w:tcPr>
            <w:tcW w:w="161" w:type="dxa"/>
            <w:tcBorders>
              <w:bottom w:val="single" w:sz="2" w:space="0" w:color="CCEEFF"/>
            </w:tcBorders>
            <w:shd w:fill="CCEEFF" w:val="cle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283"/>
              <w:jc w:val="left"/>
              <w:rPr/>
            </w:pPr>
            <w:r>
              <w:rPr>
                <w:spacing w:val="-4"/>
              </w:rPr>
              <w:t>Equity:</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234"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5502" w:type="dxa"/>
            <w:tcBorders/>
            <w:shd w:fill="CCEEFF" w:val="clear"/>
            <w:tcMar>
              <w:bottom w:w="0" w:type="dxa"/>
            </w:tcMar>
            <w:vAlign w:val="center"/>
          </w:tcPr>
          <w:p>
            <w:pPr>
              <w:pStyle w:val="TableContents"/>
              <w:spacing w:before="0" w:after="283"/>
              <w:jc w:val="left"/>
              <w:rPr>
                <w:spacing w:val="4"/>
              </w:rPr>
            </w:pPr>
            <w:r>
              <w:rPr>
                <w:spacing w:val="4"/>
              </w:rPr>
              <w:t xml:space="preserve">Waste Management, Inc. Stockholders’ Equity: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234" w:type="dxa"/>
            <w:tcBorders/>
            <w:shd w:fill="CCEEFF" w:val="clear"/>
            <w:tcMar>
              <w:bottom w:w="0" w:type="dxa"/>
            </w:tcMar>
            <w:vAlign w:val="center"/>
          </w:tcPr>
          <w:p>
            <w:pPr>
              <w:pStyle w:val="TableContents"/>
              <w:spacing w:before="0" w:after="283"/>
              <w:jc w:val="right"/>
              <w:rPr/>
            </w:pPr>
            <w:r>
              <w:rPr/>
              <w:t>​</w:t>
            </w:r>
          </w:p>
        </w:tc>
        <w:tc>
          <w:tcPr>
            <w:tcW w:w="915"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0"/>
              <w:ind w:left="400" w:right="0" w:hanging="200"/>
              <w:jc w:val="left"/>
              <w:rPr>
                <w:spacing w:val="4"/>
              </w:rPr>
            </w:pPr>
            <w:r>
              <w:rPr>
                <w:spacing w:val="4"/>
              </w:rPr>
              <w:t xml:space="preserve">Common stock, $0.01 par value; 1,500,000,000 shares authorized; 630,282,461 shares issued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6</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234"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6</w:t>
            </w:r>
          </w:p>
        </w:tc>
        <w:tc>
          <w:tcPr>
            <w:tcW w:w="112"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5502"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5,178</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234" w:type="dxa"/>
            <w:tcBorders/>
            <w:shd w:fill="CCEEFF" w:val="clear"/>
            <w:tcMar>
              <w:bottom w:w="0" w:type="dxa"/>
            </w:tcMar>
            <w:vAlign w:val="center"/>
          </w:tcPr>
          <w:p>
            <w:pPr>
              <w:pStyle w:val="TableContents"/>
              <w:spacing w:before="0" w:after="283"/>
              <w:jc w:val="right"/>
              <w:rPr/>
            </w:pPr>
            <w:r>
              <w:rPr/>
              <w:t>​</w:t>
            </w:r>
          </w:p>
        </w:tc>
        <w:tc>
          <w:tcPr>
            <w:tcW w:w="915" w:type="dxa"/>
            <w:tcBorders/>
            <w:shd w:fill="CCEEFF" w:val="clear"/>
            <w:tcMar>
              <w:bottom w:w="0" w:type="dxa"/>
            </w:tcMar>
            <w:vAlign w:val="center"/>
          </w:tcPr>
          <w:p>
            <w:pPr>
              <w:pStyle w:val="TableContents"/>
              <w:spacing w:before="0" w:after="283"/>
              <w:jc w:val="right"/>
              <w:rPr/>
            </w:pPr>
            <w:r>
              <w:rPr/>
              <w:t>5,178</w:t>
            </w:r>
          </w:p>
        </w:tc>
        <w:tc>
          <w:tcPr>
            <w:tcW w:w="112"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Retained earnings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12,247</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234"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12,247</w:t>
            </w:r>
          </w:p>
        </w:tc>
        <w:tc>
          <w:tcPr>
            <w:tcW w:w="112"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5502"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Accumulated other comprehensive income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15</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234" w:type="dxa"/>
            <w:tcBorders/>
            <w:shd w:fill="CCEEFF" w:val="clear"/>
            <w:tcMar>
              <w:bottom w:w="0" w:type="dxa"/>
            </w:tcMar>
            <w:vAlign w:val="center"/>
          </w:tcPr>
          <w:p>
            <w:pPr>
              <w:pStyle w:val="TableContents"/>
              <w:spacing w:before="0" w:after="283"/>
              <w:jc w:val="right"/>
              <w:rPr/>
            </w:pPr>
            <w:r>
              <w:rPr/>
              <w:t>​</w:t>
            </w:r>
          </w:p>
        </w:tc>
        <w:tc>
          <w:tcPr>
            <w:tcW w:w="915" w:type="dxa"/>
            <w:tcBorders/>
            <w:shd w:fill="CCEEFF" w:val="clear"/>
            <w:tcMar>
              <w:bottom w:w="0" w:type="dxa"/>
            </w:tcMar>
            <w:vAlign w:val="center"/>
          </w:tcPr>
          <w:p>
            <w:pPr>
              <w:pStyle w:val="TableContents"/>
              <w:spacing w:before="0" w:after="283"/>
              <w:jc w:val="right"/>
              <w:rPr/>
            </w:pPr>
            <w:r>
              <w:rPr/>
              <w:t>15</w:t>
            </w:r>
          </w:p>
        </w:tc>
        <w:tc>
          <w:tcPr>
            <w:tcW w:w="112"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5502"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Treasury stock at cost, 215,102,120 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22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90" w:type="dxa"/>
            <w:tcBorders>
              <w:bottom w:val="single" w:sz="2" w:space="0" w:color="000000"/>
            </w:tcBorders>
            <w:shd w:fill="auto" w:val="clear"/>
            <w:tcMar>
              <w:bottom w:w="50" w:type="dxa"/>
            </w:tcMar>
            <w:vAlign w:val="center"/>
          </w:tcPr>
          <w:p>
            <w:pPr>
              <w:pStyle w:val="TableContents"/>
              <w:spacing w:before="0" w:after="283"/>
              <w:jc w:val="right"/>
              <w:rPr/>
            </w:pPr>
            <w:r>
              <w:rPr/>
              <w:t>(10,302)</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rPr/>
            </w:pPr>
            <w:r>
              <w:rPr/>
              <w:t>​</w:t>
            </w:r>
          </w:p>
        </w:tc>
        <w:tc>
          <w:tcPr>
            <w:tcW w:w="23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915" w:type="dxa"/>
            <w:tcBorders>
              <w:bottom w:val="single" w:sz="2" w:space="0" w:color="000000"/>
            </w:tcBorders>
            <w:shd w:fill="auto" w:val="clear"/>
            <w:tcMar>
              <w:bottom w:w="50" w:type="dxa"/>
            </w:tcMar>
            <w:vAlign w:val="center"/>
          </w:tcPr>
          <w:p>
            <w:pPr>
              <w:pStyle w:val="TableContents"/>
              <w:spacing w:before="0" w:after="283"/>
              <w:jc w:val="right"/>
              <w:rPr/>
            </w:pPr>
            <w:r>
              <w:rPr/>
              <w:t>(10,302)</w:t>
            </w:r>
          </w:p>
        </w:tc>
        <w:tc>
          <w:tcPr>
            <w:tcW w:w="112" w:type="dxa"/>
            <w:tcBorders>
              <w:bottom w:val="single" w:sz="2" w:space="0" w:color="FFFFFF"/>
            </w:tcBorders>
            <w:shd w:fill="auto" w:val="clear"/>
            <w:vAlign w:val="center"/>
          </w:tcPr>
          <w:p>
            <w:pPr>
              <w:pStyle w:val="TableContents"/>
              <w:spacing w:before="0" w:after="283"/>
              <w:rPr/>
            </w:pPr>
            <w:r>
              <w:rPr/>
              <w:t>​</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5502"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Total Waste Management, Inc. stockholders’ equity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7,144</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234" w:type="dxa"/>
            <w:tcBorders/>
            <w:shd w:fill="CCEEFF" w:val="clear"/>
            <w:tcMar>
              <w:bottom w:w="0" w:type="dxa"/>
            </w:tcMar>
            <w:vAlign w:val="center"/>
          </w:tcPr>
          <w:p>
            <w:pPr>
              <w:pStyle w:val="TableContents"/>
              <w:spacing w:before="0" w:after="283"/>
              <w:jc w:val="right"/>
              <w:rPr/>
            </w:pPr>
            <w:r>
              <w:rPr/>
              <w:t>​</w:t>
            </w:r>
          </w:p>
        </w:tc>
        <w:tc>
          <w:tcPr>
            <w:tcW w:w="915" w:type="dxa"/>
            <w:tcBorders/>
            <w:shd w:fill="CCEEFF" w:val="clear"/>
            <w:tcMar>
              <w:bottom w:w="0" w:type="dxa"/>
            </w:tcMar>
            <w:vAlign w:val="center"/>
          </w:tcPr>
          <w:p>
            <w:pPr>
              <w:pStyle w:val="TableContents"/>
              <w:spacing w:before="0" w:after="283"/>
              <w:jc w:val="right"/>
              <w:rPr/>
            </w:pPr>
            <w:r>
              <w:rPr/>
              <w:t>7,144</w:t>
            </w:r>
          </w:p>
        </w:tc>
        <w:tc>
          <w:tcPr>
            <w:tcW w:w="112"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5502"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Noncontrolling interests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22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90" w:type="dxa"/>
            <w:tcBorders>
              <w:bottom w:val="single" w:sz="2" w:space="0" w:color="000000"/>
            </w:tcBorders>
            <w:shd w:fill="auto" w:val="clear"/>
            <w:tcMar>
              <w:bottom w:w="50" w:type="dxa"/>
            </w:tcMar>
            <w:vAlign w:val="center"/>
          </w:tcPr>
          <w:p>
            <w:pPr>
              <w:pStyle w:val="TableContents"/>
              <w:spacing w:before="0" w:after="283"/>
              <w:jc w:val="right"/>
              <w:rPr/>
            </w:pPr>
            <w:r>
              <w:rPr/>
              <w:t>2</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12" w:type="dxa"/>
            <w:tcBorders>
              <w:bottom w:val="single" w:sz="2" w:space="0" w:color="FFFFFF"/>
            </w:tcBorders>
            <w:shd w:fill="auto" w:val="clear"/>
            <w:vAlign w:val="center"/>
          </w:tcPr>
          <w:p>
            <w:pPr>
              <w:pStyle w:val="TableContents"/>
              <w:spacing w:before="0" w:after="283"/>
              <w:rPr/>
            </w:pPr>
            <w:r>
              <w:rPr/>
              <w:t>​</w:t>
            </w:r>
          </w:p>
        </w:tc>
        <w:tc>
          <w:tcPr>
            <w:tcW w:w="23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915" w:type="dxa"/>
            <w:tcBorders>
              <w:bottom w:val="single" w:sz="2" w:space="0" w:color="000000"/>
            </w:tcBorders>
            <w:shd w:fill="auto" w:val="clear"/>
            <w:tcMar>
              <w:bottom w:w="50" w:type="dxa"/>
            </w:tcMar>
            <w:vAlign w:val="center"/>
          </w:tcPr>
          <w:p>
            <w:pPr>
              <w:pStyle w:val="TableContents"/>
              <w:spacing w:before="0" w:after="283"/>
              <w:jc w:val="right"/>
              <w:rPr/>
            </w:pPr>
            <w:r>
              <w:rPr/>
              <w:t>2</w:t>
            </w:r>
          </w:p>
        </w:tc>
        <w:tc>
          <w:tcPr>
            <w:tcW w:w="112" w:type="dxa"/>
            <w:tcBorders>
              <w:bottom w:val="single" w:sz="2" w:space="0" w:color="FFFFFF"/>
            </w:tcBorders>
            <w:shd w:fill="auto" w:val="clear"/>
            <w:vAlign w:val="center"/>
          </w:tcPr>
          <w:p>
            <w:pPr>
              <w:pStyle w:val="TableContents"/>
              <w:spacing w:before="0" w:after="283"/>
              <w:rPr/>
            </w:pPr>
            <w:r>
              <w:rPr/>
              <w:t>​</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5502"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Total equity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228"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890" w:type="dxa"/>
            <w:tcBorders>
              <w:bottom w:val="single" w:sz="2" w:space="0" w:color="000000"/>
            </w:tcBorders>
            <w:shd w:fill="CCEEFF" w:val="clear"/>
            <w:tcMar>
              <w:bottom w:w="50" w:type="dxa"/>
            </w:tcMar>
            <w:vAlign w:val="center"/>
          </w:tcPr>
          <w:p>
            <w:pPr>
              <w:pStyle w:val="TableContents"/>
              <w:spacing w:before="0" w:after="283"/>
              <w:jc w:val="right"/>
              <w:rPr/>
            </w:pPr>
            <w:r>
              <w:rPr/>
              <w:t>7,146</w:t>
            </w:r>
          </w:p>
        </w:tc>
        <w:tc>
          <w:tcPr>
            <w:tcW w:w="110"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112" w:type="dxa"/>
            <w:tcBorders>
              <w:bottom w:val="single" w:sz="2" w:space="0" w:color="CCEEFF"/>
            </w:tcBorders>
            <w:shd w:fill="CCEEFF" w:val="clear"/>
            <w:vAlign w:val="center"/>
          </w:tcPr>
          <w:p>
            <w:pPr>
              <w:pStyle w:val="TableContents"/>
              <w:spacing w:before="0" w:after="283"/>
              <w:rPr/>
            </w:pPr>
            <w:r>
              <w:rPr/>
              <w:t>​</w:t>
            </w:r>
          </w:p>
        </w:tc>
        <w:tc>
          <w:tcPr>
            <w:tcW w:w="234"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915" w:type="dxa"/>
            <w:tcBorders>
              <w:bottom w:val="single" w:sz="2" w:space="0" w:color="000000"/>
            </w:tcBorders>
            <w:shd w:fill="CCEEFF" w:val="clear"/>
            <w:tcMar>
              <w:bottom w:w="50" w:type="dxa"/>
            </w:tcMar>
            <w:vAlign w:val="center"/>
          </w:tcPr>
          <w:p>
            <w:pPr>
              <w:pStyle w:val="TableContents"/>
              <w:spacing w:before="0" w:after="283"/>
              <w:jc w:val="right"/>
              <w:rPr/>
            </w:pPr>
            <w:r>
              <w:rPr/>
              <w:t>7,146</w:t>
            </w:r>
          </w:p>
        </w:tc>
        <w:tc>
          <w:tcPr>
            <w:tcW w:w="112" w:type="dxa"/>
            <w:tcBorders>
              <w:bottom w:val="single" w:sz="2" w:space="0" w:color="CCEEFF"/>
            </w:tcBorders>
            <w:shd w:fill="CCEEFF" w:val="clear"/>
            <w:vAlign w:val="center"/>
          </w:tcPr>
          <w:p>
            <w:pPr>
              <w:pStyle w:val="TableContents"/>
              <w:spacing w:before="0" w:after="283"/>
              <w:rPr/>
            </w:pPr>
            <w:r>
              <w:rPr/>
              <w:t>​</w:t>
            </w:r>
          </w:p>
        </w:tc>
        <w:tc>
          <w:tcPr>
            <w:tcW w:w="161" w:type="dxa"/>
            <w:tcBorders>
              <w:bottom w:val="single" w:sz="2" w:space="0" w:color="CCEEFF"/>
            </w:tcBorders>
            <w:shd w:fill="CCEEFF" w:val="clear"/>
            <w:vAlign w:val="center"/>
          </w:tcPr>
          <w:p>
            <w:pPr>
              <w:pStyle w:val="TableContents"/>
              <w:spacing w:before="0" w:after="283"/>
              <w:rPr/>
            </w:pPr>
            <w:r>
              <w:rPr/>
              <w:t>​</w:t>
            </w:r>
          </w:p>
        </w:tc>
      </w:tr>
      <w:tr>
        <w:trPr/>
        <w:tc>
          <w:tcPr>
            <w:tcW w:w="5502"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Total debt and equity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890" w:type="dxa"/>
            <w:tcBorders>
              <w:bottom w:val="double" w:sz="8" w:space="0" w:color="000000"/>
            </w:tcBorders>
            <w:shd w:fill="auto" w:val="clear"/>
            <w:tcMar>
              <w:bottom w:w="50" w:type="dxa"/>
            </w:tcMar>
            <w:vAlign w:val="center"/>
          </w:tcPr>
          <w:p>
            <w:pPr>
              <w:pStyle w:val="TableContents"/>
              <w:spacing w:before="0" w:after="283"/>
              <w:jc w:val="right"/>
              <w:rPr/>
            </w:pPr>
            <w:r>
              <w:rPr/>
              <w:t>20,633</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234"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915"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 Adjusted column gives effect to the offering of the notes but does not give effect to any use of proceeds thereof. After giving effect to the redemption of our $500 million aggregate principal amount of 2.90% Senior Notes due 2022, As Adjusted Cash and Cash Equivalents would be $      million, and As Adjusted Senior notes, maturing through 2050, would be $      billion. </w:t>
      </w:r>
      <w:r>
        <mc:AlternateContent>
          <mc:Choice Requires="wps">
            <w:drawing>
              <wp:anchor behindDoc="0" distT="1143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largest"/>
                <wp:docPr id="12" name="Frame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$3.5 billion revolving credit facility expires in November 2024 and is our primary source of letter of credit capacity. Our remaining uncommitted letter of credit capacity is provided under facilities with terms extending through April 2023. As of March 31, 2022, we had $1.7 billion of outstanding borrowings (net of related discount on issuance) under our commercial paper program, which is fully supported by our $3.5 billion revolving credit facility. Additionally, as of March 31, 2022, we had no </w:t>
      </w:r>
      <w:r>
        <mc:AlternateContent>
          <mc:Choice Requires="wps">
            <w:drawing>
              <wp:anchor behindDoc="0" distT="635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largest"/>
                <wp:docPr id="13" name="Frame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200"/>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borrowings under, and $166 million of letters of credit issued under and supported by, our $3.5 billion revolving credit facility, leaving unused and available credit capacity under this facility of $1.6 billion. As of April 25, 2022, we had $1.429 billion of outstanding borrowings under our commercial paper program, which were used for general corporate purposes.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$3.5 billion revolving credit facility provides us with credit capacity to be used for cash borrowings, including borrowings in Canadian dollars up to the U.S. dollar equivalent of $375 million, to support letters of credit and to support our commercial paper program. The rates we pay for outstanding U.S. or Canadian loans are generally based on LIBOR (or a LIBOR successor rate, if applicable, as provided for in the underlying credit agreement) or CDOR, respectively, plus a spread depending on our debt rating assigned by Moody’s and S&amp;P (each as defined below). WM Holdings guarantees all of the obligations under our $3.5 billion revolving credit facility. </w:t>
      </w:r>
      <w:r>
        <mc:AlternateContent>
          <mc:Choice Requires="wps">
            <w:drawing>
              <wp:anchor behindDoc="0" distT="508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largest"/>
                <wp:docPr id="14" name="Frame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2019, Waste Management of Canada Corporation, our indirect wholly owned subsidiary, issued C$500 million, or $400 million based on the conversion rate as of March 31, 2022, of 2.6% senior notes due 2026, all of which are fully and unconditionally guaranteed on a senior unsecured basis by us and WM Holdings. </w:t>
      </w:r>
      <w:r>
        <mc:AlternateContent>
          <mc:Choice Requires="wps">
            <w:drawing>
              <wp:anchor behindDoc="0" distT="508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largest"/>
                <wp:docPr id="15" name="Frame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 </w:t>
      </w:r>
      <w:r>
        <mc:AlternateContent>
          <mc:Choice Requires="wps">
            <w:drawing>
              <wp:anchor behindDoc="0" distT="508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largest"/>
                <wp:docPr id="16" name="Frame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 Adjusted column with respect to this line item does not include any debt issuance costs or unamortized discounts associated with the notes. </w:t>
      </w:r>
      <w:r>
        <mc:AlternateContent>
          <mc:Choice Requires="wps">
            <w:drawing>
              <wp:anchor behindDoc="0" distT="508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largest"/>
                <wp:docPr id="17" name="Frame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DON"/>
      <w:bookmarkEnd w:id="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$      of our    % senior notes due 2032. The notes will be issued under and pursuant to an Indenture dated as of September 10, 1997 (the “Indenture”), between us and The Bank of New York Mellon Trust Company, N.A. (the current successor to the initial trustee, Texas Commerce Bank National Association), as trustee (the “Trustee”). We will issue the notes pursuant to a resolution of our Board of Directors and an accompanying officers’ certificate setting forth the specific terms applicable to the notes.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The Notes.</w:t>
      </w:r>
      <w:r>
        <w:rPr>
          <w:rFonts w:ascii="Times New Roman;Times;serif" w:hAnsi="Times New Roman;Times;serif"/>
          <w:b w:val="false"/>
          <w:i w:val="false"/>
          <w:caps w:val="false"/>
          <w:smallCaps w:val="false"/>
          <w:color w:val="000000"/>
          <w:spacing w:val="4"/>
          <w:sz w:val="20"/>
        </w:rPr>
        <w:t xml:space="preserve">   The notes will: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our general unsecured, senior obligations;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largest"/>
                <wp:docPr id="18" name="Frame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constitute a new and separate series of debt securities issued under the Indenture and will be initially limited to an aggregate principal amount of $      ;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largest"/>
                <wp:docPr id="19" name="Frame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mature on          , 2032;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largest"/>
                <wp:docPr id="20" name="Frame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unconditionally guaranteed by our wholly owned subsidiary WM Holdings;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largest"/>
                <wp:docPr id="21" name="Frame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entitled to the benefit of any sinking fund;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largest"/>
                <wp:docPr id="22" name="Frame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issued in minimum denominations of $2,000 and integral multiples of $1,000 in excess thereof; and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largest"/>
                <wp:docPr id="23" name="Frame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largest"/>
                <wp:docPr id="24" name="Frame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Interest.</w:t>
      </w:r>
      <w:r>
        <w:rPr>
          <w:rFonts w:ascii="Times New Roman;Times;serif" w:hAnsi="Times New Roman;Times;serif"/>
          <w:b w:val="false"/>
          <w:i w:val="false"/>
          <w:caps w:val="false"/>
          <w:smallCaps w:val="false"/>
          <w:color w:val="000000"/>
          <w:spacing w:val="4"/>
          <w:sz w:val="20"/>
        </w:rPr>
        <w:t xml:space="preserve">   Interest will: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accrue on the notes at the rate of    % per annum;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largest"/>
                <wp:docPr id="25" name="Frame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accrue from          , 2022 or the most recent interest payment date;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largest"/>
                <wp:docPr id="26" name="Frame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payable in cash semi-annually in arrears on          and           of each year, beginning on            , 2022;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largest"/>
                <wp:docPr id="27" name="Frame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payable to holders of record on the          and          immediately preceding the related interest payment dates; and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largest"/>
                <wp:docPr id="28" name="Frame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computed on the basis of a 360-day year consisting of twelve 30-day months.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largest"/>
                <wp:docPr id="29" name="Frame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Transfer</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OPT1"/>
      <w:bookmarkEnd w:id="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 office of The Bank of New York Mellon, by check mailed directly to registered holders at their registered addresses or by wire transfer to an account designated by a registered holder.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holder of a note will be treated as the owner of it for all purposes.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 2032 (three months prior to their maturity date) (the “Par Call Date”), we may redeem the notes at our option, in whole or in part, at any time and from time to time, at a redemption price (expressed as a percentage of principal amount and rounded to three decimal places) equal to the greater of: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 and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notes to be redeemed,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the redemption date.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the notes at our option, in whole or in part, at any time and from time to time, at a redemption price equal to 100% of the principal amount of the notes to be redeemed, plus accrued and unpaid interest thereon to the redemption date.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us in accordance with the following two paragraphs.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subject to legal defeasance and to covenant defeasance as provided under “Description of the Debt Securities — Provisions Applicable to Each Indenture — Defeasance” in the accompanying prospectus.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written request, the Indenture will be discharged and will cease to be of further effect (except as to surviving rights of registration of transfer or exchange of the notes and as otherwise expressly provided for in the Indenture) as to all outstanding notes, when: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either: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including any premium and interest on such notes to the maturity date or redemption date (provided that, upon any redemption that requires the payment of any make-whole premium,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the amount of cash that must be deposited will be determined using an assumed premium calculated as of the date of such deposit and (y) we will deposit any deficit in trust on or prior to the redemption date as necessary to pay the premium as determined by such date);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we have paid all other sums payable under the Indenture by us with respect to the notes; and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we have delivered to the Trustee an officers’ certificate and an opinion of counsel stating that all conditions precedent under the Indenture relating to the satisfaction and discharge of the Indenture have been complied with.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and unsubordinated obligations, and will rank equally in contractual right of payment with all of our other existing and future senior indebtedness from time to time outstanding.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2022, our operating subsidiaries had $2.261 billion of indebtedness and WM Holdings had $223 million of long-term debt (excluding guarantees of $7.845 billion of our senior debt), in each case excluding intercompany loans.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Guarantees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WM Holdings will unconditionally guarantee our obligations under the notes.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guarantees of the notes shall be binding on WM Holdings, its successors and assigns, and shall continue in full force and effect for the benefit of holders of the notes until the earliest to occur of: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consolidation or merger of WM Holdings into Waste Management, Inc. or its successor;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largest"/>
                <wp:docPr id="30" name="Frame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consolidation or merger of Waste Management, Inc. or its successor into WM Holdings;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largest"/>
                <wp:docPr id="31" name="Frame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in full of all interest and principal due on the notes; or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largest"/>
                <wp:docPr id="32" name="Frame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HAN1"/>
      <w:bookmarkEnd w:id="1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release of the guarantees by WM Holdings of obligations of Waste Management, Inc. under its $3.5 billion revolving credit facility (or any replacement or new principal credit facility). Our $3.5 billion revolving credit facility currently states that WM Holdings’ guarantees under such facility can only be released with the written consent of each of the lenders that is a party thereto. </w:t>
      </w:r>
      <w:r>
        <mc:AlternateContent>
          <mc:Choice Requires="wps">
            <w:drawing>
              <wp:anchor behindDoc="0" distT="0" distB="0" distL="254000" distR="0" simplePos="0" locked="0" layoutInCell="1" allowOverlap="1" relativeHeight="36">
                <wp:simplePos x="0" y="0"/>
                <wp:positionH relativeFrom="column">
                  <wp:align>left</wp:align>
                </wp:positionH>
                <wp:positionV relativeFrom="line">
                  <wp:posOffset>635</wp:posOffset>
                </wp:positionV>
                <wp:extent cx="127000" cy="350520"/>
                <wp:effectExtent l="0" t="0" r="0" b="0"/>
                <wp:wrapSquare wrapText="largest"/>
                <wp:docPr id="33" name="Frame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 Offer</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change of control payment date, we will, to the extent lawful: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notes or portions of notes properly tendered and not withdrawn pursuant to the change of control offer;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largest"/>
                <wp:docPr id="34" name="Frame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change of control payment in respect of all notes or portions of notes properly tendered; and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largest"/>
                <wp:docPr id="35" name="Frame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or portions of notes being repurchased.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largest"/>
                <wp:docPr id="36"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the notes if there has occurred and is continuing on the change of control payment date an event of default under the Indenture, other than a default in the payment of the change of control payment upon a change of control triggering event.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change of control offer provisions of the notes, the following terms will be applicable: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a transaction will not be deemed to involve a change of control under clause (2) above if (i) we become a direct or indirect wholly owned subsidiary of a holding company and (ii) (A)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 triggering event</w:t>
      </w:r>
      <w:r>
        <w:rPr>
          <w:rFonts w:ascii="Times New Roman;Times;serif" w:hAnsi="Times New Roman;Times;serif"/>
          <w:b w:val="false"/>
          <w:i w:val="false"/>
          <w:caps w:val="false"/>
          <w:smallCaps w:val="false"/>
          <w:color w:val="000000"/>
          <w:spacing w:val="4"/>
          <w:sz w:val="20"/>
        </w:rPr>
        <w:t xml:space="preserve">” means the occurrence of both a change of control and a rating event.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Fitch</w:t>
      </w:r>
      <w:r>
        <w:rPr>
          <w:rFonts w:ascii="Times New Roman;Times;serif" w:hAnsi="Times New Roman;Times;serif"/>
          <w:b w:val="false"/>
          <w:i w:val="false"/>
          <w:caps w:val="false"/>
          <w:smallCaps w:val="false"/>
          <w:color w:val="000000"/>
          <w:spacing w:val="4"/>
          <w:sz w:val="20"/>
        </w:rPr>
        <w:t xml:space="preserve">” means Fitch Inc. and its successors.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grade rating</w:t>
      </w:r>
      <w:r>
        <w:rPr>
          <w:rFonts w:ascii="Times New Roman;Times;serif" w:hAnsi="Times New Roman;Times;serif"/>
          <w:b w:val="false"/>
          <w:i w:val="false"/>
          <w:caps w:val="false"/>
          <w:smallCaps w:val="false"/>
          <w:color w:val="000000"/>
          <w:spacing w:val="4"/>
          <w:sz w:val="20"/>
        </w:rPr>
        <w:t xml:space="preserve">” means a rating equal to or higher than BBB− (or the equivalent) by Fitch, Baa3 (or the equivalent) by Moody’s and BBB− (or the equivalent) by S&amp;P, and the equivalent investment grade credit rating from any replacement rating agency or rating agencies selected by us.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and its successors.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agencies</w:t>
      </w:r>
      <w:r>
        <w:rPr>
          <w:rFonts w:ascii="Times New Roman;Times;serif" w:hAnsi="Times New Roman;Times;serif"/>
          <w:b w:val="false"/>
          <w:i w:val="false"/>
          <w:caps w:val="false"/>
          <w:smallCaps w:val="false"/>
          <w:color w:val="000000"/>
          <w:spacing w:val="4"/>
          <w:sz w:val="20"/>
        </w:rPr>
        <w:t xml:space="preserve">”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event</w:t>
      </w:r>
      <w:r>
        <w:rPr>
          <w:rFonts w:ascii="Times New Roman;Times;serif" w:hAnsi="Times New Roman;Times;serif"/>
          <w:b w:val="false"/>
          <w:i w:val="false"/>
          <w:caps w:val="false"/>
          <w:smallCaps w:val="false"/>
          <w:color w:val="000000"/>
          <w:spacing w:val="4"/>
          <w:sz w:val="20"/>
        </w:rPr>
        <w:t xml:space="preserve">”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 division of S&amp;P Global Inc., and its successors.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means, with respect to any specified “person” ​(as that term is used in Section 13(d)(3) of the Exchange Act) as of any date, the capital stock of such person that is at the time entitled to vote generally in the election of the board of directors of such person.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covenants in the Indenture limit our ability and the ability of our subsidiaries to: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incur or assume debt secured by liens; </w:t>
      </w:r>
      <w:r>
        <mc:AlternateContent>
          <mc:Choice Requires="wps">
            <w:drawing>
              <wp:anchor behindDoc="0" distT="787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largest"/>
                <wp:docPr id="37"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sale and leaseback transactions; and </w:t>
      </w:r>
      <w:r>
        <mc:AlternateContent>
          <mc:Choice Requires="wps">
            <w:drawing>
              <wp:anchor behindDoc="0" distT="787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largest"/>
                <wp:docPr id="38"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 consolidate or transfer all or substantially all of our assets. </w:t>
      </w:r>
      <w:r>
        <mc:AlternateContent>
          <mc:Choice Requires="wps">
            <w:drawing>
              <wp:anchor behindDoc="0" distT="787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largest"/>
                <wp:docPr id="39" name="Frame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description of these covenants, see “Description of the Debt Securities — Provisions Applicable to Each Indenture — Consolidation, Merger and Sale of Assets” and “— Provisions Applicable Solely to Senior Debt Securities — Restrictive Covenants” in the accompanying prospectus.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or the consent of the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following information concerning DTC, Euroclear and Clearstream and their respective book-entry systems has been obtained from sources that we believe to be reliable, we take no responsibility for the accuracy of that information.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DTC</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and the underwriters as follows: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largest"/>
                <wp:docPr id="40"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for its participating organizations, referred to as “direct DTC participants,” and facilitates the clearance and settlement of securities transactions, such as transfers and pledges,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largest"/>
                <wp:docPr id="41" name="Frame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deposited securities, through electronic computerized book-entry changes in direct DTC participants’ accounts, thereby eliminating the need for physical movement of securities certificates.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largest"/>
                <wp:docPr id="42" name="Frame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applicable to DTC and its direct and indirect participants are on file with the SEC.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largest"/>
                <wp:docPr id="43" name="Frame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certain persons take physical delivery in definitive form of securities which they own. Consequently, those persons may be prohibited from purchasing beneficial interests in the global notes from any beneficial owner or otherwise.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notes are in DTC’s book-entry system, secondary market trading activity in the notes will settle in immediately available funds. We will make all applicable payments on the notes issued as global notes in immediately available funds.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Euroclear</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Euroclear Operator is a Belgian bank, which is regulated and examined by the Belgian Banking Commission and the National Bank of Belgium.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the notes held beneficially through Euroclear will be credited to the cash accounts of Euroclear participants in accordance with Euroclear’s terms and conditions, to the extent received by the Euroclear Operator and by Euroclear.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will record the ownership interests of its participants in much the same way as does DTC. If DTC is the depositary for the notes, it will record the total ownership of the notes of the U.S. agent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Clearstream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the notes held beneficially through Clearstream will be credited to cash accounts of Clearstream participants in accordance with its rules and procedures, to the extent received by Clearstream.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04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 to receive the notes against payment. After settlement, Clearstream will credit its participant’s account with the interest in the notes. Credit for the notes will appear on the next day (European time).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CUFT"/>
      <w:bookmarkEnd w:id="1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TAX CONSIDERATIONS FOR NON-U.S. 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Scope of Discussion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real estate investment trusts and regulated investment companies, employee stock ownership plans,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or persons who hold the notes as a hedge or who hedge the interest rate on the notes.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“non-U.S. holder” for purposes of this discussion if you are a beneficial owner of a note (other than a partnership, or other entity or arrangement classified as a partnership for U.S. federal income tax purposes) and you are not: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U.S. citizen or U.S. resident alien, including without limitation an alien individual who is a lawful permanent resident of the United States or who has been present in the United States for 183 days or more during the taxable year;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largest"/>
                <wp:docPr id="44" name="Frame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that was created or organized in or under the laws of the United States, any state thereof or the District of Columbia;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largest"/>
                <wp:docPr id="45" name="Frame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subject to U.S. federal income taxation regardless of its source; or </w:t>
      </w:r>
      <w:r>
        <mc:AlternateContent>
          <mc:Choice Requires="wps">
            <w:drawing>
              <wp:anchor behindDoc="0" distT="0" distB="0" distL="254000" distR="0" simplePos="0" locked="0" layoutInCell="1" allowOverlap="1" relativeHeight="49">
                <wp:simplePos x="0" y="0"/>
                <wp:positionH relativeFrom="column">
                  <wp:align>left</wp:align>
                </wp:positionH>
                <wp:positionV relativeFrom="line">
                  <wp:posOffset>635</wp:posOffset>
                </wp:positionV>
                <wp:extent cx="127000" cy="350520"/>
                <wp:effectExtent l="0" t="0" r="0" b="0"/>
                <wp:wrapSquare wrapText="largest"/>
                <wp:docPr id="46" name="Frame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largest"/>
                <wp:docPr id="47" name="Frame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of Additional Amounts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on the Notes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(as defined herein) withholding requirements discussed below, payments of interest on the notes generally will be exempt from withholding of U.S. federal income tax under the “portfolio interest” exemption if you properly certify as to your foreign status as described below, and: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on the notes is not effectively connected with your conduct of a trade or business in the United States;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largest"/>
                <wp:docPr id="48" name="Frame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notes is in connection with an extension of credit made pursuant to a loan agreement entered into in the ordinary course of your trade or business;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largest"/>
                <wp:docPr id="49" name="Frame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10% or more of the total combined voting power of all classes of our stock entitled to vote; and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largest"/>
                <wp:docPr id="50"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through actual or constructive stock ownership (as provided in the Code).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largest"/>
                <wp:docPr id="51"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permanent establishment” maintained by you) in the United States and you meet the certification requirements described below in “— Income or Gain Effectively Connected with a U.S. Trade or Business.”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Redemption, Exchange, Retirement or Other Taxable Disposition of Notes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withholding requirements discussed below, you generally will not be subject to U.S. federal income tax on any gain realized on the sale, redemption, exchange, retirement or other taxable disposition of a note unless: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your conduct of a U.S. trade or business (and, if required by an applicable tax treaty, is attributable to your permanent establishment in the United States); or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52"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has been present in the United States for 183 days or more in the taxable year of disposition and certain other requirements are met.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53"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or Gain Effectively Connected with a U.S. Trade or Business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United States person;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54"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foreign person that derives 50% or more of its gross income for certain periods from the conduct of a trade or business in the United States;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largest"/>
                <wp:docPr id="55"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controlled foreign corporation for U.S. federal income tax purposes; or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largest"/>
                <wp:docPr id="56" name="Frame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foreign partnership that, at any time during its taxable year, has more than 50% of its income or capital interests owned by United States persons or is engaged in the conduct of a U.S. trade or business.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largest"/>
                <wp:docPr id="57" name="Frame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 withheld under the backup withholding rules may be credited against your U.S. federal income tax liability and any excess may be refundable if the proper information is timely provided to the IRS.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consult your tax advisor regarding the application of information reporting and backup withholding in your particular circumstances and the availability of and procedure for obtaining an exemption from backup withholding under current U.S. Treasury regulations.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Accounts Tax Compliance Act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UCOI"/>
      <w:bookmarkEnd w:id="1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Capital Inc., BofA Securities, Inc., Deutsche Bank Securities Inc., MUFG Securities Americas Inc. and Scotia Capital (USA) Inc. are acting as joint book-running managers of the offering and as representatives of the underwriters named below.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 </w:t>
      </w:r>
    </w:p>
    <w:tbl>
      <w:tblPr>
        <w:tblW w:w="4971" w:type="dxa"/>
        <w:jc w:val="left"/>
        <w:tblInd w:w="1393" w:type="dxa"/>
        <w:tblCellMar>
          <w:top w:w="0" w:type="dxa"/>
          <w:left w:w="0" w:type="dxa"/>
          <w:bottom w:w="43" w:type="dxa"/>
          <w:right w:w="0" w:type="dxa"/>
        </w:tblCellMar>
      </w:tblPr>
      <w:tblGrid>
        <w:gridCol w:w="3329"/>
        <w:gridCol w:w="109"/>
        <w:gridCol w:w="109"/>
        <w:gridCol w:w="109"/>
        <w:gridCol w:w="226"/>
        <w:gridCol w:w="826"/>
        <w:gridCol w:w="109"/>
        <w:gridCol w:w="154"/>
      </w:tblGrid>
      <w:tr>
        <w:trPr/>
        <w:tc>
          <w:tcPr>
            <w:tcW w:w="3329" w:type="dxa"/>
            <w:tcBorders>
              <w:bottom w:val="single" w:sz="2" w:space="0" w:color="000000"/>
            </w:tcBorders>
            <w:shd w:fill="auto" w:val="clear"/>
            <w:vAlign w:val="center"/>
          </w:tcPr>
          <w:p>
            <w:pPr>
              <w:pStyle w:val="TableContents"/>
              <w:spacing w:before="0" w:after="0"/>
              <w:rPr>
                <w:spacing w:val="-3"/>
              </w:rPr>
            </w:pPr>
            <w:r>
              <w:rPr>
                <w:spacing w:val="-3"/>
              </w:rPr>
              <w:t xml:space="preserve">Underwriters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70" w:type="dxa"/>
            <w:gridSpan w:val="4"/>
            <w:tcBorders>
              <w:bottom w:val="single" w:sz="2" w:space="0" w:color="000000"/>
            </w:tcBorders>
            <w:shd w:fill="auto" w:val="clear"/>
            <w:vAlign w:val="center"/>
          </w:tcPr>
          <w:p>
            <w:pPr>
              <w:pStyle w:val="TableContents"/>
              <w:spacing w:before="0" w:after="0"/>
              <w:jc w:val="center"/>
              <w:rPr/>
            </w:pPr>
            <w:r>
              <w:rPr>
                <w:spacing w:val="-3"/>
              </w:rPr>
              <w:t>Principal</w:t>
            </w:r>
            <w:r>
              <w:rPr/>
              <w:t xml:space="preserve"> </w:t>
              <w:br/>
            </w:r>
            <w:r>
              <w:rPr>
                <w:spacing w:val="-3"/>
              </w:rPr>
              <w:t xml:space="preserve">Amount of </w:t>
            </w:r>
            <w:r>
              <w:rPr/>
              <w:br/>
            </w:r>
            <w:r>
              <w:rPr>
                <w:spacing w:val="-3"/>
              </w:rPr>
              <w:t xml:space="preserve">Notes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329" w:type="dxa"/>
            <w:tcBorders/>
            <w:shd w:fill="CCEEFF" w:val="clear"/>
            <w:tcMar>
              <w:bottom w:w="0" w:type="dxa"/>
            </w:tcMar>
            <w:vAlign w:val="center"/>
          </w:tcPr>
          <w:p>
            <w:pPr>
              <w:pStyle w:val="TableContents"/>
              <w:spacing w:before="0" w:after="0"/>
              <w:jc w:val="left"/>
              <w:rPr/>
            </w:pPr>
            <w:r>
              <w:rPr>
                <w:spacing w:val="4"/>
              </w:rPr>
              <w:t>Barclays Capital Inc.</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26" w:type="dxa"/>
            <w:tcBorders/>
            <w:shd w:fill="CCEEFF" w:val="clear"/>
            <w:tcMar>
              <w:bottom w:w="0" w:type="dxa"/>
            </w:tcMar>
            <w:vAlign w:val="center"/>
          </w:tcPr>
          <w:p>
            <w:pPr>
              <w:pStyle w:val="TableContents"/>
              <w:spacing w:before="0" w:after="283"/>
              <w:jc w:val="right"/>
              <w:rPr/>
            </w:pPr>
            <w:r>
              <w:rPr/>
              <w:t>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329" w:type="dxa"/>
            <w:tcBorders/>
            <w:shd w:fill="auto" w:val="clear"/>
            <w:tcMar>
              <w:bottom w:w="0" w:type="dxa"/>
            </w:tcMar>
            <w:vAlign w:val="center"/>
          </w:tcPr>
          <w:p>
            <w:pPr>
              <w:pStyle w:val="TableContents"/>
              <w:spacing w:before="0" w:after="0"/>
              <w:jc w:val="left"/>
              <w:rPr/>
            </w:pPr>
            <w:r>
              <w:rPr>
                <w:spacing w:val="4"/>
              </w:rPr>
              <w:t>BofA Securities, Inc.</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329" w:type="dxa"/>
            <w:tcBorders/>
            <w:shd w:fill="CCEEFF" w:val="clear"/>
            <w:tcMar>
              <w:bottom w:w="0" w:type="dxa"/>
            </w:tcMar>
            <w:vAlign w:val="center"/>
          </w:tcPr>
          <w:p>
            <w:pPr>
              <w:pStyle w:val="TableContents"/>
              <w:spacing w:before="0" w:after="0"/>
              <w:jc w:val="left"/>
              <w:rPr>
                <w:spacing w:val="4"/>
              </w:rPr>
            </w:pPr>
            <w:r>
              <w:rPr>
                <w:spacing w:val="4"/>
              </w:rPr>
              <w:t xml:space="preserve">Deutsche Bank Securities Inc.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329" w:type="dxa"/>
            <w:tcBorders/>
            <w:shd w:fill="auto" w:val="clear"/>
            <w:tcMar>
              <w:bottom w:w="0" w:type="dxa"/>
            </w:tcMar>
            <w:vAlign w:val="center"/>
          </w:tcPr>
          <w:p>
            <w:pPr>
              <w:pStyle w:val="TableContents"/>
              <w:spacing w:before="0" w:after="0"/>
              <w:jc w:val="left"/>
              <w:rPr>
                <w:spacing w:val="4"/>
              </w:rPr>
            </w:pPr>
            <w:r>
              <w:rPr>
                <w:spacing w:val="4"/>
              </w:rPr>
              <w:t xml:space="preserve">MUFG Securities Americas Inc.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329"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Scotia Capital (USA) Inc.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82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4"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329"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Total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82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25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other selling terms applicable to the notes. The offering of the notes by the underwriters is subject to receipt and acceptance and subject to the underwriters’ right to reject any order in whole or in part.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such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total expenses (not including the underwriting discounts) for this offering will be approximately $1.9 million.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will not offer to sell any of our debt securities (other than the notes, bank borrowings and commercial paper) until the date and time of delivery and payment for the notes and related guarantees without the prior written consent of the representatives.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8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of 1933, as amended, or to contribute to payments the underwriters may be required to make because of any of those liabilities.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delivery of the notes will be made against payment therefor on or about           , 2022, which is the tenth business day following the date of pricing of the notes (such settlement being referred to as “T+10”).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seven business days will be required, by virtue of the fact that the notes initially will settle in T+10, to specify an alternate settlement cycle at the time of any such trade to prevent failed settlement and should consult their own advisers.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one of their respective affiliates are lenders under our $3.5 billion revolving credit facility.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commercial services and brokerage services for us, for which they have received or will receive customary fees and expense reimbursements.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including our 2.90% Senior Notes due 2022.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underwriters or their respective affiliates in this offering are lenders to us under our $3.5 billion revolving credit facility and may receive 5% or more of the net proceeds of this offering by reason of the repayment of amounts outstanding under our commercial paper program, which is fully supported by such credit facility, pending application of the net proceeds as described in the initial paragraph under “Use of Proceeds” in this prospectus supplement.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Australia</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does not constitute a product disclosure document or a prospectus under Chapter 6D.2 of the Corporations Act 2001 (Cth) (the “Corporations Act”);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may only be provided in Australia to select investors who are able to demonstrate that they fall within one or more of the categories of investors, or Exempt Investors, available under section 708 of the Corporations Act.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Canada</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from the requirement to publish a prospectus for offers of the notes. This prospectus supplement and the accompanying prospectus are not a prospectus for the purposes of the Prospectus Regulation.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are not acting for anyone other than the issuer and will not be responsible to anyone other than the issuer for providing the protections afforded to their clients nor for providing advice in relation to the offering.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selling restriction is in addition to any other selling restrictions set out below.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Hong Kong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Japan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trust (where the trustee is not an accredited investor) whose sole purpose is to hold investments and each beneficiary of the trust is an individual who is an accredited investor, securities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p>
    <w:p>
      <w:pPr>
        <w:pStyle w:val="TextBody"/>
        <w:spacing w:lineRule="atLeast" w:line="23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an institutional investor under Section 274 of the SFA or to a relevant person (as defined in Section 275(2) of the SFA), or to any person arising from an offer referred to in Section 275(1A), or Section 276(4)(i)(B) of the SFA; </w:t>
      </w:r>
    </w:p>
    <w:p>
      <w:pPr>
        <w:pStyle w:val="TextBody"/>
        <w:spacing w:lineRule="atLeast" w:line="24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where no consideration is or will be given for the transfer; </w:t>
      </w:r>
    </w:p>
    <w:p>
      <w:pPr>
        <w:pStyle w:val="TextBody"/>
        <w:spacing w:lineRule="atLeast" w:line="24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where the transfer is by operation of law; </w:t>
      </w:r>
    </w:p>
    <w:p>
      <w:pPr>
        <w:pStyle w:val="TextBody"/>
        <w:spacing w:lineRule="atLeast" w:line="24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 specified in Section 276(7) of the SFA; or </w:t>
      </w:r>
    </w:p>
    <w:p>
      <w:pPr>
        <w:pStyle w:val="TextBody"/>
        <w:spacing w:lineRule="atLeast" w:line="230" w:before="160" w:after="283"/>
        <w:ind w:left="21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specified in Regulation 32 of the Securities and Futures (Offers of Investments) (Shares and Debentures) Regulations 2005 of Singapore.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South Korea</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Taiwan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made available for purchase outside Taiwan by investors residing in Taiwan (either directly or through properly licensed Taiwan intermediaries acting on behalf of such investors) but may not be offered or sold in Taiwan.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Kingdom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prospectus are not a prospectus for the purposes of the UK Prospectus Regulation or the FSMA.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are not acting for anyone other than the issuer and will not be responsible to anyone other than the issuer for providing the protections afforded to their clients nor for providing advice in relation to the offering.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Switzerland</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intended to constitute an offer or solicitation to purchase or invest in the notes.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Dubai International Financial Centre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24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Arab Emirates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LEMA"/>
      <w:bookmarkEnd w:id="13"/>
      <w:r>
        <w:rPr>
          <w:rFonts w:ascii="calibri;arial;sans-serif" w:hAnsi="calibri;arial;sans-serif"/>
          <w:b w:val="false"/>
          <w:i w:val="false"/>
          <w:caps w:val="false"/>
          <w:smallCaps w:val="false"/>
          <w:color w:val="000000"/>
          <w:sz w:val="16"/>
        </w:rPr>
        <w:t>​</w:t>
      </w:r>
      <w:bookmarkStart w:id="14" w:name="sEXP"/>
      <w:bookmarkEnd w:id="1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the notes offered hereby will be passed upon for us by Baker Botts L.L.P., Houston, Texas, and for the underwriters by Gibson, Dunn &amp; Crutcher LLP, Houston, Texas.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pPr>
      <w:r>
        <w:rPr>
          <w:rFonts w:ascii="Times New Roman;Times;serif" w:hAnsi="Times New Roman;Times;serif"/>
          <w:b w:val="false"/>
          <w:i w:val="false"/>
          <w:caps w:val="false"/>
          <w:smallCaps w:val="false"/>
          <w:color w:val="000000"/>
          <w:spacing w:val="4"/>
          <w:sz w:val="20"/>
        </w:rPr>
        <w:t xml:space="preserve">The consolidated financial statements of Waste Management, Inc. appearing in Waste Management, Inc.’s </w:t>
      </w:r>
      <w:hyperlink r:id="rId4">
        <w:r>
          <w:rPr>
            <w:rStyle w:val="InternetLink"/>
          </w:rPr>
          <w:t>Annual Report (Form 10-K) for the year ended December 31, 2021,</w:t>
        </w:r>
      </w:hyperlink>
      <w:r>
        <w:rPr>
          <w:rFonts w:ascii="Times New Roman;Times;serif" w:hAnsi="Times New Roman;Times;serif"/>
          <w:b w:val="false"/>
          <w:i w:val="false"/>
          <w:caps w:val="false"/>
          <w:smallCaps w:val="false"/>
          <w:color w:val="000000"/>
          <w:spacing w:val="4"/>
          <w:sz w:val="20"/>
        </w:rPr>
        <w:t xml:space="preserve">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IOCD"/>
      <w:bookmarkEnd w:id="1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 </w:t>
      </w:r>
    </w:p>
    <w:tbl>
      <w:tblPr>
        <w:tblW w:w="8812" w:type="dxa"/>
        <w:jc w:val="left"/>
        <w:tblInd w:w="1393" w:type="dxa"/>
        <w:tblCellMar>
          <w:top w:w="0" w:type="dxa"/>
          <w:left w:w="0" w:type="dxa"/>
          <w:bottom w:w="50" w:type="dxa"/>
          <w:right w:w="0" w:type="dxa"/>
        </w:tblCellMar>
      </w:tblPr>
      <w:tblGrid>
        <w:gridCol w:w="6885"/>
        <w:gridCol w:w="109"/>
        <w:gridCol w:w="109"/>
        <w:gridCol w:w="1554"/>
        <w:gridCol w:w="155"/>
      </w:tblGrid>
      <w:tr>
        <w:trPr/>
        <w:tc>
          <w:tcPr>
            <w:tcW w:w="6885" w:type="dxa"/>
            <w:tcBorders>
              <w:bottom w:val="single" w:sz="2" w:space="0" w:color="000000"/>
            </w:tcBorders>
            <w:shd w:fill="auto" w:val="clear"/>
            <w:vAlign w:val="center"/>
          </w:tcPr>
          <w:p>
            <w:pPr>
              <w:pStyle w:val="TableContents"/>
              <w:spacing w:before="0" w:after="0"/>
              <w:rPr>
                <w:spacing w:val="-3"/>
              </w:rPr>
            </w:pPr>
            <w:r>
              <w:rPr>
                <w:spacing w:val="-3"/>
              </w:rPr>
              <w:t xml:space="preserve">SEC Filing (Our SEC File Number is 1-12154)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4" w:type="dxa"/>
            <w:tcBorders>
              <w:bottom w:val="single" w:sz="2" w:space="0" w:color="000000"/>
            </w:tcBorders>
            <w:shd w:fill="auto" w:val="clear"/>
            <w:vAlign w:val="center"/>
          </w:tcPr>
          <w:p>
            <w:pPr>
              <w:pStyle w:val="TableContents"/>
              <w:spacing w:before="0" w:after="0"/>
              <w:jc w:val="center"/>
              <w:rPr>
                <w:spacing w:val="-3"/>
              </w:rPr>
            </w:pPr>
            <w:r>
              <w:rPr>
                <w:spacing w:val="-3"/>
              </w:rPr>
              <w:t xml:space="preserve">Date Filed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885" w:type="dxa"/>
            <w:tcBorders/>
            <w:shd w:fill="CCEEFF" w:val="clear"/>
            <w:tcMar>
              <w:bottom w:w="0" w:type="dxa"/>
            </w:tcMar>
            <w:vAlign w:val="center"/>
          </w:tcPr>
          <w:p>
            <w:pPr>
              <w:pStyle w:val="TableContents"/>
              <w:spacing w:before="0" w:after="0"/>
              <w:rPr/>
            </w:pPr>
            <w:hyperlink r:id="rId5">
              <w:r>
                <w:rPr>
                  <w:rStyle w:val="InternetLink"/>
                  <w:spacing w:val="4"/>
                </w:rPr>
                <w:t xml:space="preserve">Annual Report on Form 10-K for the year ended December 31, 2021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4" w:type="dxa"/>
            <w:tcBorders/>
            <w:shd w:fill="CCEEFF" w:val="clear"/>
            <w:tcMar>
              <w:bottom w:w="0" w:type="dxa"/>
            </w:tcMar>
            <w:vAlign w:val="center"/>
          </w:tcPr>
          <w:p>
            <w:pPr>
              <w:pStyle w:val="TableContents"/>
              <w:spacing w:before="0" w:after="0"/>
              <w:jc w:val="center"/>
              <w:rPr/>
            </w:pPr>
            <w:r>
              <w:rPr>
                <w:spacing w:val="4"/>
              </w:rPr>
              <w:t>February 15, 2022</w:t>
            </w:r>
            <w:r>
              <w:rPr/>
              <w:t xml:space="preserve"> </w:t>
            </w:r>
          </w:p>
        </w:tc>
        <w:tc>
          <w:tcPr>
            <w:tcW w:w="155" w:type="dxa"/>
            <w:tcBorders/>
            <w:shd w:fill="CCEEFF" w:val="clear"/>
            <w:tcMar>
              <w:bottom w:w="0" w:type="dxa"/>
            </w:tcMar>
            <w:vAlign w:val="center"/>
          </w:tcPr>
          <w:p>
            <w:pPr>
              <w:pStyle w:val="TableContents"/>
              <w:spacing w:before="0" w:after="283"/>
              <w:rPr/>
            </w:pPr>
            <w:r>
              <w:rPr/>
              <w:t>​</w:t>
            </w:r>
          </w:p>
        </w:tc>
      </w:tr>
      <w:tr>
        <w:trPr/>
        <w:tc>
          <w:tcPr>
            <w:tcW w:w="6885" w:type="dxa"/>
            <w:tcBorders/>
            <w:shd w:fill="auto" w:val="clear"/>
            <w:tcMar>
              <w:bottom w:w="0" w:type="dxa"/>
            </w:tcMar>
            <w:vAlign w:val="center"/>
          </w:tcPr>
          <w:p>
            <w:pPr>
              <w:pStyle w:val="TableContents"/>
              <w:spacing w:before="0" w:after="0"/>
              <w:ind w:left="200" w:right="0" w:hanging="200"/>
              <w:rPr/>
            </w:pPr>
            <w:hyperlink r:id="rId6">
              <w:r>
                <w:rPr>
                  <w:rStyle w:val="InternetLink"/>
                  <w:spacing w:val="4"/>
                </w:rPr>
                <w:t>Amendment No. 1 to Annual Report on Form 10-K for the year ended December 31, 2021</w:t>
              </w:r>
            </w:hyperlink>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54" w:type="dxa"/>
            <w:tcBorders/>
            <w:shd w:fill="auto" w:val="clear"/>
            <w:tcMar>
              <w:bottom w:w="0" w:type="dxa"/>
            </w:tcMar>
            <w:vAlign w:val="center"/>
          </w:tcPr>
          <w:p>
            <w:pPr>
              <w:pStyle w:val="TableContents"/>
              <w:spacing w:before="0" w:after="0"/>
              <w:jc w:val="center"/>
              <w:rPr/>
            </w:pPr>
            <w:r>
              <w:rPr>
                <w:spacing w:val="4"/>
              </w:rPr>
              <w:t>March 29, 2022</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6885" w:type="dxa"/>
            <w:tcBorders/>
            <w:shd w:fill="CCEEFF" w:val="clear"/>
            <w:tcMar>
              <w:bottom w:w="0" w:type="dxa"/>
            </w:tcMar>
            <w:vAlign w:val="center"/>
          </w:tcPr>
          <w:p>
            <w:pPr>
              <w:pStyle w:val="TableContents"/>
              <w:spacing w:before="0" w:after="0"/>
              <w:rPr/>
            </w:pPr>
            <w:hyperlink r:id="rId7">
              <w:r>
                <w:rPr>
                  <w:rStyle w:val="InternetLink"/>
                </w:rPr>
                <w:t xml:space="preserve">Quarterly Report on Form 10-Q for the quarter ended March 31, 2022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4" w:type="dxa"/>
            <w:tcBorders/>
            <w:shd w:fill="CCEEFF" w:val="clear"/>
            <w:tcMar>
              <w:bottom w:w="0" w:type="dxa"/>
            </w:tcMar>
            <w:vAlign w:val="center"/>
          </w:tcPr>
          <w:p>
            <w:pPr>
              <w:pStyle w:val="TableContents"/>
              <w:spacing w:before="0" w:after="0"/>
              <w:jc w:val="center"/>
              <w:rPr>
                <w:spacing w:val="4"/>
              </w:rPr>
            </w:pPr>
            <w:r>
              <w:rPr>
                <w:spacing w:val="4"/>
              </w:rPr>
              <w:t xml:space="preserve">April 26, 2022 </w:t>
            </w:r>
          </w:p>
        </w:tc>
        <w:tc>
          <w:tcPr>
            <w:tcW w:w="155" w:type="dxa"/>
            <w:tcBorders/>
            <w:shd w:fill="CCEEFF" w:val="clear"/>
            <w:tcMar>
              <w:bottom w:w="0" w:type="dxa"/>
            </w:tcMar>
            <w:vAlign w:val="center"/>
          </w:tcPr>
          <w:p>
            <w:pPr>
              <w:pStyle w:val="TableContents"/>
              <w:spacing w:before="0" w:after="283"/>
              <w:rPr/>
            </w:pPr>
            <w:r>
              <w:rPr/>
              <w:t>​</w:t>
            </w:r>
          </w:p>
        </w:tc>
      </w:tr>
      <w:tr>
        <w:trPr/>
        <w:tc>
          <w:tcPr>
            <w:tcW w:w="6885" w:type="dxa"/>
            <w:tcBorders/>
            <w:shd w:fill="auto" w:val="clear"/>
            <w:tcMar>
              <w:bottom w:w="0" w:type="dxa"/>
            </w:tcMar>
            <w:vAlign w:val="center"/>
          </w:tcPr>
          <w:p>
            <w:pPr>
              <w:pStyle w:val="TableContents"/>
              <w:spacing w:before="0" w:after="0"/>
              <w:rPr/>
            </w:pPr>
            <w:hyperlink r:id="rId8">
              <w:r>
                <w:rPr>
                  <w:rStyle w:val="InternetLink"/>
                  <w:spacing w:val="4"/>
                </w:rPr>
                <w:t xml:space="preserve">Current Report on Form 8-K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54" w:type="dxa"/>
            <w:tcBorders/>
            <w:shd w:fill="auto" w:val="clear"/>
            <w:tcMar>
              <w:bottom w:w="0" w:type="dxa"/>
            </w:tcMar>
            <w:vAlign w:val="center"/>
          </w:tcPr>
          <w:p>
            <w:pPr>
              <w:pStyle w:val="TableContents"/>
              <w:spacing w:before="0" w:after="0"/>
              <w:jc w:val="center"/>
              <w:rPr/>
            </w:pPr>
            <w:r>
              <w:rPr>
                <w:spacing w:val="4"/>
              </w:rPr>
              <w:t>March 7, 2022</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6885" w:type="dxa"/>
            <w:tcBorders/>
            <w:shd w:fill="CCEEFF" w:val="clear"/>
            <w:tcMar>
              <w:bottom w:w="0" w:type="dxa"/>
            </w:tcMar>
            <w:vAlign w:val="center"/>
          </w:tcPr>
          <w:p>
            <w:pPr>
              <w:pStyle w:val="TableContents"/>
              <w:spacing w:before="0" w:after="0"/>
              <w:ind w:left="200" w:right="0" w:hanging="200"/>
              <w:rPr/>
            </w:pPr>
            <w:r>
              <w:rPr>
                <w:spacing w:val="4"/>
              </w:rPr>
              <w:t xml:space="preserve">The portions of our </w:t>
            </w:r>
            <w:hyperlink r:id="rId9">
              <w:r>
                <w:rPr>
                  <w:rStyle w:val="InternetLink"/>
                  <w:spacing w:val="4"/>
                </w:rPr>
                <w:t>proxy statement for our 2022 annual meeting of stockholders</w:t>
              </w:r>
            </w:hyperlink>
            <w:r>
              <w:rPr>
                <w:spacing w:val="4"/>
              </w:rPr>
              <w:t xml:space="preserve"> incorporated by reference in our </w:t>
            </w:r>
            <w:hyperlink r:id="rId10">
              <w:r>
                <w:rPr>
                  <w:rStyle w:val="InternetLink"/>
                  <w:spacing w:val="4"/>
                </w:rPr>
                <w:t xml:space="preserve">Annual Report on Form 10-K for the year ended December 31, 2021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4" w:type="dxa"/>
            <w:tcBorders/>
            <w:shd w:fill="CCEEFF" w:val="clear"/>
            <w:tcMar>
              <w:bottom w:w="0" w:type="dxa"/>
            </w:tcMar>
            <w:vAlign w:val="center"/>
          </w:tcPr>
          <w:p>
            <w:pPr>
              <w:pStyle w:val="TableContents"/>
              <w:spacing w:before="0" w:after="0"/>
              <w:jc w:val="center"/>
              <w:rPr/>
            </w:pPr>
            <w:r>
              <w:rPr>
                <w:spacing w:val="4"/>
              </w:rPr>
              <w:t>March 29, 2022</w:t>
            </w:r>
            <w:r>
              <w:rPr/>
              <w:t xml:space="preserve"> </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 </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Waste Management,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800 Capitol Street, Suite 3000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(713) 512-6200</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2743200" cy="733425"/>
            <wp:effectExtent l="0" t="0" r="0" b="0"/>
            <wp:docPr id="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descr=""/>
                    <pic:cNvPicPr>
                      <a:picLocks noChangeAspect="1" noChangeArrowheads="1"/>
                    </pic:cNvPicPr>
                  </pic:nvPicPr>
                  <pic:blipFill>
                    <a:blip r:embed="rId11"/>
                    <a:stretch>
                      <a:fillRect/>
                    </a:stretch>
                  </pic:blipFill>
                  <pic:spPr bwMode="auto">
                    <a:xfrm>
                      <a:off x="0" y="0"/>
                      <a:ext cx="2743200" cy="733425"/>
                    </a:xfrm>
                    <a:prstGeom prst="rect">
                      <a:avLst/>
                    </a:prstGeom>
                  </pic:spPr>
                </pic:pic>
              </a:graphicData>
            </a:graphic>
          </wp:inline>
        </w:drawing>
      </w:r>
      <w:r>
        <w:rPr>
          <w:caps w:val="false"/>
          <w:smallCaps w:val="false"/>
          <w:color w:val="000000"/>
        </w:rPr>
        <w:t xml:space="preserve"> </w:t>
      </w:r>
    </w:p>
    <w:p>
      <w:pPr>
        <w:pStyle w:val="TextBody"/>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WASTE MANAGEMENT, INC.</w:t>
      </w:r>
      <w:r>
        <w:rPr>
          <w:rFonts w:ascii="Times New Roman;Times;serif" w:hAnsi="Times New Roman;Times;serif"/>
          <w:b/>
          <w:i w:val="false"/>
          <w:caps w:val="false"/>
          <w:smallCaps w:val="false"/>
          <w:color w:val="000000"/>
          <w:spacing w:val="7"/>
          <w:sz w:val="36"/>
        </w:rPr>
        <w:t xml:space="preserve"> </w:t>
      </w:r>
    </w:p>
    <w:p>
      <w:pPr>
        <w:pStyle w:val="TextBody"/>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GUARANTEES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symbol “WM.” </w:t>
      </w:r>
    </w:p>
    <w:p>
      <w:pPr>
        <w:pStyle w:val="TextBody"/>
        <w:spacing w:lineRule="atLeast" w:line="240" w:before="160" w:after="283"/>
        <w:ind w:left="1393" w:right="0" w:firstLine="400"/>
        <w:rPr/>
      </w:pPr>
      <w:r>
        <w:rPr>
          <w:rFonts w:ascii="Times New Roman;Times;serif" w:hAnsi="Times New Roman;Times;serif"/>
          <w:b/>
          <w:i w:val="false"/>
          <w:caps w:val="false"/>
          <w:smallCaps w:val="false"/>
          <w:color w:val="000000"/>
          <w:spacing w:val="-4"/>
          <w:sz w:val="20"/>
        </w:rPr>
        <w:t>Investing in our securities involves risks. See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on page </w:t>
      </w:r>
      <w:hyperlink w:anchor="tRIFA">
        <w:r>
          <w:rPr>
            <w:rStyle w:val="InternetLink"/>
          </w:rPr>
          <w:t>8</w:t>
        </w:r>
      </w:hyperlink>
      <w:r>
        <w:rPr>
          <w:rFonts w:ascii="Times New Roman;Times;serif" w:hAnsi="Times New Roman;Times;serif"/>
          <w:b/>
          <w:i w:val="false"/>
          <w:caps w:val="false"/>
          <w:smallCaps w:val="false"/>
          <w:color w:val="000000"/>
          <w:spacing w:val="-4"/>
          <w:sz w:val="20"/>
        </w:rPr>
        <w:t xml:space="preserve"> of this prospectus, the risk factors included in our periodic reports that we file with the Securities and Exchange Commission and incorporated by reference herein and the applicable prospectus supplement before you invest in our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lineRule="atLeast" w:line="240" w:before="24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dated April 26, 2022</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320"/>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283" w:type="dxa"/>
        <w:jc w:val="left"/>
        <w:tblInd w:w="1393" w:type="dxa"/>
        <w:tblCellMar>
          <w:top w:w="0" w:type="dxa"/>
          <w:left w:w="0" w:type="dxa"/>
          <w:bottom w:w="0" w:type="dxa"/>
          <w:right w:w="0" w:type="dxa"/>
        </w:tblCellMar>
      </w:tblPr>
      <w:tblGrid>
        <w:gridCol w:w="124"/>
        <w:gridCol w:w="5050"/>
        <w:gridCol w:w="109"/>
        <w:gridCol w:w="109"/>
        <w:gridCol w:w="109"/>
        <w:gridCol w:w="109"/>
        <w:gridCol w:w="410"/>
        <w:gridCol w:w="109"/>
        <w:gridCol w:w="154"/>
      </w:tblGrid>
      <w:tr>
        <w:trPr/>
        <w:tc>
          <w:tcPr>
            <w:tcW w:w="124" w:type="dxa"/>
            <w:tcBorders/>
            <w:shd w:fill="CCEEFF" w:val="clear"/>
            <w:vAlign w:val="center"/>
          </w:tcPr>
          <w:p>
            <w:pPr>
              <w:pStyle w:val="TableContents"/>
              <w:spacing w:before="0" w:after="283"/>
              <w:rPr/>
            </w:pPr>
            <w:r>
              <w:rPr/>
              <w:t>​</w:t>
            </w:r>
          </w:p>
        </w:tc>
        <w:tc>
          <w:tcPr>
            <w:tcW w:w="5050" w:type="dxa"/>
            <w:tcBorders/>
            <w:shd w:fill="CCEEFF" w:val="clear"/>
            <w:vAlign w:val="center"/>
          </w:tcPr>
          <w:p>
            <w:pPr>
              <w:pStyle w:val="TableContents"/>
              <w:spacing w:before="0" w:after="0"/>
              <w:jc w:val="left"/>
              <w:rPr/>
            </w:pPr>
            <w:hyperlink w:anchor="tFOST">
              <w:r>
                <w:rPr>
                  <w:rStyle w:val="InternetLink"/>
                  <w:spacing w:val="4"/>
                </w:rPr>
                <w:t xml:space="preserve">Forward-Looking Statements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FOST">
              <w:r>
                <w:rPr>
                  <w:rStyle w:val="InternetLink"/>
                  <w:spacing w:val="4"/>
                </w:rPr>
                <w:t>1</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050" w:type="dxa"/>
            <w:tcBorders/>
            <w:shd w:fill="auto" w:val="clear"/>
            <w:vAlign w:val="center"/>
          </w:tcPr>
          <w:p>
            <w:pPr>
              <w:pStyle w:val="TableContents"/>
              <w:spacing w:before="0" w:after="0"/>
              <w:jc w:val="left"/>
              <w:rPr/>
            </w:pPr>
            <w:hyperlink w:anchor="tATP">
              <w:r>
                <w:rPr>
                  <w:rStyle w:val="InternetLink"/>
                  <w:spacing w:val="4"/>
                </w:rPr>
                <w:t xml:space="preserve">About this Prospectus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ATP">
              <w:r>
                <w:rPr>
                  <w:rStyle w:val="InternetLink"/>
                  <w:spacing w:val="4"/>
                </w:rPr>
                <w:t>5</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5050" w:type="dxa"/>
            <w:tcBorders/>
            <w:shd w:fill="CCEEFF" w:val="clear"/>
            <w:vAlign w:val="center"/>
          </w:tcPr>
          <w:p>
            <w:pPr>
              <w:pStyle w:val="TableContents"/>
              <w:spacing w:before="0" w:after="0"/>
              <w:jc w:val="left"/>
              <w:rPr/>
            </w:pPr>
            <w:hyperlink w:anchor="tIOCD">
              <w:r>
                <w:rPr>
                  <w:rStyle w:val="InternetLink"/>
                  <w:spacing w:val="4"/>
                </w:rPr>
                <w:t xml:space="preserve">Incorporation of Certain Documents by Reference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IOCD">
              <w:r>
                <w:rPr>
                  <w:rStyle w:val="InternetLink"/>
                  <w:spacing w:val="4"/>
                </w:rPr>
                <w:t>6</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050" w:type="dxa"/>
            <w:tcBorders/>
            <w:shd w:fill="auto" w:val="clear"/>
            <w:vAlign w:val="center"/>
          </w:tcPr>
          <w:p>
            <w:pPr>
              <w:pStyle w:val="TableContents"/>
              <w:spacing w:before="0" w:after="0"/>
              <w:jc w:val="left"/>
              <w:rPr/>
            </w:pPr>
            <w:hyperlink w:anchor="tWYCF">
              <w:r>
                <w:rPr>
                  <w:rStyle w:val="InternetLink"/>
                  <w:spacing w:val="4"/>
                </w:rPr>
                <w:t xml:space="preserve">Where You Can Find More Information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WYCF">
              <w:r>
                <w:rPr>
                  <w:rStyle w:val="InternetLink"/>
                  <w:spacing w:val="4"/>
                </w:rPr>
                <w:t>7</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5050" w:type="dxa"/>
            <w:tcBorders/>
            <w:shd w:fill="CCEEFF" w:val="clear"/>
            <w:vAlign w:val="center"/>
          </w:tcPr>
          <w:p>
            <w:pPr>
              <w:pStyle w:val="TableContents"/>
              <w:spacing w:before="0" w:after="0"/>
              <w:jc w:val="left"/>
              <w:rPr/>
            </w:pPr>
            <w:hyperlink w:anchor="tTHCO">
              <w:r>
                <w:rPr>
                  <w:rStyle w:val="InternetLink"/>
                  <w:spacing w:val="4"/>
                </w:rPr>
                <w:t xml:space="preserve">The Company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THCO">
              <w:r>
                <w:rPr>
                  <w:rStyle w:val="InternetLink"/>
                  <w:spacing w:val="4"/>
                </w:rPr>
                <w:t>8</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050" w:type="dxa"/>
            <w:tcBorders/>
            <w:shd w:fill="auto" w:val="clear"/>
            <w:vAlign w:val="center"/>
          </w:tcPr>
          <w:p>
            <w:pPr>
              <w:pStyle w:val="TableContents"/>
              <w:spacing w:before="0" w:after="0"/>
              <w:jc w:val="left"/>
              <w:rPr/>
            </w:pPr>
            <w:hyperlink w:anchor="tRIFA">
              <w:r>
                <w:rPr>
                  <w:rStyle w:val="InternetLink"/>
                  <w:spacing w:val="4"/>
                </w:rPr>
                <w:t xml:space="preserve">Risk Factors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RIFA">
              <w:r>
                <w:rPr>
                  <w:rStyle w:val="InternetLink"/>
                  <w:spacing w:val="4"/>
                </w:rPr>
                <w:t>8</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5050" w:type="dxa"/>
            <w:tcBorders/>
            <w:shd w:fill="CCEEFF" w:val="clear"/>
            <w:vAlign w:val="center"/>
          </w:tcPr>
          <w:p>
            <w:pPr>
              <w:pStyle w:val="TableContents"/>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UOP">
              <w:r>
                <w:rPr>
                  <w:rStyle w:val="InternetLink"/>
                  <w:spacing w:val="4"/>
                </w:rPr>
                <w:t>9</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050" w:type="dxa"/>
            <w:tcBorders/>
            <w:shd w:fill="auto" w:val="clear"/>
            <w:vAlign w:val="center"/>
          </w:tcPr>
          <w:p>
            <w:pPr>
              <w:pStyle w:val="TableContents"/>
              <w:spacing w:before="0" w:after="0"/>
              <w:jc w:val="left"/>
              <w:rPr/>
            </w:pPr>
            <w:hyperlink w:anchor="tDOTD">
              <w:r>
                <w:rPr>
                  <w:rStyle w:val="InternetLink"/>
                  <w:spacing w:val="4"/>
                </w:rPr>
                <w:t xml:space="preserve">Description of the Debt Securities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DOTD">
              <w:r>
                <w:rPr>
                  <w:rStyle w:val="InternetLink"/>
                  <w:spacing w:val="4"/>
                </w:rPr>
                <w:t>10</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5050" w:type="dxa"/>
            <w:tcBorders/>
            <w:shd w:fill="CCEEFF" w:val="clear"/>
            <w:vAlign w:val="center"/>
          </w:tcPr>
          <w:p>
            <w:pPr>
              <w:pStyle w:val="TableContents"/>
              <w:spacing w:before="0" w:after="0"/>
              <w:jc w:val="left"/>
              <w:rPr/>
            </w:pPr>
            <w:hyperlink w:anchor="tDOG">
              <w:r>
                <w:rPr>
                  <w:rStyle w:val="InternetLink"/>
                  <w:spacing w:val="4"/>
                </w:rPr>
                <w:t xml:space="preserve">Description of Guarantees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DOG">
              <w:r>
                <w:rPr>
                  <w:rStyle w:val="InternetLink"/>
                  <w:spacing w:val="4"/>
                </w:rPr>
                <w:t>18</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050" w:type="dxa"/>
            <w:tcBorders/>
            <w:shd w:fill="auto" w:val="clear"/>
            <w:vAlign w:val="center"/>
          </w:tcPr>
          <w:p>
            <w:pPr>
              <w:pStyle w:val="TableContents"/>
              <w:spacing w:before="0" w:after="0"/>
              <w:jc w:val="left"/>
              <w:rPr/>
            </w:pPr>
            <w:hyperlink w:anchor="tDOCS">
              <w:r>
                <w:rPr>
                  <w:rStyle w:val="InternetLink"/>
                  <w:spacing w:val="4"/>
                </w:rPr>
                <w:t xml:space="preserve">Description of Capital Stock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DOCS">
              <w:r>
                <w:rPr>
                  <w:rStyle w:val="InternetLink"/>
                  <w:spacing w:val="4"/>
                </w:rPr>
                <w:t>19</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5050" w:type="dxa"/>
            <w:tcBorders/>
            <w:shd w:fill="CCEEFF" w:val="clear"/>
            <w:vAlign w:val="center"/>
          </w:tcPr>
          <w:p>
            <w:pPr>
              <w:pStyle w:val="TableContents"/>
              <w:spacing w:before="0" w:after="0"/>
              <w:jc w:val="left"/>
              <w:rPr/>
            </w:pPr>
            <w:hyperlink w:anchor="tDOOS">
              <w:r>
                <w:rPr>
                  <w:rStyle w:val="InternetLink"/>
                  <w:spacing w:val="4"/>
                </w:rPr>
                <w:t xml:space="preserve">Description of Other Securities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DOOS">
              <w:r>
                <w:rPr>
                  <w:rStyle w:val="InternetLink"/>
                  <w:spacing w:val="4"/>
                </w:rPr>
                <w:t>22</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050" w:type="dxa"/>
            <w:tcBorders/>
            <w:shd w:fill="auto" w:val="clear"/>
            <w:vAlign w:val="center"/>
          </w:tcPr>
          <w:p>
            <w:pPr>
              <w:pStyle w:val="TableContents"/>
              <w:spacing w:before="0" w:after="0"/>
              <w:jc w:val="left"/>
              <w:rPr/>
            </w:pPr>
            <w:hyperlink w:anchor="tPOD">
              <w:r>
                <w:rPr>
                  <w:rStyle w:val="InternetLink"/>
                  <w:spacing w:val="4"/>
                </w:rPr>
                <w:t xml:space="preserve">Plan of Distribution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POD">
              <w:r>
                <w:rPr>
                  <w:rStyle w:val="InternetLink"/>
                  <w:spacing w:val="4"/>
                </w:rPr>
                <w:t>23</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5050" w:type="dxa"/>
            <w:tcBorders/>
            <w:shd w:fill="CCEEFF" w:val="clear"/>
            <w:vAlign w:val="center"/>
          </w:tcPr>
          <w:p>
            <w:pPr>
              <w:pStyle w:val="TableContents"/>
              <w:spacing w:before="0" w:after="0"/>
              <w:jc w:val="left"/>
              <w:rPr/>
            </w:pPr>
            <w:hyperlink w:anchor="tSSH">
              <w:r>
                <w:rPr>
                  <w:rStyle w:val="InternetLink"/>
                  <w:spacing w:val="4"/>
                </w:rPr>
                <w:t xml:space="preserve">Selling Securityholders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SSH">
              <w:r>
                <w:rPr>
                  <w:rStyle w:val="InternetLink"/>
                  <w:spacing w:val="4"/>
                </w:rPr>
                <w:t>25</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050" w:type="dxa"/>
            <w:tcBorders/>
            <w:shd w:fill="auto" w:val="clear"/>
            <w:vAlign w:val="center"/>
          </w:tcPr>
          <w:p>
            <w:pPr>
              <w:pStyle w:val="TableContents"/>
              <w:spacing w:before="0" w:after="0"/>
              <w:jc w:val="left"/>
              <w:rPr/>
            </w:pPr>
            <w:hyperlink w:anchor="tLEMA">
              <w:r>
                <w:rPr>
                  <w:rStyle w:val="InternetLink"/>
                  <w:spacing w:val="4"/>
                </w:rPr>
                <w:t xml:space="preserve">Legal Matters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LEMA">
              <w:r>
                <w:rPr>
                  <w:rStyle w:val="InternetLink"/>
                  <w:spacing w:val="4"/>
                </w:rPr>
                <w:t>26</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5050" w:type="dxa"/>
            <w:tcBorders/>
            <w:shd w:fill="CCEEFF" w:val="clear"/>
            <w:vAlign w:val="center"/>
          </w:tcPr>
          <w:p>
            <w:pPr>
              <w:pStyle w:val="TableContents"/>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EXP">
              <w:r>
                <w:rPr>
                  <w:rStyle w:val="InternetLink"/>
                  <w:spacing w:val="4"/>
                </w:rPr>
                <w:t>26</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050" w:type="dxa"/>
            <w:tcBorders/>
            <w:shd w:fill="auto" w:val="clear"/>
            <w:vAlign w:val="center"/>
          </w:tcPr>
          <w:p>
            <w:pPr>
              <w:pStyle w:val="TableContents"/>
              <w:spacing w:before="0" w:after="283"/>
              <w:jc w:val="lef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FOST"/>
      <w:bookmarkEnd w:id="1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Strategy and Operational Risks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largest"/>
                <wp:docPr id="59" name="Frame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largest"/>
                <wp:docPr id="60"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largest"/>
                <wp:docPr id="61"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largest"/>
                <wp:docPr id="62"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integration of acquisitions and/or new service offerings could increase our exposure to environmental liabilities for past operations and the risk of inadvertent noncompliance with laws and regulations;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largest"/>
                <wp:docPr id="63"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must comply with extensive existing regulations, and changes in regulations and/or enforcement of regulations can restrict or alter our operations, increase our operating costs, increase our tax rate, or require us to make additional capital expenditures;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largest"/>
                <wp:docPr id="64"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possible changes in our estimates of costs for site remediation requirements, final capping, closure and post-closure obligations, compliance and regulatory developments may increase our expenses and future cash outflows;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largest"/>
                <wp:docPr id="65"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largest"/>
                <wp:docPr id="66"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obtain and maintain required permits or to expand existing permitted capacity of our landfills, which could decrease our revenue and increase our costs; </w:t>
      </w:r>
      <w:r>
        <mc:AlternateContent>
          <mc:Choice Requires="wps">
            <w:drawing>
              <wp:anchor behindDoc="0" distT="787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largest"/>
                <wp:docPr id="67"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largest"/>
                <wp:docPr id="68" name="Frame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largest"/>
                <wp:docPr id="69" name="Frame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largest"/>
                <wp:docPr id="70"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largest"/>
                <wp:docPr id="71"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largest"/>
                <wp:docPr id="72"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External Economic and Industry Risks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largest"/>
                <wp:docPr id="73"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regulations requiring mandatory COVID-19 vaccination of employees could adversely impact our ability to perform or compete for certain contracts and negatively affect our results of operations; </w:t>
      </w:r>
      <w:r>
        <mc:AlternateContent>
          <mc:Choice Requires="wps">
            <w:drawing>
              <wp:anchor behindDoc="0" distT="774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largest"/>
                <wp:docPr id="74"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disruption, including labor shortages and supply chain constraints, and macroeconomic pressures, including the heightened pace of inflation, have adversely impacted our business and results of operations; </w:t>
      </w:r>
      <w:r>
        <mc:AlternateContent>
          <mc:Choice Requires="wps">
            <w:drawing>
              <wp:anchor behindDoc="0" distT="774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largest"/>
                <wp:docPr id="75"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largest"/>
                <wp:docPr id="76"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largest"/>
                <wp:docPr id="77"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earnings and cash flows will fluctuate based on changes in commodity prices, and commodity prices for recyclable materials are particularly susceptible to volatility based on regulations and tariffs that affect our ability to export products;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largest"/>
                <wp:docPr id="78" name="Frame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 </w:t>
      </w:r>
      <w:r>
        <mc:AlternateContent>
          <mc:Choice Requires="wps">
            <w:drawing>
              <wp:anchor behindDoc="0" distT="0" distB="0" distL="254000" distR="0" simplePos="0" locked="0" layoutInCell="1" allowOverlap="1" relativeHeight="81">
                <wp:simplePos x="0" y="0"/>
                <wp:positionH relativeFrom="column">
                  <wp:align>left</wp:align>
                </wp:positionH>
                <wp:positionV relativeFrom="line">
                  <wp:posOffset>635</wp:posOffset>
                </wp:positionV>
                <wp:extent cx="127000" cy="350520"/>
                <wp:effectExtent l="0" t="0" r="0" b="0"/>
                <wp:wrapSquare wrapText="largest"/>
                <wp:docPr id="79" name="Frame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conditions can directly and adversely affect revenues for environmental services and our income from operations margins;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largest"/>
                <wp:docPr id="80"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 </w:t>
      </w:r>
      <w:r>
        <mc:AlternateContent>
          <mc:Choice Requires="wps">
            <w:drawing>
              <wp:anchor behindDoc="0" distT="7747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largest"/>
                <wp:docPr id="81"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effective tax rate and tax liability could materially change as a result of the adoption of new tax legislation and other factors;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largest"/>
                <wp:docPr id="82"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diesel fuel price increases or diesel fuel supply shortages may increase our operating expenses;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83"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Technology and Information Security Risks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in technology could trigger a fundamental change in the waste management industry, as waste streams are increasingly viewed as a resource, which may adversely impact volumes at our landfills and our profitability;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84"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existing and proposed service offerings to customers may require that we invest in, develop or license, and protect, new technologies, and our inability to obtain or protect new technologies could impact our services to customers and development of new revenue sources;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85"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 </w:t>
      </w:r>
      <w:r>
        <mc:AlternateContent>
          <mc:Choice Requires="wps">
            <w:drawing>
              <wp:anchor behindDoc="0" distT="774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86"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implementing a new enterprise resource planning and human capital management system, and challenges with the implementation of the system may negatively impact our business and operations;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largest"/>
                <wp:docPr id="87"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 </w:t>
      </w:r>
      <w:r>
        <mc:AlternateContent>
          <mc:Choice Requires="wps">
            <w:drawing>
              <wp:anchor behindDoc="0" distT="7747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largest"/>
                <wp:docPr id="88"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regulation by state and federal governments related to cybersecurity protections and disclosures may require additional resources and create risks of noncompliance that could harm our business; </w:t>
      </w:r>
      <w:r>
        <mc:AlternateContent>
          <mc:Choice Requires="wps">
            <w:drawing>
              <wp:anchor behindDoc="0" distT="7747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largest"/>
                <wp:docPr id="89"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regulatory focus on privacy and data protection issues and expanding laws could negatively impact our business, subject us to criticism and expose us to increased liability; </w:t>
      </w:r>
      <w:r>
        <mc:AlternateContent>
          <mc:Choice Requires="wps">
            <w:drawing>
              <wp:anchor behindDoc="0" distT="7747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largest"/>
                <wp:docPr id="90"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Legal, Regulatory and Compliance Risks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 </w:t>
      </w:r>
      <w:r>
        <mc:AlternateContent>
          <mc:Choice Requires="wps">
            <w:drawing>
              <wp:anchor behindDoc="0" distT="774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largest"/>
                <wp:docPr id="91" name="Frame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federal and state renewable fuel policies could affect our financial performance as a renewable fuel producer and impact our projected future investments;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largest"/>
                <wp:docPr id="92" name="Frame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climate change, and the adoption of climate change legislation or regulations restricting emissions of greenhouse gases, could increase our costs to operate;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largest"/>
                <wp:docPr id="93"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4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be subject to significant fines and penalties, and our reputation could be adversely affected, if our businesses, or third parties with whom we have a relationship, were to fail to comply with United States (“U.S.”) or foreign laws or regulations;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largest"/>
                <wp:docPr id="94"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largest"/>
                <wp:docPr id="95" name="Frame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Financial Risks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reduce or suspend capital expenditures, growth and acquisition activity, implementation of our business strategy, dividend declarations or share repurchases if we suffer a significant reduction in cash flows;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largest"/>
                <wp:docPr id="96" name="Frame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incur future indebtedness to support our growth and development plans or to refinance our debt obligations, including near-term maturities, on terms consistent with current borrowings, and higher interest rates and market conditions may increase our expense;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largest"/>
                <wp:docPr id="97" name="Frame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for financial assurance or the inadequacy of our insurance coverage could negatively impact our liquidity and increase our liabilities;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largest"/>
                <wp:docPr id="98"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possible charges against our earnings due to impairments to our assets as a result of shut-down operations, uncompleted development or expansion projects or other events may negatively affect earnings; and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largest"/>
                <wp:docPr id="99"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face significant liabilities for withdrawal from multiemployer pension plans.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largest"/>
                <wp:docPr id="100"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required by law, we undertake no obligation to publicly update or revise any forward-looking statements to reflect events, circumstances or developments after the date of this prospectus.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ATP"/>
      <w:bookmarkEnd w:id="1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using a “shelf” registration process. We may offer and sell any combination of the securities described in this prospectus from time to time up to an indeterminate dollar amount, in one or more offerings.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types of securities that we or selling securityholders may offer and sell from time to time pursuant to this prospectus are: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largest"/>
                <wp:docPr id="101" name="Frame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largest"/>
                <wp:docPr id="102"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103"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largest"/>
                <wp:docPr id="104"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guarantees; and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largest"/>
                <wp:docPr id="105"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units consisting of any of the securities listed above.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largest"/>
                <wp:docPr id="106"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and amount of securities that we or selling securityholders propose to sell;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largest"/>
                <wp:docPr id="107"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public offering price of the securities;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largest"/>
                <wp:docPr id="108" name="Frame1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through or to which we or selling securityholders will sell the securities;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109" name="Frame1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compensation of those underwriters or agents; and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largest"/>
                <wp:docPr id="110"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any securities exchanges or automated quotation systems on which the securities will be listed or traded.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largest"/>
                <wp:docPr id="111"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the terms “we,” “us,” “our,” and “the Company” refer to Waste Management, Inc. and its consolidated subsidiaries and consolidated variable interest entities, taken as a whole, unless the context clearly indicates otherwise.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IOCD"/>
      <w:bookmarkEnd w:id="1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 </w:t>
      </w:r>
    </w:p>
    <w:tbl>
      <w:tblPr>
        <w:tblW w:w="8812" w:type="dxa"/>
        <w:jc w:val="left"/>
        <w:tblInd w:w="1393" w:type="dxa"/>
        <w:tblCellMar>
          <w:top w:w="0" w:type="dxa"/>
          <w:left w:w="0" w:type="dxa"/>
          <w:bottom w:w="50" w:type="dxa"/>
          <w:right w:w="0" w:type="dxa"/>
        </w:tblCellMar>
      </w:tblPr>
      <w:tblGrid>
        <w:gridCol w:w="6992"/>
        <w:gridCol w:w="109"/>
        <w:gridCol w:w="109"/>
        <w:gridCol w:w="1447"/>
        <w:gridCol w:w="155"/>
      </w:tblGrid>
      <w:tr>
        <w:trPr/>
        <w:tc>
          <w:tcPr>
            <w:tcW w:w="6992" w:type="dxa"/>
            <w:tcBorders>
              <w:bottom w:val="single" w:sz="2" w:space="0" w:color="000000"/>
            </w:tcBorders>
            <w:shd w:fill="auto" w:val="clear"/>
            <w:vAlign w:val="center"/>
          </w:tcPr>
          <w:p>
            <w:pPr>
              <w:pStyle w:val="TableContents"/>
              <w:spacing w:before="0" w:after="0"/>
              <w:rPr>
                <w:spacing w:val="-3"/>
              </w:rPr>
            </w:pPr>
            <w:r>
              <w:rPr>
                <w:spacing w:val="-3"/>
              </w:rPr>
              <w:t xml:space="preserve">SEC Filing (Our SEC File Number is 1-12154)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47" w:type="dxa"/>
            <w:tcBorders>
              <w:bottom w:val="single" w:sz="2" w:space="0" w:color="000000"/>
            </w:tcBorders>
            <w:shd w:fill="auto" w:val="clear"/>
            <w:vAlign w:val="center"/>
          </w:tcPr>
          <w:p>
            <w:pPr>
              <w:pStyle w:val="TableContents"/>
              <w:spacing w:before="0" w:after="0"/>
              <w:jc w:val="center"/>
              <w:rPr>
                <w:spacing w:val="-3"/>
              </w:rPr>
            </w:pPr>
            <w:r>
              <w:rPr>
                <w:spacing w:val="-3"/>
              </w:rPr>
              <w:t xml:space="preserve">Date Filed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992" w:type="dxa"/>
            <w:tcBorders/>
            <w:shd w:fill="CCEEFF" w:val="clear"/>
            <w:tcMar>
              <w:bottom w:w="0" w:type="dxa"/>
            </w:tcMar>
            <w:vAlign w:val="center"/>
          </w:tcPr>
          <w:p>
            <w:pPr>
              <w:pStyle w:val="TableContents"/>
              <w:spacing w:before="0" w:after="0"/>
              <w:rPr/>
            </w:pPr>
            <w:hyperlink r:id="rId12">
              <w:r>
                <w:rPr>
                  <w:rStyle w:val="InternetLink"/>
                  <w:spacing w:val="4"/>
                </w:rPr>
                <w:t>Annual Report on Form 10-K for the year ended December 31, 2021</w:t>
              </w:r>
            </w:hyperlink>
            <w:r>
              <w:rPr>
                <w:spacing w:val="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7" w:type="dxa"/>
            <w:tcBorders/>
            <w:shd w:fill="CCEEFF" w:val="clear"/>
            <w:tcMar>
              <w:bottom w:w="0" w:type="dxa"/>
            </w:tcMar>
            <w:vAlign w:val="center"/>
          </w:tcPr>
          <w:p>
            <w:pPr>
              <w:pStyle w:val="TableContents"/>
              <w:spacing w:before="0" w:after="0"/>
              <w:jc w:val="center"/>
              <w:rPr/>
            </w:pPr>
            <w:r>
              <w:rPr>
                <w:spacing w:val="4"/>
              </w:rPr>
              <w:t>February 15, 2022</w:t>
            </w:r>
            <w:r>
              <w:rPr/>
              <w:t xml:space="preserve"> </w:t>
            </w:r>
          </w:p>
        </w:tc>
        <w:tc>
          <w:tcPr>
            <w:tcW w:w="155" w:type="dxa"/>
            <w:tcBorders/>
            <w:shd w:fill="CCEEFF" w:val="clear"/>
            <w:tcMar>
              <w:bottom w:w="0" w:type="dxa"/>
            </w:tcMar>
            <w:vAlign w:val="center"/>
          </w:tcPr>
          <w:p>
            <w:pPr>
              <w:pStyle w:val="TableContents"/>
              <w:spacing w:before="0" w:after="283"/>
              <w:rPr/>
            </w:pPr>
            <w:r>
              <w:rPr/>
              <w:t>​</w:t>
            </w:r>
          </w:p>
        </w:tc>
      </w:tr>
      <w:tr>
        <w:trPr/>
        <w:tc>
          <w:tcPr>
            <w:tcW w:w="6992" w:type="dxa"/>
            <w:tcBorders/>
            <w:shd w:fill="auto" w:val="clear"/>
            <w:tcMar>
              <w:bottom w:w="0" w:type="dxa"/>
            </w:tcMar>
            <w:vAlign w:val="center"/>
          </w:tcPr>
          <w:p>
            <w:pPr>
              <w:pStyle w:val="TableContents"/>
              <w:spacing w:before="0" w:after="0"/>
              <w:ind w:left="200" w:right="0" w:hanging="200"/>
              <w:rPr/>
            </w:pPr>
            <w:hyperlink r:id="rId13">
              <w:r>
                <w:rPr>
                  <w:rStyle w:val="InternetLink"/>
                  <w:spacing w:val="4"/>
                </w:rPr>
                <w:t>Amendment No. 1 to Annual Report on Form 10-K for the year ended December 31, 2021</w:t>
              </w:r>
            </w:hyperlink>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7" w:type="dxa"/>
            <w:tcBorders/>
            <w:shd w:fill="auto" w:val="clear"/>
            <w:tcMar>
              <w:bottom w:w="0" w:type="dxa"/>
            </w:tcMar>
            <w:vAlign w:val="center"/>
          </w:tcPr>
          <w:p>
            <w:pPr>
              <w:pStyle w:val="TableContents"/>
              <w:spacing w:before="0" w:after="0"/>
              <w:jc w:val="center"/>
              <w:rPr/>
            </w:pPr>
            <w:r>
              <w:rPr>
                <w:spacing w:val="4"/>
              </w:rPr>
              <w:t>March 29, 2022</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6992" w:type="dxa"/>
            <w:tcBorders/>
            <w:shd w:fill="CCEEFF" w:val="clear"/>
            <w:tcMar>
              <w:bottom w:w="0" w:type="dxa"/>
            </w:tcMar>
            <w:vAlign w:val="center"/>
          </w:tcPr>
          <w:p>
            <w:pPr>
              <w:pStyle w:val="TableContents"/>
              <w:spacing w:before="0" w:after="0"/>
              <w:rPr/>
            </w:pPr>
            <w:hyperlink r:id="rId14">
              <w:r>
                <w:rPr>
                  <w:rStyle w:val="InternetLink"/>
                  <w:spacing w:val="4"/>
                </w:rPr>
                <w:t>Quarterly Report on Form 10-Q for the quarter ended March 31, 2022</w:t>
              </w:r>
            </w:hyperlink>
            <w:r>
              <w:rPr>
                <w:spacing w:val="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7" w:type="dxa"/>
            <w:tcBorders/>
            <w:shd w:fill="CCEEFF" w:val="clear"/>
            <w:tcMar>
              <w:bottom w:w="0" w:type="dxa"/>
            </w:tcMar>
            <w:vAlign w:val="center"/>
          </w:tcPr>
          <w:p>
            <w:pPr>
              <w:pStyle w:val="TableContents"/>
              <w:spacing w:before="0" w:after="0"/>
              <w:jc w:val="center"/>
              <w:rPr/>
            </w:pPr>
            <w:r>
              <w:rPr>
                <w:spacing w:val="4"/>
              </w:rPr>
              <w:t>April 26, 2022</w:t>
            </w:r>
            <w:r>
              <w:rPr/>
              <w:t xml:space="preserve"> </w:t>
            </w:r>
          </w:p>
        </w:tc>
        <w:tc>
          <w:tcPr>
            <w:tcW w:w="155" w:type="dxa"/>
            <w:tcBorders/>
            <w:shd w:fill="CCEEFF" w:val="clear"/>
            <w:tcMar>
              <w:bottom w:w="0" w:type="dxa"/>
            </w:tcMar>
            <w:vAlign w:val="center"/>
          </w:tcPr>
          <w:p>
            <w:pPr>
              <w:pStyle w:val="TableContents"/>
              <w:spacing w:before="0" w:after="283"/>
              <w:rPr/>
            </w:pPr>
            <w:r>
              <w:rPr/>
              <w:t>​</w:t>
            </w:r>
          </w:p>
        </w:tc>
      </w:tr>
      <w:tr>
        <w:trPr/>
        <w:tc>
          <w:tcPr>
            <w:tcW w:w="6992" w:type="dxa"/>
            <w:tcBorders/>
            <w:shd w:fill="auto" w:val="clear"/>
            <w:tcMar>
              <w:bottom w:w="0" w:type="dxa"/>
            </w:tcMar>
            <w:vAlign w:val="center"/>
          </w:tcPr>
          <w:p>
            <w:pPr>
              <w:pStyle w:val="TableContents"/>
              <w:spacing w:before="0" w:after="0"/>
              <w:rPr/>
            </w:pPr>
            <w:hyperlink r:id="rId15">
              <w:r>
                <w:rPr>
                  <w:rStyle w:val="InternetLink"/>
                  <w:spacing w:val="4"/>
                </w:rPr>
                <w:t>Current Report on Form 8-K</w:t>
              </w:r>
            </w:hyperlink>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7" w:type="dxa"/>
            <w:tcBorders/>
            <w:shd w:fill="auto" w:val="clear"/>
            <w:tcMar>
              <w:bottom w:w="0" w:type="dxa"/>
            </w:tcMar>
            <w:vAlign w:val="center"/>
          </w:tcPr>
          <w:p>
            <w:pPr>
              <w:pStyle w:val="TableContents"/>
              <w:spacing w:before="0" w:after="0"/>
              <w:jc w:val="center"/>
              <w:rPr/>
            </w:pPr>
            <w:r>
              <w:rPr>
                <w:spacing w:val="4"/>
              </w:rPr>
              <w:t>March 7, 2022</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6992" w:type="dxa"/>
            <w:tcBorders/>
            <w:shd w:fill="CCEEFF" w:val="clear"/>
            <w:tcMar>
              <w:bottom w:w="0" w:type="dxa"/>
            </w:tcMar>
            <w:vAlign w:val="center"/>
          </w:tcPr>
          <w:p>
            <w:pPr>
              <w:pStyle w:val="TableContents"/>
              <w:spacing w:before="0" w:after="0"/>
              <w:ind w:left="200" w:right="0" w:hanging="200"/>
              <w:rPr/>
            </w:pPr>
            <w:r>
              <w:rPr>
                <w:spacing w:val="4"/>
              </w:rPr>
              <w:t xml:space="preserve">The portions of our </w:t>
            </w:r>
            <w:hyperlink r:id="rId16">
              <w:r>
                <w:rPr>
                  <w:rStyle w:val="InternetLink"/>
                  <w:spacing w:val="4"/>
                </w:rPr>
                <w:t>proxy statement for our 2022 annual meeting of stockholders</w:t>
              </w:r>
            </w:hyperlink>
            <w:r>
              <w:rPr>
                <w:spacing w:val="4"/>
              </w:rPr>
              <w:t xml:space="preserve"> incorporated by reference in our </w:t>
            </w:r>
            <w:hyperlink r:id="rId17">
              <w:r>
                <w:rPr>
                  <w:rStyle w:val="InternetLink"/>
                  <w:spacing w:val="4"/>
                </w:rPr>
                <w:t>Annual Report on Form 10-K for the year ended December 31, 2021</w:t>
              </w:r>
            </w:hyperlink>
            <w:r>
              <w:rPr>
                <w:spacing w:val="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7" w:type="dxa"/>
            <w:tcBorders/>
            <w:shd w:fill="CCEEFF" w:val="clear"/>
            <w:tcMar>
              <w:bottom w:w="0" w:type="dxa"/>
            </w:tcMar>
            <w:vAlign w:val="center"/>
          </w:tcPr>
          <w:p>
            <w:pPr>
              <w:pStyle w:val="TableContents"/>
              <w:spacing w:before="0" w:after="0"/>
              <w:jc w:val="center"/>
              <w:rPr>
                <w:spacing w:val="4"/>
              </w:rPr>
            </w:pPr>
            <w:r>
              <w:rPr>
                <w:spacing w:val="4"/>
              </w:rPr>
              <w:t xml:space="preserve">March 29, 2022 </w:t>
            </w:r>
          </w:p>
        </w:tc>
        <w:tc>
          <w:tcPr>
            <w:tcW w:w="155" w:type="dxa"/>
            <w:tcBorders/>
            <w:shd w:fill="CCEEFF" w:val="clear"/>
            <w:tcMar>
              <w:bottom w:w="0" w:type="dxa"/>
            </w:tcMar>
            <w:vAlign w:val="center"/>
          </w:tcPr>
          <w:p>
            <w:pPr>
              <w:pStyle w:val="TableContents"/>
              <w:spacing w:before="0" w:after="283"/>
              <w:rPr/>
            </w:pPr>
            <w:r>
              <w:rPr/>
              <w:t>​</w:t>
            </w:r>
          </w:p>
        </w:tc>
      </w:tr>
      <w:tr>
        <w:trPr/>
        <w:tc>
          <w:tcPr>
            <w:tcW w:w="6992" w:type="dxa"/>
            <w:tcBorders/>
            <w:shd w:fill="auto" w:val="clear"/>
            <w:tcMar>
              <w:bottom w:w="0" w:type="dxa"/>
            </w:tcMar>
            <w:vAlign w:val="center"/>
          </w:tcPr>
          <w:p>
            <w:pPr>
              <w:pStyle w:val="TableContents"/>
              <w:spacing w:before="0" w:after="0"/>
              <w:ind w:left="200" w:right="0" w:hanging="200"/>
              <w:rPr/>
            </w:pPr>
            <w:r>
              <w:rPr>
                <w:spacing w:val="4"/>
              </w:rPr>
              <w:t xml:space="preserve">Description of our Common Stock contained in our </w:t>
            </w:r>
            <w:hyperlink r:id="rId18">
              <w:r>
                <w:rPr>
                  <w:rStyle w:val="InternetLink"/>
                  <w:spacing w:val="4"/>
                </w:rPr>
                <w:t>Registration Statement on Form 8-B</w:t>
              </w:r>
            </w:hyperlink>
            <w:r>
              <w:rPr>
                <w:spacing w:val="4"/>
              </w:rPr>
              <w:t xml:space="preserve">, as updated by the description of our Common Stock included in </w:t>
            </w:r>
            <w:hyperlink r:id="rId19">
              <w:r>
                <w:rPr>
                  <w:rStyle w:val="InternetLink"/>
                  <w:spacing w:val="4"/>
                </w:rPr>
                <w:t>Exhibit 4.9</w:t>
              </w:r>
            </w:hyperlink>
            <w:r>
              <w:rPr>
                <w:spacing w:val="4"/>
              </w:rPr>
              <w:t xml:space="preserve"> to our Annual Report on Form 10-K for the year ended December 31, 2019 filed with the SEC on February 13, 2020, together with any subsequent amendment or report filed for the purpose of updating such description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7" w:type="dxa"/>
            <w:tcBorders/>
            <w:shd w:fill="auto" w:val="clear"/>
            <w:tcMar>
              <w:bottom w:w="0" w:type="dxa"/>
            </w:tcMar>
            <w:vAlign w:val="center"/>
          </w:tcPr>
          <w:p>
            <w:pPr>
              <w:pStyle w:val="TableContents"/>
              <w:spacing w:before="0" w:after="0"/>
              <w:jc w:val="center"/>
              <w:rPr/>
            </w:pPr>
            <w:r>
              <w:rPr>
                <w:spacing w:val="4"/>
              </w:rPr>
              <w:t>July 13, 1995</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Waste Management,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800 Capitol Street, Suite 3000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(713) 512-6200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WYCF"/>
      <w:bookmarkEnd w:id="2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can also obtain information about us at the offices of the New York Stock Exchange, 20 Broad Street, New York, New York 10005.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annual reports on Form 10-K, quarterly reports on Form 10-Q, current reports on Form 8-K and other filings with the SEC are available, without charge, on or through our website, </w:t>
      </w:r>
      <w:r>
        <w:rPr>
          <w:rFonts w:ascii="Times New Roman;Times;serif" w:hAnsi="Times New Roman;Times;serif"/>
          <w:b w:val="false"/>
          <w:i/>
          <w:caps w:val="false"/>
          <w:smallCaps w:val="false"/>
          <w:color w:val="000000"/>
          <w:spacing w:val="4"/>
          <w:sz w:val="20"/>
        </w:rPr>
        <w:t>www.wm.com</w:t>
      </w:r>
      <w:r>
        <w:rPr>
          <w:rFonts w:ascii="Times New Roman;Times;serif" w:hAnsi="Times New Roman;Times;serif"/>
          <w:b w:val="false"/>
          <w:i w:val="false"/>
          <w:caps w:val="false"/>
          <w:smallCaps w:val="false"/>
          <w:color w:val="000000"/>
          <w:spacing w:val="4"/>
          <w:sz w:val="20"/>
        </w:rPr>
        <w:t xml:space="preserve">,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HCO"/>
      <w:bookmarkEnd w:id="21"/>
      <w:r>
        <w:rPr>
          <w:rFonts w:ascii="calibri;arial;sans-serif" w:hAnsi="calibri;arial;sans-serif"/>
          <w:b w:val="false"/>
          <w:i w:val="false"/>
          <w:caps w:val="false"/>
          <w:smallCaps w:val="false"/>
          <w:color w:val="000000"/>
          <w:sz w:val="16"/>
        </w:rPr>
        <w:t>​</w:t>
      </w:r>
      <w:bookmarkStart w:id="22" w:name="tRIFA"/>
      <w:bookmarkEnd w:id="2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800 Capitol Street, Suite 3000, Houston, Texas 77002. Our telephone number is (713) 512-6200. Our website address is </w:t>
      </w:r>
      <w:r>
        <w:rPr>
          <w:rFonts w:ascii="Times New Roman;Times;serif" w:hAnsi="Times New Roman;Times;serif"/>
          <w:b w:val="false"/>
          <w:i/>
          <w:caps w:val="false"/>
          <w:smallCaps w:val="false"/>
          <w:color w:val="000000"/>
          <w:spacing w:val="4"/>
          <w:sz w:val="20"/>
        </w:rPr>
        <w:t>www.wm.com.</w:t>
      </w:r>
      <w:r>
        <w:rPr>
          <w:rFonts w:ascii="Times New Roman;Times;serif" w:hAnsi="Times New Roman;Times;serif"/>
          <w:b w:val="false"/>
          <w:i w:val="false"/>
          <w:caps w:val="false"/>
          <w:smallCaps w:val="false"/>
          <w:color w:val="000000"/>
          <w:spacing w:val="4"/>
          <w:sz w:val="20"/>
        </w:rPr>
        <w:t xml:space="preserve"> Information contained on, or that can be accessed through, our website is not incorporated by reference into this prospectus and does not constitute a part of this prospectus.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UOP"/>
      <w:bookmarkEnd w:id="2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TD"/>
      <w:bookmarkEnd w:id="2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DEBT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to Each Indenture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Neither indenture limits the amount of debt securities that may be issued under that indenture, and neither limits the amount of other unsecured debt or securities that we may issue. We may issue debt securities under the indentures from time to time in one or more series, each in an amount authorized prior to issuance.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Terms.</w:t>
      </w:r>
      <w:r>
        <w:rPr>
          <w:rFonts w:ascii="Times New Roman;Times;serif" w:hAnsi="Times New Roman;Times;serif"/>
          <w:b w:val="false"/>
          <w:i w:val="false"/>
          <w:caps w:val="false"/>
          <w:smallCaps w:val="false"/>
          <w:color w:val="000000"/>
          <w:spacing w:val="4"/>
          <w:sz w:val="20"/>
        </w:rPr>
        <w:t xml:space="preserve">   The prospectus supplement relating to any series of debt securities being offered will include specific terms relating to the offering. These terms will include some or all of the following: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or subordinated debt securities;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largest"/>
                <wp:docPr id="112"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747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largest"/>
                <wp:docPr id="113"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principal amount of the debt securities; </w:t>
      </w:r>
      <w:r>
        <mc:AlternateContent>
          <mc:Choice Requires="wps">
            <w:drawing>
              <wp:anchor behindDoc="0" distT="7747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largest"/>
                <wp:docPr id="114"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individual certificates to each holder or in the form of temporary or permanent global securities held by a depositary on behalf of holders; </w:t>
      </w:r>
      <w:r>
        <mc:AlternateContent>
          <mc:Choice Requires="wps">
            <w:drawing>
              <wp:anchor behindDoc="0" distT="7747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largest"/>
                <wp:docPr id="115"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and any premium on the debt securities will be payable; </w:t>
      </w:r>
      <w:r>
        <mc:AlternateContent>
          <mc:Choice Requires="wps">
            <w:drawing>
              <wp:anchor behindDoc="0" distT="7747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largest"/>
                <wp:docPr id="116"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rate (or the method of calculating the interest rate, if applicable), the date from which interest will accrue, interest payment dates and record dates for interest payments; </w:t>
      </w:r>
      <w:r>
        <mc:AlternateContent>
          <mc:Choice Requires="wps">
            <w:drawing>
              <wp:anchor behindDoc="0" distT="7747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largest"/>
                <wp:docPr id="117"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right to extend or defer the interest payment periods and the duration of the extension;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largest"/>
                <wp:docPr id="118" name="Frame1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any additional amounts with respect to the debt securities will be payable;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largest"/>
                <wp:docPr id="119"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payments on the debt securities will be payable;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largest"/>
                <wp:docPr id="120"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optional redemption or early repayment;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largest"/>
                <wp:docPr id="121"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that would require the redemption, purchase or repayment of debt securities;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largest"/>
                <wp:docPr id="122"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largest"/>
                <wp:docPr id="123" name="Frame1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payments on the debt securities will be payable in foreign currency or currency units or another form and whether payments will be payable by reference to any index or formula;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largest"/>
                <wp:docPr id="124" name="Frame1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of debt securities that will be payable if the maturity is accelerated, if other than the entire principal amount;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largest"/>
                <wp:docPr id="125" name="Frame1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means of defeasance of the debt securities, any additional conditions or limitations to defeasance of the debt securities or any changes to those conditions or limitations;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largest"/>
                <wp:docPr id="126" name="Frame1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or additions to the events of default or covenants described in this prospectus; </w:t>
      </w:r>
      <w:r>
        <mc:AlternateContent>
          <mc:Choice Requires="wps">
            <w:drawing>
              <wp:anchor behindDoc="0" distT="0" distB="0" distL="254000" distR="0" simplePos="0" locked="0" layoutInCell="1" allowOverlap="1" relativeHeight="129">
                <wp:simplePos x="0" y="0"/>
                <wp:positionH relativeFrom="column">
                  <wp:align>left</wp:align>
                </wp:positionH>
                <wp:positionV relativeFrom="line">
                  <wp:posOffset>635</wp:posOffset>
                </wp:positionV>
                <wp:extent cx="127000" cy="350520"/>
                <wp:effectExtent l="0" t="0" r="0" b="0"/>
                <wp:wrapSquare wrapText="largest"/>
                <wp:docPr id="127" name="Frame1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or other provisions relating to the transfer or exchange of debt securities; </w:t>
      </w:r>
      <w:r>
        <mc:AlternateContent>
          <mc:Choice Requires="wps">
            <w:drawing>
              <wp:anchor behindDoc="0" distT="7874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largest"/>
                <wp:docPr id="128" name="Frame1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for the conversion or exchange of the debt securities for other securities of Waste Management, Inc. or any other entity;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largest"/>
                <wp:docPr id="129" name="Frame1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subordinated indenture, any changes to the subordination provisions for the subordinated debt securities; and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largest"/>
                <wp:docPr id="130" name="Frame1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not inconsistent with the applicable indenture.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largest"/>
                <wp:docPr id="131" name="Frame1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The indentures generally prohibit a consolidation or merger of Waste Management, Inc. into another person, or a conveyance, transfer or lease of our properties and assets substantially as an entirety to another person unless: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largest"/>
                <wp:docPr id="132" name="Frame1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would occur and be continuing or would result from the transaction.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largest"/>
                <wp:docPr id="133" name="Frame1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we inform you otherwise in the applicable prospectus supplement, the following are events of default with respect to a series of debt securities: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on that series of debt securities for 30 days when due;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largest"/>
                <wp:docPr id="134" name="Frame1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of or any premium on that series of debt securities when due;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largest"/>
                <wp:docPr id="135" name="Frame1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deposit into any sinking fund when due;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largest"/>
                <wp:docPr id="136" name="Frame1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largest"/>
                <wp:docPr id="137" name="Frame1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involving bankruptcy, insolvency or reorganization; and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largest"/>
                <wp:docPr id="138" name="Frame1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for that series of debt securities.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largest"/>
                <wp:docPr id="139" name="Frame1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 debt security of any series issued under an indenture may pursue any remedy under that indenture only if: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gives the trustee written notice of a continuing event of default for that series; </w:t>
      </w:r>
      <w:r>
        <mc:AlternateContent>
          <mc:Choice Requires="wps">
            <w:drawing>
              <wp:anchor behindDoc="0" distT="7874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largest"/>
                <wp:docPr id="140" name="Frame1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principal amount of the outstanding debt securities of that series make a written request to the trustee to pursue the remedy; </w:t>
      </w:r>
      <w:r>
        <mc:AlternateContent>
          <mc:Choice Requires="wps">
            <w:drawing>
              <wp:anchor behindDoc="0" distT="8255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largest"/>
                <wp:docPr id="141" name="Frame1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offer to the trustee indemnity satisfactory to the trustee; </w:t>
      </w:r>
      <w:r>
        <mc:AlternateContent>
          <mc:Choice Requires="wps">
            <w:drawing>
              <wp:anchor behindDoc="0" distT="8255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largest"/>
                <wp:docPr id="142" name="Frame1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fails to act for a period of 60 days after receipt of the request and offer of indemnity; and </w:t>
      </w:r>
      <w:r>
        <mc:AlternateContent>
          <mc:Choice Requires="wps">
            <w:drawing>
              <wp:anchor behindDoc="0" distT="8255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largest"/>
                <wp:docPr id="143" name="Frame1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60-day period, the holders of a majority in principal amount of the debt securities of that series do not give the trustee a direction inconsistent with the request. </w:t>
      </w:r>
      <w:r>
        <mc:AlternateContent>
          <mc:Choice Requires="wps">
            <w:drawing>
              <wp:anchor behindDoc="0" distT="8255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largest"/>
                <wp:docPr id="144" name="Frame1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provision does not, however, affect the right of a holder of a debt security to sue for enforcement of any overdue payment.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conducting any proceeding for any remedy available to the trustee; and </w:t>
      </w:r>
      <w:r>
        <mc:AlternateContent>
          <mc:Choice Requires="wps">
            <w:drawing>
              <wp:anchor behindDoc="0" distT="787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largest"/>
                <wp:docPr id="145" name="Frame1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exercising any trust or power conferred on the trustee relating to or arising as a result of an event of default. </w:t>
      </w:r>
      <w:r>
        <mc:AlternateContent>
          <mc:Choice Requires="wps">
            <w:drawing>
              <wp:anchor behindDoc="0" distT="8255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largest"/>
                <wp:docPr id="146" name="Frame1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require us to file each year with the trustee a written statement as to our compliance with the covenants contained in the applicable indenture.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w:t>
      </w:r>
      <w:r>
        <w:rPr>
          <w:rFonts w:ascii="Times New Roman;Times;serif" w:hAnsi="Times New Roman;Times;serif"/>
          <w:b w:val="false"/>
          <w:i w:val="false"/>
          <w:caps w:val="false"/>
          <w:smallCaps w:val="false"/>
          <w:color w:val="000000"/>
          <w:spacing w:val="4"/>
          <w:sz w:val="20"/>
        </w:rPr>
        <w:t xml:space="preserve">   Each indenture may be amended or supplemented if the majority in principal 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debt securities whose holders must consent to an amendment, supplement or waiver; </w:t>
      </w:r>
      <w:r>
        <mc:AlternateContent>
          <mc:Choice Requires="wps">
            <w:drawing>
              <wp:anchor behindDoc="0" distT="7874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largest"/>
                <wp:docPr id="147" name="Frame1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change the time for payment of interest on the debt security; </w:t>
      </w:r>
      <w:r>
        <mc:AlternateContent>
          <mc:Choice Requires="wps">
            <w:drawing>
              <wp:anchor behindDoc="0" distT="8255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largest"/>
                <wp:docPr id="148" name="Frame1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the debt security or change its stated maturity; </w:t>
      </w:r>
      <w:r>
        <mc:AlternateContent>
          <mc:Choice Requires="wps">
            <w:drawing>
              <wp:anchor behindDoc="0" distT="8255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largest"/>
                <wp:docPr id="149" name="Frame1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any premium payable on the redemption of the debt security or change the time at which the debt security may or must be redeemed; </w:t>
      </w:r>
      <w:r>
        <mc:AlternateContent>
          <mc:Choice Requires="wps">
            <w:drawing>
              <wp:anchor behindDoc="0" distT="8255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largest"/>
                <wp:docPr id="150" name="Frame1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obligation to pay additional amounts on the debt security; </w:t>
      </w:r>
      <w:r>
        <mc:AlternateContent>
          <mc:Choice Requires="wps">
            <w:drawing>
              <wp:anchor behindDoc="0" distT="8255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largest"/>
                <wp:docPr id="151" name="Frame1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obligation for us to maintain a paying agency; </w:t>
      </w:r>
      <w:r>
        <mc:AlternateContent>
          <mc:Choice Requires="wps">
            <w:drawing>
              <wp:anchor behindDoc="0" distT="8255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largest"/>
                <wp:docPr id="152" name="Frame1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payments on the debt security payable in currency other than as originally stated in the debt security; </w:t>
      </w:r>
      <w:r>
        <mc:AlternateContent>
          <mc:Choice Requires="wps">
            <w:drawing>
              <wp:anchor behindDoc="0" distT="8255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largest"/>
                <wp:docPr id="153" name="Frame1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holder’s right to institute suit for the enforcement of any payment on or with respect to the debt security; </w:t>
      </w:r>
      <w:r>
        <mc:AlternateContent>
          <mc:Choice Requires="wps">
            <w:drawing>
              <wp:anchor behindDoc="0" distT="8255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largest"/>
                <wp:docPr id="154" name="Frame1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percentage of principal amount of debt securities necessary to waive compliance with certain provisions of the indenture or to make any change in the provision related to modification; or </w:t>
      </w:r>
      <w:r>
        <mc:AlternateContent>
          <mc:Choice Requires="wps">
            <w:drawing>
              <wp:anchor behindDoc="0" distT="8255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largest"/>
                <wp:docPr id="155" name="Frame1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the right to convert subordinated debt securities, if applicable. </w:t>
      </w:r>
      <w:r>
        <mc:AlternateContent>
          <mc:Choice Requires="wps">
            <w:drawing>
              <wp:anchor behindDoc="0" distT="8255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largest"/>
                <wp:docPr id="156" name="Frame1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or event of default in any payment on any debt security; or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largest"/>
                <wp:docPr id="157" name="Frame1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 provision that cannot be amended or supplemented without the consent of each holder affected.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largest"/>
                <wp:docPr id="158" name="Frame1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xml:space="preserve">   When we use the term defeasance, we mean discharge from some or all of our obligations 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discharged from our obligations with respect to the debt securities of that series and, if applicable, the related guarantees (“legal defeasance”); or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largest"/>
                <wp:docPr id="159" name="Frame1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 longer have any obligation to comply with the restrictive covenants, certain aspects of the merger covenant and other specified covenants under the applicable indenture, and the related events of default will no longer apply (“covenant defeasance”).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largest"/>
                <wp:docPr id="160" name="Frame1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xml:space="preserve">   New York law will govern the indentures and the debt securities.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The Bank of New York Mellon Trust Company, N.A. is the trustee under the senior indenture 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Form, Exchange, Registration and Transfer.</w:t>
      </w:r>
      <w:r>
        <w:rPr>
          <w:rFonts w:ascii="Times New Roman;Times;serif" w:hAnsi="Times New Roman;Times;serif"/>
          <w:b w:val="false"/>
          <w:i w:val="false"/>
          <w:caps w:val="false"/>
          <w:smallCaps w:val="false"/>
          <w:color w:val="000000"/>
          <w:spacing w:val="4"/>
          <w:sz w:val="20"/>
        </w:rPr>
        <w:t xml:space="preserve">   The debt securities may be issued in registered form, 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redemption, we will not be required to register the transfer or exchange of: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debt security during a period beginning 15 business days prior to the mailing of the relevant notice of redemption or repurchase and ending on the close of business on the day of mailing of such notice; or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largest"/>
                <wp:docPr id="161" name="Frame1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debt security that has been called for redemption in whole or in part, except the unredeemed portion of any debt security being redeemed in part.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largest"/>
                <wp:docPr id="162" name="Frame1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Payment and Paying Agents.</w:t>
      </w:r>
      <w:r>
        <w:rPr>
          <w:rFonts w:ascii="Times New Roman;Times;serif" w:hAnsi="Times New Roman;Times;serif"/>
          <w:b w:val="false"/>
          <w:i w:val="false"/>
          <w:caps w:val="false"/>
          <w:smallCaps w:val="false"/>
          <w:color w:val="000000"/>
          <w:spacing w:val="4"/>
          <w:sz w:val="20"/>
        </w:rPr>
        <w:t xml:space="preserve">   Unless we inform you otherwise in a prospectus supplement, payments 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Book-Entry Debt Securities.</w:t>
      </w:r>
      <w:r>
        <w:rPr>
          <w:rFonts w:ascii="Times New Roman;Times;serif" w:hAnsi="Times New Roman;Times;serif"/>
          <w:b w:val="false"/>
          <w:i w:val="false"/>
          <w:caps w:val="false"/>
          <w:smallCaps w:val="false"/>
          <w:color w:val="000000"/>
          <w:spacing w:val="4"/>
          <w:sz w:val="20"/>
        </w:rPr>
        <w:t xml:space="preserve">   The debt securities of a series may be issued in the form of one or more 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Solely to Senior Debt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 and Guarantee.</w:t>
      </w:r>
      <w:r>
        <w:rPr>
          <w:rFonts w:ascii="Times New Roman;Times;serif" w:hAnsi="Times New Roman;Times;serif"/>
          <w:b w:val="false"/>
          <w:i w:val="false"/>
          <w:caps w:val="false"/>
          <w:smallCaps w:val="false"/>
          <w:color w:val="000000"/>
          <w:spacing w:val="4"/>
          <w:sz w:val="20"/>
        </w:rPr>
        <w:t xml:space="preserve">   The senior debt securities will constitute senior debt of Waste Management, 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basis the full and prompt payment of the principal of and any premium and interest on the senior debt securities issued by Waste Management, Inc. when and as the payment becomes due and payable, whether at maturity or otherwise.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Restrictive Covenants.</w:t>
      </w:r>
      <w:r>
        <w:rPr>
          <w:rFonts w:ascii="Times New Roman;Times;serif" w:hAnsi="Times New Roman;Times;serif"/>
          <w:b w:val="false"/>
          <w:i w:val="false"/>
          <w:caps w:val="false"/>
          <w:smallCaps w:val="false"/>
          <w:color w:val="000000"/>
          <w:spacing w:val="4"/>
          <w:sz w:val="20"/>
        </w:rPr>
        <w:t xml:space="preserve">   We have agreed to two principal restrictions on our activities for the benefit of 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liens on the property or assets existing at the time of acquisition which secure obligations assumed by us or our Restricted Subsidiaries;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conditional sales agreements with respect to any property or assets acquired by us or a Restricted Subsidiary;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liens on the property, assets or stock of an entity at the time the entity is merged into or consolidated with us or a Restricted Subsidiary or at the time the entity becomes a Restricted Subsidiary;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liens on the property, assets or stock of any successor entity that becomes the Company in accordance with “— Provisions Applicable to Each Indenture — Consolidation, Merger and Sale of Assets,” above;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liens on assets either: </w:t>
      </w:r>
    </w:p>
    <w:p>
      <w:pPr>
        <w:pStyle w:val="TextBody"/>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at the time of, or created within 360 days after, the acquisition of the assets, or </w:t>
      </w:r>
      <w:r>
        <mc:AlternateContent>
          <mc:Choice Requires="wps">
            <w:drawing>
              <wp:anchor behindDoc="0" distT="77470" distB="0" distL="762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largest"/>
                <wp:docPr id="163" name="Frame1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 </w:t>
      </w:r>
      <w:r>
        <mc:AlternateContent>
          <mc:Choice Requires="wps">
            <w:drawing>
              <wp:anchor behindDoc="0" distT="77470" distB="0" distL="762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largest"/>
                <wp:docPr id="164" name="Frame1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intercompany liens;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mechanics’, materialmen’s and like liens incurred in the ordinary course of business;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liens arising by deposits or security given to governmental agencies required in order to do business with the government;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(i)  liens for taxes, assessments or governmental charges not yet delinquent or being contested in good faith;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(j)  liens in connection with legal proceedings so long as the proceeding is being contested in good faith or execution thereon is stayed;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landlord’s liens on fixtures located on property leased by us or Restricted Subsidiaries in the ordinary course of business;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liens in favor of any governmental authority in connection with the financing of the cost of construction or acquisition of property;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(m) liens arising due to deposits to qualify us or a Restricted Subsidiary to do business, maintain self-insurance or obtain the benefit of or comply with laws;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liens incurred in connection with pollution control, sewage or solid waste disposal industrial revenue or similar financings;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liens arising in connection with the sale of accounts receivable; and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any extensions, substitutions, replacements or renewals of the above-described liens or any Indebtedness secured by these liens if the lien is limited to the property (plus any improvements) secured by the original lien.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Sale/Leaseback Transactions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provided otherwise in a prospectus supplement, we and our Restricted Subsidiaries will not enter into a Sale/Leaseback Transaction unless at least one of the following applies: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debt securities listed under the senior indenture or debt incurred by a Restricted Subsidiary; or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within 180 days after entering into the Sale/Leaseback Transaction, we have entered into a commitment to expend for the acquisition or capital improvement of a Principal Property an amount equal to the fair value (as determined by our Board of Directors) of the property to be leased.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Glossary</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Debt”</w:t>
      </w:r>
      <w:r>
        <w:rPr>
          <w:rFonts w:ascii="Times New Roman;Times;serif" w:hAnsi="Times New Roman;Times;serif"/>
          <w:b w:val="false"/>
          <w:i w:val="false"/>
          <w:caps w:val="false"/>
          <w:smallCaps w:val="false"/>
          <w:color w:val="000000"/>
          <w:spacing w:val="4"/>
          <w:sz w:val="20"/>
        </w:rPr>
        <w:t xml:space="preserve"> means the present value of the rental payments during the remaining term of the 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Tangible Assets”</w:t>
      </w:r>
      <w:r>
        <w:rPr>
          <w:rFonts w:ascii="Times New Roman;Times;serif" w:hAnsi="Times New Roman;Times;serif"/>
          <w:b w:val="false"/>
          <w:i w:val="false"/>
          <w:caps w:val="false"/>
          <w:smallCaps w:val="false"/>
          <w:color w:val="000000"/>
          <w:spacing w:val="4"/>
          <w:sz w:val="20"/>
        </w:rPr>
        <w:t xml:space="preserve"> means the total amount of assets of Waste Management, Inc. and its consolidated subsidiaries less: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current liabilities (excluding liabilities that are extendable or renewable at our option to a date more than 12 months after the date of calculation and excluding current maturities of long-term debt); and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largest"/>
                <wp:docPr id="165" name="Frame1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all intangible assets.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largest"/>
                <wp:docPr id="166" name="Frame1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calculate Consolidated Net Tangible Assets based on our most recent quarterly balance sheet.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(a) all obligations for borrowed money or on which interest charges are 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 Property”</w:t>
      </w:r>
      <w:r>
        <w:rPr>
          <w:rFonts w:ascii="Times New Roman;Times;serif" w:hAnsi="Times New Roman;Times;serif"/>
          <w:b w:val="false"/>
          <w:i w:val="false"/>
          <w:caps w:val="false"/>
          <w:smallCaps w:val="false"/>
          <w:color w:val="000000"/>
          <w:spacing w:val="4"/>
          <w:sz w:val="20"/>
        </w:rPr>
        <w:t xml:space="preserve"> means any waste processing, waste disposal or resource recovery plant or similar 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Restricted Subsidiary”</w:t>
      </w:r>
      <w:r>
        <w:rPr>
          <w:rFonts w:ascii="Times New Roman;Times;serif" w:hAnsi="Times New Roman;Times;serif"/>
          <w:b w:val="false"/>
          <w:i w:val="false"/>
          <w:caps w:val="false"/>
          <w:smallCaps w:val="false"/>
          <w:color w:val="000000"/>
          <w:spacing w:val="4"/>
          <w:sz w:val="20"/>
        </w:rPr>
        <w:t xml:space="preserve"> means any Subsidiary (other than any Subsidiary of which the Company owns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Sale/Leaseback Transaction”</w:t>
      </w:r>
      <w:r>
        <w:rPr>
          <w:rFonts w:ascii="Times New Roman;Times;serif" w:hAnsi="Times New Roman;Times;serif"/>
          <w:b w:val="false"/>
          <w:i w:val="false"/>
          <w:caps w:val="false"/>
          <w:smallCaps w:val="false"/>
          <w:color w:val="000000"/>
          <w:spacing w:val="4"/>
          <w:sz w:val="20"/>
        </w:rPr>
        <w:t xml:space="preserve"> means any arrangement with anyone under which we or our Restricted Subsidiaries lease any Principal Property that we or such Restricted Subsidiary has sold or transferred or will sell or transfer to that person. This term excludes the following: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leases for a term of not more than three years; and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largest"/>
                <wp:docPr id="167" name="Frame1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intercompany leases.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largest"/>
                <wp:docPr id="168" name="Frame1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an entity at least a majority of the outstanding voting stock of which is owned, directly or indirectly, by us or by one or more other Subsidiaries, or by us and one or more other Subsidiaries.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Applicable Solely to Subordinated Debt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The subordinated debt securities will rank junior to all of our senior debt and may rank equally with or senior to our other subordinated debt that may be outstanding from time to time.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Under the subordinated indenture, payment of the principal of and any premium and 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G"/>
      <w:bookmarkEnd w:id="2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GUARANTEES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CS"/>
      <w:bookmarkEnd w:id="2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applicable law, holders of common stock are entitled to receive dividends when, as and if declared by our Board of Directors. In certain cases, common stockholders may not receive dividends until we satisfy our obligations to any preferred stockholders.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common stock is entitled to one vote for each share of common stock 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Fully Paid Status.</w:t>
      </w:r>
      <w:r>
        <w:rPr>
          <w:rFonts w:ascii="Times New Roman;Times;serif" w:hAnsi="Times New Roman;Times;serif"/>
          <w:b w:val="false"/>
          <w:i w:val="false"/>
          <w:caps w:val="false"/>
          <w:smallCaps w:val="false"/>
          <w:color w:val="000000"/>
          <w:spacing w:val="4"/>
          <w:sz w:val="20"/>
        </w:rPr>
        <w:t xml:space="preserve">   All outstanding shares of our common stock are validly issued, fully paid and non-assessable. The shares offered hereby will also be, upon issuance and sale, validly issued, fully paid and non-assessable.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or Dissolution.</w:t>
      </w:r>
      <w:r>
        <w:rPr>
          <w:rFonts w:ascii="Times New Roman;Times;serif" w:hAnsi="Times New Roman;Times;serif"/>
          <w:b w:val="false"/>
          <w:i w:val="false"/>
          <w:caps w:val="false"/>
          <w:smallCaps w:val="false"/>
          <w:color w:val="000000"/>
          <w:spacing w:val="4"/>
          <w:sz w:val="20"/>
        </w:rPr>
        <w:t xml:space="preserve">   If we liquidate, dissolve or wind up our business, whether or not voluntarily, common stockholders will share ratably in the assets remaining for distribution to stockholders after we pay our creditors and any preferred stockholders.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w:t>
      </w:r>
      <w:r>
        <w:rPr>
          <w:rFonts w:ascii="Times New Roman;Times;serif" w:hAnsi="Times New Roman;Times;serif"/>
          <w:b w:val="false"/>
          <w:i w:val="false"/>
          <w:caps w:val="false"/>
          <w:smallCaps w:val="false"/>
          <w:color w:val="000000"/>
          <w:spacing w:val="4"/>
          <w:sz w:val="20"/>
        </w:rPr>
        <w:t xml:space="preserve">   Our common stock is listed on the New York Stock Exchange under the trading symbol “WM.”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The transfer agent and registrar for our common stock is Computershare in Jersey City, New Jersey.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preferences that would restrict common stock dividends or adversely affect the assets available for distribution to holders of shares of common stock in the event of our dissolution.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but Unissued Shares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Forum</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Advance Notice and Proxy Access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Action by Written Consent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Stockholder Meetings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a Change of Control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combination, or the transaction in which the stockholder became an interested stockholder, is approved by our Board of Directors prior to the time the interested stockholder attained that status; </w:t>
      </w:r>
      <w:r>
        <mc:AlternateContent>
          <mc:Choice Requires="wps">
            <w:drawing>
              <wp:anchor behindDoc="0" distT="0" distB="0" distL="254000" distR="0" simplePos="0" locked="0" layoutInCell="1" allowOverlap="1" relativeHeight="171">
                <wp:simplePos x="0" y="0"/>
                <wp:positionH relativeFrom="column">
                  <wp:align>left</wp:align>
                </wp:positionH>
                <wp:positionV relativeFrom="line">
                  <wp:posOffset>635</wp:posOffset>
                </wp:positionV>
                <wp:extent cx="127000" cy="350520"/>
                <wp:effectExtent l="0" t="0" r="0" b="0"/>
                <wp:wrapSquare wrapText="largest"/>
                <wp:docPr id="169" name="Frame1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largest"/>
                <wp:docPr id="170" name="Frame1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largest"/>
                <wp:docPr id="171" name="Frame1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Liability of Directors and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OS"/>
      <w:bookmarkEnd w:id="2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OTHER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set forth in the applicable prospectus supplement a description of any warrants or units that may be offered pursuant to this prospectus.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OD"/>
      <w:bookmarkEnd w:id="2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being offered by this prospectus may be sold by us or by a selling securityholder: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largest"/>
                <wp:docPr id="172" name="Frame1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w:t>
      </w:r>
      <w:r>
        <mc:AlternateContent>
          <mc:Choice Requires="wps">
            <w:drawing>
              <wp:anchor behindDoc="0" distT="635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largest"/>
                <wp:docPr id="173" name="Frame1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broker-dealers (acting as agent or principal); </w:t>
      </w:r>
      <w:r>
        <mc:AlternateContent>
          <mc:Choice Requires="wps">
            <w:drawing>
              <wp:anchor behindDoc="0" distT="635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largest"/>
                <wp:docPr id="174" name="Frame1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by us or a selling securityholder to purchasers, through a specific bidding or auction process or otherwise; </w:t>
      </w:r>
      <w:r>
        <mc:AlternateContent>
          <mc:Choice Requires="wps">
            <w:drawing>
              <wp:anchor behindDoc="0" distT="635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largest"/>
                <wp:docPr id="175" name="Frame1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such methods of sale; or </w:t>
      </w:r>
      <w:r>
        <mc:AlternateContent>
          <mc:Choice Requires="wps">
            <w:drawing>
              <wp:anchor behindDoc="0" distT="635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largest"/>
                <wp:docPr id="176" name="Frame1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other methods described in a prospectus supplement. </w:t>
      </w:r>
      <w:r>
        <mc:AlternateContent>
          <mc:Choice Requires="wps">
            <w:drawing>
              <wp:anchor behindDoc="0" distT="635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largest"/>
                <wp:docPr id="177" name="Frame1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underwriters and dealers may be entitled under agreements that may be entered into with us to indemnification by us against specified liabilities, including liabilities incurred under the Securities Act, 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76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laws of some states, the securities offered by this prospectus may be sold in those states only through registered or licensed brokers or dealers.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SH"/>
      <w:bookmarkEnd w:id="2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selling securityholders, where applicable, will be set forth in a prospectus supplement, in a post-effective amendment or in filings we make with the SEC under the Exchange Act that are incorporated by reference.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LEMA"/>
      <w:bookmarkEnd w:id="30"/>
      <w:r>
        <w:rPr>
          <w:rFonts w:ascii="calibri;arial;sans-serif" w:hAnsi="calibri;arial;sans-serif"/>
          <w:b w:val="false"/>
          <w:i w:val="false"/>
          <w:caps w:val="false"/>
          <w:smallCaps w:val="false"/>
          <w:color w:val="000000"/>
          <w:sz w:val="16"/>
        </w:rPr>
        <w:t>​</w:t>
      </w:r>
      <w:bookmarkStart w:id="31" w:name="tEXP"/>
      <w:bookmarkEnd w:id="3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particular offerings of the securities in the future, and if stated in the applicable prospectus supplement, the validity of those securities will be passed upon for us by counsel named in the applicable prospectus supplement.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pPr>
      <w:r>
        <w:rPr>
          <w:rFonts w:ascii="Times New Roman;Times;serif" w:hAnsi="Times New Roman;Times;serif"/>
          <w:b w:val="false"/>
          <w:i w:val="false"/>
          <w:caps w:val="false"/>
          <w:smallCaps w:val="false"/>
          <w:color w:val="000000"/>
          <w:spacing w:val="4"/>
          <w:sz w:val="20"/>
        </w:rPr>
        <w:t xml:space="preserve">The consolidated financial statements of Waste Management, Inc. appearing in Waste Management, Inc.’s </w:t>
      </w:r>
      <w:hyperlink r:id="rId20">
        <w:r>
          <w:rPr>
            <w:rStyle w:val="InternetLink"/>
          </w:rPr>
          <w:t>Annual Report (Form 10-K) for the year ended December 31, 2021</w:t>
        </w:r>
      </w:hyperlink>
      <w:r>
        <w:rPr>
          <w:rFonts w:ascii="Times New Roman;Times;serif" w:hAnsi="Times New Roman;Times;serif"/>
          <w:b w:val="false"/>
          <w:i w:val="false"/>
          <w:caps w:val="false"/>
          <w:smallCaps w:val="false"/>
          <w:color w:val="000000"/>
          <w:spacing w:val="4"/>
          <w:sz w:val="20"/>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1393" w:right="0" w:hanging="0"/>
        <w:rPr>
          <w:caps w:val="false"/>
          <w:smallCaps w:val="false"/>
          <w:color w:val="000000"/>
          <w:bdr w:val="single" w:sz="16" w:space="1" w:color="000000"/>
        </w:rPr>
      </w:pPr>
      <w:r>
        <w:rPr>
          <w:caps w:val="false"/>
          <w:smallCaps w:val="false"/>
          <w:color w:val="000000"/>
          <w:bdr w:val="single" w:sz="16" w:space="1" w:color="000000"/>
        </w:rPr>
        <w:t>​</w:t>
      </w:r>
    </w:p>
    <w:p>
      <w:pPr>
        <w:pStyle w:val="TextBody"/>
        <w:spacing w:before="56"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320" w:before="27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spacing w:before="268" w:after="283"/>
        <w:jc w:val="center"/>
        <w:rPr>
          <w:caps w:val="false"/>
          <w:smallCaps w:val="false"/>
          <w:color w:val="000000"/>
        </w:rPr>
      </w:pPr>
      <w:r>
        <w:rPr>
          <w:caps w:val="false"/>
          <w:smallCaps w:val="false"/>
          <w:color w:val="000000"/>
        </w:rPr>
        <w:drawing>
          <wp:inline distT="0" distB="0" distL="0" distR="0">
            <wp:extent cx="2743200" cy="733425"/>
            <wp:effectExtent l="0" t="0" r="0" b="0"/>
            <wp:docPr id="17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 descr=""/>
                    <pic:cNvPicPr>
                      <a:picLocks noChangeAspect="1" noChangeArrowheads="1"/>
                    </pic:cNvPicPr>
                  </pic:nvPicPr>
                  <pic:blipFill>
                    <a:blip r:embed="rId21"/>
                    <a:stretch>
                      <a:fillRect/>
                    </a:stretch>
                  </pic:blipFill>
                  <pic:spPr bwMode="auto">
                    <a:xfrm>
                      <a:off x="0" y="0"/>
                      <a:ext cx="2743200" cy="733425"/>
                    </a:xfrm>
                    <a:prstGeom prst="rect">
                      <a:avLst/>
                    </a:prstGeom>
                  </pic:spPr>
                </pic:pic>
              </a:graphicData>
            </a:graphic>
          </wp:inline>
        </w:drawing>
      </w:r>
      <w:r>
        <w:rPr>
          <w:caps w:val="false"/>
          <w:smallCaps w:val="false"/>
          <w:color w:val="000000"/>
        </w:rPr>
        <w:t xml:space="preserve"> </w:t>
      </w:r>
    </w:p>
    <w:p>
      <w:pPr>
        <w:pStyle w:val="TextBody"/>
        <w:spacing w:lineRule="atLeast" w:line="320" w:before="1532"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Senior Notes due 2032</w:t>
      </w:r>
      <w:r>
        <w:rPr>
          <w:rFonts w:ascii="Times New Roman;Times;serif" w:hAnsi="Times New Roman;Times;serif"/>
          <w:b/>
          <w:i w:val="false"/>
          <w:caps w:val="false"/>
          <w:smallCaps w:val="false"/>
          <w:color w:val="000000"/>
          <w:spacing w:val="6"/>
          <w:sz w:val="28"/>
        </w:rPr>
        <w:t xml:space="preserve"> </w:t>
      </w:r>
    </w:p>
    <w:p>
      <w:pPr>
        <w:pStyle w:val="TextBody"/>
        <w:spacing w:before="207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80" w:before="31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spacing w:before="29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99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spacing w:lineRule="atLeast" w:line="360" w:before="24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Barclays </w:t>
      </w:r>
    </w:p>
    <w:p>
      <w:pPr>
        <w:pStyle w:val="TextBody"/>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BofA Securities </w:t>
      </w:r>
    </w:p>
    <w:p>
      <w:pPr>
        <w:pStyle w:val="TextBody"/>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Deutsche Bank Securities </w:t>
      </w:r>
    </w:p>
    <w:p>
      <w:pPr>
        <w:pStyle w:val="TextBody"/>
        <w:spacing w:lineRule="atLeast" w:line="360" w:before="12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MUFG </w:t>
      </w:r>
    </w:p>
    <w:p>
      <w:pPr>
        <w:pStyle w:val="TextBody"/>
        <w:spacing w:lineRule="atLeast" w:line="36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Scotiabank</w:t>
      </w:r>
      <w:r>
        <w:rPr>
          <w:rFonts w:ascii="Times New Roman;Times;serif" w:hAnsi="Times New Roman;Times;serif"/>
          <w:b/>
          <w:i w:val="false"/>
          <w:caps w:val="false"/>
          <w:smallCaps w:val="false"/>
          <w:color w:val="000000"/>
          <w:spacing w:val="6"/>
          <w:sz w:val="32"/>
        </w:rPr>
        <w:t xml:space="preserve"> </w:t>
      </w:r>
    </w:p>
    <w:p>
      <w:pPr>
        <w:pStyle w:val="TextBody"/>
        <w:spacing w:lineRule="atLeast" w:line="240" w:before="7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April   , 2022 </w:t>
      </w:r>
    </w:p>
    <w:p>
      <w:pPr>
        <w:pStyle w:val="TextBody"/>
        <w:spacing w:before="1486"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before="56" w:after="283"/>
        <w:ind w:left="1393" w:right="0" w:hanging="0"/>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Helvetica">
    <w:altName w:val="Arial"/>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23768/000155837022001179/wm-20211231x10k.htm" TargetMode="External"/><Relationship Id="rId4" Type="http://schemas.openxmlformats.org/officeDocument/2006/relationships/hyperlink" Target="http://www.sec.gov/ix?doc=/Archives/edgar/data/823768/000155837022001179/wm-20211231x10k.htm" TargetMode="External"/><Relationship Id="rId5" Type="http://schemas.openxmlformats.org/officeDocument/2006/relationships/hyperlink" Target="http://www.sec.gov/ix?doc=/Archives/edgar/data/823768/000155837022001179/wm-20211231x10k.htm" TargetMode="External"/><Relationship Id="rId6" Type="http://schemas.openxmlformats.org/officeDocument/2006/relationships/hyperlink" Target="http://www.sec.gov/ix?doc=/Archives/edgar/data/823768/000155837022004593/wm-20211231x10ka.htm" TargetMode="External"/><Relationship Id="rId7" Type="http://schemas.openxmlformats.org/officeDocument/2006/relationships/hyperlink" Target="https://www.sec.gov/ix?doc=/Archives/edgar/data/0000823768/000155837022005976/wm-20220331x10q.htm" TargetMode="External"/><Relationship Id="rId8" Type="http://schemas.openxmlformats.org/officeDocument/2006/relationships/hyperlink" Target="http://www.sec.gov/ix?doc=/Archives/edgar/data/823768/000110465922030973/tm228341d1_8k.htm" TargetMode="External"/><Relationship Id="rId9" Type="http://schemas.openxmlformats.org/officeDocument/2006/relationships/hyperlink" Target="http://www.sec.gov/Archives/edgar/data/823768/000110465922039107/tm223363-1_def14a.htm" TargetMode="External"/><Relationship Id="rId10" Type="http://schemas.openxmlformats.org/officeDocument/2006/relationships/hyperlink" Target="http://www.sec.gov/ix?doc=/Archives/edgar/data/823768/000155837022001179/wm-20211231x10k.htm" TargetMode="External"/><Relationship Id="rId11" Type="http://schemas.openxmlformats.org/officeDocument/2006/relationships/image" Target="media/image2.jpeg"/><Relationship Id="rId12" Type="http://schemas.openxmlformats.org/officeDocument/2006/relationships/hyperlink" Target="https://www.sec.gov/ix?doc=/Archives/edgar/data/823768/000155837022001179/wm-20211231x10k.htm" TargetMode="External"/><Relationship Id="rId13" Type="http://schemas.openxmlformats.org/officeDocument/2006/relationships/hyperlink" Target="https://www.sec.gov/ix?doc=/Archives/edgar/data/823768/000155837022004593/wm-20211231x10ka.htm" TargetMode="External"/><Relationship Id="rId14" Type="http://schemas.openxmlformats.org/officeDocument/2006/relationships/hyperlink" Target="https://www.sec.gov/ix?doc=/Archives/edgar/data/0000823768/000155837022005976/wm-20220331x10q.htm" TargetMode="External"/><Relationship Id="rId15" Type="http://schemas.openxmlformats.org/officeDocument/2006/relationships/hyperlink" Target="https://www.sec.gov/ix?doc=/Archives/edgar/data/823768/000110465922030973/tm228341d1_8k.htm" TargetMode="External"/><Relationship Id="rId16" Type="http://schemas.openxmlformats.org/officeDocument/2006/relationships/hyperlink" Target="https://www.sec.gov/Archives/edgar/data/823768/000110465922039107/tm223363-1_def14a.htm" TargetMode="External"/><Relationship Id="rId17" Type="http://schemas.openxmlformats.org/officeDocument/2006/relationships/hyperlink" Target="http://www.sec.gov/ix?doc=/Archives/edgar/data/823768/000155837022001179/wm-20211231x10k.htm" TargetMode="External"/><Relationship Id="rId18" Type="http://schemas.openxmlformats.org/officeDocument/2006/relationships/hyperlink" Target="http://www.sec.gov/Archives/edgar/data/823768/0000950134-95-001585-index.htm" TargetMode="External"/><Relationship Id="rId19" Type="http://schemas.openxmlformats.org/officeDocument/2006/relationships/hyperlink" Target="http://www.sec.gov/Archives/edgar/data/823768/000155837020000762/ex-4d9.htm" TargetMode="External"/><Relationship Id="rId20" Type="http://schemas.openxmlformats.org/officeDocument/2006/relationships/hyperlink" Target="https://www.sec.gov/ix?doc=/Archives/edgar/data/823768/000155837022001179/wm-20211231x10k.htm" TargetMode="External"/><Relationship Id="rId21" Type="http://schemas.openxmlformats.org/officeDocument/2006/relationships/image" Target="media/image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32808</Words>
  <CharactersWithSpaces>207766</CharactersWithSpaces>
  <Paragraphs>2127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