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AUGUST 6, 2002.</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SECURITIES AND EXCHANGE COMMISSION</w:t>
      </w:r>
    </w:p>
    <w:p>
      <w:pPr>
        <w:ind w:left="3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WASHINGTON, D.C. 20549</w:t>
      </w:r>
    </w:p>
    <w:p>
      <w:pPr>
        <w:ind w:left="3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S-3</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REGISTRATION STATEMENT</w:t>
      </w:r>
    </w:p>
    <w:tbl>
      <w:tblPr>
        <w:tblLayout w:type="fixed"/>
        <w:tblInd w:w="740" w:type="dxa"/>
        <w:tblCellMar>
          <w:top w:w="0" w:type="dxa"/>
          <w:left w:w="0" w:type="dxa"/>
          <w:bottom w:w="0" w:type="dxa"/>
          <w:right w:w="0" w:type="dxa"/>
        </w:tblCellMar>
      </w:tblPr>
      <w:tr>
        <w:trPr>
          <w:trHeight w:val="203"/>
        </w:trPr>
        <w:tc>
          <w:tcPr>
            <w:tcW w:w="70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9"/>
              </w:rPr>
              <w:t>UNDER</w:t>
            </w:r>
          </w:p>
        </w:tc>
        <w:tc>
          <w:tcPr>
            <w:tcW w:w="2160" w:type="dxa"/>
            <w:vAlign w:val="bottom"/>
          </w:tcPr>
          <w:p>
            <w:pPr>
              <w:spacing w:after="0"/>
              <w:rPr>
                <w:sz w:val="17"/>
                <w:szCs w:val="17"/>
                <w:color w:val="auto"/>
              </w:rPr>
            </w:pPr>
          </w:p>
        </w:tc>
      </w:tr>
      <w:tr>
        <w:trPr>
          <w:trHeight w:val="203"/>
        </w:trPr>
        <w:tc>
          <w:tcPr>
            <w:tcW w:w="7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THE SECURITIES ACT OF 1933</w:t>
            </w:r>
          </w:p>
        </w:tc>
        <w:tc>
          <w:tcPr>
            <w:tcW w:w="2160" w:type="dxa"/>
            <w:vAlign w:val="bottom"/>
          </w:tcPr>
          <w:p>
            <w:pPr>
              <w:spacing w:after="0"/>
              <w:rPr>
                <w:sz w:val="17"/>
                <w:szCs w:val="17"/>
                <w:color w:val="auto"/>
              </w:rPr>
            </w:pPr>
          </w:p>
        </w:tc>
      </w:tr>
      <w:tr>
        <w:trPr>
          <w:trHeight w:val="203"/>
        </w:trPr>
        <w:tc>
          <w:tcPr>
            <w:tcW w:w="70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2160" w:type="dxa"/>
            <w:vAlign w:val="bottom"/>
          </w:tcPr>
          <w:p>
            <w:pPr>
              <w:spacing w:after="0"/>
              <w:rPr>
                <w:sz w:val="17"/>
                <w:szCs w:val="17"/>
                <w:color w:val="auto"/>
              </w:rPr>
            </w:pPr>
          </w:p>
        </w:tc>
      </w:tr>
      <w:tr>
        <w:trPr>
          <w:trHeight w:val="203"/>
        </w:trPr>
        <w:tc>
          <w:tcPr>
            <w:tcW w:w="7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WASTE MANAGEMENT, INC.</w:t>
            </w:r>
          </w:p>
        </w:tc>
        <w:tc>
          <w:tcPr>
            <w:tcW w:w="2160" w:type="dxa"/>
            <w:vAlign w:val="bottom"/>
          </w:tcPr>
          <w:p>
            <w:pPr>
              <w:spacing w:after="0"/>
              <w:rPr>
                <w:sz w:val="17"/>
                <w:szCs w:val="17"/>
                <w:color w:val="auto"/>
              </w:rPr>
            </w:pPr>
          </w:p>
        </w:tc>
      </w:tr>
      <w:tr>
        <w:trPr>
          <w:trHeight w:val="203"/>
        </w:trPr>
        <w:tc>
          <w:tcPr>
            <w:tcW w:w="7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c>
          <w:tcPr>
            <w:tcW w:w="2160" w:type="dxa"/>
            <w:vAlign w:val="bottom"/>
          </w:tcPr>
          <w:p>
            <w:pPr>
              <w:spacing w:after="0"/>
              <w:rPr>
                <w:sz w:val="17"/>
                <w:szCs w:val="17"/>
                <w:color w:val="auto"/>
              </w:rPr>
            </w:pPr>
          </w:p>
        </w:tc>
      </w:tr>
      <w:tr>
        <w:trPr>
          <w:trHeight w:val="810"/>
        </w:trPr>
        <w:tc>
          <w:tcPr>
            <w:tcW w:w="7020" w:type="dxa"/>
            <w:vAlign w:val="bottom"/>
          </w:tcPr>
          <w:p>
            <w:pPr>
              <w:jc w:val="right"/>
              <w:ind w:right="4292"/>
              <w:spacing w:after="0"/>
              <w:rPr>
                <w:sz w:val="20"/>
                <w:szCs w:val="20"/>
                <w:color w:val="auto"/>
              </w:rPr>
            </w:pPr>
            <w:r>
              <w:rPr>
                <w:rFonts w:ascii="Courier New" w:cs="Courier New" w:eastAsia="Courier New" w:hAnsi="Courier New"/>
                <w:sz w:val="18"/>
                <w:szCs w:val="18"/>
                <w:color w:val="auto"/>
              </w:rPr>
              <w:t>DELAWARE</w:t>
            </w:r>
          </w:p>
        </w:tc>
        <w:tc>
          <w:tcPr>
            <w:tcW w:w="21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73-1309529</w:t>
            </w:r>
          </w:p>
        </w:tc>
      </w:tr>
      <w:tr>
        <w:trPr>
          <w:trHeight w:val="203"/>
        </w:trPr>
        <w:tc>
          <w:tcPr>
            <w:tcW w:w="7020" w:type="dxa"/>
            <w:vAlign w:val="bottom"/>
          </w:tcPr>
          <w:p>
            <w:pPr>
              <w:jc w:val="right"/>
              <w:ind w:right="3132"/>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16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7020" w:type="dxa"/>
            <w:vAlign w:val="bottom"/>
          </w:tcPr>
          <w:p>
            <w:pPr>
              <w:jc w:val="right"/>
              <w:ind w:right="313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1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608"/>
        </w:trPr>
        <w:tc>
          <w:tcPr>
            <w:tcW w:w="70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1001 FANNIN STREET, SUITE 4000</w:t>
            </w:r>
          </w:p>
        </w:tc>
        <w:tc>
          <w:tcPr>
            <w:tcW w:w="2160" w:type="dxa"/>
            <w:vAlign w:val="bottom"/>
          </w:tcPr>
          <w:p>
            <w:pPr>
              <w:spacing w:after="0"/>
              <w:rPr>
                <w:sz w:val="24"/>
                <w:szCs w:val="24"/>
                <w:color w:val="auto"/>
              </w:rPr>
            </w:pPr>
          </w:p>
        </w:tc>
      </w:tr>
      <w:tr>
        <w:trPr>
          <w:trHeight w:val="203"/>
        </w:trPr>
        <w:tc>
          <w:tcPr>
            <w:tcW w:w="7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HOUSTON, TEXAS 77002</w:t>
            </w:r>
          </w:p>
        </w:tc>
        <w:tc>
          <w:tcPr>
            <w:tcW w:w="2160" w:type="dxa"/>
            <w:vAlign w:val="bottom"/>
          </w:tcPr>
          <w:p>
            <w:pPr>
              <w:spacing w:after="0"/>
              <w:rPr>
                <w:sz w:val="17"/>
                <w:szCs w:val="17"/>
                <w:color w:val="auto"/>
              </w:rPr>
            </w:pPr>
          </w:p>
        </w:tc>
      </w:tr>
      <w:tr>
        <w:trPr>
          <w:trHeight w:val="203"/>
        </w:trPr>
        <w:tc>
          <w:tcPr>
            <w:tcW w:w="7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(713) 512-6200</w:t>
            </w:r>
          </w:p>
        </w:tc>
        <w:tc>
          <w:tcPr>
            <w:tcW w:w="2160" w:type="dxa"/>
            <w:vAlign w:val="bottom"/>
          </w:tcPr>
          <w:p>
            <w:pPr>
              <w:spacing w:after="0"/>
              <w:rPr>
                <w:sz w:val="17"/>
                <w:szCs w:val="17"/>
                <w:color w:val="auto"/>
              </w:rPr>
            </w:pPr>
          </w:p>
        </w:tc>
      </w:tr>
      <w:tr>
        <w:trPr>
          <w:trHeight w:val="203"/>
        </w:trPr>
        <w:tc>
          <w:tcPr>
            <w:tcW w:w="70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(Address, including zip code, and telephone number,</w:t>
            </w:r>
          </w:p>
        </w:tc>
        <w:tc>
          <w:tcPr>
            <w:tcW w:w="2160" w:type="dxa"/>
            <w:vAlign w:val="bottom"/>
          </w:tcPr>
          <w:p>
            <w:pPr>
              <w:spacing w:after="0"/>
              <w:rPr>
                <w:sz w:val="17"/>
                <w:szCs w:val="17"/>
                <w:color w:val="auto"/>
              </w:rPr>
            </w:pPr>
          </w:p>
        </w:tc>
      </w:tr>
      <w:tr>
        <w:trPr>
          <w:trHeight w:val="203"/>
        </w:trPr>
        <w:tc>
          <w:tcPr>
            <w:tcW w:w="70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including area code, of registrant's principal executive offices)</w:t>
            </w:r>
          </w:p>
        </w:tc>
        <w:tc>
          <w:tcPr>
            <w:tcW w:w="2160" w:type="dxa"/>
            <w:vAlign w:val="bottom"/>
          </w:tcPr>
          <w:p>
            <w:pPr>
              <w:spacing w:after="0"/>
              <w:rPr>
                <w:sz w:val="17"/>
                <w:szCs w:val="17"/>
                <w:color w:val="auto"/>
              </w:rPr>
            </w:pPr>
          </w:p>
        </w:tc>
      </w:tr>
      <w:tr>
        <w:trPr>
          <w:trHeight w:val="405"/>
        </w:trPr>
        <w:tc>
          <w:tcPr>
            <w:tcW w:w="7020" w:type="dxa"/>
            <w:vAlign w:val="bottom"/>
          </w:tcPr>
          <w:p>
            <w:pPr>
              <w:jc w:val="center"/>
              <w:spacing w:after="0"/>
              <w:rPr>
                <w:sz w:val="20"/>
                <w:szCs w:val="20"/>
                <w:color w:val="auto"/>
              </w:rPr>
            </w:pPr>
            <w:r>
              <w:rPr>
                <w:rFonts w:ascii="Courier New" w:cs="Courier New" w:eastAsia="Courier New" w:hAnsi="Courier New"/>
                <w:sz w:val="18"/>
                <w:szCs w:val="18"/>
                <w:color w:val="auto"/>
                <w:w w:val="97"/>
              </w:rPr>
              <w:t>DAVID P. STEINER</w:t>
            </w:r>
          </w:p>
        </w:tc>
        <w:tc>
          <w:tcPr>
            <w:tcW w:w="2160" w:type="dxa"/>
            <w:vAlign w:val="bottom"/>
          </w:tcPr>
          <w:p>
            <w:pPr>
              <w:spacing w:after="0"/>
              <w:rPr>
                <w:sz w:val="24"/>
                <w:szCs w:val="24"/>
                <w:color w:val="auto"/>
              </w:rPr>
            </w:pPr>
          </w:p>
        </w:tc>
      </w:tr>
      <w:tr>
        <w:trPr>
          <w:trHeight w:val="203"/>
        </w:trPr>
        <w:tc>
          <w:tcPr>
            <w:tcW w:w="7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SENIOR VICE PRESIDENT, GENERAL COUNSEL &amp; SECRETARY</w:t>
            </w:r>
          </w:p>
        </w:tc>
        <w:tc>
          <w:tcPr>
            <w:tcW w:w="2160" w:type="dxa"/>
            <w:vAlign w:val="bottom"/>
          </w:tcPr>
          <w:p>
            <w:pPr>
              <w:spacing w:after="0"/>
              <w:rPr>
                <w:sz w:val="17"/>
                <w:szCs w:val="17"/>
                <w:color w:val="auto"/>
              </w:rPr>
            </w:pPr>
          </w:p>
        </w:tc>
      </w:tr>
      <w:tr>
        <w:trPr>
          <w:trHeight w:val="203"/>
        </w:trPr>
        <w:tc>
          <w:tcPr>
            <w:tcW w:w="7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1001 FANNIN STREET, SUITE 4000</w:t>
            </w:r>
          </w:p>
        </w:tc>
        <w:tc>
          <w:tcPr>
            <w:tcW w:w="2160" w:type="dxa"/>
            <w:vAlign w:val="bottom"/>
          </w:tcPr>
          <w:p>
            <w:pPr>
              <w:spacing w:after="0"/>
              <w:rPr>
                <w:sz w:val="17"/>
                <w:szCs w:val="17"/>
                <w:color w:val="auto"/>
              </w:rPr>
            </w:pPr>
          </w:p>
        </w:tc>
      </w:tr>
      <w:tr>
        <w:trPr>
          <w:trHeight w:val="203"/>
        </w:trPr>
        <w:tc>
          <w:tcPr>
            <w:tcW w:w="7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HOUSTON, TEXAS 77002</w:t>
            </w:r>
          </w:p>
        </w:tc>
        <w:tc>
          <w:tcPr>
            <w:tcW w:w="2160" w:type="dxa"/>
            <w:vAlign w:val="bottom"/>
          </w:tcPr>
          <w:p>
            <w:pPr>
              <w:spacing w:after="0"/>
              <w:rPr>
                <w:sz w:val="17"/>
                <w:szCs w:val="17"/>
                <w:color w:val="auto"/>
              </w:rPr>
            </w:pPr>
          </w:p>
        </w:tc>
      </w:tr>
      <w:tr>
        <w:trPr>
          <w:trHeight w:val="203"/>
        </w:trPr>
        <w:tc>
          <w:tcPr>
            <w:tcW w:w="7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(713) 512-6200</w:t>
            </w:r>
          </w:p>
        </w:tc>
        <w:tc>
          <w:tcPr>
            <w:tcW w:w="2160" w:type="dxa"/>
            <w:vAlign w:val="bottom"/>
          </w:tcPr>
          <w:p>
            <w:pPr>
              <w:spacing w:after="0"/>
              <w:rPr>
                <w:sz w:val="17"/>
                <w:szCs w:val="17"/>
                <w:color w:val="auto"/>
              </w:rPr>
            </w:pPr>
          </w:p>
        </w:tc>
      </w:tr>
      <w:tr>
        <w:trPr>
          <w:trHeight w:val="203"/>
        </w:trPr>
        <w:tc>
          <w:tcPr>
            <w:tcW w:w="70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(Name, address, including zip code, and telephone number,</w:t>
            </w:r>
          </w:p>
        </w:tc>
        <w:tc>
          <w:tcPr>
            <w:tcW w:w="2160" w:type="dxa"/>
            <w:vAlign w:val="bottom"/>
          </w:tcPr>
          <w:p>
            <w:pPr>
              <w:spacing w:after="0"/>
              <w:rPr>
                <w:sz w:val="17"/>
                <w:szCs w:val="17"/>
                <w:color w:val="auto"/>
              </w:rPr>
            </w:pPr>
          </w:p>
        </w:tc>
      </w:tr>
      <w:tr>
        <w:trPr>
          <w:trHeight w:val="203"/>
        </w:trPr>
        <w:tc>
          <w:tcPr>
            <w:tcW w:w="7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including area code, of agent for service)</w:t>
            </w:r>
          </w:p>
        </w:tc>
        <w:tc>
          <w:tcPr>
            <w:tcW w:w="2160" w:type="dxa"/>
            <w:vAlign w:val="bottom"/>
          </w:tcPr>
          <w:p>
            <w:pPr>
              <w:spacing w:after="0"/>
              <w:rPr>
                <w:sz w:val="17"/>
                <w:szCs w:val="17"/>
                <w:color w:val="auto"/>
              </w:rPr>
            </w:pPr>
          </w:p>
        </w:tc>
      </w:tr>
    </w:tbl>
    <w:p>
      <w:pPr>
        <w:spacing w:after="0" w:line="207" w:lineRule="exact"/>
        <w:rPr>
          <w:sz w:val="24"/>
          <w:szCs w:val="24"/>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ind w:left="3060"/>
        <w:spacing w:after="0"/>
        <w:rPr>
          <w:sz w:val="20"/>
          <w:szCs w:val="20"/>
          <w:color w:val="auto"/>
        </w:rPr>
      </w:pPr>
      <w:r>
        <w:rPr>
          <w:rFonts w:ascii="Courier New" w:cs="Courier New" w:eastAsia="Courier New" w:hAnsi="Courier New"/>
          <w:sz w:val="18"/>
          <w:szCs w:val="18"/>
          <w:color w:val="auto"/>
        </w:rPr>
        <w:t>---------------------</w:t>
      </w:r>
    </w:p>
    <w:p>
      <w:pPr>
        <w:ind w:left="2440"/>
        <w:spacing w:after="0" w:line="238" w:lineRule="auto"/>
        <w:rPr>
          <w:sz w:val="20"/>
          <w:szCs w:val="20"/>
          <w:color w:val="auto"/>
        </w:rPr>
      </w:pPr>
      <w:r>
        <w:rPr>
          <w:rFonts w:ascii="Courier New" w:cs="Courier New" w:eastAsia="Courier New" w:hAnsi="Courier New"/>
          <w:sz w:val="18"/>
          <w:szCs w:val="18"/>
          <w:color w:val="auto"/>
        </w:rPr>
        <w:t>CALCULATION OF REGISTRATION FEE(1)</w:t>
      </w:r>
    </w:p>
    <w:p>
      <w:pPr>
        <w:spacing w:after="0" w:line="202" w:lineRule="exact"/>
        <w:rPr>
          <w:sz w:val="24"/>
          <w:szCs w:val="24"/>
          <w:color w:val="auto"/>
        </w:rPr>
      </w:pPr>
    </w:p>
    <w:p>
      <w:pPr>
        <w:ind w:left="280" w:hanging="220"/>
        <w:spacing w:after="0"/>
        <w:tabs>
          <w:tab w:leader="none" w:pos="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 TITLE</w:t>
      </w:r>
    </w:p>
    <w:p>
      <w:pPr>
        <w:spacing w:after="0" w:line="3" w:lineRule="exact"/>
        <w:rPr>
          <w:sz w:val="24"/>
          <w:szCs w:val="24"/>
          <w:color w:val="auto"/>
        </w:rPr>
      </w:pPr>
    </w:p>
    <w:p>
      <w:pPr>
        <w:jc w:val="both"/>
        <w:ind w:left="60" w:right="4479"/>
        <w:spacing w:after="0" w:line="268" w:lineRule="auto"/>
        <w:rPr>
          <w:sz w:val="20"/>
          <w:szCs w:val="20"/>
          <w:color w:val="auto"/>
        </w:rPr>
      </w:pPr>
      <w:r>
        <w:rPr>
          <w:rFonts w:ascii="Courier New" w:cs="Courier New" w:eastAsia="Courier New" w:hAnsi="Courier New"/>
          <w:sz w:val="16"/>
          <w:szCs w:val="16"/>
          <w:color w:val="auto"/>
        </w:rPr>
        <w:t>OF EACH CLASS OF PROPOSED MAXIMUM AMOUNT OF SECURITIES TO BE REGISTERED OFFERING PRICE(2) REGISTRATION FEE(2)</w:t>
      </w:r>
    </w:p>
    <w:p>
      <w:pPr>
        <w:ind w:left="280" w:hanging="220"/>
        <w:spacing w:after="0" w:line="233" w:lineRule="auto"/>
        <w:tabs>
          <w:tab w:leader="none" w:pos="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4419"/>
        <w:spacing w:after="0"/>
        <w:rPr>
          <w:sz w:val="20"/>
          <w:szCs w:val="20"/>
          <w:color w:val="auto"/>
        </w:rPr>
      </w:pPr>
      <w:r>
        <w:rPr>
          <w:rFonts w:ascii="Courier New" w:cs="Courier New" w:eastAsia="Courier New" w:hAnsi="Courier New"/>
          <w:sz w:val="18"/>
          <w:szCs w:val="18"/>
          <w:color w:val="auto"/>
        </w:rPr>
        <w:t>Debt</w:t>
      </w:r>
    </w:p>
    <w:p>
      <w:pPr>
        <w:spacing w:after="0" w:line="3" w:lineRule="exact"/>
        <w:rPr>
          <w:sz w:val="24"/>
          <w:szCs w:val="24"/>
          <w:color w:val="auto"/>
        </w:rPr>
      </w:pPr>
    </w:p>
    <w:p>
      <w:pPr>
        <w:jc w:val="center"/>
        <w:ind w:right="4419"/>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4"/>
          <w:szCs w:val="24"/>
          <w:color w:val="auto"/>
        </w:rPr>
      </w:pPr>
    </w:p>
    <w:p>
      <w:pPr>
        <w:jc w:val="center"/>
        <w:ind w:right="4419"/>
        <w:spacing w:after="0"/>
        <w:rPr>
          <w:sz w:val="20"/>
          <w:szCs w:val="20"/>
          <w:color w:val="auto"/>
        </w:rPr>
      </w:pPr>
      <w:r>
        <w:rPr>
          <w:rFonts w:ascii="Courier New" w:cs="Courier New" w:eastAsia="Courier New" w:hAnsi="Courier New"/>
          <w:sz w:val="18"/>
          <w:szCs w:val="18"/>
          <w:color w:val="auto"/>
        </w:rPr>
        <w:t>Common Stock, par value $0.01 per</w:t>
      </w:r>
    </w:p>
    <w:p>
      <w:pPr>
        <w:jc w:val="center"/>
        <w:ind w:right="4419"/>
        <w:spacing w:after="0" w:line="238" w:lineRule="auto"/>
        <w:rPr>
          <w:sz w:val="20"/>
          <w:szCs w:val="20"/>
          <w:color w:val="auto"/>
        </w:rPr>
      </w:pPr>
      <w:r>
        <w:rPr>
          <w:rFonts w:ascii="Courier New" w:cs="Courier New" w:eastAsia="Courier New" w:hAnsi="Courier New"/>
          <w:sz w:val="18"/>
          <w:szCs w:val="18"/>
          <w:color w:val="auto"/>
        </w:rPr>
        <w:t>share(3).................. Guarantees of Debt</w:t>
      </w:r>
    </w:p>
    <w:p>
      <w:pPr>
        <w:jc w:val="center"/>
        <w:ind w:right="4419"/>
        <w:spacing w:after="0"/>
        <w:rPr>
          <w:sz w:val="20"/>
          <w:szCs w:val="20"/>
          <w:color w:val="auto"/>
        </w:rPr>
      </w:pPr>
      <w:r>
        <w:rPr>
          <w:rFonts w:ascii="Courier New" w:cs="Courier New" w:eastAsia="Courier New" w:hAnsi="Courier New"/>
          <w:sz w:val="18"/>
          <w:szCs w:val="18"/>
          <w:color w:val="auto"/>
        </w:rPr>
        <w:t>Securities(4)............................</w:t>
      </w:r>
    </w:p>
    <w:p>
      <w:pPr>
        <w:spacing w:after="0" w:line="3" w:lineRule="exact"/>
        <w:rPr>
          <w:sz w:val="24"/>
          <w:szCs w:val="24"/>
          <w:color w:val="auto"/>
        </w:rPr>
      </w:pPr>
    </w:p>
    <w:p>
      <w:pPr>
        <w:jc w:val="center"/>
        <w:ind w:right="4419"/>
        <w:spacing w:after="0"/>
        <w:rPr>
          <w:sz w:val="20"/>
          <w:szCs w:val="20"/>
          <w:color w:val="auto"/>
        </w:rPr>
      </w:pPr>
      <w:r>
        <w:rPr>
          <w:rFonts w:ascii="Courier New" w:cs="Courier New" w:eastAsia="Courier New" w:hAnsi="Courier New"/>
          <w:sz w:val="16"/>
          <w:szCs w:val="16"/>
          <w:color w:val="auto"/>
        </w:rPr>
        <w:t>$1,868,070,886 $171,862 - ----------------------------</w:t>
      </w:r>
    </w:p>
    <w:p>
      <w:pPr>
        <w:sectPr>
          <w:pgSz w:w="11900" w:h="16838" w:orient="portrait"/>
          <w:cols w:equalWidth="0" w:num="1">
            <w:col w:w="10219"/>
          </w:cols>
          <w:pgMar w:left="240" w:top="649" w:right="1440" w:bottom="0" w:gutter="0" w:footer="0" w:header="0"/>
        </w:sectPr>
      </w:pPr>
    </w:p>
    <w:bookmarkStart w:id="1" w:name="page2"/>
    <w:bookmarkEnd w:id="1"/>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w:t>
      </w:r>
    </w:p>
    <w:p>
      <w:pPr>
        <w:ind w:left="200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420" w:right="2319" w:hanging="412"/>
        <w:spacing w:after="0" w:line="23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457(o) and the Note to Form S-3, both the Amount to be Registered and the Proposed Maximum Offering Price per Unit have been omitted.</w:t>
      </w:r>
    </w:p>
    <w:p>
      <w:pPr>
        <w:spacing w:after="0" w:line="208" w:lineRule="exact"/>
        <w:rPr>
          <w:rFonts w:ascii="Courier New" w:cs="Courier New" w:eastAsia="Courier New" w:hAnsi="Courier New"/>
          <w:sz w:val="18"/>
          <w:szCs w:val="18"/>
          <w:color w:val="auto"/>
        </w:rPr>
      </w:pPr>
    </w:p>
    <w:p>
      <w:pPr>
        <w:ind w:left="420" w:right="1779"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457(o) and exclusive of accrued interest, distributions and dividends, if any. Pursuant to Rule 429 under the Securities Act of 1933, as amended, the prospectus included herein relates to $1,868,070,886 of securities registered under Registration Statement No. 333-80063, the registration fee for which has been previously paid to the Commission. If any such previously registered securities are offered prior to the effective date of this registration statement, the amount of such securities will not be included in any prospectus hereunder. The remaining securities registered under Registration Statement No. 333-80063, which are being carried forward to this registration statement, represent the maximum amount of securities that are expected to be offered for sale. The aggregate principal amount of the debt securities may be increased if any debt securities are issued at an original issue discount by an amount such that the offering price to be received by the registrant shall be equal to the above amount to be registered.</w:t>
      </w:r>
    </w:p>
    <w:p>
      <w:pPr>
        <w:spacing w:after="0" w:line="208"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of common stock that may be issued by Waste Management, Inc. upon conversion of debt securities and an indeterminate number of shares of common stock that may become issuable as a result of anti-dilution adjustments.</w:t>
      </w:r>
    </w:p>
    <w:p>
      <w:pPr>
        <w:spacing w:after="0" w:line="207"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also registering guarantees Waste Management Holdings, Inc. may have with respect to debt securities that we may issue. No separate consideration will be received for the guarantees. See inside facing page for information on the additional registrant guarantor.</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jc w:val="right"/>
        <w:ind w:right="3899"/>
        <w:spacing w:after="0"/>
        <w:rPr>
          <w:sz w:val="20"/>
          <w:szCs w:val="20"/>
          <w:color w:val="auto"/>
        </w:rPr>
      </w:pPr>
      <w:r>
        <w:rPr>
          <w:rFonts w:ascii="Courier New" w:cs="Courier New" w:eastAsia="Courier New" w:hAnsi="Courier New"/>
          <w:sz w:val="18"/>
          <w:szCs w:val="18"/>
          <w:color w:val="auto"/>
        </w:rPr>
        <w:t>TABLE OF ADDITIONAL REGISTRANT GUARANTORS</w:t>
      </w:r>
    </w:p>
    <w:p>
      <w:pPr>
        <w:spacing w:after="0" w:line="201"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STATE OR OTHER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IRS ADDRESS</w:t>
      </w:r>
    </w:p>
    <w:p>
      <w:pPr>
        <w:jc w:val="center"/>
        <w:ind w:right="8419"/>
        <w:spacing w:after="0"/>
        <w:rPr>
          <w:sz w:val="20"/>
          <w:szCs w:val="20"/>
          <w:color w:val="auto"/>
        </w:rPr>
      </w:pPr>
      <w:r>
        <w:rPr>
          <w:rFonts w:ascii="Courier New" w:cs="Courier New" w:eastAsia="Courier New" w:hAnsi="Courier New"/>
          <w:sz w:val="18"/>
          <w:szCs w:val="18"/>
          <w:color w:val="auto"/>
        </w:rPr>
        <w:t>INCLUDING ZIP</w:t>
      </w:r>
    </w:p>
    <w:p>
      <w:pPr>
        <w:jc w:val="center"/>
        <w:ind w:right="8419"/>
        <w:spacing w:after="0" w:line="237" w:lineRule="auto"/>
        <w:rPr>
          <w:sz w:val="20"/>
          <w:szCs w:val="20"/>
          <w:color w:val="auto"/>
        </w:rPr>
      </w:pPr>
      <w:r>
        <w:rPr>
          <w:rFonts w:ascii="Courier New" w:cs="Courier New" w:eastAsia="Courier New" w:hAnsi="Courier New"/>
          <w:sz w:val="18"/>
          <w:szCs w:val="18"/>
          <w:color w:val="auto"/>
        </w:rPr>
        <w:t>JURISDICTION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EMPLOYER CODE</w:t>
      </w:r>
    </w:p>
    <w:p>
      <w:pPr>
        <w:jc w:val="center"/>
        <w:ind w:right="8419"/>
        <w:spacing w:after="0"/>
        <w:rPr>
          <w:sz w:val="20"/>
          <w:szCs w:val="20"/>
          <w:color w:val="auto"/>
        </w:rPr>
      </w:pPr>
      <w:r>
        <w:rPr>
          <w:rFonts w:ascii="Courier New" w:cs="Courier New" w:eastAsia="Courier New" w:hAnsi="Courier New"/>
          <w:sz w:val="18"/>
          <w:szCs w:val="18"/>
          <w:color w:val="auto"/>
        </w:rPr>
        <w:t>AND TELEPHONE</w:t>
      </w:r>
    </w:p>
    <w:p>
      <w:pPr>
        <w:jc w:val="center"/>
        <w:ind w:right="8419"/>
        <w:spacing w:after="0" w:line="237" w:lineRule="auto"/>
        <w:rPr>
          <w:sz w:val="20"/>
          <w:szCs w:val="20"/>
          <w:color w:val="auto"/>
        </w:rPr>
      </w:pPr>
      <w:r>
        <w:rPr>
          <w:rFonts w:ascii="Courier New" w:cs="Courier New" w:eastAsia="Courier New" w:hAnsi="Courier New"/>
          <w:sz w:val="18"/>
          <w:szCs w:val="18"/>
          <w:color w:val="auto"/>
        </w:rPr>
        <w:t>INCORPORATION OF</w:t>
      </w:r>
    </w:p>
    <w:p>
      <w:pPr>
        <w:jc w:val="center"/>
        <w:ind w:right="8419"/>
        <w:spacing w:after="0"/>
        <w:rPr>
          <w:sz w:val="20"/>
          <w:szCs w:val="20"/>
          <w:color w:val="auto"/>
        </w:rPr>
      </w:pPr>
      <w:r>
        <w:rPr>
          <w:rFonts w:ascii="Courier New" w:cs="Courier New" w:eastAsia="Courier New" w:hAnsi="Courier New"/>
          <w:sz w:val="18"/>
          <w:szCs w:val="18"/>
          <w:color w:val="auto"/>
        </w:rPr>
        <w:t>IDENTIFICATION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419"/>
        <w:spacing w:after="0"/>
        <w:rPr>
          <w:sz w:val="20"/>
          <w:szCs w:val="20"/>
          <w:color w:val="auto"/>
        </w:rPr>
      </w:pPr>
      <w:r>
        <w:rPr>
          <w:rFonts w:ascii="Courier New" w:cs="Courier New" w:eastAsia="Courier New" w:hAnsi="Courier New"/>
          <w:sz w:val="18"/>
          <w:szCs w:val="18"/>
          <w:color w:val="auto"/>
        </w:rPr>
        <w:t>PRINCIPAL EXACT</w:t>
      </w:r>
    </w:p>
    <w:p>
      <w:pPr>
        <w:jc w:val="center"/>
        <w:ind w:right="8419"/>
        <w:spacing w:after="0" w:line="237" w:lineRule="auto"/>
        <w:rPr>
          <w:sz w:val="20"/>
          <w:szCs w:val="20"/>
          <w:color w:val="auto"/>
        </w:rPr>
      </w:pPr>
      <w:r>
        <w:rPr>
          <w:rFonts w:ascii="Courier New" w:cs="Courier New" w:eastAsia="Courier New" w:hAnsi="Courier New"/>
          <w:sz w:val="18"/>
          <w:szCs w:val="18"/>
          <w:color w:val="auto"/>
        </w:rPr>
        <w:t>NAME AS</w:t>
      </w:r>
    </w:p>
    <w:p>
      <w:pPr>
        <w:jc w:val="center"/>
        <w:ind w:right="8419"/>
        <w:spacing w:after="0" w:line="238" w:lineRule="auto"/>
        <w:rPr>
          <w:sz w:val="20"/>
          <w:szCs w:val="20"/>
          <w:color w:val="auto"/>
        </w:rPr>
      </w:pPr>
      <w:r>
        <w:rPr>
          <w:rFonts w:ascii="Courier New" w:cs="Courier New" w:eastAsia="Courier New" w:hAnsi="Courier New"/>
          <w:sz w:val="18"/>
          <w:szCs w:val="18"/>
          <w:color w:val="auto"/>
        </w:rPr>
        <w:t>SPECIFIED IN ITS</w:t>
      </w:r>
    </w:p>
    <w:p>
      <w:pPr>
        <w:jc w:val="center"/>
        <w:ind w:right="8419"/>
        <w:spacing w:after="0"/>
        <w:rPr>
          <w:sz w:val="20"/>
          <w:szCs w:val="20"/>
          <w:color w:val="auto"/>
        </w:rPr>
      </w:pPr>
      <w:r>
        <w:rPr>
          <w:rFonts w:ascii="Courier New" w:cs="Courier New" w:eastAsia="Courier New" w:hAnsi="Courier New"/>
          <w:sz w:val="18"/>
          <w:szCs w:val="18"/>
          <w:color w:val="auto"/>
        </w:rPr>
        <w:t>CHARTER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ORGANIZATION</w:t>
      </w:r>
    </w:p>
    <w:p>
      <w:pPr>
        <w:jc w:val="center"/>
        <w:ind w:right="8419"/>
        <w:spacing w:after="0"/>
        <w:rPr>
          <w:sz w:val="20"/>
          <w:szCs w:val="20"/>
          <w:color w:val="auto"/>
        </w:rPr>
      </w:pPr>
      <w:r>
        <w:rPr>
          <w:rFonts w:ascii="Courier New" w:cs="Courier New" w:eastAsia="Courier New" w:hAnsi="Courier New"/>
          <w:sz w:val="18"/>
          <w:szCs w:val="18"/>
          <w:color w:val="auto"/>
        </w:rPr>
        <w:t>NUMBER EXECUTIVE</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OFFICE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380" w:right="8799" w:firstLine="45"/>
        <w:spacing w:after="0" w:line="268" w:lineRule="auto"/>
        <w:tabs>
          <w:tab w:leader="none" w:pos="85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Holdings,</w:t>
      </w:r>
    </w:p>
    <w:p>
      <w:pPr>
        <w:spacing w:after="0" w:line="233" w:lineRule="auto"/>
        <w:rPr>
          <w:sz w:val="20"/>
          <w:szCs w:val="20"/>
          <w:color w:val="auto"/>
        </w:rPr>
      </w:pPr>
      <w:r>
        <w:rPr>
          <w:rFonts w:ascii="Courier New" w:cs="Courier New" w:eastAsia="Courier New" w:hAnsi="Courier New"/>
          <w:sz w:val="18"/>
          <w:szCs w:val="18"/>
          <w:color w:val="auto"/>
        </w:rPr>
        <w:t>Inc..............</w:t>
      </w:r>
    </w:p>
    <w:p>
      <w:pPr>
        <w:jc w:val="center"/>
        <w:ind w:right="8419"/>
        <w:spacing w:after="0"/>
        <w:rPr>
          <w:sz w:val="20"/>
          <w:szCs w:val="20"/>
          <w:color w:val="auto"/>
        </w:rPr>
      </w:pPr>
      <w:r>
        <w:rPr>
          <w:rFonts w:ascii="Courier New" w:cs="Courier New" w:eastAsia="Courier New" w:hAnsi="Courier New"/>
          <w:sz w:val="18"/>
          <w:szCs w:val="18"/>
          <w:color w:val="auto"/>
        </w:rPr>
        <w:t>Delaware 36-</w:t>
      </w:r>
    </w:p>
    <w:p>
      <w:pPr>
        <w:jc w:val="center"/>
        <w:ind w:right="8419"/>
        <w:spacing w:after="0" w:line="237" w:lineRule="auto"/>
        <w:rPr>
          <w:sz w:val="20"/>
          <w:szCs w:val="20"/>
          <w:color w:val="auto"/>
        </w:rPr>
      </w:pPr>
      <w:r>
        <w:rPr>
          <w:rFonts w:ascii="Courier New" w:cs="Courier New" w:eastAsia="Courier New" w:hAnsi="Courier New"/>
          <w:sz w:val="18"/>
          <w:szCs w:val="18"/>
          <w:color w:val="auto"/>
        </w:rPr>
        <w:t>2660763 1001</w:t>
      </w:r>
    </w:p>
    <w:p>
      <w:pPr>
        <w:jc w:val="center"/>
        <w:ind w:right="8419"/>
        <w:spacing w:after="0"/>
        <w:rPr>
          <w:sz w:val="20"/>
          <w:szCs w:val="20"/>
          <w:color w:val="auto"/>
        </w:rPr>
      </w:pPr>
      <w:r>
        <w:rPr>
          <w:rFonts w:ascii="Courier New" w:cs="Courier New" w:eastAsia="Courier New" w:hAnsi="Courier New"/>
          <w:sz w:val="18"/>
          <w:szCs w:val="18"/>
          <w:color w:val="auto"/>
        </w:rPr>
        <w:t>Fannin Street</w:t>
      </w:r>
    </w:p>
    <w:p>
      <w:pPr>
        <w:jc w:val="center"/>
        <w:ind w:right="8419"/>
        <w:spacing w:after="0" w:line="237" w:lineRule="auto"/>
        <w:rPr>
          <w:sz w:val="20"/>
          <w:szCs w:val="20"/>
          <w:color w:val="auto"/>
        </w:rPr>
      </w:pPr>
      <w:r>
        <w:rPr>
          <w:rFonts w:ascii="Courier New" w:cs="Courier New" w:eastAsia="Courier New" w:hAnsi="Courier New"/>
          <w:sz w:val="18"/>
          <w:szCs w:val="18"/>
          <w:color w:val="auto"/>
        </w:rPr>
        <w:t>Suite 4000</w:t>
      </w:r>
    </w:p>
    <w:p>
      <w:pPr>
        <w:jc w:val="center"/>
        <w:ind w:right="8419"/>
        <w:spacing w:after="0"/>
        <w:rPr>
          <w:sz w:val="20"/>
          <w:szCs w:val="20"/>
          <w:color w:val="auto"/>
        </w:rPr>
      </w:pPr>
      <w:r>
        <w:rPr>
          <w:rFonts w:ascii="Courier New" w:cs="Courier New" w:eastAsia="Courier New" w:hAnsi="Courier New"/>
          <w:sz w:val="18"/>
          <w:szCs w:val="18"/>
          <w:color w:val="auto"/>
        </w:rPr>
        <w:t>Houston, Texas</w:t>
      </w:r>
    </w:p>
    <w:p>
      <w:pPr>
        <w:jc w:val="center"/>
        <w:ind w:right="8419"/>
        <w:spacing w:after="0" w:line="237" w:lineRule="auto"/>
        <w:rPr>
          <w:sz w:val="20"/>
          <w:szCs w:val="20"/>
          <w:color w:val="auto"/>
        </w:rPr>
      </w:pPr>
      <w:r>
        <w:rPr>
          <w:rFonts w:ascii="Courier New" w:cs="Courier New" w:eastAsia="Courier New" w:hAnsi="Courier New"/>
          <w:sz w:val="18"/>
          <w:szCs w:val="18"/>
          <w:color w:val="auto"/>
        </w:rPr>
        <w:t>77002 (713) 512-</w:t>
      </w:r>
    </w:p>
    <w:p>
      <w:pPr>
        <w:jc w:val="center"/>
        <w:ind w:right="8419"/>
        <w:spacing w:after="0"/>
        <w:rPr>
          <w:sz w:val="20"/>
          <w:szCs w:val="20"/>
          <w:color w:val="auto"/>
        </w:rPr>
      </w:pPr>
      <w:r>
        <w:rPr>
          <w:rFonts w:ascii="Courier New" w:cs="Courier New" w:eastAsia="Courier New" w:hAnsi="Courier New"/>
          <w:sz w:val="18"/>
          <w:szCs w:val="18"/>
          <w:color w:val="auto"/>
        </w:rPr>
        <w:t>6200</w:t>
      </w:r>
    </w:p>
    <w:p>
      <w:pPr>
        <w:sectPr>
          <w:pgSz w:w="11900" w:h="16838" w:orient="portrait"/>
          <w:cols w:equalWidth="0" w:num="1">
            <w:col w:w="10219"/>
          </w:cols>
          <w:pgMar w:left="240" w:top="717"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SUBJECT TO COMPLETION, DATED AUGUST 6, 2002</w:t>
      </w:r>
    </w:p>
    <w:p>
      <w:pPr>
        <w:spacing w:after="0" w:line="238" w:lineRule="auto"/>
        <w:rPr>
          <w:sz w:val="20"/>
          <w:szCs w:val="20"/>
          <w:color w:val="auto"/>
        </w:rPr>
      </w:pPr>
      <w:r>
        <w:rPr>
          <w:rFonts w:ascii="Courier New" w:cs="Courier New" w:eastAsia="Courier New" w:hAnsi="Courier New"/>
          <w:sz w:val="18"/>
          <w:szCs w:val="18"/>
          <w:color w:val="auto"/>
        </w:rPr>
        <w:t>PROSPECTUS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$1,868,070,886</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(AS MAY BE FULLY AND UNCONDITIONALLY GUARANTEED,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DESCRIBED HEREIN, BY WASTE MANAGEMENT HOLDINGS, INC.)</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may offer from time to time:</w:t>
      </w:r>
    </w:p>
    <w:p>
      <w:pPr>
        <w:spacing w:after="0" w:line="207" w:lineRule="exact"/>
        <w:rPr>
          <w:sz w:val="20"/>
          <w:szCs w:val="20"/>
          <w:color w:val="auto"/>
        </w:rPr>
      </w:pPr>
    </w:p>
    <w:p>
      <w:pPr>
        <w:ind w:left="740" w:right="187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 whether or not guaranteed by Waste Management Holdings, Inc.</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our common stock</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Our shares of common stock are listed on the New York Stock Exchange under the symbol "WMI."</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CONSIDER CAREFULLY THE RISK FACTORS BEGINNING ON PAGE 2.</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provide a prospectus supplement each time we issue the securities covered by this prospectus. The prospectus supplement will provide specific information about the terms of that offering and also may add, update or change information contained in this prospectus.</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You should read this prospectus and the related prospectus supplement carefully before you invest in our securities. This prospectus may not be used to offer and sell our securities unless accompanied by a prospectus supplement.</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r>
    </w:tbl>
    <w:p>
      <w:pPr>
        <w:sectPr>
          <w:pgSz w:w="11900" w:h="16838" w:orient="portrait"/>
          <w:cols w:equalWidth="0" w:num="1">
            <w:col w:w="10219"/>
          </w:cols>
          <w:pgMar w:left="240" w:top="717"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WHERE TO FIND MORE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have filed with the Securities and Exchange Commission a registration</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statement on Form S-3 (Reg. No. 333- ) with respect to the securities we are offering. This prospectus does not contain all the information contained in the registration statement, including its exhibits and schedules. You should refer to the registration statement, including the exhibits and schedules, for further information about us and the securities we are offering. Statements we make in this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Commission and may be inspected without charge. We file annual, quarterly and current reports, proxy statements and other information with the Commission. Our Commission filings, including the registration statement, are available to the public over the Internet at the Commission's web site at http://www.sec.gov. You can also read and copy any document we file at:</w:t>
      </w:r>
    </w:p>
    <w:p>
      <w:pPr>
        <w:spacing w:after="0" w:line="208" w:lineRule="exact"/>
        <w:rPr>
          <w:sz w:val="20"/>
          <w:szCs w:val="20"/>
          <w:color w:val="auto"/>
        </w:rPr>
      </w:pPr>
    </w:p>
    <w:p>
      <w:pPr>
        <w:ind w:left="740" w:right="177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Commission at 450 Fifth Street, N.W., Washington, D.C. 20549,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Commission located at:</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 West Madison Street, Suite 1400, Chicago, Illinois 60661, and</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233 Broadway, New York, New York 10279.</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Please call the Commission at 1-800-SEC-0330 for more information about the public reference facilities.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You can also inspect material filed by us at the offices of the New York Stock Exchange, 20 Broad Street, New York, New York 10005, on which shares of our common stock are listed.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are incorporating by reference in this prospectus some information we file with the Commission. This means that we are disclosing important information to you by referring you to those documents. Specifically, we incorporate by reference the documents set forth below that we have previously filed with the Commission:</w:t>
      </w:r>
    </w:p>
    <w:p>
      <w:pPr>
        <w:spacing w:after="0" w:line="203"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COMMISSION FILINGS (FILE</w:t>
      </w:r>
    </w:p>
    <w:p>
      <w:pPr>
        <w:jc w:val="center"/>
        <w:ind w:right="7259"/>
        <w:spacing w:after="0" w:line="238" w:lineRule="auto"/>
        <w:rPr>
          <w:sz w:val="20"/>
          <w:szCs w:val="20"/>
          <w:color w:val="auto"/>
        </w:rPr>
      </w:pPr>
      <w:r>
        <w:rPr>
          <w:rFonts w:ascii="Courier New" w:cs="Courier New" w:eastAsia="Courier New" w:hAnsi="Courier New"/>
          <w:sz w:val="18"/>
          <w:szCs w:val="18"/>
          <w:color w:val="auto"/>
        </w:rPr>
        <w:t>NO. 1-12154) PERIOD/DATE --</w:t>
      </w:r>
    </w:p>
    <w:p>
      <w:pPr>
        <w:ind w:left="6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 ----------- - -</w:t>
      </w:r>
    </w:p>
    <w:p>
      <w:pPr>
        <w:ind w:left="160"/>
        <w:spacing w:after="0" w:line="238" w:lineRule="auto"/>
        <w:rPr>
          <w:sz w:val="20"/>
          <w:szCs w:val="20"/>
          <w:color w:val="auto"/>
        </w:rPr>
      </w:pPr>
      <w:r>
        <w:rPr>
          <w:rFonts w:ascii="Courier New" w:cs="Courier New" w:eastAsia="Courier New" w:hAnsi="Courier New"/>
          <w:sz w:val="18"/>
          <w:szCs w:val="18"/>
          <w:color w:val="auto"/>
        </w:rPr>
        <w:t>Annual Report on Form 10-</w:t>
      </w:r>
    </w:p>
    <w:p>
      <w:pPr>
        <w:jc w:val="center"/>
        <w:ind w:right="7259"/>
        <w:spacing w:after="0"/>
        <w:rPr>
          <w:sz w:val="20"/>
          <w:szCs w:val="20"/>
          <w:color w:val="auto"/>
        </w:rPr>
      </w:pPr>
      <w:r>
        <w:rPr>
          <w:rFonts w:ascii="Courier New" w:cs="Courier New" w:eastAsia="Courier New" w:hAnsi="Courier New"/>
          <w:sz w:val="18"/>
          <w:szCs w:val="18"/>
          <w:color w:val="auto"/>
        </w:rPr>
        <w:t>K............. Year ended</w:t>
      </w:r>
    </w:p>
    <w:p>
      <w:pPr>
        <w:jc w:val="center"/>
        <w:ind w:right="7259"/>
        <w:spacing w:after="0" w:line="237" w:lineRule="auto"/>
        <w:rPr>
          <w:sz w:val="20"/>
          <w:szCs w:val="20"/>
          <w:color w:val="auto"/>
        </w:rPr>
      </w:pPr>
      <w:r>
        <w:rPr>
          <w:rFonts w:ascii="Courier New" w:cs="Courier New" w:eastAsia="Courier New" w:hAnsi="Courier New"/>
          <w:sz w:val="18"/>
          <w:szCs w:val="18"/>
          <w:color w:val="auto"/>
        </w:rPr>
        <w:t>December 31, 2001 - -</w:t>
      </w:r>
    </w:p>
    <w:p>
      <w:pPr>
        <w:jc w:val="center"/>
        <w:ind w:right="7259"/>
        <w:spacing w:after="0"/>
        <w:rPr>
          <w:sz w:val="20"/>
          <w:szCs w:val="20"/>
          <w:color w:val="auto"/>
        </w:rPr>
      </w:pPr>
      <w:r>
        <w:rPr>
          <w:rFonts w:ascii="Courier New" w:cs="Courier New" w:eastAsia="Courier New" w:hAnsi="Courier New"/>
          <w:sz w:val="18"/>
          <w:szCs w:val="18"/>
          <w:color w:val="auto"/>
        </w:rPr>
        <w:t>Quarterly Reports on Form</w:t>
      </w:r>
    </w:p>
    <w:p>
      <w:pPr>
        <w:ind w:left="320"/>
        <w:spacing w:after="0" w:line="237" w:lineRule="auto"/>
        <w:rPr>
          <w:sz w:val="20"/>
          <w:szCs w:val="20"/>
          <w:color w:val="auto"/>
        </w:rPr>
      </w:pPr>
      <w:r>
        <w:rPr>
          <w:rFonts w:ascii="Courier New" w:cs="Courier New" w:eastAsia="Courier New" w:hAnsi="Courier New"/>
          <w:sz w:val="18"/>
          <w:szCs w:val="18"/>
          <w:color w:val="auto"/>
        </w:rPr>
        <w:t>10-Q......... Quarters</w:t>
      </w:r>
    </w:p>
    <w:p>
      <w:pPr>
        <w:jc w:val="center"/>
        <w:ind w:right="7259"/>
        <w:spacing w:after="0"/>
        <w:rPr>
          <w:sz w:val="20"/>
          <w:szCs w:val="20"/>
          <w:color w:val="auto"/>
        </w:rPr>
      </w:pPr>
      <w:r>
        <w:rPr>
          <w:rFonts w:ascii="Courier New" w:cs="Courier New" w:eastAsia="Courier New" w:hAnsi="Courier New"/>
          <w:sz w:val="18"/>
          <w:szCs w:val="18"/>
          <w:color w:val="auto"/>
        </w:rPr>
        <w:t>ended March 31, 2002 and</w:t>
      </w:r>
    </w:p>
    <w:p>
      <w:pPr>
        <w:jc w:val="center"/>
        <w:ind w:right="7259"/>
        <w:spacing w:after="0" w:line="237" w:lineRule="auto"/>
        <w:rPr>
          <w:sz w:val="20"/>
          <w:szCs w:val="20"/>
          <w:color w:val="auto"/>
        </w:rPr>
      </w:pPr>
      <w:r>
        <w:rPr>
          <w:rFonts w:ascii="Courier New" w:cs="Courier New" w:eastAsia="Courier New" w:hAnsi="Courier New"/>
          <w:sz w:val="18"/>
          <w:szCs w:val="18"/>
          <w:color w:val="auto"/>
        </w:rPr>
        <w:t>June 30, 2002 - - Current</w:t>
      </w:r>
    </w:p>
    <w:p>
      <w:pPr>
        <w:jc w:val="center"/>
        <w:ind w:right="7259"/>
        <w:spacing w:after="0" w:line="238" w:lineRule="auto"/>
        <w:rPr>
          <w:sz w:val="20"/>
          <w:szCs w:val="20"/>
          <w:color w:val="auto"/>
        </w:rPr>
      </w:pPr>
      <w:r>
        <w:rPr>
          <w:rFonts w:ascii="Courier New" w:cs="Courier New" w:eastAsia="Courier New" w:hAnsi="Courier New"/>
          <w:sz w:val="18"/>
          <w:szCs w:val="18"/>
          <w:color w:val="auto"/>
        </w:rPr>
        <w:t>Report on Form 8-</w:t>
      </w:r>
    </w:p>
    <w:p>
      <w:pPr>
        <w:jc w:val="center"/>
        <w:ind w:right="7259"/>
        <w:spacing w:after="0"/>
        <w:rPr>
          <w:sz w:val="20"/>
          <w:szCs w:val="20"/>
          <w:color w:val="auto"/>
        </w:rPr>
      </w:pPr>
      <w:r>
        <w:rPr>
          <w:rFonts w:ascii="Courier New" w:cs="Courier New" w:eastAsia="Courier New" w:hAnsi="Courier New"/>
          <w:sz w:val="18"/>
          <w:szCs w:val="18"/>
          <w:color w:val="auto"/>
        </w:rPr>
        <w:t>K............. March 22,</w:t>
      </w:r>
    </w:p>
    <w:p>
      <w:pPr>
        <w:jc w:val="center"/>
        <w:ind w:right="7259"/>
        <w:spacing w:after="0" w:line="237" w:lineRule="auto"/>
        <w:rPr>
          <w:sz w:val="20"/>
          <w:szCs w:val="20"/>
          <w:color w:val="auto"/>
        </w:rPr>
      </w:pPr>
      <w:r>
        <w:rPr>
          <w:rFonts w:ascii="Courier New" w:cs="Courier New" w:eastAsia="Courier New" w:hAnsi="Courier New"/>
          <w:sz w:val="18"/>
          <w:szCs w:val="18"/>
          <w:color w:val="auto"/>
        </w:rPr>
        <w:t>2002 - - Proxy Statement</w:t>
      </w:r>
    </w:p>
    <w:p>
      <w:pPr>
        <w:jc w:val="center"/>
        <w:ind w:right="7259"/>
        <w:spacing w:after="0"/>
        <w:rPr>
          <w:sz w:val="20"/>
          <w:szCs w:val="20"/>
          <w:color w:val="auto"/>
        </w:rPr>
      </w:pPr>
      <w:r>
        <w:rPr>
          <w:rFonts w:ascii="Courier New" w:cs="Courier New" w:eastAsia="Courier New" w:hAnsi="Courier New"/>
          <w:sz w:val="18"/>
          <w:szCs w:val="18"/>
          <w:color w:val="auto"/>
        </w:rPr>
        <w:t>for the 2002 Annual Meeting</w:t>
      </w:r>
    </w:p>
    <w:p>
      <w:pPr>
        <w:jc w:val="center"/>
        <w:ind w:right="7259"/>
        <w:spacing w:after="0" w:line="237" w:lineRule="auto"/>
        <w:rPr>
          <w:sz w:val="20"/>
          <w:szCs w:val="20"/>
          <w:color w:val="auto"/>
        </w:rPr>
      </w:pPr>
      <w:r>
        <w:rPr>
          <w:rFonts w:ascii="Courier New" w:cs="Courier New" w:eastAsia="Courier New" w:hAnsi="Courier New"/>
          <w:sz w:val="18"/>
          <w:szCs w:val="18"/>
          <w:color w:val="auto"/>
        </w:rPr>
        <w:t>of</w:t>
      </w:r>
    </w:p>
    <w:p>
      <w:pPr>
        <w:spacing w:after="0"/>
        <w:rPr>
          <w:sz w:val="20"/>
          <w:szCs w:val="20"/>
          <w:color w:val="auto"/>
        </w:rPr>
      </w:pPr>
      <w:r>
        <w:rPr>
          <w:rFonts w:ascii="Courier New" w:cs="Courier New" w:eastAsia="Courier New" w:hAnsi="Courier New"/>
          <w:sz w:val="18"/>
          <w:szCs w:val="18"/>
          <w:color w:val="auto"/>
        </w:rPr>
        <w:t>Stockholders................</w:t>
      </w:r>
    </w:p>
    <w:p>
      <w:pPr>
        <w:ind w:left="840"/>
        <w:spacing w:after="0" w:line="237" w:lineRule="auto"/>
        <w:rPr>
          <w:sz w:val="20"/>
          <w:szCs w:val="20"/>
          <w:color w:val="auto"/>
        </w:rPr>
      </w:pPr>
      <w:r>
        <w:rPr>
          <w:rFonts w:ascii="Courier New" w:cs="Courier New" w:eastAsia="Courier New" w:hAnsi="Courier New"/>
          <w:sz w:val="18"/>
          <w:szCs w:val="18"/>
          <w:color w:val="auto"/>
        </w:rPr>
        <w:t>May 17, 2002</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incorporate by reference the information contained in any future filings made with the Commission under Sections 13(a), 13(c), 14 or 15(d) of the Securities Exchange Act until we sell all of the securities covered by this prospectus, which information will be deemed to automatically update and supersede this information.</w:t>
      </w:r>
    </w:p>
    <w:p>
      <w:pPr>
        <w:spacing w:after="0" w:line="209"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rPr>
          <w:sz w:val="20"/>
          <w:szCs w:val="20"/>
          <w:color w:val="auto"/>
        </w:rPr>
      </w:pPr>
      <w:r>
        <w:rPr>
          <w:rFonts w:ascii="Courier New" w:cs="Courier New" w:eastAsia="Courier New" w:hAnsi="Courier New"/>
          <w:sz w:val="18"/>
          <w:szCs w:val="18"/>
          <w:color w:val="auto"/>
        </w:rPr>
        <w:t>HOUSTON, TEXAS 77002</w:t>
      </w:r>
    </w:p>
    <w:p>
      <w:pPr>
        <w:ind w:left="4120" w:hanging="636"/>
        <w:spacing w:after="0" w:line="237" w:lineRule="auto"/>
        <w:tabs>
          <w:tab w:leader="none" w:pos="4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CORPORATE SECRETARY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this prospectus, the terms "our," "we," "us," "Waste Management," and</w:t>
      </w:r>
    </w:p>
    <w:p>
      <w:pPr>
        <w:sectPr>
          <w:pgSz w:w="11900" w:h="16838" w:orient="portrait"/>
          <w:cols w:equalWidth="0" w:num="1">
            <w:col w:w="10219"/>
          </w:cols>
          <w:pgMar w:left="240" w:top="717" w:right="1440" w:bottom="0" w:gutter="0" w:footer="0" w:header="0"/>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similar terms refer to Waste Management, Inc. and include all of our consolidated subsidiaries unless the context requires otherwise. When we use "Waste Management Holdings" or "guarantor," we are referring to our wholly-owned subsidiary and the additional registrant guarantor, Waste Management Holdings, Inc. The term "you" refers to a holder of securities offered by means of this prospectus.</w:t>
      </w:r>
    </w:p>
    <w:p>
      <w:pPr>
        <w:sectPr>
          <w:pgSz w:w="11900" w:h="16838" w:orient="portrait"/>
          <w:cols w:equalWidth="0" w:num="1">
            <w:col w:w="10219"/>
          </w:cols>
          <w:pgMar w:left="240" w:top="142"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OUR COMPANY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Waste Management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 participants.</w:t>
      </w:r>
    </w:p>
    <w:p>
      <w:pPr>
        <w:spacing w:after="0" w:line="211"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In the past, our primary growth strategy was to purchase revenue through acquisitions. However, we are now working on becoming a company of operational excellence by focusing on our new business strategy. This strategy is designed to emphasize internal growth and enable us to meet our continuing objective of operational excellence. The key points to our strategy include:</w:t>
      </w:r>
    </w:p>
    <w:p>
      <w:pPr>
        <w:spacing w:after="0" w:line="18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Local Market Business Integration. We are creating integrated local business strategies for all of our lines of operations, including collection, disposal (including waste-to-energy plants), transfer and recycling, with the goal of improving the utilization of our asset base;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Service Excellence. We are designing and implementing new procedures to better meet our customers' requirements;</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Procurement. We are implementing a procurement and sourcing process that will leverage our size and total purchasing ability to realize savings and discounts through consolidation and reduction of the number of suppliers we use;</w:t>
      </w:r>
    </w:p>
    <w:p>
      <w:pPr>
        <w:spacing w:after="0" w:line="17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Information Technology. We are continuing to improve system processes and capabilities needed to transition our entire company to our business model of operational excellence;</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People Performance Management. We are aligning our incentive compensation with our strategies and guiding changes in our corporate culture;</w:t>
      </w:r>
    </w:p>
    <w:p>
      <w:pPr>
        <w:spacing w:after="0" w:line="17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Safety, Ethics and Compliance. We are committed to providing a safe workplace for all employees and are creating a compliance culture in which abidance with laws and regulations and focus on integrity are the key factors;</w:t>
      </w:r>
    </w:p>
    <w:p>
      <w:pPr>
        <w:spacing w:after="0" w:line="178"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Price/Revenue Management. We are improving our pricing analysis capabilities and developing and implementing new revenue management systems;</w:t>
      </w:r>
    </w:p>
    <w:p>
      <w:pPr>
        <w:spacing w:after="0" w:line="1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Sales Force Effectiveness. We are providing tools, leadership and incentives throughout our company that are designed to enable our sales force to improve its effectiveness and increase revenue; and</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Financing. We are utilizing a significant portion of our free cash flow to repurchase common stock as a means of enhancing stockholder value.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2002, we announced our plan to adopt a new organizational structure to support our business strategy. The new structure is designed to make us more market-based and customer driven, thereby aligning our organizational structure with our strategy. The new structure aligns the decision-making, staff support and operations of the field with metropolitan statistical areas that closely parallel the generation, transport and movement of solid waste in the United States. We believe that our new structure will improve our business by optimizing our resources, assets and people to lower our cost structure.</w:t>
      </w:r>
    </w:p>
    <w:p>
      <w:pPr>
        <w:spacing w:after="0" w:line="214"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Our executive offices and the executive offices of Waste Management Holdings, Inc., are located at 1001 Fannin Street, Suite 4000, Houston, Texas 77002, and our telephone number is (713) 512-6200.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the information set forth in this prospectus, you should carefully consider the risks described below and in the accompanying prospectus supplement before making an investment in the securities offered. The risks described below are not the only ones facing us. There may be additional risks not presently known to us or that we currently deem immaterial which may also impair our business operations.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COULD BE LIABLE FOR ENVIRONMENTAL DAMAGES RESULTING FROM OUR OPERATIONS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could be liable if our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07" w:lineRule="exact"/>
        <w:rPr>
          <w:sz w:val="20"/>
          <w:szCs w:val="20"/>
          <w:color w:val="auto"/>
        </w:rPr>
      </w:pPr>
    </w:p>
    <w:p>
      <w:pPr>
        <w:ind w:left="740" w:right="1999" w:hanging="205"/>
        <w:spacing w:after="0" w:line="237"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07"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82"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adverse outcome of one or more of these proceedings could have a material adverse effect on our financial condition, results of operations and cash flows.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successful, we may incur fines, penalties or other sanctions that could have a material adverse effect on our financial condition, results of operations and cash flows.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our insurance coverage for environmental liability, if we were to incur liability for environmental damage, such liability could have a material adverse effect on our financial condition, results of operations and cash flows.</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and we do not anticipate any difficulties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970" w:gutter="0" w:footer="0" w:header="0"/>
        </w:sectPr>
      </w:pPr>
    </w:p>
    <w:bookmarkStart w:id="8" w:name="page9"/>
    <w:bookmarkEnd w:id="8"/>
    <w:p>
      <w:pPr>
        <w:ind w:right="2099"/>
        <w:spacing w:after="0" w:line="235" w:lineRule="auto"/>
        <w:rPr>
          <w:sz w:val="20"/>
          <w:szCs w:val="20"/>
          <w:color w:val="auto"/>
        </w:rPr>
      </w:pPr>
      <w:r>
        <w:rPr>
          <w:rFonts w:ascii="Courier New" w:cs="Courier New" w:eastAsia="Courier New" w:hAnsi="Courier New"/>
          <w:sz w:val="18"/>
          <w:szCs w:val="18"/>
          <w:color w:val="auto"/>
        </w:rPr>
        <w:t>GOVERNMENTAL REGULATIONS MAY RESTRICT OUR OPERATIONS OR INCREASE OUR COSTS OF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211" w:lineRule="exact"/>
        <w:rPr>
          <w:sz w:val="20"/>
          <w:szCs w:val="20"/>
          <w:color w:val="auto"/>
        </w:rPr>
      </w:pPr>
    </w:p>
    <w:p>
      <w:pPr>
        <w:ind w:left="740" w:right="2619" w:hanging="205"/>
        <w:spacing w:after="0" w:line="236"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and regulations on collection and disposal prices, rates and volumes;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or transportation of out-of-state waste or certain categories of waste;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and determined to be impaired, any pending acquisition that is not consummated and any disposal site development or expansion project that is not completed and determined to be impaired. The charge against earnings is reduced by any portion of the capitalized expenditure and advances that we estimate will be recoverable, through sale or otherwise. In future periods, we may be required to incur charges against earnings in accordance with our policy. Depending on the magnitude, any such charges could have a material adverse effect on our results of operations.</w:t>
      </w:r>
    </w:p>
    <w:p>
      <w:pPr>
        <w:spacing w:after="0" w:line="208"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mandate recycling and waste reduction at the source and prohibit the disposal of certain types of wastes, such as yard wastes, at landfills or waste-to-energy facilities. Although such mandates can be a useful tool to protect our environment,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1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w:t>
      </w: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59" w:gutter="0" w:footer="0" w:header="0"/>
        </w:sectPr>
      </w:pPr>
    </w:p>
    <w:bookmarkStart w:id="9" w:name="page10"/>
    <w:bookmarkEnd w:id="9"/>
    <w:p>
      <w:pPr>
        <w:ind w:right="1779"/>
        <w:spacing w:after="0" w:line="279" w:lineRule="auto"/>
        <w:rPr>
          <w:sz w:val="20"/>
          <w:szCs w:val="20"/>
          <w:color w:val="auto"/>
        </w:rPr>
      </w:pPr>
      <w:r>
        <w:rPr>
          <w:rFonts w:ascii="Courier New" w:cs="Courier New" w:eastAsia="Courier New" w:hAnsi="Courier New"/>
          <w:sz w:val="16"/>
          <w:szCs w:val="16"/>
          <w:color w:val="auto"/>
        </w:rPr>
        <w:t>the winter months. Our first and fourth quarter results of operations typically reflect this seasonality. In addition, particularly harsh weather conditions may result in the temporary suspension of certain of our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FLUCTUATIONS IN COMMODITY PRICES AFFECT OUR OPERATING REVENUES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recycling operations process for sale certain recyclable materials such as paper, plastics, aluminum and other commodities, all of which are subject to significant price fluctuations. Additionally, there may be significant price fluctuations in the price of methane gas, electricity and other energy-related products that are marketed and sold by our landfill gas recovery, waste-to-energy and independent power production plants operations. These fluctuations may affect our future operating income and cash flows.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three different occasions during July and August 1999, we lowered our expected earnings per share for the three months ended June 30, 1999. More than 30 lawsuits that claim to be based on our 1999 announcements have been filed against us and some of our current and former officers and directors. These lawsuits, which have been consolidated into one action, assert various claims under the federal securities laws, including claims that (1) the projections we made about our June 30, 1999 earnings were false and misleading, (2) we failed to disclose information about our earnings projections that would have been important to purchasers of our stock, (3) we made further misrepresentations after July 29, 1999 about our operations and finances, resulting in our company taking a pre-tax charge of $1.76 billion in the third quarter of 1999, and (4) we made false or misleading representations in the registration statement and prospectus filed with the SEC in connection with our July 1998 acquisition of Waste Management Holdings. The plaintiffs also claim that certain of our current and former officers and directors sold their common stock during times when they knew the price was artificially inflated by the alleged misstatements and omissions.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November 7, 2001, we announced that we had reached a settlement agreement with the plaintiffs in this case, resolving all claims against us as well as claims against our current and former officers and directors. The agreement provides for a payment of $457 million to members of the class and for us to consent to the certification of a class for the settlement of purchasers or acquirers of our securities from June 11, 1998 through November 9, 1999. Additionally, as part of the settlement agreement, in May 2002 our stockholders approved an amendment to our certificate of incorporation so that all of our directors are elected annually. A hearing was held April 29, 2002 at which the settlement was approved. The settlement approval is still subject to any appeals that may be filed within thirty days of the approval becoming final. There is currently a motion to vacate pending before the court, and the appeal period will begin to run once that motion has been decided.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lawsuits relating to the facts described above, and the February 1998 restatements by Waste Management Holdings of its prior-period financial statements, including purported class actions, have been filed against Waste Management Holdings and us. These include lawsuits brought by individuals who purchased our stock or stock of Waste Management Holdings, sold businesses or assets to us or Waste Management Holdings, or held their stock allegedly in reliance on statements we made. For a more detailed discussion of our current litigation, see Note 8, "Commitments and Contingencies" to our Consolidated Financial Statements in our Quarterly Report on Form 10-Q for the period ended June 30, 2002 incorporated by reference herein.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and some of our subsidiaries are also currently involved in other civil litigation and governmental proceedings relating to the conduct of our business. We cannot predict or determine the outcome or resolution of all of the proceedings brought against us or our subsidiaries. In addition, the timing of the final resolutions to these matters is uncertain. The possible outcomes or resolutions to these matters or any new litigation or governmental proceedings could include judgments against us or settlements, either of</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0" w:name="page11"/>
    <w:bookmarkEnd w:id="10"/>
    <w:p>
      <w:pPr>
        <w:ind w:right="1779"/>
        <w:spacing w:after="0" w:line="290" w:lineRule="auto"/>
        <w:rPr>
          <w:sz w:val="20"/>
          <w:szCs w:val="20"/>
          <w:color w:val="auto"/>
        </w:rPr>
      </w:pPr>
      <w:r>
        <w:rPr>
          <w:rFonts w:ascii="Courier New" w:cs="Courier New" w:eastAsia="Courier New" w:hAnsi="Courier New"/>
          <w:sz w:val="16"/>
          <w:szCs w:val="16"/>
          <w:color w:val="auto"/>
        </w:rPr>
        <w:t>which could require substantial payments by us and thus could have a material adverse effect on our financial condition, results of operations and cash flows.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municipal contracts.</w:t>
      </w:r>
    </w:p>
    <w:p>
      <w:pPr>
        <w:spacing w:after="0" w:line="39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FACE POTENTIAL DIFFICULTIES IMPLEMENTING OUR NEW ORGANIZATIONAL PLAN AND MANAGING OUR PAST GROWTH</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March 2002, we announced our plan to adopt a new organizational structure. This structure changes the way in which our field operations are set up and reduces the staffing levels in the field. The new structure aligns the decision-making, staff support and operations of our field operations with metropolitan statistical areas that closely parallel the generation, transport and movement of solid waste in the United States. We believe that the new structure will improve our business by optimizing our resources, assets and people to lower our cost structure and add value for our stockholders. However, there can be no assurance that implementation of our plan will be without disruption to our operations or that the new structure will result in the benefits anticipated. For a more detailed discussion of our new organizational structure, see Note 25, "Subsequent Events" to the Consolidated Financial Statements in our Annual Report on Form 10-K for the year ended December 31, 2001 incorporated by reference herein.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recent years, we have made a number of acquisitions, some of them substantial. Our future financial results and prospects depend in part on our ability to successfully manage and improve the operating efficiencies and productivity of these acquired operations. In particular, whether the anticipated benefits of our acquired operations are ultimately achieved will depend on a number of factors, including our ability to achieve administrative cost savings, rationalization of collection routes, insurance and bonding cost reductions, general economies of scale and our ability, generally, to capitalize on our asset base and strategic position. Our acquisitions also involve the potential risk that we failed to accurately assess all of the pre-existing liabilities of the companies acquired.</w:t>
      </w:r>
    </w:p>
    <w:p>
      <w:pPr>
        <w:spacing w:after="0" w:line="216"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EFFORTS BY LABOR UNIONS TO ORGANIZE OUR EMPLOYEES COULD DIVERT MANAGEMENT ATTENTION AND INCREASE OUR OPERATING EXPENSES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We cannot predict which, if any, groups of employees may seek union representation in the future or the outcome of collective bargaining. The negotiation of these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such work stoppages, our operating expenses could increase significantly, which could adversely affect our financial condition, results of operations and cash flows.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FLUCTUATIONS IN FUEL COSTS COULD AFFECT OUR OPERATING EXPENSES AND RESULTS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price and supply of fuel is unpredictable and fluctuates based on events outside our control, including geopolitical developments, supply and demand for oil and gas, actions by OPEC and other oil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1" w:name="page12"/>
    <w:bookmarkEnd w:id="11"/>
    <w:p>
      <w:pPr>
        <w:ind w:right="1879"/>
        <w:spacing w:after="0" w:line="237" w:lineRule="auto"/>
        <w:rPr>
          <w:sz w:val="20"/>
          <w:szCs w:val="20"/>
          <w:color w:val="auto"/>
        </w:rPr>
      </w:pPr>
      <w:r>
        <w:rPr>
          <w:rFonts w:ascii="Courier New" w:cs="Courier New" w:eastAsia="Courier New" w:hAnsi="Courier New"/>
          <w:sz w:val="18"/>
          <w:szCs w:val="18"/>
          <w:color w:val="auto"/>
        </w:rPr>
        <w:t>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RISKS RELATING TO GENERAL ECONOMIC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face risks related to general economic and market conditions, including the potential impact of the status of the economy and interest rate fluctuations. We also face risks related to other adverse 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 and cash flows.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NEED ADDITIONAL CAPITAL IF OUR CASH FLOW IS LESS THAN EXPECTED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currently expect to generate sufficient cash flow from operations to cover our anticipated cash needs for capital expenditures, acquisitions and other cash expenditures. However, in February 2002 we announced a stock buy back program of up to $1 billion annually, and we expect to fund the settlement of our stockholder class action lawsuit in late 2002. If our cash flow from operations is less than currently expected, or our capital requirements increase, either due to strategic decisions or otherwise, or if we buy back stock such that our available cash is reduced, we may elect to incur further indebtedness or issue equity securities to cover any additional capital needs. However, we cannot guarantee that we will be successful in obtaining additional capital on acceptable terms. Our credit facilities require us to comply with certain financial ratios. If our cash flows are less than expected or our capital requirements are more than expected, we may not be in compliance with the ratios. This would result in a default under our credit agreements. If there were a default, we may not be able to obtain waivers or amendments to our credit facilities, and the lenders could choose to declare all outstanding borrowings due and payable. If that happened, there can be no assurances that we could fully repay the amounts due. Since we are partially dependent on our credit facilities to fund borrowing and bonding needs, any default would have a material adverse effect on our consolidated financial condition, results of operation and cash flows.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ENCOUNTER DIFFICULTIES WITH OUR ENTERPRISE SOFTWARE</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We have recently deployed enterprise-wide software systems that replaced our previous financial, human resources and payroll systems. These systems may contain errors or cause other problems that could adversely affect, or even temporarily disrupt, all or a portion of our operations until resolved.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EFFECT OF CERTAIN ANTI-TAKEOVER PROVISIONS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provisions of our Certificate of Incorporation and Bylaws may make it more difficult for a third party to acquire us in a transaction that is not approved by our Board of Directors. For example, our Board of Directors has the power to issue up to 10,000,000 shares of our preferred stock in one or more series, and to fix the rights and preferences of any series, without further authorization by the holders of our common stock. This provision is designed to permit us to develop our businesses and foster our long-term growth without the disruption caused by the threat of a takeover that our Board of Directors does not think is in our best interests or in the best interests of our stockholders. Also, third parties may be discouraged from making a tender offer or otherwise attempting to gain control of us even though the attempt might be beneficial economically to us and our stockholders.</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2" w:name="page13"/>
    <w:bookmarkEnd w:id="12"/>
    <w:p>
      <w:pPr>
        <w:ind w:right="1999"/>
        <w:spacing w:after="0" w:line="235" w:lineRule="auto"/>
        <w:rPr>
          <w:sz w:val="20"/>
          <w:szCs w:val="20"/>
          <w:color w:val="auto"/>
        </w:rPr>
      </w:pPr>
      <w:r>
        <w:rPr>
          <w:rFonts w:ascii="Courier New" w:cs="Courier New" w:eastAsia="Courier New" w:hAnsi="Courier New"/>
          <w:sz w:val="18"/>
          <w:szCs w:val="18"/>
          <w:color w:val="auto"/>
        </w:rPr>
        <w:t>FRAUDULENT TRANSFER STATUTES MAY LIMIT YOUR RIGHTS UNDER THE GUARANTEES OF THE DEBT SECURITIES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obligations under the debt securities may be guaranteed by Waste Management Holdings, our wholly owned subsidiary. The guarantees may be subject to review under various laws for the protection of creditors. It is possible that the creditors of Waste Management Holdings may challenge the guarantees as fraudulent transfers under relevant federal and state laws, by claiming, for example, that, since a guarantee was incurred for the benefit of Waste Management (and only indirectly, if at all, for the benefit of Waste Management Holdings), the obligations of the guarantor were incurred for less than reasonably equivalent value or fair consideration. Under certain circumstances, including a finding that Waste Management Holdings was insolvent at the time its guarantees were issued, a court could hold that the obligations of Waste Management Holdings under the guarantees may be voided or are subordinate to other obligations of Waste Management Holdings or that the amount for which Waste Management Holdings is liable under its guarantees of the debt securities may be limited. Different jurisdictions define "insolvency" differently. However, Waste Management Holdings generally would be considered insolvent at the time it guaranteed the debt securities if (1) the fair market value (or fair saleable value) of its assets is less than the amount required to pay its total existing debts and liabilities (including the probable liability on contingent liabilities) as they become absolute or matured or (2) Waste Management Holdings were incurring debts beyond its ability to pay as such debts mature. We cannot assure you as to what standard a court would apply in order to determine whether Waste Management Holdings was "insolvent" as of the date the debt securities were guaranteed, and we cannot assure you that, regardless of the method of valuation, a court would not determine that Waste Management Holdings were insolvent on that date. Nor can we assure you that a court would not determine, regardless of whether Waste Management Holdings were insolvent on the date the guarantees were issued, that the guarantees constituted fraudulent transfers on another ground.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an attempt to limit the applicability of fraudulent transfer laws, the guarantees will limit the amount of the guarantees of Waste Management Holdings to the amount that will result in the guarantees not constituting fraudulent transfers or improper corporate distributions, but we cannot be certain which standard a court would apply in making a determination regarding the maximum liability of Waste Management Holdings.</w:t>
      </w: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When we make statements (i) containing projections about our accounting and finances, (ii) about our plans and objectives for the future, (iii) on our future economic performance, (iv) containing any other projections or estimates about our assumptions relating to the statements in clauses (i)-(iii), we are making forward-looking statements. This prospectus, including the information incorporated by reference, contains forward-looking statements. These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 unless otherwise required by the securities laws.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Outlined above under the caption "Risk Factors" are some of the risks that we face and that could affect our business and financial statements for 2002 and beyond. However, they are not the only risks that we face. There may be additional risks that we do not presently know of or that we currently believe are immaterial which could also impair our business. We do not intend to update the risk factors in this prospectus unless the securities laws require us to do so.</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3" w:name="page14"/>
    <w:bookmarkEnd w:id="13"/>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otherwise described in any prospectus supplement, we will use the net proceeds from the sale of our debt securities or common stock for general corporate purposes. These purposes may include funding working capital requirements, capital expenditures, repayment and refinancing of indebtedness and repurchases and redemptions of our securities. We will determine any specific allocation of the net proceeds of an offering to a specific purpose at the time of such offering and will describe the specific allocation in the related prospectus supplement. The net proceeds of any offerings under this prospectus may initially be invested in short-term marketable securities pending their ultimate application.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also issue shares of our common stock to settle litigation and other claims or to satisfy judgments or arbitration awards. We will not receive any cash proceeds from these issuances but will eliminate an actual or potential liability.</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shown:</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YEARS</w:t>
      </w:r>
    </w:p>
    <w:p>
      <w:pPr>
        <w:ind w:left="160"/>
        <w:spacing w:after="0" w:line="238" w:lineRule="auto"/>
        <w:rPr>
          <w:sz w:val="20"/>
          <w:szCs w:val="20"/>
          <w:color w:val="auto"/>
        </w:rPr>
      </w:pPr>
      <w:r>
        <w:rPr>
          <w:rFonts w:ascii="Courier New" w:cs="Courier New" w:eastAsia="Courier New" w:hAnsi="Courier New"/>
          <w:sz w:val="18"/>
          <w:szCs w:val="18"/>
          <w:color w:val="auto"/>
        </w:rPr>
        <w:t>ENDED</w:t>
      </w:r>
    </w:p>
    <w:p>
      <w:pPr>
        <w:spacing w:after="0"/>
        <w:rPr>
          <w:sz w:val="20"/>
          <w:szCs w:val="20"/>
          <w:color w:val="auto"/>
        </w:rPr>
      </w:pPr>
      <w:r>
        <w:rPr>
          <w:rFonts w:ascii="Courier New" w:cs="Courier New" w:eastAsia="Courier New" w:hAnsi="Courier New"/>
          <w:sz w:val="18"/>
          <w:szCs w:val="18"/>
          <w:color w:val="auto"/>
        </w:rPr>
        <w:t>DECEMBER</w:t>
      </w:r>
    </w:p>
    <w:p>
      <w:pPr>
        <w:ind w:left="60"/>
        <w:spacing w:after="0" w:line="237" w:lineRule="auto"/>
        <w:rPr>
          <w:sz w:val="20"/>
          <w:szCs w:val="20"/>
          <w:color w:val="auto"/>
        </w:rPr>
      </w:pPr>
      <w:r>
        <w:rPr>
          <w:rFonts w:ascii="Courier New" w:cs="Courier New" w:eastAsia="Courier New" w:hAnsi="Courier New"/>
          <w:sz w:val="18"/>
          <w:szCs w:val="18"/>
          <w:color w:val="auto"/>
        </w:rPr>
        <w:t>31, SIX</w:t>
      </w:r>
    </w:p>
    <w:p>
      <w:pPr>
        <w:ind w:left="120"/>
        <w:spacing w:after="0" w:line="238" w:lineRule="auto"/>
        <w:rPr>
          <w:sz w:val="20"/>
          <w:szCs w:val="20"/>
          <w:color w:val="auto"/>
        </w:rPr>
      </w:pPr>
      <w:r>
        <w:rPr>
          <w:rFonts w:ascii="Courier New" w:cs="Courier New" w:eastAsia="Courier New" w:hAnsi="Courier New"/>
          <w:sz w:val="18"/>
          <w:szCs w:val="18"/>
          <w:color w:val="auto"/>
        </w:rPr>
        <w:t>MONTHS</w:t>
      </w:r>
    </w:p>
    <w:p>
      <w:pPr>
        <w:ind w:left="260" w:hanging="202"/>
        <w:spacing w:after="0"/>
        <w:tabs>
          <w:tab w:leader="none" w:pos="2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JUNE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N/A(1)</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N/A(2)</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N/A(3)</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37"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of its operating assets and investments.</w:t>
      </w:r>
    </w:p>
    <w:p>
      <w:pPr>
        <w:spacing w:after="0" w:line="212"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and Waste Management Holdings in July 1998, and Waste Management and Eastern Environmental Services, Inc. in December 1998.</w:t>
      </w:r>
    </w:p>
    <w:p>
      <w:pPr>
        <w:spacing w:after="0" w:line="211" w:lineRule="exact"/>
        <w:rPr>
          <w:rFonts w:ascii="Courier New" w:cs="Courier New" w:eastAsia="Courier New" w:hAnsi="Courier New"/>
          <w:sz w:val="18"/>
          <w:szCs w:val="18"/>
          <w:color w:val="auto"/>
        </w:rPr>
      </w:pPr>
    </w:p>
    <w:p>
      <w:pPr>
        <w:ind w:left="420" w:right="1779" w:hanging="412"/>
        <w:spacing w:after="0" w:line="279" w:lineRule="auto"/>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fund fixed charges in 1999. Additional earnings available for fixed charges of $173 million were needed to cover fixed charges for this period. The earnings available for fixed charges were</w:t>
      </w:r>
    </w:p>
    <w:p>
      <w:pPr>
        <w:sectPr>
          <w:pgSz w:w="11900" w:h="16838" w:orient="portrait"/>
          <w:cols w:equalWidth="0" w:num="1">
            <w:col w:w="10219"/>
          </w:cols>
          <w:pgMar w:left="240" w:top="717" w:right="1440" w:bottom="0" w:gutter="0" w:footer="0" w:header="0"/>
        </w:sectPr>
      </w:pPr>
    </w:p>
    <w:bookmarkStart w:id="14" w:name="page15"/>
    <w:bookmarkEnd w:id="14"/>
    <w:p>
      <w:pPr>
        <w:ind w:left="420" w:right="1779"/>
        <w:spacing w:after="0" w:line="237" w:lineRule="auto"/>
        <w:rPr>
          <w:sz w:val="20"/>
          <w:szCs w:val="20"/>
          <w:color w:val="auto"/>
        </w:rPr>
      </w:pPr>
      <w:r>
        <w:rPr>
          <w:rFonts w:ascii="Courier New" w:cs="Courier New" w:eastAsia="Courier New" w:hAnsi="Courier New"/>
          <w:sz w:val="18"/>
          <w:szCs w:val="18"/>
          <w:color w:val="auto"/>
        </w:rPr>
        <w:t>negatively impacted by merger costs of $45 million primarily related to the merger between Waste Management and Waste Management Holdings during July 1998 and asset impairments and unusual items of $739 million primarily related to losses on businesses sold and held-for-sale adjustments for businesses to be sold and, to a lesser extent, asset impairments related to landfill sites and other operating assets due to abandonment and closures of facilities, denials and permits, regulatory problems and a more stringent criteria used by Waste Management in determining the probability of landfill expansions.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2" w:right="1440" w:bottom="1440" w:gutter="0" w:footer="0" w:header="0"/>
        </w:sectPr>
      </w:pPr>
    </w:p>
    <w:bookmarkStart w:id="15" w:name="page16"/>
    <w:bookmarkEnd w:id="15"/>
    <w:p>
      <w:pPr>
        <w:ind w:left="26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debt securities will constitute either our senior debt, or "senior debt securities," or our subordinated debt, or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previously entered into a Senior Debt Indenture dated as of September 10, 1997 with Texas Commerce Bank National Association, now known as JPMorgan Chase Bank ("JPMorgan Chase"), and a Subordinated Debt Indenture dated as of February 1, 1997 with JPMorgan Chase. Copies of these indentures are filed as exhibits to the Registration Statement of which this prospectus is a part. The Senior Debt Indenture and the Subordinated Debt Indenture, as amended or supplemented from time to time, are sometimes referred to individually as an "Indenture" and collectively as the "Indentures." JPMorgan Chase (and any successors thereto as trustees under the respective Indentures) is referred to as the "Trustee."</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of our covenants and provisions relating to subordination and conversion.</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provided in a prospectus supplement, Waste Management Holdings will guarantee our obligations under the debt securities on the terms set forth in the prospectus supplement. See "Description of Guarantees." Our operations are conducted through our subsidiaries, and therefore, we are primarily dependent on the earnings and cash flows of our subsidiaries to meet our debt service obligations.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our debt securities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securities interest of other creditors of such subsidiary. Therefore, except as described herein or in a prospectus supplement, our debt securities will be subordinated by operation of law to creditors, including trade creditors, of our subsidiaries with respect to the assets of the subsidiaries, against which these creditors have a claim. The following description of the debt securities sets forth certain general terms and provisions of the debt securities of all series. The particular terms of each series of debt securities offered by any prospectus supplement will be described therein.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TO BOTH SENIOR AND SUBORDINATED DEBT SECURITIES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General. The debt securities will be our unsecured senior or subordinated obligations and may be issued from time to time in one or more series. The Indentures do not limit the amount of debt securities, debentures, notes or other types of indebtedness that we may issue or that any of our subsidiaries may issue. The Indentures do not, other than as may be set forth in any prospectus supplement, restrict transactions between us and our affiliates or the payment of dividends or other distributions by us to our stockholders. The rights of our creditors, including holders of debt securities, will be limited to our assets and will not be an obligation of any of our Subsidiaries (other than any guarantee by Waste Management Holdings). In addition, other than as may be set forth in any prospectus supplement, the Indentures do not and the debt securities will not contain any covenants or other provisions that are intended to afford holders of the debt securities special protection in the event we experience either a change of control or a highly leveraged transaction.</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767" w:gutter="0" w:footer="0" w:header="0"/>
        </w:sectPr>
      </w:pPr>
    </w:p>
    <w:bookmarkStart w:id="16" w:name="page17"/>
    <w:bookmarkEnd w:id="16"/>
    <w:p>
      <w:pPr>
        <w:ind w:right="1999" w:firstLine="527"/>
        <w:spacing w:after="0" w:line="236" w:lineRule="auto"/>
        <w:rPr>
          <w:sz w:val="20"/>
          <w:szCs w:val="20"/>
          <w:color w:val="auto"/>
        </w:rPr>
      </w:pPr>
      <w:r>
        <w:rPr>
          <w:rFonts w:ascii="Courier New" w:cs="Courier New" w:eastAsia="Courier New" w:hAnsi="Courier New"/>
          <w:sz w:val="18"/>
          <w:szCs w:val="18"/>
          <w:color w:val="auto"/>
        </w:rPr>
        <w:t>Reference is made to the prospectus supplement for the following terms of and information relating to the debt securities (to the extent such terms are applicable to such debt securities):</w:t>
      </w:r>
    </w:p>
    <w:p>
      <w:pPr>
        <w:spacing w:after="0" w:line="203" w:lineRule="exact"/>
        <w:rPr>
          <w:sz w:val="20"/>
          <w:szCs w:val="20"/>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debt securities;</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classification as either senior debt securities or subordinated debt securities;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guarantee by Waste Management Holdings of the debt securities;</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w:t>
      </w: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on the aggregate principal amount of the debt securities;</w:t>
      </w:r>
    </w:p>
    <w:p>
      <w:pPr>
        <w:spacing w:after="0" w:line="206"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debt securities are to be issuable as Registered Securities or Bearer Securities or both, whether any of the debt securities are to be issuable initially in temporary global form and whether any of the debt securities are to be in permanent global form;</w:t>
      </w:r>
    </w:p>
    <w:p>
      <w:pPr>
        <w:spacing w:after="0" w:line="182"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or prices (expressed as a percentage of the aggregate principal amount thereof) at which the debt securities will be issued;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debt securities will mature;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per annum (or the method by which such will be determined) at which the debt securities will bear interest, if any, and the date from which any such interest will accrue;</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w:t>
      </w: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mandatory or optional sinking fund or analogous provisions;</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office or agency where, subject to the terms of the Indentures as described below under "-- Payment and Paying Agents," the principal of and any premium and interest on the debt securities will be payable and each office or agency where, subject to the terms of the Indentures as described below under "-- Form, Exchange, Registration and Transfer," the debt securities may be presented for registration of transfer or exchange;</w:t>
      </w: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right, if any, or our obligation, if any, to redeem the debt securities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w:t>
      </w:r>
    </w:p>
    <w:p>
      <w:pPr>
        <w:spacing w:after="0" w:line="209" w:lineRule="exact"/>
        <w:rPr>
          <w:rFonts w:ascii="Courier New" w:cs="Courier New" w:eastAsia="Courier New" w:hAnsi="Courier New"/>
          <w:sz w:val="18"/>
          <w:szCs w:val="18"/>
          <w:color w:val="auto"/>
        </w:rPr>
      </w:pPr>
    </w:p>
    <w:p>
      <w:pPr>
        <w:ind w:left="740" w:right="1999" w:hanging="205"/>
        <w:spacing w:after="0" w:line="273" w:lineRule="auto"/>
        <w:tabs>
          <w:tab w:leader="none" w:pos="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w:t>
      </w:r>
    </w:p>
    <w:p>
      <w:pPr>
        <w:spacing w:after="0" w:line="184" w:lineRule="exact"/>
        <w:rPr>
          <w:rFonts w:ascii="Courier New" w:cs="Courier New" w:eastAsia="Courier New" w:hAnsi="Courier New"/>
          <w:sz w:val="16"/>
          <w:szCs w:val="16"/>
          <w:color w:val="auto"/>
        </w:rPr>
      </w:pPr>
    </w:p>
    <w:p>
      <w:pPr>
        <w:ind w:left="740" w:right="2319" w:hanging="205"/>
        <w:spacing w:after="0" w:line="236"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currency or currencies (including composite currencies) in which payment of principal of and any premium and interest on the debt securities is payable if other than United States dollars;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index used to determine the amount of payments of principal of and any premium and interest on the debt securities;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book-entry procedures, if any;</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deletions from, modification of or additions to the Events of Default or our covenants with respect to such debt securities; and</w:t>
      </w:r>
    </w:p>
    <w:p>
      <w:pPr>
        <w:sectPr>
          <w:pgSz w:w="11900" w:h="16838" w:orient="portrait"/>
          <w:cols w:equalWidth="0" w:num="1">
            <w:col w:w="10219"/>
          </w:cols>
          <w:pgMar w:left="240" w:top="723" w:right="1440" w:bottom="0" w:gutter="0" w:footer="0" w:header="0"/>
        </w:sectPr>
      </w:pPr>
    </w:p>
    <w:bookmarkStart w:id="17" w:name="page18"/>
    <w:bookmarkEnd w:id="17"/>
    <w:p>
      <w:pPr>
        <w:ind w:left="740" w:right="273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debt securities not inconsistent with the provisions of the Indentures. (Section 301)</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Any prospectus supplement will also describe any special provisions for the payment of additional amounts with respect to the debt securities.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1440" w:gutter="0" w:footer="0" w:header="0"/>
        </w:sectPr>
      </w:pPr>
    </w:p>
    <w:bookmarkStart w:id="18" w:name="page19"/>
    <w:bookmarkEnd w:id="18"/>
    <w:p>
      <w:pPr>
        <w:ind w:right="1779" w:firstLine="527"/>
        <w:spacing w:after="0" w:line="238" w:lineRule="auto"/>
        <w:rPr>
          <w:sz w:val="20"/>
          <w:szCs w:val="20"/>
          <w:color w:val="auto"/>
        </w:rPr>
      </w:pPr>
      <w:r>
        <w:rPr>
          <w:rFonts w:ascii="Courier New" w:cs="Courier New" w:eastAsia="Courier New" w:hAnsi="Courier New"/>
          <w:sz w:val="18"/>
          <w:szCs w:val="18"/>
          <w:color w:val="auto"/>
        </w:rPr>
        <w:t>Debt securities may be issued as Original Issue Discount Securities. An Original Issue Discount Security is a debt security, including any zero-coupon security, which is issued at a price lower than the amount payable upon the Stated Maturity of the security and which provides that upon redemption or acceleration of the maturity of the security an amount less than the amount payable upon the Stated Maturity of the security and determined in accordance with the terms of such debt security shall become due and payable. We will set forth any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in a prospectus supplement.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Debt securities of a series may also be issuable in temporary or permanent global form. (Section 201)</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39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Debt securities may be presented for exchange, and Registered Securities may be presented for registration of transfer, at the office of the Security Registrar or at the office of any transfer agent designated by us for such purpose with respect to any series of debt securities and referred to in an applicable prospectus supplement. Transfer and exchange will be effected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Trustee for the series of debt securities will serve as Security Registrar. (Section 305) If a prospectus supplement refers to any transfer agents (in addition to the Security Registrar) initially designated by us with respect to any series of debt securities, we may at any time rescind the designation of any such transfer agent or approve a change in the location through which any such transfer agent acts, except that, if debt securities of a series are issuable solely as Registered Securities, we will be required to maintain a transfer agent in each Place of Payment for such series and, if debt securities of a series are also issuable as Bearer Securities, we will be required to maintain (in addition to the Security Registrar) a transfer agent in a Place of Payment for such series located outside the United States. We may at any time designate additional transfer agents with respect to any series of debt securities. (Section 1002)</w:t>
      </w:r>
    </w:p>
    <w:p>
      <w:pPr>
        <w:spacing w:after="0" w:line="39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Title to any Bearer Securities (including Bearer Securities in permanent global form) and any coupons appertaining thereto will pass by delivery. We, the Trustee, our agents and the agents of the Trustee may treat the bearer of any Bearer Security and the bearer of any coupon and the registered holder of any Registered Security as the owner for the purpose of making payment and for all other purposes. (Section 308)</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9" w:name="page20"/>
    <w:bookmarkEnd w:id="19"/>
    <w:p>
      <w:pPr>
        <w:ind w:left="540"/>
        <w:spacing w:after="0"/>
        <w:rPr>
          <w:sz w:val="20"/>
          <w:szCs w:val="20"/>
          <w:color w:val="auto"/>
        </w:rPr>
      </w:pPr>
      <w:r>
        <w:rPr>
          <w:rFonts w:ascii="Courier New" w:cs="Courier New" w:eastAsia="Courier New" w:hAnsi="Courier New"/>
          <w:sz w:val="18"/>
          <w:szCs w:val="18"/>
          <w:color w:val="auto"/>
        </w:rPr>
        <w:t>In the event of any redemption in part, we shall not be required to:</w:t>
      </w:r>
    </w:p>
    <w:p>
      <w:pPr>
        <w:spacing w:after="0" w:line="207" w:lineRule="exact"/>
        <w:rPr>
          <w:sz w:val="20"/>
          <w:szCs w:val="20"/>
          <w:color w:val="auto"/>
        </w:rPr>
      </w:pPr>
    </w:p>
    <w:p>
      <w:pPr>
        <w:ind w:left="740" w:right="1779" w:hanging="205"/>
        <w:spacing w:after="0" w:line="23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register the transfer of or exchange debt securities of any series during a period beginning at the opening of business 15 days prior to the selection of debt securities of that series for redemption and ending on the close of business on:</w:t>
      </w:r>
    </w:p>
    <w:p>
      <w:pPr>
        <w:spacing w:after="0" w:line="207" w:lineRule="exact"/>
        <w:rPr>
          <w:rFonts w:ascii="Courier New" w:cs="Courier New" w:eastAsia="Courier New" w:hAnsi="Courier New"/>
          <w:sz w:val="18"/>
          <w:szCs w:val="18"/>
          <w:color w:val="auto"/>
        </w:rPr>
      </w:pPr>
    </w:p>
    <w:p>
      <w:pPr>
        <w:ind w:left="860" w:right="1779" w:hanging="220"/>
        <w:spacing w:after="0" w:line="290" w:lineRule="auto"/>
        <w:tabs>
          <w:tab w:leader="none" w:pos="86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debt securities of the series are issuable only as Registered Securities, the day of mailing of the relevant notice of redemption; and</w:t>
      </w:r>
    </w:p>
    <w:p>
      <w:pPr>
        <w:spacing w:after="0" w:line="169" w:lineRule="exact"/>
        <w:rPr>
          <w:rFonts w:ascii="Courier New" w:cs="Courier New" w:eastAsia="Courier New" w:hAnsi="Courier New"/>
          <w:sz w:val="16"/>
          <w:szCs w:val="16"/>
          <w:color w:val="auto"/>
        </w:rPr>
      </w:pPr>
    </w:p>
    <w:p>
      <w:pPr>
        <w:ind w:left="860" w:right="1879" w:hanging="220"/>
        <w:spacing w:after="0" w:line="237" w:lineRule="auto"/>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the transfer of or exchange any Registered Security, or portion thereof, called for redemption, except the unredeemed portion of any Registered Security being redeemed in part; or</w:t>
      </w:r>
    </w:p>
    <w:p>
      <w:pPr>
        <w:spacing w:after="0" w:line="208" w:lineRule="exact"/>
        <w:rPr>
          <w:rFonts w:ascii="Courier New" w:cs="Courier New" w:eastAsia="Courier New" w:hAnsi="Courier New"/>
          <w:sz w:val="18"/>
          <w:szCs w:val="18"/>
          <w:color w:val="auto"/>
        </w:rPr>
      </w:pPr>
    </w:p>
    <w:p>
      <w:pPr>
        <w:jc w:val="both"/>
        <w:ind w:left="740" w:right="2099" w:hanging="205"/>
        <w:spacing w:after="0" w:line="279" w:lineRule="auto"/>
        <w:tabs>
          <w:tab w:leader="none" w:pos="7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any Bearer Security called for redemption, except to exchange such Bearer Security for a Registered Security of that series and like tenor which is immediately surrendered for redemption. (Section 305)</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Replacement of Securities and Coupons. We will replace any mutilated Debt Security or any Debt Security with a mutilated coupon at the expense of the Holder upon surrender of the Debt Security to the Trustee. We will replace debt securities or coupons that become destroyed, stolen or lost at the expense of the Holder upon delivery to the Trustee of the Debt Security and coupons or evidence of destruction, loss or theft thereof satisfactory to us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to us may be required at the expense of the Holder of such Debt Security or coupon before a replacement Debt Security will be issued. (Section 306)</w:t>
      </w:r>
    </w:p>
    <w:p>
      <w:pPr>
        <w:spacing w:after="0" w:line="18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we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 our offices or agencies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our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39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Unless otherwise indicated in an applicable prospectus supplement, payment of principal of and any premium and interest on Registered Securities will be made at the office of the Paying Agent or Paying Agents as we may designate from time to time, except that at our option, payment of any interest may be made by check mailed on or before the due date to the address of the Person entitled thereto as such address shall appear in the Security Register. (Rule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the Trustee for the series of debt securities will act as our Paying Agent for payments with respect to debt securities which are issuable solely as Registered Securities and we will maintain a Paying Agent outside the United States for payments with respect to debt securities (subject to limitations described above in the case of Bearer Securities) which are issuable solely as Bearer Securities or as both Registered Securities and Bearer</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59" w:gutter="0" w:footer="0" w:header="0"/>
        </w:sectPr>
      </w:pPr>
    </w:p>
    <w:bookmarkStart w:id="20" w:name="page21"/>
    <w:bookmarkEnd w:id="20"/>
    <w:p>
      <w:pPr>
        <w:ind w:right="1879"/>
        <w:spacing w:after="0" w:line="270" w:lineRule="auto"/>
        <w:rPr>
          <w:sz w:val="20"/>
          <w:szCs w:val="20"/>
          <w:color w:val="auto"/>
        </w:rPr>
      </w:pPr>
      <w:r>
        <w:rPr>
          <w:rFonts w:ascii="Courier New" w:cs="Courier New" w:eastAsia="Courier New" w:hAnsi="Courier New"/>
          <w:sz w:val="16"/>
          <w:szCs w:val="16"/>
          <w:color w:val="auto"/>
        </w:rPr>
        <w:t>Securities. Any Paying Agents outside the United States and any other Paying Agents in the United States that we initially designate for the debt securities will be named in an applicable prospectus supplement. We may at any time designate additional Paying Agents or rescind the designation of any Paying Agent or approve a change in the office through which any Paying Agent acts, except that, if debt securities of a series are issuable solely as Registered Securities, we will be required to maintain a Paying Agent in each Place of Payment for such series and, if debt securities of a series are issuable as Bearer Securities, we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moneys paid by us to a Paying Agent for the payment of principal of and any premium or interest on any Debt Security which remain unclaimed at the end of two years after such principal, premium or interest shall have become due and payable will (subject to applicable escheat laws) be repaid to us, and the Holder of such Debt Security or any coupon will thereafter look only to us for payment thereof. (Section 1003)</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Guarantees. In order to enable us to obtain more favorable interest rates and terms, payment of principal of, premium, if any, and interest on the debt securities may (if so specified in the prospectus supplement) be guaranteed by Waste Management Holdings. See "Guarantees of Debt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21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specific terms of the depository arrangement with respect to a series of debt securities in the form of one or more global debt securities will be described in the prospectus supplement relating to that series.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Satisfaction and Discharge of Indenture. Each Indenture provides that we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Defeasance and Discharge. Each Indenture provides that, if we so elect by Board Resolution with respect to the debt securities of any series issued under such Indenture (other than convertible subordinated debt securities), we will be discharged from any and all obligations in respect of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In such case, however, we will not be discharged from our obligations under the Indenture relating to: temporary debt securities and exchange of debt securities, registration of transfer or exchange of debt securities of such series, replacement of stolen, lost or mutilated debt securities of such series, maintenance</w:t>
      </w: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970" w:gutter="0" w:footer="0" w:header="0"/>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of paying agencies to hold moneys for payment in trust and payment of additional amounts, if any, required in consequence of United States withholding taxes imposed on payments to non-United States persons. A trust may only be established if, among other things, we have delivered to the Trustee an Opinion of Counsel to the effect that:</w:t>
      </w:r>
    </w:p>
    <w:p>
      <w:pPr>
        <w:spacing w:after="0" w:line="209" w:lineRule="exact"/>
        <w:rPr>
          <w:sz w:val="20"/>
          <w:szCs w:val="20"/>
          <w:color w:val="auto"/>
        </w:rPr>
      </w:pPr>
    </w:p>
    <w:p>
      <w:pPr>
        <w:ind w:left="740" w:right="241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received from, or there has been published by, the Internal Revenue Service a ruling, or</w:t>
      </w:r>
    </w:p>
    <w:p>
      <w:pPr>
        <w:spacing w:after="0" w:line="208"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Covenant Defeasance. Each Indenture also provides that, if we so elect by Board Resolution with respect to the debt securities of any series issued thereunder, we may omit to comply with certain restrictive covenants, including (in the case of the Senior Debt Indenture) the covenants described under</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 Provisions Applicable Solely to Senior Debt Securities -- Limitation on Liens" and "-- Limitations on Sale and Leaseback Transactions," but excluding (in the case of the Subordinated Debt Indenture) any of our applicable obligations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Our obligations under such Indenture and the debt securities of such series other than with respect to such covenants shall remain in full force and effect. (Section 1303)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Although the amount of money and U.S. Government Obligations on deposit with the Trustee would be intended to be sufficient to pay amounts due on the debt securities of such series at the time of their Stated Maturity, in the event we exercise our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We shall in any event remain liable for such payments as provided in the applicable Indenture.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21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Meetings, Modification and Waiver. We and the Trustee may modify and amend either Indenture with the consent of the Holders of a majority in aggregate principal amount of the Outstanding Securities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22" w:name="page23"/>
    <w:bookmarkEnd w:id="22"/>
    <w:p>
      <w:pPr>
        <w:ind w:right="2319"/>
        <w:spacing w:after="0" w:line="236" w:lineRule="auto"/>
        <w:rPr>
          <w:sz w:val="20"/>
          <w:szCs w:val="20"/>
          <w:color w:val="auto"/>
        </w:rPr>
      </w:pPr>
      <w:r>
        <w:rPr>
          <w:rFonts w:ascii="Courier New" w:cs="Courier New" w:eastAsia="Courier New" w:hAnsi="Courier New"/>
          <w:sz w:val="18"/>
          <w:szCs w:val="18"/>
          <w:color w:val="auto"/>
        </w:rPr>
        <w:t>of each series affected by such modification or amendment. However, no such modification or amendment may, without the consent of the Holder of each Outstanding Security affected thereby:</w:t>
      </w:r>
    </w:p>
    <w:p>
      <w:pPr>
        <w:spacing w:after="0" w:line="209" w:lineRule="exact"/>
        <w:rPr>
          <w:sz w:val="20"/>
          <w:szCs w:val="20"/>
          <w:color w:val="auto"/>
        </w:rPr>
      </w:pPr>
    </w:p>
    <w:p>
      <w:pPr>
        <w:ind w:left="740" w:right="219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principal of or interest on, any Debt Security;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Date with respect to any Debt Security;</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premium or interest on, any Debt Security;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pay additional amounts;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amount of principal of an Original Issue Discount Security payable upon acceleration of the Maturity thereof;</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coin or currency in which any Debt Security or any premium or interest thereon is payable;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right of any Holder;</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Debt Security or any conversion right with respect thereto;</w:t>
      </w:r>
    </w:p>
    <w:p>
      <w:pPr>
        <w:spacing w:after="0" w:line="208"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Outstanding Securities of any series, the consent of whose Holders is required for modification or amendment of such Indenture or for waiver of compliance with certain provisions of such Indenture or for waiver of certain defaults;</w:t>
      </w:r>
    </w:p>
    <w:p>
      <w:pPr>
        <w:spacing w:after="0" w:line="182"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requirements contained in such Indenture for quorum or voting;</w:t>
      </w:r>
    </w:p>
    <w:p>
      <w:pPr>
        <w:spacing w:after="0" w:line="223" w:lineRule="exact"/>
        <w:rPr>
          <w:rFonts w:ascii="Courier New" w:cs="Courier New" w:eastAsia="Courier New" w:hAnsi="Courier New"/>
          <w:sz w:val="16"/>
          <w:szCs w:val="16"/>
          <w:color w:val="auto"/>
        </w:rPr>
      </w:pPr>
    </w:p>
    <w:p>
      <w:pPr>
        <w:ind w:left="740" w:right="219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maintain an office or agency in the places and for the purposes required by such Indenture;</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affect the right to convert subordinated debt securities, if applicable;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above provisions. (Section 902)</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Subordinated Debt Indenture may not be amended to alter the subordination of any outstanding subordinated debt securities without the consent of each holder of Senior Indebtedness (as defined below under "-- Provisions Applicable Solely to Subordinated Debt Securities") then outstanding that would be adversely affected thereby. (Section 907 of the Subordinated Debt Indenture)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Holders of a majority in aggregate principal amount of the Outstanding Securities of each series may, on behalf of all Holders of that series, waive, insofar as that series is concerned, our compliance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 that series, waive any past default under the applicable Indenture with respect to any debt securities of that series, except a default:</w:t>
      </w:r>
    </w:p>
    <w:p>
      <w:pPr>
        <w:spacing w:after="0" w:line="214" w:lineRule="exact"/>
        <w:rPr>
          <w:sz w:val="20"/>
          <w:szCs w:val="20"/>
          <w:color w:val="auto"/>
        </w:rPr>
      </w:pPr>
    </w:p>
    <w:p>
      <w:pPr>
        <w:ind w:left="740" w:right="209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payment of principal of, or premium, if any, or any interest on any Debt Security of such series; or</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a covenant or provision of such Indenture which cannot be modified or amended without the consent of the Holder of each Outstanding Security of such series affected. (Section 513)</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2" w:right="1440" w:bottom="1440" w:gutter="0" w:footer="0" w:header="0"/>
        </w:sectPr>
      </w:pPr>
    </w:p>
    <w:bookmarkStart w:id="23" w:name="page24"/>
    <w:bookmarkEnd w:id="23"/>
    <w:p>
      <w:pPr>
        <w:ind w:left="740" w:right="1779" w:hanging="205"/>
        <w:spacing w:after="0" w:line="237"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Original Issue Discount Security that is deemed to be Outstanding will be the amount of the principal that would be due and payable as of the date of such determination upon acceleration of the Maturity thereof, and</w:t>
      </w:r>
    </w:p>
    <w:p>
      <w:pPr>
        <w:spacing w:after="0" w:line="207" w:lineRule="exact"/>
        <w:rPr>
          <w:rFonts w:ascii="Courier New" w:cs="Courier New" w:eastAsia="Courier New" w:hAnsi="Courier New"/>
          <w:sz w:val="18"/>
          <w:szCs w:val="18"/>
          <w:color w:val="auto"/>
        </w:rPr>
      </w:pPr>
    </w:p>
    <w:p>
      <w:pPr>
        <w:ind w:left="740" w:right="1779" w:hanging="205"/>
        <w:spacing w:after="0" w:line="272" w:lineRule="auto"/>
        <w:tabs>
          <w:tab w:leader="none" w:pos="7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the preceding bullet point. (Section 101)</w:t>
      </w:r>
    </w:p>
    <w:p>
      <w:pPr>
        <w:spacing w:after="0" w:line="3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a series if debt securities of that series are issuable as Bearer Securities. (Section 1401) A meeting may be called at any time by the Trustee, and also, upon request, by us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 reconvened meeting, will be Persons holding or representing a majority in aggregate principal amount of the Outstanding Securities of a series. (Section 1404)</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18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Governing Law. The Indentures, the debt securities and coupons will be governed by, and construed in accordance with, the laws of the State of New York. (Section 113)</w:t>
      </w:r>
    </w:p>
    <w:p>
      <w:pPr>
        <w:spacing w:after="0" w:line="20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Regarding the Trustee. The Trustee appointed and serving as trustee pursuant to each of the Senior Debt Indenture and the Subordinated Debt Indenture is JPMorgan Chase.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Indenture contains certain limitations on the right of the Trustee, should it become our creditor, to obtain payment of claims in certain cases, or to realize for its own account on certain property received in respect of any such claim as security or otherwise. (Section 613) The Trustee is permitted to engage in certain other transactions but, if it acquires any conflicting interest (as described in the Indentures), it must eliminate such conflict or resign. (Section 608)</w:t>
      </w:r>
    </w:p>
    <w:p>
      <w:pPr>
        <w:spacing w:after="0" w:line="21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case an Event of Default occurs and is not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362" w:gutter="0" w:footer="0" w:header="0"/>
        </w:sectPr>
      </w:pPr>
    </w:p>
    <w:bookmarkStart w:id="24" w:name="page25"/>
    <w:bookmarkEnd w:id="24"/>
    <w:p>
      <w:pPr>
        <w:ind w:right="2199"/>
        <w:spacing w:after="0" w:line="236" w:lineRule="auto"/>
        <w:rPr>
          <w:sz w:val="20"/>
          <w:szCs w:val="20"/>
          <w:color w:val="auto"/>
        </w:rPr>
      </w:pPr>
      <w:r>
        <w:rPr>
          <w:rFonts w:ascii="Courier New" w:cs="Courier New" w:eastAsia="Courier New" w:hAnsi="Courier New"/>
          <w:sz w:val="18"/>
          <w:szCs w:val="18"/>
          <w:color w:val="auto"/>
        </w:rPr>
        <w:t>applicable Indenture at the request of any of the holders of debt securities unless they shall have offered to such Trustee security and indemnity satisfactory to it.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Trust Indenture Act, a trustee under an indenture may be deemed to have a conflicting interest, and may, under certain circumstances, be required to resign as trustee if the securities under such indenture are in default and the trustee is the trustee under another indenture under which any other securities of the same obligor are outstanding. In such event, the obligor must take prompt steps to have a successor trustee appointed in the manner provided in the indenture from which the trustee has resigned. Accordingly, JPMorgan Chase, as trustee under the Senior Debt Indenture and the Subordinated Debt Indenture, could be required to resign as trustee under one of such Indentures should a default occur under one of such Indentures.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JPMorgan Chase, as the trustee under the Senior Debt Indenture and the Subordinated Debt Indenture, may be a depositary for funds of, may make loans to and may perform other routine banking services for us and certain of our affiliates in the normal course of business.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SENIOR DEBT SECURITIES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General. Senior debt securities will be issued under the Senior Debt Indenture, and each series:</w:t>
      </w:r>
    </w:p>
    <w:p>
      <w:pPr>
        <w:spacing w:after="0" w:line="208" w:lineRule="exact"/>
        <w:rPr>
          <w:sz w:val="20"/>
          <w:szCs w:val="20"/>
          <w:color w:val="auto"/>
        </w:rPr>
      </w:pPr>
    </w:p>
    <w:p>
      <w:pPr>
        <w:ind w:left="740" w:right="2319" w:hanging="205"/>
        <w:spacing w:after="0" w:line="290" w:lineRule="auto"/>
        <w:tabs>
          <w:tab w:leader="none" w:pos="7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pari passu as to the right of payment of principal and any premium and interest with each other series issued thereunder;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rank senior to all series of subordinated debt securities issued and outstanding and that may be issued from time to time.</w:t>
      </w:r>
    </w:p>
    <w:p>
      <w:pPr>
        <w:spacing w:after="0" w:line="208"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Any series not guaranteed by Waste Management Holdings will be structurally subordinated to any senior debt securities that are so guaranteed.</w:t>
      </w:r>
    </w:p>
    <w:p>
      <w:pPr>
        <w:spacing w:after="0" w:line="17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Certain Definitions. For purposes of the following discussion, the following definitions are applicable (Section 1008 and 1009 of the Senior Debt Indenture).</w:t>
      </w: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of or</w:t>
      </w:r>
    </w:p>
    <w:p>
      <w:pPr>
        <w:ind w:right="1779" w:firstLine="8"/>
        <w:spacing w:after="0" w:line="238"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implied lease rate is not known to us, then the weighted average interest rate of all senior debt securities outstanding at the time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"Consolidated Net Tangible Assets" shall mean, at any date of determination, the total amount of our assets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and our consolidated subsidiaries' consolidated balance sheet for our most recently completed fiscal quarter, prepared in accordance with United States generally accepted accounting principles.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362" w:gutter="0" w:footer="0" w:header="0"/>
        </w:sectPr>
      </w:pPr>
    </w:p>
    <w:bookmarkStart w:id="25" w:name="page26"/>
    <w:bookmarkEnd w:id="25"/>
    <w:p>
      <w:pPr>
        <w:ind w:right="1779"/>
        <w:spacing w:after="0" w:line="237" w:lineRule="auto"/>
        <w:rPr>
          <w:sz w:val="20"/>
          <w:szCs w:val="20"/>
          <w:color w:val="auto"/>
        </w:rPr>
      </w:pPr>
      <w:r>
        <w:rPr>
          <w:rFonts w:ascii="Courier New" w:cs="Courier New" w:eastAsia="Courier New" w:hAnsi="Courier New"/>
          <w:sz w:val="18"/>
          <w:szCs w:val="18"/>
          <w:color w:val="auto"/>
        </w:rPr>
        <w:t>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of any person shall mean:</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07" w:lineRule="exact"/>
        <w:rPr>
          <w:rFonts w:ascii="Courier New" w:cs="Courier New" w:eastAsia="Courier New" w:hAnsi="Courier New"/>
          <w:sz w:val="18"/>
          <w:szCs w:val="18"/>
          <w:color w:val="auto"/>
        </w:rPr>
      </w:pPr>
    </w:p>
    <w:p>
      <w:pPr>
        <w:ind w:left="540" w:right="2419" w:firstLine="521"/>
        <w:spacing w:after="0" w:line="235"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so included as liabilities in accordance with generally accepted accounting principles,</w:t>
      </w:r>
    </w:p>
    <w:p>
      <w:pPr>
        <w:spacing w:after="0" w:line="208" w:lineRule="exact"/>
        <w:rPr>
          <w:rFonts w:ascii="Courier New" w:cs="Courier New" w:eastAsia="Courier New" w:hAnsi="Courier New"/>
          <w:sz w:val="18"/>
          <w:szCs w:val="18"/>
          <w:color w:val="auto"/>
        </w:rPr>
      </w:pPr>
    </w:p>
    <w:p>
      <w:pPr>
        <w:ind w:left="860" w:right="1779" w:firstLine="517"/>
        <w:spacing w:after="0" w:line="273" w:lineRule="auto"/>
        <w:tabs>
          <w:tab w:leader="none" w:pos="1808"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78" w:lineRule="exact"/>
        <w:rPr>
          <w:rFonts w:ascii="Courier New" w:cs="Courier New" w:eastAsia="Courier New" w:hAnsi="Courier New"/>
          <w:sz w:val="16"/>
          <w:szCs w:val="16"/>
          <w:color w:val="auto"/>
        </w:rPr>
      </w:pPr>
    </w:p>
    <w:p>
      <w:pPr>
        <w:ind w:left="1900" w:hanging="523"/>
        <w:spacing w:after="0"/>
        <w:tabs>
          <w:tab w:leader="none" w:pos="190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Guaranties of such person.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"Principal Property" shall mean any waste processing, waste disposal or resource recovery plant or similar facility located within the United States (other than its territories and possessions and Puerto Rico) or Canada and owned by, or leased to, us or any Restricted Subsidiary, except (a) any such plant or facility (i) owned or leased jointly or in common with one or more persons other than us and any Restricted Subsidiaries in which our and our Restricted Subsidiaries' interest does not exceed 50%, or (ii) which the Board of Directors determines in good faith is not of material importance to our and our subsidiaries', as an entity, total business conducted, or assets owned, or (b) any portion of such plant or facility which the Board of Directors determines in good faith not to be of material importance to the use or operation thereof.</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"Restricted Subsidiary" shall mean any Subsidiary (other than any Subsidiary of which we own directly or indirectly 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shall designate as a Restricted Subsidiary in an Officers' Certificate delivered to the Trustee.</w:t>
      </w:r>
    </w:p>
    <w:p>
      <w:pPr>
        <w:spacing w:after="0" w:line="211"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Consolidation, Merger and Sale of Assets. The Senior Debt Indenture provides that we may not consolidate with or merge into any other person or convey, transfer or lease our properties and assets substantially as an entirety to any person, unless we deliver to the trustee an officers' certificate and an opinion of counsel to the effect that:</w:t>
      </w:r>
    </w:p>
    <w:p>
      <w:pPr>
        <w:spacing w:after="0" w:line="209" w:lineRule="exact"/>
        <w:rPr>
          <w:sz w:val="20"/>
          <w:szCs w:val="20"/>
          <w:color w:val="auto"/>
        </w:rPr>
      </w:pPr>
    </w:p>
    <w:p>
      <w:pPr>
        <w:ind w:left="740" w:right="1779" w:hanging="205"/>
        <w:spacing w:after="0" w:line="268" w:lineRule="auto"/>
        <w:tabs>
          <w:tab w:leader="none" w:pos="7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which we are merged or the person which acquires by conveyance or transfer, or which leases, our</w:t>
      </w:r>
    </w:p>
    <w:p>
      <w:pPr>
        <w:ind w:left="4220" w:right="4199" w:hanging="3475"/>
        <w:spacing w:after="0" w:line="235" w:lineRule="auto"/>
        <w:rPr>
          <w:sz w:val="20"/>
          <w:szCs w:val="20"/>
          <w:color w:val="auto"/>
        </w:rPr>
      </w:pPr>
      <w:r>
        <w:rPr>
          <w:rFonts w:ascii="Courier New" w:cs="Courier New" w:eastAsia="Courier New" w:hAnsi="Courier New"/>
          <w:sz w:val="18"/>
          <w:szCs w:val="18"/>
          <w:color w:val="auto"/>
        </w:rPr>
        <w:t>properties and assets substantially as an entirety 18</w:t>
      </w:r>
    </w:p>
    <w:p>
      <w:pPr>
        <w:sectPr>
          <w:pgSz w:w="11900" w:h="16838" w:orient="portrait"/>
          <w:cols w:equalWidth="0" w:num="1">
            <w:col w:w="10219"/>
          </w:cols>
          <w:pgMar w:left="240" w:top="723" w:right="1440" w:bottom="768" w:gutter="0" w:footer="0" w:header="0"/>
        </w:sectPr>
      </w:pPr>
    </w:p>
    <w:bookmarkStart w:id="26" w:name="page27"/>
    <w:bookmarkEnd w:id="26"/>
    <w:p>
      <w:pPr>
        <w:ind w:left="740" w:right="1779"/>
        <w:spacing w:after="0" w:line="272" w:lineRule="auto"/>
        <w:rPr>
          <w:sz w:val="20"/>
          <w:szCs w:val="20"/>
          <w:color w:val="auto"/>
        </w:rPr>
      </w:pPr>
      <w:r>
        <w:rPr>
          <w:rFonts w:ascii="Courier New" w:cs="Courier New" w:eastAsia="Courier New" w:hAnsi="Courier New"/>
          <w:sz w:val="16"/>
          <w:szCs w:val="16"/>
          <w:color w:val="auto"/>
        </w:rPr>
        <w:t>shall be a corporation, partnership or trust which shall expressly assume, by a supplemental indenture executed and delivered to the Trustee, in form satisfactory to the trustee, the due and punctual payment of the principal of and any premium and interest on the senior debt securities and the performance or observance of every other covenant of the Senior Debt Indenture to be performed or observed on our part; and</w:t>
      </w:r>
    </w:p>
    <w:p>
      <w:pPr>
        <w:spacing w:after="0" w:line="186" w:lineRule="exact"/>
        <w:rPr>
          <w:sz w:val="20"/>
          <w:szCs w:val="20"/>
          <w:color w:val="auto"/>
        </w:rPr>
      </w:pPr>
    </w:p>
    <w:p>
      <w:pPr>
        <w:ind w:left="740" w:right="1779" w:hanging="205"/>
        <w:spacing w:after="0" w:line="237"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and treating any indebtedness which becomes our or our subsidiary's obligation as a result of such transaction as having been incurred by us or our subsidiary at the time of such transaction, no Event of Default, and no event which, after notice or lapse of time or both, would become an Event of Default, shall have happened and be continuing.</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Senior Debt Indenture with the same effect as if such successor person had been named as us therein, and thereafter, except in the case of a lease, the predecessor person shall be relieved of all obligations and covenants under the Senior Debt Indenture and the senior debt securities and may liquidate and dissolve. (Sections 801, 802 of the Senior Debt Indenture).</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Limitation on Liens. Unless otherwise provided in the applicable prospectus supplement, for each series of senior debt securities we issued under the Senior Debt Indenture, we will not, and we will not permit any of our Restricted Subsidiaries to, create, incur, assume or suffer to exist, directly or indirectly, any Indebtedness secured by a Security Interest upon any Principal Property of us or of a Restricted Subsidiary, whether owned as of the date of the Senior Debt Indenture or thereafter acquired, without making effective provision (and we hereby covenant that in any such case we shall make or cause to be made effective provision) whereby the senior debt securities then outstanding and any other Indebtedness of us or any Restricted Subsidiary then entitled thereto shall be secured by such Security Interest equally and ratably with (or, in the case of the senior debt securities and if we shall so determine, prior to) any and all other Indebtedness of us or any Restricted Subsidiary thereby secured for so long as any such other Indebtedness of us or any Restricted Subsidiary shall be so secured; provided, that nothing in the Senior Debt Indenture shall prevent, restrict or apply to Indebtedness secured by:</w:t>
      </w:r>
    </w:p>
    <w:p>
      <w:pPr>
        <w:spacing w:after="0" w:line="209" w:lineRule="exact"/>
        <w:rPr>
          <w:sz w:val="20"/>
          <w:szCs w:val="20"/>
          <w:color w:val="auto"/>
        </w:rPr>
      </w:pPr>
    </w:p>
    <w:p>
      <w:pPr>
        <w:ind w:left="740" w:right="1779" w:hanging="205"/>
        <w:spacing w:after="0" w:line="269"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 (1) in the case of the acquisition of such property or assets, the completion of such acquisition; and (2)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us or any Restricted Subsidiary; or (c) any conditional sales agreement or other title retention agreement with respect to any property or assets acquired by us or any Restricted Subsidiary; or (d) any Security Interest existing on the property or assets or shares of stock of a corporation or firm at the time such corporation or firm is merged into or consolidated with us or any Restricted Subsidiary or at the time of a sale, lease or other disposition of the property or assets of such corporation or firm as an entirety or substantially as an entirety to us or any Restricted Subsidiary or at the time such corporation becomes a Restricted Subsidiary; or (e) any Security Interest existing on the property, assets or shares of stock of any successor which shall have become us in accordance with the provisions described above in "-- Consolidation, Merger and Sale of Assets"; provided, in each case, that any such</w:t>
      </w:r>
    </w:p>
    <w:p>
      <w:pPr>
        <w:spacing w:after="0" w:line="391" w:lineRule="exact"/>
        <w:rPr>
          <w:sz w:val="20"/>
          <w:szCs w:val="20"/>
          <w:color w:val="auto"/>
        </w:rPr>
      </w:pPr>
    </w:p>
    <w:p>
      <w:pPr>
        <w:ind w:left="740" w:right="1779"/>
        <w:spacing w:after="0" w:line="268" w:lineRule="auto"/>
        <w:rPr>
          <w:sz w:val="20"/>
          <w:szCs w:val="20"/>
          <w:color w:val="auto"/>
        </w:rPr>
      </w:pPr>
      <w:r>
        <w:rPr>
          <w:rFonts w:ascii="Courier New" w:cs="Courier New" w:eastAsia="Courier New" w:hAnsi="Courier New"/>
          <w:sz w:val="16"/>
          <w:szCs w:val="16"/>
          <w:color w:val="auto"/>
        </w:rPr>
        <w:t>Security Interest described in the foregoing clauses (b), (c), (d) or (e) does not attach to or affect property or assets owned by us or any Restricted Subsidiary prior to the event referred to in such clauses; or</w:t>
      </w:r>
    </w:p>
    <w:p>
      <w:pPr>
        <w:ind w:left="4220"/>
        <w:spacing w:after="0" w:line="233" w:lineRule="auto"/>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768" w:gutter="0" w:footer="0" w:header="0"/>
        </w:sectPr>
      </w:pPr>
    </w:p>
    <w:bookmarkStart w:id="27" w:name="page28"/>
    <w:bookmarkEnd w:id="27"/>
    <w:p>
      <w:pPr>
        <w:ind w:left="740" w:right="1999" w:hanging="205"/>
        <w:spacing w:after="0" w:line="237"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that are not due or which are being contested in good faith; or</w:t>
      </w:r>
    </w:p>
    <w:p>
      <w:pPr>
        <w:spacing w:after="0" w:line="207" w:lineRule="exact"/>
        <w:rPr>
          <w:rFonts w:ascii="Courier New" w:cs="Courier New" w:eastAsia="Courier New" w:hAnsi="Courier New"/>
          <w:sz w:val="18"/>
          <w:szCs w:val="18"/>
          <w:color w:val="auto"/>
        </w:rPr>
      </w:pPr>
    </w:p>
    <w:p>
      <w:pPr>
        <w:ind w:left="740" w:right="1999" w:hanging="205"/>
        <w:spacing w:after="0" w:line="271" w:lineRule="auto"/>
        <w:tabs>
          <w:tab w:leader="none" w:pos="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any of our subsidiaries or our or their respective affiliates); or</w:t>
      </w:r>
    </w:p>
    <w:p>
      <w:pPr>
        <w:spacing w:after="0" w:line="183"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207" w:lineRule="exact"/>
        <w:rPr>
          <w:rFonts w:ascii="Courier New" w:cs="Courier New" w:eastAsia="Courier New" w:hAnsi="Courier New"/>
          <w:sz w:val="18"/>
          <w:szCs w:val="18"/>
          <w:color w:val="auto"/>
        </w:rPr>
      </w:pPr>
    </w:p>
    <w:p>
      <w:pPr>
        <w:ind w:left="740" w:right="1779" w:hanging="205"/>
        <w:spacing w:after="0" w:line="279" w:lineRule="auto"/>
        <w:tabs>
          <w:tab w:leader="none" w:pos="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(including judgment liens) arising in connection with legal proceedings so long as such proceedings are being contested in good faith and, in the case of judgment liens, execution thereon is stayed; or</w:t>
      </w:r>
    </w:p>
    <w:p>
      <w:pPr>
        <w:spacing w:after="0" w:line="178"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liens on fixtures located on premises leased by us or any Restricted Subsidiary in the ordinary course of business; or</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 favor of any governmental authority in connection with the financing of the cost of construction or acquisition of property; or</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by reason of deposits to qualify us or any Restricted Subsidiary to conduct business, to maintain self-insurance, or to obtain the benefit of, or comply with, laws; or</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that secures any Indebtedness of a Restricted Subsidiary owing to us or another Restricted Subsidiary or by us to a Restricted Subsidiary; or</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Restricted Subsidiary, provided that such program is on terms comparable for similar transactions, or any document executed by us or any Restricted Subsidiary in connection therewith, and provided that such Security Interest is limited to the trade or other receivables in respect of which such program is created or exists and the proceeds thereof; or</w:t>
      </w:r>
    </w:p>
    <w:p>
      <w:pPr>
        <w:spacing w:after="0" w:line="213"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extension, renewal or refunding (or successive extensions, renewals or refundings) in whole or in part of any Indebtedness secured by any Security Interest referred to in the foregoing clauses, inclusive, provided that the Security Interest securing such Indebtedness shall be limited to the property or assets that, immediately prior to such extension, renewal or refunding, secured such Indebtedness and additions to such property or assets.</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Notwithstanding the foregoing provisions, we or any of our Restricted Subsidiaries may create, incur, assume or suffer to exist any Indebtedness secured by a Security Interest without so securing the senior debt securities if, at the time such Security Interest becomes a Security Interest upon any of our or our Restricted Subsidiaries' Principal Property and after giving effect thereto, the aggregate outstanding principal amount of all Indebtedness of us and our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the first</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59" w:gutter="0" w:footer="0" w:header="0"/>
        </w:sectPr>
      </w:pPr>
    </w:p>
    <w:bookmarkStart w:id="28" w:name="page29"/>
    <w:bookmarkEnd w:id="28"/>
    <w:p>
      <w:pPr>
        <w:ind w:right="1879"/>
        <w:spacing w:after="0" w:line="237" w:lineRule="auto"/>
        <w:rPr>
          <w:sz w:val="20"/>
          <w:szCs w:val="20"/>
          <w:color w:val="auto"/>
        </w:rPr>
      </w:pPr>
      <w:r>
        <w:rPr>
          <w:rFonts w:ascii="Courier New" w:cs="Courier New" w:eastAsia="Courier New" w:hAnsi="Courier New"/>
          <w:sz w:val="18"/>
          <w:szCs w:val="18"/>
          <w:color w:val="auto"/>
        </w:rPr>
        <w:t>bullet point above, other Sale and Leaseback Transactions the proceeds of which have been applied or committed to be applied in accordance with the covenant described in "-- Limitations on Sale and Leaseback Transactions" and other than Sale and Leaseback Transactions between us and any Restricted Subsidiary) does not exceed 15% of Consolidated Net Tangible Assets. (Section 1008 of the Senior Debt Indenture)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upon any consolidation or merger of any Restricted Subsidiary with or into any other corporation, or upon any consolidation or merger of any other corporation with or into us or any Restricted Subsidiary or upon any sale or conveyance of the Principal Property of any Restricted Subsidiary as an entirety or substantially as an entirety to any other person, or upon any acquisition by us or any Restricted Subsidiary by purchase or otherwise of all or any part of the Principal Property of any other person, any Principal Property theretofore owned by us or such Restricted Subsidiary would thereupon become subject to any Security Interest not permitted by the terms of the foregoing covenant, the Senior Debt Indenture provides that we, prior to such consolidation, merger, sale or conveyance, or acquisition, will, or will cause such Restricted Subsidiary to, secure payment of the principal of and interest, if any, on the senior debt securities (equally and ratably with or prior to any other Indebtedness of us or such Restricted Subsidiary then entitled thereto) by a direct lien on all such Principal Property prior to all liens other than any liens theretofore existing thereon by a supplemental indenture or otherwise. (Section 1008 of the Senior Debt Indenture)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Limitations on Sale and Leaseback Transactions. Unless otherwise provided in the applicable prospectus supplement, for each series of senior debt securities issued under the Senior Debt Indenture, 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w:t>
      </w:r>
    </w:p>
    <w:p>
      <w:pPr>
        <w:spacing w:after="0" w:line="207" w:lineRule="exact"/>
        <w:rPr>
          <w:sz w:val="20"/>
          <w:szCs w:val="20"/>
          <w:color w:val="auto"/>
        </w:rPr>
      </w:pPr>
    </w:p>
    <w:p>
      <w:pPr>
        <w:ind w:left="740" w:right="2199" w:hanging="205"/>
        <w:spacing w:after="0" w:line="275"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such Restricted Subsidiary would be entitled, pursuant to the covenant described in "-- Limitation on Liens," to incur Indebtedness secured by a Security Interest on the property to be leased without equally and ratably securing the senior debt securities; or</w:t>
      </w:r>
    </w:p>
    <w:p>
      <w:pPr>
        <w:spacing w:after="0" w:line="182"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shall, and in any such case we covenant that we will, within 180 days after the effective date of any such arrangement, apply an amount equal to the fair value (as determined by our Board of Directors) of such property to the redemption of the senior debt securities that, by their terms, are subject to redemption, or to the purchase and retirement of the senior debt securities, or to the payment or other retirement of funded debt for money borrowed, incurred or assumed by us which ranks senior to or equally with the senior debt securities or of funded debt for money borrowed, incurred or assumed by any Restricted Subsidiary (other than, in either case, funded debt owed by us or any Restricted Subsidiary); or</w:t>
      </w:r>
    </w:p>
    <w:p>
      <w:pPr>
        <w:spacing w:after="0" w:line="215"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our Board of Directors) of such property. (Section 1009 of the Senior Debt Indenture)</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the foregoing, we may, and may permit any Restricted Subsidiary to, effect any Sale and Leaseback Transaction that is not allowable pursuant to the above clauses, inclusive, of the foregoing covenant, provided that the Attributable Debt associated with such Sale and Leaseback Transaction, together with the aggregate principal amount of outstanding debt secured by Security Interests upon Principal Property not acceptable pursuant to the list of bullet points for the covenant described in "-- Limitation on Liens," inclusive, do not exceed 15% of Consolidated Net Tangible Assets. (Section 1009 of the Senior Debt Indenture).</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970" w:gutter="0" w:footer="0" w:header="0"/>
        </w:sectPr>
      </w:pPr>
    </w:p>
    <w:bookmarkStart w:id="29" w:name="page30"/>
    <w:bookmarkEnd w:id="29"/>
    <w:p>
      <w:pPr>
        <w:ind w:right="1779" w:firstLine="527"/>
        <w:spacing w:after="0" w:line="279" w:lineRule="auto"/>
        <w:rPr>
          <w:sz w:val="20"/>
          <w:szCs w:val="20"/>
          <w:color w:val="auto"/>
        </w:rPr>
      </w:pPr>
      <w:r>
        <w:rPr>
          <w:rFonts w:ascii="Courier New" w:cs="Courier New" w:eastAsia="Courier New" w:hAnsi="Courier New"/>
          <w:sz w:val="16"/>
          <w:szCs w:val="16"/>
          <w:color w:val="auto"/>
        </w:rPr>
        <w:t>Events of Default. Unless otherwise specified in the applicable prospectus supplement, for any series of senior debt securities issued under the Senior Debt Indenture, an Event of Default means one or more of the following events:</w:t>
      </w:r>
    </w:p>
    <w:p>
      <w:pPr>
        <w:spacing w:after="0" w:line="178" w:lineRule="exact"/>
        <w:rPr>
          <w:sz w:val="20"/>
          <w:szCs w:val="20"/>
          <w:color w:val="auto"/>
        </w:rPr>
      </w:pPr>
    </w:p>
    <w:p>
      <w:pPr>
        <w:ind w:left="740" w:right="17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senior debt security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senior debt security of that series; or</w:t>
      </w:r>
    </w:p>
    <w:p>
      <w:pPr>
        <w:spacing w:after="0" w:line="208"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of our other covenants or warranties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us by the Trustee or to us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207"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 (A) a decree or order for relief in respect of use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our property, or ordering the winding up or liquidation of our affairs, and the continuation of any such decree or order for relief or any such other decree or order unstayed and in effect for a period of 90 consecutive days; or</w:t>
      </w:r>
    </w:p>
    <w:p>
      <w:pPr>
        <w:spacing w:after="0" w:line="207"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us in an involuntary case or proceeding against it, or the filing by it of a petition or answer or consent seeking reorganization or relief under any applicable Federal of State law, or the consent by it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387" w:lineRule="exact"/>
        <w:rPr>
          <w:rFonts w:ascii="Courier New" w:cs="Courier New" w:eastAsia="Courier New" w:hAnsi="Courier New"/>
          <w:sz w:val="16"/>
          <w:szCs w:val="16"/>
          <w:color w:val="auto"/>
        </w:rPr>
      </w:pPr>
    </w:p>
    <w:p>
      <w:pPr>
        <w:ind w:left="740" w:right="2619" w:hanging="205"/>
        <w:spacing w:after="0" w:line="290" w:lineRule="auto"/>
        <w:tabs>
          <w:tab w:leader="none" w:pos="7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senior debt securities of that series. (Section 501 of Senior Debt Indenture)</w:t>
      </w:r>
    </w:p>
    <w:p>
      <w:pPr>
        <w:spacing w:after="0" w:line="17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If an Event of Default with respect to senior debt securities of any series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of those securities) of all of the senior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w:t>
      </w:r>
    </w:p>
    <w:p>
      <w:pPr>
        <w:ind w:left="4220"/>
        <w:spacing w:after="0" w:line="235" w:lineRule="auto"/>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363" w:gutter="0" w:footer="0" w:header="0"/>
        </w:sectPr>
      </w:pPr>
    </w:p>
    <w:bookmarkStart w:id="30" w:name="page31"/>
    <w:bookmarkEnd w:id="30"/>
    <w:p>
      <w:pPr>
        <w:ind w:right="1999"/>
        <w:spacing w:after="0" w:line="237" w:lineRule="auto"/>
        <w:rPr>
          <w:sz w:val="20"/>
          <w:szCs w:val="20"/>
          <w:color w:val="auto"/>
        </w:rPr>
      </w:pPr>
      <w:r>
        <w:rPr>
          <w:rFonts w:ascii="Courier New" w:cs="Courier New" w:eastAsia="Courier New" w:hAnsi="Courier New"/>
          <w:sz w:val="18"/>
          <w:szCs w:val="18"/>
          <w:color w:val="auto"/>
        </w:rPr>
        <w:t>payment of the money due has been obtained by the Trustee, the holders of a majority in principal amount of the outstanding senior debt securities of that series, by written notice to us and the Trustee, may rescind and annul such declaration and its consequences if:</w:t>
      </w:r>
    </w:p>
    <w:p>
      <w:pPr>
        <w:spacing w:after="0" w:line="202" w:lineRule="exact"/>
        <w:rPr>
          <w:sz w:val="20"/>
          <w:szCs w:val="20"/>
          <w:color w:val="auto"/>
        </w:rPr>
      </w:pPr>
    </w:p>
    <w:p>
      <w:pPr>
        <w:ind w:left="960" w:hanging="425"/>
        <w:spacing w:after="0"/>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senior debt securities of that series;</w:t>
      </w:r>
    </w:p>
    <w:p>
      <w:pPr>
        <w:spacing w:after="0" w:line="206"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senior debt securities of that series which has become due otherwise than by such declaration of acceleration and any interest thereon at the rate or rates prescribed in the senior debt securities;</w:t>
      </w:r>
    </w:p>
    <w:p>
      <w:pPr>
        <w:spacing w:after="0" w:line="207"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in the senior debt securities of that series; and</w:t>
      </w:r>
    </w:p>
    <w:p>
      <w:pPr>
        <w:spacing w:after="0" w:line="208" w:lineRule="exact"/>
        <w:rPr>
          <w:rFonts w:ascii="Courier New" w:cs="Courier New" w:eastAsia="Courier New" w:hAnsi="Courier New"/>
          <w:sz w:val="18"/>
          <w:szCs w:val="18"/>
          <w:color w:val="auto"/>
        </w:rPr>
      </w:pPr>
    </w:p>
    <w:p>
      <w:pPr>
        <w:ind w:left="1060" w:right="1779" w:hanging="209"/>
        <w:spacing w:after="0" w:line="236" w:lineRule="auto"/>
        <w:tabs>
          <w:tab w:leader="none" w:pos="10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the senior debt securities of that series, other than the non-payment of the principal of senior debt securities of that series which has become due solely by such declaration of acceleration, have been cured or waived as provided in the Senior Debt Indenture.</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 rescission of a declaration of acceleration of the senior debt securities shall affect any subsequent default or impair any right resulting from a default. (Section 502 of Senior Debt Indenture) If the Trustee or any holder of a senior debt security or coupon has instituted any proceeding to enforce any right or remedy under the Senior Debt Indenture and the proceeding has been discontinued or abandoned for any reason, or has been determined adversely to the Trustee or to such holder, then and in every such case, subject to any determination in such proceeding, we, the Trustee and the holders of senior debt securities and coupons shall be restored severally and respectively to our former positions under the Senior Debt Indenture and the senior debt securities and thereafter all rights and remedies of the Trustee and the holders shall continue as though no such proceeding had been instituted. (Section 509 of Senior Debt Indenture)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Senior Debt Indenture provides that, subject to the duty of the Trustee during default to act with the required standard of care, the Trustee is under no obligation to exercise any of its rights or powers under the Senior Debt Indenture at the request or direction of any of the holders, unless the holders shall have offered to the Trustee reasonable indemnity. (Section 601, 603 of Senior Debt Indenture) No holder of any senior debt security shall have any right to institute any proceeding, judicial or otherwise, with respect to the Senior Debt Indenture, or for the appointment of a receiver or Trustee, or for any other remedy thereunder, unless:</w:t>
      </w:r>
    </w:p>
    <w:p>
      <w:pPr>
        <w:spacing w:after="0" w:line="214" w:lineRule="exact"/>
        <w:rPr>
          <w:sz w:val="20"/>
          <w:szCs w:val="20"/>
          <w:color w:val="auto"/>
        </w:rPr>
      </w:pPr>
    </w:p>
    <w:p>
      <w:pPr>
        <w:ind w:left="740" w:right="177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senior debt securities of that series;</w:t>
      </w:r>
    </w:p>
    <w:p>
      <w:pPr>
        <w:spacing w:after="0" w:line="208"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senior debt securities of that series shall have made written request to the Trustee to institute proceedings in respect of such Event of Default in its own name as Trustee under the Senior Debt Indenture;</w:t>
      </w:r>
    </w:p>
    <w:p>
      <w:pPr>
        <w:spacing w:after="0" w:line="182"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senior debt securities of that series. (Section 507 of Senior Debt Indenture)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564" w:gutter="0" w:footer="0" w:header="0"/>
        </w:sectPr>
      </w:pPr>
    </w:p>
    <w:bookmarkStart w:id="31" w:name="page32"/>
    <w:bookmarkEnd w:id="31"/>
    <w:p>
      <w:pPr>
        <w:ind w:right="1879"/>
        <w:spacing w:after="0" w:line="237" w:lineRule="auto"/>
        <w:rPr>
          <w:sz w:val="20"/>
          <w:szCs w:val="20"/>
          <w:color w:val="auto"/>
        </w:rPr>
      </w:pPr>
      <w:r>
        <w:rPr>
          <w:rFonts w:ascii="Courier New" w:cs="Courier New" w:eastAsia="Courier New" w:hAnsi="Courier New"/>
          <w:sz w:val="18"/>
          <w:szCs w:val="18"/>
          <w:color w:val="auto"/>
        </w:rPr>
        <w:t>Notwithstanding any other provisions in the Senior Debt Indenture, the right of any holder of any senior debt security to receive payment of the principal of and any premium and any interest on the senior debt security on the stated maturity for the senior debt security, or to institute suit for the enforcement of any such payment on or after such respective dates shall not be impaired or affected without the consent of such holder. (Section 508, 902 of Senior Debt Indenture)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that series, provided that:</w:t>
      </w:r>
    </w:p>
    <w:p>
      <w:pPr>
        <w:spacing w:after="0" w:line="209" w:lineRule="exact"/>
        <w:rPr>
          <w:sz w:val="20"/>
          <w:szCs w:val="20"/>
          <w:color w:val="auto"/>
        </w:rPr>
      </w:pPr>
    </w:p>
    <w:p>
      <w:pPr>
        <w:ind w:left="740" w:right="199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direction shall not be in conflict with any rule of law or with the Senior Debt Indenture;</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take any other action deemed proper by the Trustee which is not inconsistent with such direction;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obligated to take any action unduly prejudicial to holders not joining in such direction or involving the Trustee in personal liability.</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holders of a majority in principal amount of the outstanding senior debt securities of any series may on behalf of the holders of all the senior debt securities of that series waive any past default under the Senior Debt Indenture with respect to the senior debt securities and its consequences, except a default in the payment of the principal of or any premium or interest on any senior debt security of that series or in respect of a covenant or provision of the Senior Debt Indenture which, pursuant to the Senior Debt Indenture, cannot be modified or amended without the consent of the holder of each outstanding senior debt securities affected. Upon any such waiver, the default shall cease to exist, and any Event of Default arising from the waived default shall be deemed to have been cured for every purpose of the Senior Debt Indenture. However, no such waiver shall extend to any subsequent or other default or impair any right resulting from the default. (Sections 513, 902 of Senior Debt Indenture)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default occurs under the Senior Debt Indenture with respect to the senior debt securities of any series, the Trustee shall give the holders of senior debt securities of that series notice of such default as and to the extent provided by the Trust Indenture Act. However, in the case of any default or breach of certain covenants or warranties with respect to senior debt securities, no notice to holders shall be given until at least 30 days after the occurrence of the default. (Section 602 of Senior Debt Indenture).</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Senior Debt Indenture. (Section 1006).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SUBORDINATED DEBT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Consolidation, Merger, Sale. The Subordinated Debt Indenture provides that we may not consolidate with or merge into any other Person or convey, transfer or lease its properties and assets substantially as an entirety to any person, unless:</w:t>
      </w:r>
    </w:p>
    <w:p>
      <w:pPr>
        <w:spacing w:after="0" w:line="207" w:lineRule="exact"/>
        <w:rPr>
          <w:sz w:val="20"/>
          <w:szCs w:val="20"/>
          <w:color w:val="auto"/>
        </w:rPr>
      </w:pPr>
    </w:p>
    <w:p>
      <w:pPr>
        <w:ind w:left="740" w:right="1779" w:hanging="205"/>
        <w:spacing w:after="0" w:line="238"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formed by such consolidation or into which we merge or the person which acquires by conveyance or transfer, or which leases, our properties and assets substantially as an entirety shall be a corporation, partnership or trust, organized and validly existing under the laws of the United States,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to be performed or observed on our part; and</w:t>
      </w:r>
    </w:p>
    <w:p>
      <w:pPr>
        <w:spacing w:after="0" w:line="207" w:lineRule="exact"/>
        <w:rPr>
          <w:rFonts w:ascii="Courier New" w:cs="Courier New" w:eastAsia="Courier New" w:hAnsi="Courier New"/>
          <w:sz w:val="18"/>
          <w:szCs w:val="18"/>
          <w:color w:val="auto"/>
        </w:rPr>
      </w:pPr>
    </w:p>
    <w:p>
      <w:pPr>
        <w:ind w:left="740" w:right="2319" w:hanging="205"/>
        <w:spacing w:after="0" w:line="268" w:lineRule="auto"/>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and treating any indebtedness which becomes our or our subsidiaries' obligation as a result of such transaction as having been incurred by us or such</w:t>
      </w:r>
    </w:p>
    <w:p>
      <w:pPr>
        <w:spacing w:after="0" w:line="1" w:lineRule="exact"/>
        <w:rPr>
          <w:sz w:val="20"/>
          <w:szCs w:val="20"/>
          <w:color w:val="auto"/>
        </w:rPr>
      </w:pPr>
    </w:p>
    <w:p>
      <w:pPr>
        <w:ind w:left="740" w:right="1999"/>
        <w:spacing w:after="0" w:line="235" w:lineRule="auto"/>
        <w:rPr>
          <w:sz w:val="20"/>
          <w:szCs w:val="20"/>
          <w:color w:val="auto"/>
        </w:rPr>
      </w:pPr>
      <w:r>
        <w:rPr>
          <w:rFonts w:ascii="Courier New" w:cs="Courier New" w:eastAsia="Courier New" w:hAnsi="Courier New"/>
          <w:sz w:val="18"/>
          <w:szCs w:val="18"/>
          <w:color w:val="auto"/>
        </w:rPr>
        <w:t>Subsidiary at the time of such transaction, no Event of Default, and no event which, after</w:t>
      </w: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0" w:gutter="0" w:footer="0" w:header="0"/>
        </w:sectPr>
      </w:pPr>
    </w:p>
    <w:bookmarkStart w:id="32" w:name="page33"/>
    <w:bookmarkEnd w:id="32"/>
    <w:p>
      <w:pPr>
        <w:ind w:right="2099"/>
        <w:spacing w:after="0" w:line="235" w:lineRule="auto"/>
        <w:rPr>
          <w:sz w:val="20"/>
          <w:szCs w:val="20"/>
          <w:color w:val="auto"/>
        </w:rPr>
      </w:pPr>
      <w:r>
        <w:rPr>
          <w:rFonts w:ascii="Courier New" w:cs="Courier New" w:eastAsia="Courier New" w:hAnsi="Courier New"/>
          <w:sz w:val="18"/>
          <w:szCs w:val="18"/>
          <w:color w:val="auto"/>
        </w:rPr>
        <w:t>notice or lapse of time or both, would become an Event of Default, shall have happened and be continuing.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Subordinated Debt Indenture with the same effect as if such successor person had been named as us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16"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Events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182" w:lineRule="exact"/>
        <w:rPr>
          <w:sz w:val="20"/>
          <w:szCs w:val="20"/>
          <w:color w:val="auto"/>
        </w:rPr>
      </w:pPr>
    </w:p>
    <w:p>
      <w:pPr>
        <w:ind w:left="740" w:right="1879" w:hanging="205"/>
        <w:spacing w:after="0" w:line="236"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subordinated debt security of that series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Subordinated Debt Security of that series; or</w:t>
      </w:r>
    </w:p>
    <w:p>
      <w:pPr>
        <w:spacing w:after="0" w:line="208"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of our other covenants or warranties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us by the Trustee or to us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389" w:lineRule="exact"/>
        <w:rPr>
          <w:rFonts w:ascii="Courier New" w:cs="Courier New" w:eastAsia="Courier New" w:hAnsi="Courier New"/>
          <w:sz w:val="16"/>
          <w:szCs w:val="16"/>
          <w:color w:val="auto"/>
        </w:rPr>
      </w:pPr>
    </w:p>
    <w:p>
      <w:pPr>
        <w:ind w:left="740" w:right="1779" w:hanging="205"/>
        <w:spacing w:after="0" w:line="238"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 (A) a decree or order for relief in respect of us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07"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us to the entry of a decree or order for relief in respect of us in an involuntary case or proceeding under any applicable Federal or State bankruptcy, insolvency, reorganization or other similar law or the commencement of any bankruptcy or insolvency case or proceeding against us, or the filing by us of a petition or answer or consent seeking reorganization or relief under any applicable Federal or State law, or the consent by us to the filing of such petition or to the appointment of or taking possession by a custodian, receiver, liquidator, assignee, trustee, sequestrator or</w:t>
      </w:r>
    </w:p>
    <w:p>
      <w:pPr>
        <w:spacing w:after="0" w:line="188" w:lineRule="exact"/>
        <w:rPr>
          <w:sz w:val="20"/>
          <w:szCs w:val="20"/>
          <w:color w:val="auto"/>
        </w:rPr>
      </w:pPr>
    </w:p>
    <w:p>
      <w:pPr>
        <w:ind w:left="740" w:right="1779"/>
        <w:spacing w:after="0" w:line="236" w:lineRule="auto"/>
        <w:rPr>
          <w:sz w:val="20"/>
          <w:szCs w:val="20"/>
          <w:color w:val="auto"/>
        </w:rPr>
      </w:pPr>
      <w:r>
        <w:rPr>
          <w:rFonts w:ascii="Courier New" w:cs="Courier New" w:eastAsia="Courier New" w:hAnsi="Courier New"/>
          <w:sz w:val="18"/>
          <w:szCs w:val="18"/>
          <w:color w:val="auto"/>
        </w:rPr>
        <w:t>similar official of us or of any substantial part of our property, or the making by us of an assignment for the benefit of creditors, or the admission by us</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59" w:gutter="0" w:footer="0" w:header="0"/>
        </w:sectPr>
      </w:pPr>
    </w:p>
    <w:bookmarkStart w:id="33" w:name="page34"/>
    <w:bookmarkEnd w:id="33"/>
    <w:p>
      <w:pPr>
        <w:ind w:left="740" w:right="1999"/>
        <w:spacing w:after="0" w:line="236" w:lineRule="auto"/>
        <w:rPr>
          <w:sz w:val="20"/>
          <w:szCs w:val="20"/>
          <w:color w:val="auto"/>
        </w:rPr>
      </w:pPr>
      <w:r>
        <w:rPr>
          <w:rFonts w:ascii="Courier New" w:cs="Courier New" w:eastAsia="Courier New" w:hAnsi="Courier New"/>
          <w:sz w:val="18"/>
          <w:szCs w:val="18"/>
          <w:color w:val="auto"/>
        </w:rPr>
        <w:t>in writing of our inability to pay our debts generally as they become due, or the taking of corporate action by us in furtherance of any such action; or</w:t>
      </w:r>
    </w:p>
    <w:p>
      <w:pPr>
        <w:spacing w:after="0" w:line="209" w:lineRule="exact"/>
        <w:rPr>
          <w:sz w:val="20"/>
          <w:szCs w:val="20"/>
          <w:color w:val="auto"/>
        </w:rPr>
      </w:pPr>
    </w:p>
    <w:p>
      <w:pPr>
        <w:ind w:left="740" w:right="219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subordinated debt securities of that series. (Section 501 of the Subordinated Debt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Remedies. 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of the subordinated debt securities) of all of the subordinated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us and the Trustee, may rescind and annul such declaration and its consequences if:</w:t>
      </w:r>
    </w:p>
    <w:p>
      <w:pPr>
        <w:spacing w:after="0" w:line="390" w:lineRule="exact"/>
        <w:rPr>
          <w:sz w:val="20"/>
          <w:szCs w:val="20"/>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subordinated debt securities of that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series;</w:t>
      </w:r>
    </w:p>
    <w:p>
      <w:pPr>
        <w:spacing w:after="0" w:line="207" w:lineRule="exact"/>
        <w:rPr>
          <w:rFonts w:ascii="Courier New" w:cs="Courier New" w:eastAsia="Courier New" w:hAnsi="Courier New"/>
          <w:sz w:val="18"/>
          <w:szCs w:val="18"/>
          <w:color w:val="auto"/>
        </w:rPr>
      </w:pPr>
    </w:p>
    <w:p>
      <w:pPr>
        <w:ind w:left="640" w:right="1879" w:firstLine="316"/>
        <w:spacing w:after="0" w:line="237" w:lineRule="auto"/>
        <w:tabs>
          <w:tab w:leader="none" w:pos="1377"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subordinated debt securities of that series which has become due otherwise than by such declaration of acceleration and any interest thereon at the rate or rates prescribed therefor in such subordinated debt securities;</w:t>
      </w:r>
    </w:p>
    <w:p>
      <w:pPr>
        <w:spacing w:after="0" w:line="207" w:lineRule="exact"/>
        <w:rPr>
          <w:rFonts w:ascii="Courier New" w:cs="Courier New" w:eastAsia="Courier New" w:hAnsi="Courier New"/>
          <w:sz w:val="18"/>
          <w:szCs w:val="18"/>
          <w:color w:val="auto"/>
        </w:rPr>
      </w:pPr>
    </w:p>
    <w:p>
      <w:pPr>
        <w:jc w:val="both"/>
        <w:ind w:left="640" w:right="2199" w:firstLine="316"/>
        <w:spacing w:after="0" w:line="236" w:lineRule="auto"/>
        <w:tabs>
          <w:tab w:leader="none" w:pos="1377"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subordinated debt securities, and</w:t>
      </w:r>
    </w:p>
    <w:p>
      <w:pPr>
        <w:spacing w:after="0" w:line="208" w:lineRule="exact"/>
        <w:rPr>
          <w:rFonts w:ascii="Courier New" w:cs="Courier New" w:eastAsia="Courier New" w:hAnsi="Courier New"/>
          <w:sz w:val="18"/>
          <w:szCs w:val="18"/>
          <w:color w:val="auto"/>
        </w:rPr>
      </w:pPr>
    </w:p>
    <w:p>
      <w:pPr>
        <w:ind w:left="640" w:right="2419" w:firstLine="316"/>
        <w:spacing w:after="0" w:line="236" w:lineRule="auto"/>
        <w:tabs>
          <w:tab w:leader="none" w:pos="1377"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we,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34" w:name="page35"/>
    <w:bookmarkEnd w:id="34"/>
    <w:p>
      <w:pPr>
        <w:ind w:right="1779"/>
        <w:spacing w:after="0" w:line="236" w:lineRule="auto"/>
        <w:rPr>
          <w:sz w:val="20"/>
          <w:szCs w:val="20"/>
          <w:color w:val="auto"/>
        </w:rPr>
      </w:pPr>
      <w:r>
        <w:rPr>
          <w:rFonts w:ascii="Courier New" w:cs="Courier New" w:eastAsia="Courier New" w:hAnsi="Courier New"/>
          <w:sz w:val="18"/>
          <w:szCs w:val="18"/>
          <w:color w:val="auto"/>
        </w:rPr>
        <w:t>institute any proceeding, judicial or otherwise, with respect to the Subordinated Debt Indenture, or for the appointment of a receiver or trustee, or for any other remedy, unless:</w:t>
      </w:r>
    </w:p>
    <w:p>
      <w:pPr>
        <w:spacing w:after="0" w:line="209" w:lineRule="exact"/>
        <w:rPr>
          <w:sz w:val="20"/>
          <w:szCs w:val="20"/>
          <w:color w:val="auto"/>
        </w:rPr>
      </w:pPr>
    </w:p>
    <w:p>
      <w:pPr>
        <w:ind w:left="740" w:right="241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subordinated debt securities of that series;</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subordinated debt securities of that series. (Section 507 of the Subordinated Debt Indenture)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216"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w:t>
      </w:r>
    </w:p>
    <w:p>
      <w:pPr>
        <w:spacing w:after="0" w:line="185" w:lineRule="exact"/>
        <w:rPr>
          <w:sz w:val="20"/>
          <w:szCs w:val="20"/>
          <w:color w:val="auto"/>
        </w:rPr>
      </w:pPr>
    </w:p>
    <w:p>
      <w:pPr>
        <w:ind w:left="740" w:right="18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direction shall not be in conflict with any rule of law or with the Subordinated Debt Indenture;</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take any other action deemed proper by the Trustee which is not inconsistent with such direction; and</w:t>
      </w:r>
    </w:p>
    <w:p>
      <w:pPr>
        <w:spacing w:after="0" w:line="208" w:lineRule="exact"/>
        <w:rPr>
          <w:rFonts w:ascii="Courier New" w:cs="Courier New" w:eastAsia="Courier New" w:hAnsi="Courier New"/>
          <w:sz w:val="18"/>
          <w:szCs w:val="18"/>
          <w:color w:val="auto"/>
        </w:rPr>
      </w:pPr>
    </w:p>
    <w:p>
      <w:pPr>
        <w:ind w:left="740" w:right="1779" w:hanging="205"/>
        <w:spacing w:after="0" w:line="269" w:lineRule="auto"/>
        <w:tabs>
          <w:tab w:leader="none" w:pos="7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obligated to take any action unduly prejudicial to Holders not joining in such direction or involving the Trustee in personal liability. (Section 512 of the Subordinated Debt 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200" w:lineRule="exact"/>
        <w:rPr>
          <w:sz w:val="20"/>
          <w:szCs w:val="20"/>
          <w:color w:val="auto"/>
        </w:rPr>
      </w:pPr>
    </w:p>
    <w:p>
      <w:pPr>
        <w:spacing w:after="0" w:line="398"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If a default occurs under the Subordinated Debt Indenture with respect to subordinated debt securities of any series, the Trustee shall give the Holders of subordinated debt securities of such series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362" w:gutter="0" w:footer="0" w:header="0"/>
        </w:sectPr>
      </w:pPr>
    </w:p>
    <w:bookmarkStart w:id="35" w:name="page36"/>
    <w:bookmarkEnd w:id="35"/>
    <w:p>
      <w:pPr>
        <w:ind w:right="1779"/>
        <w:spacing w:after="0" w:line="237" w:lineRule="auto"/>
        <w:rPr>
          <w:sz w:val="20"/>
          <w:szCs w:val="20"/>
          <w:color w:val="auto"/>
        </w:rPr>
      </w:pPr>
      <w:r>
        <w:rPr>
          <w:rFonts w:ascii="Courier New" w:cs="Courier New" w:eastAsia="Courier New" w:hAnsi="Courier New"/>
          <w:sz w:val="18"/>
          <w:szCs w:val="18"/>
          <w:color w:val="auto"/>
        </w:rPr>
        <w:t>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w:t>
      </w:r>
    </w:p>
    <w:p>
      <w:pPr>
        <w:spacing w:after="0" w:line="210" w:lineRule="exact"/>
        <w:rPr>
          <w:sz w:val="20"/>
          <w:szCs w:val="20"/>
          <w:color w:val="auto"/>
        </w:rPr>
      </w:pPr>
    </w:p>
    <w:p>
      <w:pPr>
        <w:ind w:left="740" w:right="1779" w:hanging="205"/>
        <w:spacing w:after="0" w:line="237"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212"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Dollar amounts determined under (i) and add thereto any amounts due and payable in Dollars;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individual amounts determined in (i) or any individual amounts due and payable in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w:t>
      </w:r>
    </w:p>
    <w:p>
      <w:pPr>
        <w:spacing w:after="0" w:line="210"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186"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Subordinated Debt Indenture. (Section 1007 of the Subordinated Debt Indenture)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Subordination. The subordinated debt securities will be subordinate and junior in right of payment, to the extent set forth in the Subordinated Debt Indenture, to all our Senior Indebtedness (as defined below). If we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us by the holders of such Senior Indebtedness or any trustee therefor and subject to certain of our rights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our capital stock (or cash in lieu of fractional shares thereof) pursuant to any conversion right of the subordinated debt securities or otherwise made in our capital stock. (Sections 1601, 1604 and 1605 of the Subordinated Debt Indenture)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6" w:name="page37"/>
    <w:bookmarkEnd w:id="36"/>
    <w:p>
      <w:pPr>
        <w:ind w:right="1779" w:firstLine="527"/>
        <w:spacing w:after="0" w:line="290" w:lineRule="auto"/>
        <w:rPr>
          <w:sz w:val="20"/>
          <w:szCs w:val="20"/>
          <w:color w:val="auto"/>
        </w:rPr>
      </w:pPr>
      <w:r>
        <w:rPr>
          <w:rFonts w:ascii="Courier New" w:cs="Courier New" w:eastAsia="Courier New" w:hAnsi="Courier New"/>
          <w:sz w:val="16"/>
          <w:szCs w:val="16"/>
          <w:color w:val="auto"/>
        </w:rPr>
        <w:t>"Senior Indebtedness" is defined in Section 101 of the Subordinated Debt Indenture as our Indebtedness (as defined below) outstanding at any time except:</w:t>
      </w:r>
    </w:p>
    <w:p>
      <w:pPr>
        <w:spacing w:after="0" w:line="170" w:lineRule="exact"/>
        <w:rPr>
          <w:sz w:val="20"/>
          <w:szCs w:val="20"/>
          <w:color w:val="auto"/>
        </w:rPr>
      </w:pPr>
    </w:p>
    <w:p>
      <w:pPr>
        <w:jc w:val="both"/>
        <w:ind w:left="740" w:right="1879" w:hanging="205"/>
        <w:spacing w:after="0" w:line="236"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as to which, by the terms of the instrument creating or evidencing the same, it is provided that such Indebtedness is not senior in right of payment to the subordinated debt securities;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subordinated debt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our Indebtedness to any wholly-owned Subsidiary;</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accruing after the filing of a petition initiating certain bankruptcy or insolvency proceedings unless such interest is an allowed claim enforceable against us in a proceeding under federal or state bankruptcy laws;</w:t>
      </w:r>
    </w:p>
    <w:p>
      <w:pPr>
        <w:spacing w:after="0" w:line="207"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under performance guarantees, support agreements and other agreements in the nature thereof relating to the obligations of any Subsidiary,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accounts payable.</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"Indebtedness" is defined in Section 101 of the Subordinated Debt Indenture as, with respect to any person:</w:t>
      </w:r>
    </w:p>
    <w:p>
      <w:pPr>
        <w:spacing w:after="0" w:line="208" w:lineRule="exact"/>
        <w:rPr>
          <w:sz w:val="20"/>
          <w:szCs w:val="20"/>
          <w:color w:val="auto"/>
        </w:rPr>
      </w:pPr>
    </w:p>
    <w:p>
      <w:pPr>
        <w:ind w:left="540" w:right="1779" w:firstLine="527"/>
        <w:spacing w:after="0" w:line="272" w:lineRule="auto"/>
        <w:rPr>
          <w:sz w:val="20"/>
          <w:szCs w:val="20"/>
          <w:color w:val="auto"/>
        </w:rPr>
      </w:pPr>
      <w:r>
        <w:rPr>
          <w:rFonts w:ascii="Courier New" w:cs="Courier New" w:eastAsia="Courier New" w:hAnsi="Courier New"/>
          <w:sz w:val="16"/>
          <w:szCs w:val="16"/>
          <w:color w:val="auto"/>
        </w:rPr>
        <w:t>(a)(i)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w:t>
      </w:r>
    </w:p>
    <w:p>
      <w:pPr>
        <w:spacing w:after="0" w:line="186" w:lineRule="exact"/>
        <w:rPr>
          <w:sz w:val="20"/>
          <w:szCs w:val="20"/>
          <w:color w:val="auto"/>
        </w:rPr>
      </w:pPr>
    </w:p>
    <w:p>
      <w:pPr>
        <w:ind w:left="540" w:right="1879" w:firstLine="521"/>
        <w:spacing w:after="0" w:line="237" w:lineRule="auto"/>
        <w:tabs>
          <w:tab w:leader="none" w:pos="159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and interest, if any, on indebtedness for money borrowed, incurred, assumed or guaranteed by such person in connection with the acquisition by it or any of its subsidiaries of any other businesses, properties or other assets; and</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obligations which such person capitalizes in accordance with Statement of Financial Accounting Standards No. 13 promulgated by the Financial Accounting Standards Board or such other generally accepted accounting principles as may be from time to time in effect,</w:t>
      </w:r>
    </w:p>
    <w:p>
      <w:pPr>
        <w:spacing w:after="0" w:line="207" w:lineRule="exact"/>
        <w:rPr>
          <w:sz w:val="20"/>
          <w:szCs w:val="20"/>
          <w:color w:val="auto"/>
        </w:rPr>
      </w:pPr>
    </w:p>
    <w:p>
      <w:pPr>
        <w:ind w:left="540" w:right="1779" w:firstLine="521"/>
        <w:spacing w:after="0" w:line="271" w:lineRule="auto"/>
        <w:tabs>
          <w:tab w:leader="none" w:pos="148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indebtedness of such person, including any indebtedness representing the balance deferred and unpaid of the purchase price of any property or interest in any property,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w:t>
      </w:r>
    </w:p>
    <w:p>
      <w:pPr>
        <w:spacing w:after="0" w:line="187" w:lineRule="exact"/>
        <w:rPr>
          <w:rFonts w:ascii="Courier New" w:cs="Courier New" w:eastAsia="Courier New" w:hAnsi="Courier New"/>
          <w:sz w:val="16"/>
          <w:szCs w:val="16"/>
          <w:color w:val="auto"/>
        </w:rPr>
      </w:pPr>
    </w:p>
    <w:p>
      <w:pPr>
        <w:ind w:left="540" w:right="1879" w:firstLine="521"/>
        <w:spacing w:after="0" w:line="236"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modifications, refundings, renewals or extensions of any indebtedness or obligation described as Indebtedness in clause (a) or (b) above.</w:t>
      </w:r>
    </w:p>
    <w:p>
      <w:pPr>
        <w:spacing w:after="0" w:line="209"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If (i) without our consent a court having jurisdiction shall enter (A) an order for relief with respect to us under the United States federal bankruptcy laws, (B) a judgment, order or decree adjudging us a bankrupt or insolvent, or</w:t>
      </w:r>
    </w:p>
    <w:p>
      <w:pPr>
        <w:spacing w:after="0" w:line="1" w:lineRule="exact"/>
        <w:rPr>
          <w:sz w:val="20"/>
          <w:szCs w:val="20"/>
          <w:color w:val="auto"/>
        </w:rPr>
      </w:pPr>
    </w:p>
    <w:p>
      <w:pPr>
        <w:ind w:right="1779" w:firstLine="8"/>
        <w:spacing w:after="0" w:line="238" w:lineRule="auto"/>
        <w:tabs>
          <w:tab w:leader="none" w:pos="4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order for relief for reorganization, arrangement, adjustment or composition of or in respect of us under the United States federal bankruptcy laws or state insolvency laws or (ii) we shall institute proceedings for the entry of an order for relief with respect to us under the United States federal bankruptcy laws or for an adjudication of insolvency, or shall consent to the institution of bankruptcy or insolvency proceedings against us,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us or of substantially all of our property, or we shall make a general assignment for the benefit of creditors as recognized under the United States federal bankruptcy laws, then all Senior Indebtedness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767" w:gutter="0" w:footer="0" w:header="0"/>
        </w:sectPr>
      </w:pPr>
    </w:p>
    <w:bookmarkStart w:id="37" w:name="page38"/>
    <w:bookmarkEnd w:id="37"/>
    <w:p>
      <w:pPr>
        <w:ind w:right="1879"/>
        <w:spacing w:after="0" w:line="269" w:lineRule="auto"/>
        <w:rPr>
          <w:sz w:val="20"/>
          <w:szCs w:val="20"/>
          <w:color w:val="auto"/>
        </w:rPr>
      </w:pPr>
      <w:r>
        <w:rPr>
          <w:rFonts w:ascii="Courier New" w:cs="Courier New" w:eastAsia="Courier New" w:hAnsi="Courier New"/>
          <w:sz w:val="16"/>
          <w:szCs w:val="16"/>
          <w:color w:val="auto"/>
        </w:rPr>
        <w:t>(including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w:t>
      </w:r>
    </w:p>
    <w:p>
      <w:pPr>
        <w:spacing w:after="0" w:line="39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any payment or distribution of any character,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of our other obligations ranking on a parity with the subordinated debt securities, will be entitled to be repaid from our remaining assets the amounts at that time due and owing on account of unpaid principal of and any premium and interest on the subordinated debt securities and such other obligations before any payment or other distribution, whether in cash, property or otherwise, shall be made on account of any of our capital stock or obligations ranking junior to the subordinated debt securities and such other obligations. (Section 1601 of the Subordinated Debt Indenture)</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us and our creditors other than the holders of such Senior Indebtedness, on the one hand, and such Holders, on the other hand, be deemed to be a payment by us on account of such Senior Indebtedness, and not on account of the subordinated debt securities of such series. (Section 1601 of the Subordinated Debt Indenture)</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prospectus supplement respecting any series of subordinated debt securities will set forth any subordination provisions applicable to such series in addition to or different from those described above.</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By reason of such subordination, in the event of a liquidation, bankruptcy, reorganization, insolvency, receivership or similar proceeding involving us or an assignment for the benefit of creditors of us or any of our Subsidiaries or a marshaling of assets or liabilities of us and our Subsidiaries, holders of Senior Indebtedness and holders of our other obligations that are not subordinated to Senior Indebtedness may receive more, ratably, than holders of the subordinated debt securities. Such subordination will not prevent</w:t>
      </w:r>
    </w:p>
    <w:p>
      <w:pPr>
        <w:ind w:left="4220"/>
        <w:spacing w:after="0" w:line="234" w:lineRule="auto"/>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565" w:gutter="0" w:footer="0" w:header="0"/>
        </w:sectPr>
      </w:pPr>
    </w:p>
    <w:bookmarkStart w:id="38" w:name="page39"/>
    <w:bookmarkEnd w:id="38"/>
    <w:p>
      <w:pPr>
        <w:ind w:right="1879"/>
        <w:spacing w:after="0" w:line="237" w:lineRule="auto"/>
        <w:rPr>
          <w:sz w:val="20"/>
          <w:szCs w:val="20"/>
          <w:color w:val="auto"/>
        </w:rPr>
      </w:pPr>
      <w:r>
        <w:rPr>
          <w:rFonts w:ascii="Courier New" w:cs="Courier New" w:eastAsia="Courier New" w:hAnsi="Courier New"/>
          <w:sz w:val="18"/>
          <w:szCs w:val="18"/>
          <w:color w:val="auto"/>
        </w:rPr>
        <w:t>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 of any convertible subordinated debt securities will have the right exercisable at any time prior to maturity, unless previously redeemed or otherwise purchased by us,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certain events, the conversion price or conversion rate will be subject to adjustment as set forth in the Subordinated Debt Indenture. Such events include the issuance of shares of our common stock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our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We have been advised by our counsel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Fractional shares of common stock will not be issued upon conversion, but, in lieu of fractional shares, we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case of any consolidation or merger of us (with certain exceptions) or any conveyance, transfer or lease of our properties and assets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564" w:gutter="0" w:footer="0" w:header="0"/>
        </w:sectPr>
      </w:pPr>
    </w:p>
    <w:bookmarkStart w:id="39" w:name="page40"/>
    <w:bookmarkEnd w:id="39"/>
    <w:p>
      <w:pPr>
        <w:ind w:right="1879"/>
        <w:spacing w:after="0" w:line="237" w:lineRule="auto"/>
        <w:rPr>
          <w:sz w:val="20"/>
          <w:szCs w:val="20"/>
          <w:color w:val="auto"/>
        </w:rPr>
      </w:pPr>
      <w:r>
        <w:rPr>
          <w:rFonts w:ascii="Courier New" w:cs="Courier New" w:eastAsia="Courier New" w:hAnsi="Courier New"/>
          <w:sz w:val="18"/>
          <w:szCs w:val="18"/>
          <w:color w:val="auto"/>
        </w:rPr>
        <w:t>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provisions set forth in this "Book-Entry System" section of this prospectus will apply to the debt securities of any series if the prospectus supplement relating to such series so indicates.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indicated in the applicable prospectus supplement, the debt securities of such series will be represented by one or more global securities registered with The Depository Trust Company, or DTC, or a depositary named in the prospectus supplement relating to such series. Except as set forth below, a global security may be transferred, in whole but not in part, only to the depositary or another nominee of the depositary.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general terms of the depositary arrangement with DTC, with respect to a series of debt securities are described below in the "Description of the Depository" section of this prospectus, unless otherwise indicated in the prospectus supplement relating to the series. We anticipate that the following provisions will generally apply to depositary arrangements.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Unless otherwise provided in the applicable prospectus supplement, debt securities represented by a global security will be exchangeable for debt securities in definitive form of like tenor as such global security in denominations of $1,000 and in any greater amount that is an integral multiple thereof if:</w:t>
      </w:r>
    </w:p>
    <w:p>
      <w:pPr>
        <w:spacing w:after="0" w:line="209" w:lineRule="exact"/>
        <w:rPr>
          <w:sz w:val="20"/>
          <w:szCs w:val="20"/>
          <w:color w:val="auto"/>
        </w:rPr>
      </w:pPr>
    </w:p>
    <w:p>
      <w:pPr>
        <w:ind w:left="740" w:right="1779" w:hanging="205"/>
        <w:spacing w:after="0" w:line="275" w:lineRule="auto"/>
        <w:tabs>
          <w:tab w:leader="none" w:pos="7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notifies us and the Trustee that it is unwilling or unable to continue as depositary for such global security or if at any time the depositary ceases to be a clearing agency registered under the Exchange Act and a successor depositary is not appointed by us within 90 days;</w:t>
      </w:r>
    </w:p>
    <w:p>
      <w:pPr>
        <w:spacing w:after="0" w:line="182" w:lineRule="exact"/>
        <w:rPr>
          <w:rFonts w:ascii="Courier New" w:cs="Courier New" w:eastAsia="Courier New" w:hAnsi="Courier New"/>
          <w:sz w:val="16"/>
          <w:szCs w:val="16"/>
          <w:color w:val="auto"/>
        </w:rPr>
      </w:pPr>
    </w:p>
    <w:p>
      <w:pPr>
        <w:ind w:left="740" w:right="2099" w:hanging="205"/>
        <w:spacing w:after="0" w:line="290" w:lineRule="auto"/>
        <w:tabs>
          <w:tab w:leader="none" w:pos="7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in our sole discretion, determine not to have all of the debt securities represented by a global security and notify the Trustee; or</w:t>
      </w:r>
    </w:p>
    <w:p>
      <w:pPr>
        <w:spacing w:after="0" w:line="169" w:lineRule="exact"/>
        <w:rPr>
          <w:rFonts w:ascii="Courier New" w:cs="Courier New" w:eastAsia="Courier New" w:hAnsi="Courier New"/>
          <w:sz w:val="16"/>
          <w:szCs w:val="16"/>
          <w:color w:val="auto"/>
        </w:rPr>
      </w:pPr>
    </w:p>
    <w:p>
      <w:pPr>
        <w:ind w:left="740" w:right="1999" w:hanging="205"/>
        <w:spacing w:after="0" w:line="279" w:lineRule="auto"/>
        <w:tabs>
          <w:tab w:leader="none" w:pos="7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and be continuing an event of default or an event which, with the giving of notice or lapse of time, or both, would constitute an event of default with respect to the debt securities.</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debt security that is exchangeable pursuant to the preceding sentence is exchangeable for debt securities registered in such names as the depositary shall instruct the Trustee. It is expected that such instructions may be based upon directions received by the depositary from its participants with respect to ownership of beneficial interests in such global security. Subject to the foregoing, a global security is not exchangeable except for a global security or global securities of the same aggregate denominations to be registered in the name of the depositary or its nominee.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DEPOSITARY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provided in the applicable prospectus supplement, DTC (New York, NY), will act as securities depositary for the debt securities. The debt securities will be issued as fully registered securities registered in the name of Cede &amp; Co. (DTC's partnership nominee) or such other name as may be requested by an authorized representative of DTC.</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securities that its participants (the "Direct Participants") deposit with DTC. DTC also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 Direct Participants</w:t>
      </w:r>
    </w:p>
    <w:p>
      <w:pPr>
        <w:spacing w:after="0" w:line="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767" w:gutter="0" w:footer="0" w:header="0"/>
        </w:sectPr>
      </w:pPr>
    </w:p>
    <w:bookmarkStart w:id="40" w:name="page41"/>
    <w:bookmarkEnd w:id="40"/>
    <w:p>
      <w:pPr>
        <w:ind w:right="1779"/>
        <w:spacing w:after="0" w:line="237" w:lineRule="auto"/>
        <w:rPr>
          <w:sz w:val="20"/>
          <w:szCs w:val="20"/>
          <w:color w:val="auto"/>
        </w:rPr>
      </w:pPr>
      <w:r>
        <w:rPr>
          <w:rFonts w:ascii="Courier New" w:cs="Courier New" w:eastAsia="Courier New" w:hAnsi="Courier New"/>
          <w:sz w:val="18"/>
          <w:szCs w:val="18"/>
          <w:color w:val="auto"/>
        </w:rPr>
        <w:t>include securities brokers and dealers, banks, trust companies, clearing corporations and certain other organizations. DTC is owned by a number of its Direct Participants and by the New York Stock Exchange, Inc., the American Stock Exchange LLC and the National Association of Securities Dealers, Inc. Access to the DTC system is also available to others such as securities brokers and dealers, banks and trust companies that clear through or maintain a custodial relationship with a Direct Participant, either directly or indirectly (the "Indirect Participants"). The rules applicable to DTC and its Direct and Indirect Participants are on file with the Commission.</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Purchases of the debt securities under the DTC system must be made by or through Direct Participants, which will receive a credit for the debt securities on DTC's records. The ownership interest of each actual purchaser of each debt security, a "beneficial owner," is in turn to be recorded on the Direct and Indirect Participants' records. Beneficial owners will not receive written confirmation from DTC of their purchase, but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the debt securities, except in the event that use of the book-entry system for the debt securities is discontinued.</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DTC nor Cede &amp; Co. (nor such DTC nominee) will consent or vote with respect to the debt securities. Under its usual procedures, DTC will mail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DTC's records. Payments by Direct or Indirect Participants to beneficial owners will be governed by standing instructions and customary practices, as is the case with securities held for the accounts of customers in bearer form or registered in "street name," and will be the responsibility of the Direct or Indirect Participant and not of DTC, or the agent, or us, subject to any statutory or regulatory requirements as may be in effect from time to time. Payment of redemption proceeds, distributions and dividends to Cede &amp; Co. (or such other nominee as may be requested by an authorized representative of DTC) is our responsibility, disbursement of such payments to Direct Participants shall be the responsibility of DTC, and disbursements of such payments to the beneficial owners shall be the responsibility of Direct and Indirect Participants.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1" w:name="page42"/>
    <w:bookmarkEnd w:id="41"/>
    <w:p>
      <w:pPr>
        <w:ind w:right="1779" w:firstLine="527"/>
        <w:spacing w:after="0" w:line="237" w:lineRule="auto"/>
        <w:rPr>
          <w:sz w:val="20"/>
          <w:szCs w:val="20"/>
          <w:color w:val="auto"/>
        </w:rPr>
      </w:pPr>
      <w:r>
        <w:rPr>
          <w:rFonts w:ascii="Courier New" w:cs="Courier New" w:eastAsia="Courier New" w:hAnsi="Courier New"/>
          <w:sz w:val="18"/>
          <w:szCs w:val="18"/>
          <w:color w:val="auto"/>
        </w:rPr>
        <w:t>DTC may discontinue providing its services as securities depositary with respect to the debt securities at any time by giving reasonable notice to us. Under such circumstances, in the event that a successor securities depository is not obtained, debt security certificates will be printed and delivered.</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may decide to discontinue use of the system of book-entry transfers through DTC (or a successor securities depository). In that event, debt security certificates will be printed and delivered.</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information in this section concerning DTC and DTC's book-entry system has been obtained from sources that we believe are reliable, but we take no responsibility for the accuracy thereof.</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DESCRIPTION OF GUARANTEES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payment obligations under any series of debt securities may be fully and unconditionally guaranteed by Waste Management Holdings. If a series of debt securities are so guaranteed, Waste Management Holdings will execute a separate guarantee agreement or a supplemental indenture as further evidence of its guarantee. We will provide the specific terms of any guarantee in the prospectus supplement. The guarantees will be governed by, and construed in accordance with, the laws of the State of New York.</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See "Risk Factors -- Fraudulent transfer statutes may limit your rights under the guarantees of the debt securities." The specific provisions under which Waste Management Holdings may be released and discharged from its guarantee will be set forth in the prospectus supplement.</w:t>
      </w:r>
    </w:p>
    <w:p>
      <w:pPr>
        <w:spacing w:after="0" w:line="21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We may issue shares of our common stock to purchasers or in order to settle litigation or other claims or to satisfy judgment or arbitration awards. We may also issue shares of common stock to persons who exercise currently outstanding warrants or upon exercise of any convertible debt issued hereunder. The terms of any offering of common stock will be provided in a prospectus supplement.</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authorized to issue 1,500,000,000 shares of common stock, of which 630,318,033 shares were outstanding at July 31, 2002. We are also authorized to issue 10,000,000 shares of preferred stock, none of which were outstanding on that 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Dividends. Holders of common stock are entitled to receive dividends when declared by our Board of Directors. In certain cases, common stockholders may not receive dividends until we satisfy our obligations to any preferred stockholders.</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Voting Rights. Each share of common stock is entitled to one vote in the election of directors and in each other matter we may ask stockholders to vote on. Common stockholders do not have cumulative voting rights. Accordingly, the holders of a majority of shares voting for the election of directors can elect all of the directors standing for election.</w:t>
      </w: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Fully Paid Status. All outstanding shares of our common stock are validly issued, fully paid and non-assessable. The shares offered hereby will also be, upon issuance and sale, validly issued, fully paid and non-assessable.</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42" w:name="page43"/>
    <w:bookmarkEnd w:id="42"/>
    <w:p>
      <w:pPr>
        <w:jc w:val="center"/>
        <w:ind w:right="1879"/>
        <w:spacing w:after="0" w:line="279" w:lineRule="auto"/>
        <w:rPr>
          <w:sz w:val="20"/>
          <w:szCs w:val="20"/>
          <w:color w:val="auto"/>
        </w:rPr>
      </w:pPr>
      <w:r>
        <w:rPr>
          <w:rFonts w:ascii="Courier New" w:cs="Courier New" w:eastAsia="Courier New" w:hAnsi="Courier New"/>
          <w:sz w:val="16"/>
          <w:szCs w:val="16"/>
          <w:color w:val="auto"/>
        </w:rPr>
        <w:t>Liquidation or Dissolution.  If we liquidate, dissolve or wind up our business, whether or not voluntarily, common stockholders will share ratably in the assets remaining after we pay our creditors and any preferred stockholders.</w:t>
      </w:r>
    </w:p>
    <w:p>
      <w:pPr>
        <w:spacing w:after="0" w:line="17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Listing. Our common stock is listed on the New York Stock Exchange under the trading symbol "WMI."</w:t>
      </w:r>
    </w:p>
    <w:p>
      <w:pPr>
        <w:spacing w:after="0" w:line="208"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Transfer Agent and Registrar. The transfer agent and registrar for the common stock is Mellon Investor Services in South Hackensack, New Jersey.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LAW AND CERTAIN PROVISIONS OF OUR CERTIFICATE OF INCORPORATION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209" w:lineRule="exact"/>
        <w:rPr>
          <w:sz w:val="20"/>
          <w:szCs w:val="20"/>
          <w:color w:val="auto"/>
        </w:rPr>
      </w:pPr>
    </w:p>
    <w:p>
      <w:pPr>
        <w:ind w:left="740" w:right="1879" w:hanging="205"/>
        <w:spacing w:after="0" w:line="236"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such date, the corporation's board of directors approved either the business combination or the transaction in which the stockholder became an Interested Stockholder; or</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Section 203 defines the term "business combination" to include mergers, asset sales and other transactions resulting in a financial benefit to the Interested Stockholder.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LIMITATION OF LIABILITY AND INDEMNIFICATION OF OFFICERS AND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sell the securities to or through underwriters or dealers, and we also may sell the securities directly to other purchasers, including issuing common stock to holders that exercise currently outstanding warrants to purchase our common stock, or through agents or through a combination of any of these methods. We may also issue shares of our common stock directly to certain persons in order to settle litigation and other claims or to satisfy judgments or arbitration awards. The prospectus supplement will include the following information:</w:t>
      </w:r>
    </w:p>
    <w:p>
      <w:pPr>
        <w:spacing w:after="0" w:line="207" w:lineRule="exact"/>
        <w:rPr>
          <w:sz w:val="20"/>
          <w:szCs w:val="20"/>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offering;</w:t>
      </w:r>
    </w:p>
    <w:p>
      <w:pPr>
        <w:spacing w:after="0" w:line="206"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names of any underwriters, dealers or agents, and the respective amounts of securities underwritten or purchased by each of them;</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or names of any managing underwriter or underwriters;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proceeds to us from the sale of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delayed delivery requirements;</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underwriting discounts, commissions and other items constituting underwriters' compensation;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public offering price;</w:t>
      </w:r>
    </w:p>
    <w:p>
      <w:pPr>
        <w:spacing w:after="0" w:line="20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discounts or concessions allowed or reallowed or paid to dealers; and</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commissions paid to agents.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at market prices prevailing at the time of sale, at prices related to such prevailing market prices or at negotiated prices.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sale of the securities, underwriters may receive compensation from us, or purchasers of securities for whom they may act as agents in the form of discounts, concessions or commissions. Underwriters, dealers and agents that participate in the distribution of securities may be deemed to be underwriters, and any discounts or commissions they receive from us or the purchasers of securities, and any profit on their resale of securities may be deemed to be underwriting discounts and</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564" w:gutter="0" w:footer="0" w:header="0"/>
        </w:sectPr>
      </w:pPr>
    </w:p>
    <w:bookmarkStart w:id="44" w:name="page45"/>
    <w:bookmarkEnd w:id="44"/>
    <w:p>
      <w:pPr>
        <w:ind w:right="1999"/>
        <w:spacing w:after="0" w:line="236" w:lineRule="auto"/>
        <w:rPr>
          <w:sz w:val="20"/>
          <w:szCs w:val="20"/>
          <w:color w:val="auto"/>
        </w:rPr>
      </w:pPr>
      <w:r>
        <w:rPr>
          <w:rFonts w:ascii="Courier New" w:cs="Courier New" w:eastAsia="Courier New" w:hAnsi="Courier New"/>
          <w:sz w:val="18"/>
          <w:szCs w:val="18"/>
          <w:color w:val="auto"/>
        </w:rPr>
        <w:t>commissions under the Securities Act. We will identify any person deemed to be an underwriter and will describe the compensation they receive from us in a prospectus supplement.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Debt securities, when first issued, will have no established trading market. If we sell debt securities to or through any underwriters or agents for public offering and sale, they may make a market in those debt securities. This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However, the underwriters or agents will not be obligated to make a market in our securities and may discontinue any market making at any time without notice. There can be no assurance as to the liquidity of any market that may develop for the debt securities.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enter into agreements with underwriters, dealers and agents who participate in the distribution of securities that could entitle them to indemnification by us against or contribution from us toward certain liabilities, including liabilities under the Securities Act. Underwriters, dealers and agents may be customers of, engage in transactions with, or perform services for us in the ordinary course of their businesses.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DELAYED DELIVERY ARRANGEMENT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so indicated in a prospectus supplement, we will authorize underwriters or other persons acting as our agents to solicit offers by certain institutions to purchase debt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our approval.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be responsible for the validity or performance of those contracts.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VALIDITY OF SECURITIES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validity of the securities has been passed upon for us by Baker Botts L.L.P., and certain legal matters will be passed upon for any agents, dealers or underwriters, by counsel named in the applicable prospectus supplement.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audited consolidated financial statements as of December 31, 1999, 2000 and 2001 and the three year period ended December 31, 2001 appearing in Waste Management's Annual Report on Form 10-K for the year ended December 31, 2001 incorporated by reference in this prospectus have been audited by Arthur Andersen LLP, independent public accountants, as set forth in their report. Arthur Andersen has not consented to the inclusion of their report in this prospectus, and we have dispensed with the requirement to file their report in reliance upon Rule 437a of the Securities Act. Because Arthur Andersen has not consented to the inclusion of their report in this prospectus, you will not be able to recover against Arthur Andersen under Section 11 of the Securities Act for any untrue statements of a material fact contained in the financial statements audited by Arthur Andersen or any omissions to state a material fact required to be stated therein.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5" w:name="page46"/>
    <w:bookmarkEnd w:id="45"/>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following table sets forth all expenses payable by the Company in connection with the issuance and distribution of the securities, other than underwriting discounts and commissions. All the amounts shown are estimates, except the registration fee.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gridSpan w:val="3"/>
          </w:tcPr>
          <w:p>
            <w:pPr>
              <w:spacing w:after="0"/>
              <w:rPr>
                <w:sz w:val="20"/>
                <w:szCs w:val="20"/>
                <w:color w:val="auto"/>
              </w:rPr>
            </w:pPr>
            <w:r>
              <w:rPr>
                <w:rFonts w:ascii="Courier New" w:cs="Courier New" w:eastAsia="Courier New" w:hAnsi="Courier New"/>
                <w:sz w:val="18"/>
                <w:szCs w:val="18"/>
                <w:color w:val="auto"/>
                <w:w w:val="99"/>
              </w:rPr>
              <w:t>Registration Fee............................................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accountants............................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legal counsel..........................</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trustee and counsel....................</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Fees of rating agencies.....................................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Printing</w:t>
            </w:r>
          </w:p>
        </w:tc>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and engraving expenses.............................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180,000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expenses (including counsel)..............</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Miscellaneous...............................................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spacing w:after="0"/>
              <w:rPr>
                <w:sz w:val="20"/>
                <w:szCs w:val="20"/>
                <w:color w:val="auto"/>
              </w:rPr>
            </w:pPr>
            <w:r>
              <w:rPr>
                <w:rFonts w:ascii="Courier New" w:cs="Courier New" w:eastAsia="Courier New" w:hAnsi="Courier New"/>
                <w:sz w:val="7"/>
                <w:szCs w:val="7"/>
                <w:color w:val="auto"/>
                <w:w w:val="74"/>
              </w:rPr>
              <w:t>Total.......................................................</w:t>
            </w:r>
          </w:p>
        </w:tc>
        <w:tc>
          <w:tcPr>
            <w:tcW w:w="454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$550,000</w:t>
            </w:r>
          </w:p>
        </w:tc>
      </w:tr>
      <w:tr>
        <w:trPr>
          <w:trHeight w:val="203"/>
        </w:trPr>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Both Waste Management and Waste Management Holdings' Certificates of Incorporation provide that their directors are not liable to them or their stockholders for monetary damages for breach of their fiduciary duty, subject to the described exceptions specified by Delaware law.</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145 of the Delaware General Corporation Law grants companies the power to indemnify each of their officers and directors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both Waste Management and Waste Management Holdings provide for indemnification of each of each of its officers and directors to the fullest extent permitted by Delaware law.</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also empowers companies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Waste Management has purchased and maintains a directors' and officers' liability policy for such purposes.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46" w:name="page47"/>
    <w:bookmarkEnd w:id="46"/>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following documents are filed as exhibits to this Registration Statement, including those exhibits incorporated herein by reference to a prior filing under the Securities Act or the Exchange Act as indicated in parentheses:</w:t>
      </w:r>
    </w:p>
    <w:p>
      <w:pPr>
        <w:spacing w:after="0" w:line="17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EXHIBIT - --</w:t>
      </w:r>
    </w:p>
    <w:p>
      <w:pPr>
        <w:ind w:left="700" w:hanging="642"/>
        <w:spacing w:after="0" w:line="237" w:lineRule="auto"/>
        <w:tabs>
          <w:tab w:leader="none" w:pos="7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- 1.1*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 w:hanging="324"/>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2002).</w:t>
      </w:r>
    </w:p>
    <w:p>
      <w:pPr>
        <w:jc w:val="center"/>
        <w:ind w:right="8839"/>
        <w:spacing w:after="0"/>
        <w:rPr>
          <w:sz w:val="20"/>
          <w:szCs w:val="20"/>
          <w:color w:val="auto"/>
        </w:rPr>
      </w:pPr>
      <w:r>
        <w:rPr>
          <w:rFonts w:ascii="Courier New" w:cs="Courier New" w:eastAsia="Courier New" w:hAnsi="Courier New"/>
          <w:sz w:val="18"/>
          <w:szCs w:val="18"/>
          <w:color w:val="auto"/>
        </w:rPr>
        <w:t>3.2 --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839"/>
        <w:spacing w:after="0"/>
        <w:rPr>
          <w:sz w:val="20"/>
          <w:szCs w:val="20"/>
          <w:color w:val="auto"/>
        </w:rPr>
      </w:pPr>
      <w:r>
        <w:rPr>
          <w:rFonts w:ascii="Courier New" w:cs="Courier New" w:eastAsia="Courier New" w:hAnsi="Courier New"/>
          <w:sz w:val="18"/>
          <w:szCs w:val="18"/>
          <w:color w:val="auto"/>
        </w:rPr>
        <w:t>Restated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Bylaws of</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3.2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2002).</w:t>
      </w:r>
    </w:p>
    <w:p>
      <w:pPr>
        <w:jc w:val="center"/>
        <w:ind w:right="8839"/>
        <w:spacing w:after="0"/>
        <w:rPr>
          <w:sz w:val="20"/>
          <w:szCs w:val="20"/>
          <w:color w:val="auto"/>
        </w:rPr>
      </w:pPr>
      <w:r>
        <w:rPr>
          <w:rFonts w:ascii="Courier New" w:cs="Courier New" w:eastAsia="Courier New" w:hAnsi="Courier New"/>
          <w:sz w:val="18"/>
          <w:szCs w:val="18"/>
          <w:color w:val="auto"/>
        </w:rPr>
        <w:t>3.3 --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3.4 --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Bylaws of</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4.1 --</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sectPr>
          <w:pgSz w:w="11900" w:h="16838" w:orient="portrait"/>
          <w:cols w:equalWidth="0" w:num="1">
            <w:col w:w="10219"/>
          </w:cols>
          <w:pgMar w:left="240" w:top="717" w:right="1440" w:bottom="0" w:gutter="0" w:footer="0" w:header="0"/>
        </w:sectPr>
      </w:pPr>
    </w:p>
    <w:bookmarkStart w:id="47" w:name="page48"/>
    <w:bookmarkEnd w:id="47"/>
    <w:p>
      <w:pPr>
        <w:jc w:val="center"/>
        <w:ind w:right="8839"/>
        <w:spacing w:after="0"/>
        <w:rPr>
          <w:sz w:val="20"/>
          <w:szCs w:val="20"/>
          <w:color w:val="auto"/>
        </w:rPr>
      </w:pPr>
      <w:r>
        <w:rPr>
          <w:rFonts w:ascii="Courier New" w:cs="Courier New" w:eastAsia="Courier New" w:hAnsi="Courier New"/>
          <w:sz w:val="18"/>
          <w:szCs w:val="18"/>
          <w:color w:val="auto"/>
        </w:rPr>
        <w:t>for senior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debt</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September</w:t>
      </w:r>
    </w:p>
    <w:p>
      <w:pPr>
        <w:jc w:val="center"/>
        <w:ind w:right="8839"/>
        <w:spacing w:after="0"/>
        <w:rPr>
          <w:sz w:val="20"/>
          <w:szCs w:val="20"/>
          <w:color w:val="auto"/>
        </w:rPr>
      </w:pPr>
      <w:r>
        <w:rPr>
          <w:rFonts w:ascii="Courier New" w:cs="Courier New" w:eastAsia="Courier New" w:hAnsi="Courier New"/>
          <w:sz w:val="18"/>
          <w:szCs w:val="18"/>
          <w:color w:val="auto"/>
        </w:rPr>
        <w:t>10, 1997,</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Waste</w:t>
      </w: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839"/>
        <w:spacing w:after="0"/>
        <w:rPr>
          <w:sz w:val="20"/>
          <w:szCs w:val="20"/>
          <w:color w:val="auto"/>
        </w:rPr>
      </w:pPr>
      <w:r>
        <w:rPr>
          <w:rFonts w:ascii="Courier New" w:cs="Courier New" w:eastAsia="Courier New" w:hAnsi="Courier New"/>
          <w:sz w:val="18"/>
          <w:szCs w:val="18"/>
          <w:color w:val="auto"/>
        </w:rPr>
        <w:t>Texas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Commerce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Bank</w:t>
      </w:r>
    </w:p>
    <w:p>
      <w:pPr>
        <w:jc w:val="center"/>
        <w:ind w:right="8839"/>
        <w:spacing w:after="0"/>
        <w:rPr>
          <w:sz w:val="20"/>
          <w:szCs w:val="20"/>
          <w:color w:val="auto"/>
        </w:rPr>
      </w:pPr>
      <w:r>
        <w:rPr>
          <w:rFonts w:ascii="Courier New" w:cs="Courier New" w:eastAsia="Courier New" w:hAnsi="Courier New"/>
          <w:sz w:val="18"/>
          <w:szCs w:val="18"/>
          <w:color w:val="auto"/>
        </w:rPr>
        <w:t>National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rPr>
          <w:sz w:val="20"/>
          <w:szCs w:val="20"/>
          <w:color w:val="auto"/>
        </w:rPr>
      </w:pPr>
      <w:r>
        <w:rPr>
          <w:rFonts w:ascii="Courier New" w:cs="Courier New" w:eastAsia="Courier New" w:hAnsi="Courier New"/>
          <w:sz w:val="18"/>
          <w:szCs w:val="18"/>
          <w:color w:val="auto"/>
        </w:rPr>
        <w:t>now known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JPMorgan</w:t>
      </w:r>
    </w:p>
    <w:p>
      <w:pPr>
        <w:jc w:val="center"/>
        <w:ind w:right="8839"/>
        <w:spacing w:after="0"/>
        <w:rPr>
          <w:sz w:val="20"/>
          <w:szCs w:val="20"/>
          <w:color w:val="auto"/>
        </w:rPr>
      </w:pPr>
      <w:r>
        <w:rPr>
          <w:rFonts w:ascii="Courier New" w:cs="Courier New" w:eastAsia="Courier New" w:hAnsi="Courier New"/>
          <w:sz w:val="18"/>
          <w:szCs w:val="18"/>
          <w:color w:val="auto"/>
        </w:rPr>
        <w:t>Chase Bank,</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 trustee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with</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Commission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on September</w:t>
      </w:r>
    </w:p>
    <w:p>
      <w:pPr>
        <w:jc w:val="center"/>
        <w:ind w:right="8839"/>
        <w:spacing w:after="0"/>
        <w:rPr>
          <w:sz w:val="20"/>
          <w:szCs w:val="20"/>
          <w:color w:val="auto"/>
        </w:rPr>
      </w:pPr>
      <w:r>
        <w:rPr>
          <w:rFonts w:ascii="Courier New" w:cs="Courier New" w:eastAsia="Courier New" w:hAnsi="Courier New"/>
          <w:sz w:val="18"/>
          <w:szCs w:val="18"/>
          <w:color w:val="auto"/>
        </w:rPr>
        <w:t>24, 1997).</w:t>
      </w:r>
    </w:p>
    <w:p>
      <w:pPr>
        <w:jc w:val="center"/>
        <w:ind w:right="8839"/>
        <w:spacing w:after="0" w:line="237" w:lineRule="auto"/>
        <w:rPr>
          <w:sz w:val="20"/>
          <w:szCs w:val="20"/>
          <w:color w:val="auto"/>
        </w:rPr>
      </w:pPr>
      <w:r>
        <w:rPr>
          <w:rFonts w:ascii="Courier New" w:cs="Courier New" w:eastAsia="Courier New" w:hAnsi="Courier New"/>
          <w:sz w:val="18"/>
          <w:szCs w:val="18"/>
          <w:color w:val="auto"/>
        </w:rPr>
        <w:t>4.2 --</w:t>
      </w:r>
    </w:p>
    <w:p>
      <w:pPr>
        <w:jc w:val="center"/>
        <w:ind w:right="8839"/>
        <w:spacing w:after="0"/>
        <w:rPr>
          <w:sz w:val="20"/>
          <w:szCs w:val="20"/>
          <w:color w:val="auto"/>
        </w:rPr>
      </w:pPr>
      <w:r>
        <w:rPr>
          <w:rFonts w:ascii="Courier New" w:cs="Courier New" w:eastAsia="Courier New" w:hAnsi="Courier New"/>
          <w:sz w:val="18"/>
          <w:szCs w:val="18"/>
          <w:color w:val="auto"/>
        </w:rPr>
        <w:t>Subordinated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1997, among</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Texas</w:t>
      </w:r>
    </w:p>
    <w:p>
      <w:pPr>
        <w:jc w:val="center"/>
        <w:ind w:right="8839"/>
        <w:spacing w:after="0"/>
        <w:rPr>
          <w:sz w:val="20"/>
          <w:szCs w:val="20"/>
          <w:color w:val="auto"/>
        </w:rPr>
      </w:pPr>
      <w:r>
        <w:rPr>
          <w:rFonts w:ascii="Courier New" w:cs="Courier New" w:eastAsia="Courier New" w:hAnsi="Courier New"/>
          <w:sz w:val="18"/>
          <w:szCs w:val="18"/>
          <w:color w:val="auto"/>
        </w:rPr>
        <w:t>Commerce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Bank</w:t>
      </w:r>
    </w:p>
    <w:p>
      <w:pPr>
        <w:jc w:val="center"/>
        <w:ind w:right="8839"/>
        <w:spacing w:after="0"/>
        <w:rPr>
          <w:sz w:val="20"/>
          <w:szCs w:val="20"/>
          <w:color w:val="auto"/>
        </w:rPr>
      </w:pPr>
      <w:r>
        <w:rPr>
          <w:rFonts w:ascii="Courier New" w:cs="Courier New" w:eastAsia="Courier New" w:hAnsi="Courier New"/>
          <w:sz w:val="18"/>
          <w:szCs w:val="18"/>
          <w:color w:val="auto"/>
        </w:rPr>
        <w:t>National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now known as</w:t>
      </w:r>
    </w:p>
    <w:p>
      <w:pPr>
        <w:jc w:val="center"/>
        <w:ind w:right="8839"/>
        <w:spacing w:after="0"/>
        <w:rPr>
          <w:sz w:val="20"/>
          <w:szCs w:val="20"/>
          <w:color w:val="auto"/>
        </w:rPr>
      </w:pPr>
      <w:r>
        <w:rPr>
          <w:rFonts w:ascii="Courier New" w:cs="Courier New" w:eastAsia="Courier New" w:hAnsi="Courier New"/>
          <w:sz w:val="18"/>
          <w:szCs w:val="18"/>
          <w:color w:val="auto"/>
        </w:rPr>
        <w:t>JPMorgan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Chase Bank,</w:t>
      </w:r>
    </w:p>
    <w:p>
      <w:pPr>
        <w:jc w:val="center"/>
        <w:ind w:right="8839"/>
        <w:spacing w:after="0"/>
        <w:rPr>
          <w:sz w:val="20"/>
          <w:szCs w:val="20"/>
          <w:color w:val="auto"/>
        </w:rPr>
      </w:pPr>
      <w:r>
        <w:rPr>
          <w:rFonts w:ascii="Courier New" w:cs="Courier New" w:eastAsia="Courier New" w:hAnsi="Courier New"/>
          <w:sz w:val="18"/>
          <w:szCs w:val="18"/>
          <w:color w:val="auto"/>
        </w:rPr>
        <w:t>as trustee</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with</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Commission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on February</w:t>
      </w:r>
    </w:p>
    <w:p>
      <w:pPr>
        <w:jc w:val="center"/>
        <w:ind w:right="8839"/>
        <w:spacing w:after="0"/>
        <w:rPr>
          <w:sz w:val="20"/>
          <w:szCs w:val="20"/>
          <w:color w:val="auto"/>
        </w:rPr>
      </w:pPr>
      <w:r>
        <w:rPr>
          <w:rFonts w:ascii="Courier New" w:cs="Courier New" w:eastAsia="Courier New" w:hAnsi="Courier New"/>
          <w:sz w:val="18"/>
          <w:szCs w:val="18"/>
          <w:color w:val="auto"/>
        </w:rPr>
        <w:t>7, 1997).</w:t>
      </w:r>
    </w:p>
    <w:p>
      <w:pPr>
        <w:jc w:val="center"/>
        <w:ind w:right="8839"/>
        <w:spacing w:after="0" w:line="237" w:lineRule="auto"/>
        <w:rPr>
          <w:sz w:val="20"/>
          <w:szCs w:val="20"/>
          <w:color w:val="auto"/>
        </w:rPr>
      </w:pPr>
      <w:r>
        <w:rPr>
          <w:rFonts w:ascii="Courier New" w:cs="Courier New" w:eastAsia="Courier New" w:hAnsi="Courier New"/>
          <w:sz w:val="18"/>
          <w:szCs w:val="18"/>
          <w:color w:val="auto"/>
        </w:rPr>
        <w:t>4.3* -- Form</w:t>
      </w:r>
    </w:p>
    <w:p>
      <w:pPr>
        <w:jc w:val="center"/>
        <w:ind w:right="8839"/>
        <w:spacing w:after="0"/>
        <w:rPr>
          <w:sz w:val="20"/>
          <w:szCs w:val="20"/>
          <w:color w:val="auto"/>
        </w:rPr>
      </w:pPr>
      <w:r>
        <w:rPr>
          <w:rFonts w:ascii="Courier New" w:cs="Courier New" w:eastAsia="Courier New" w:hAnsi="Courier New"/>
          <w:sz w:val="18"/>
          <w:szCs w:val="18"/>
          <w:color w:val="auto"/>
        </w:rPr>
        <w:t>of 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4.4 -- Form</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Guarantee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4.5 --</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Specimen</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Annual</w:t>
      </w:r>
    </w:p>
    <w:p>
      <w:pPr>
        <w:sectPr>
          <w:pgSz w:w="11900" w:h="16838" w:orient="portrait"/>
          <w:cols w:equalWidth="0" w:num="1">
            <w:col w:w="10219"/>
          </w:cols>
          <w:pgMar w:left="240" w:top="136" w:right="1440" w:bottom="0" w:gutter="0" w:footer="0" w:header="0"/>
        </w:sectPr>
      </w:pPr>
    </w:p>
    <w:bookmarkStart w:id="48" w:name="page49"/>
    <w:bookmarkEnd w:id="48"/>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10-K</w:t>
      </w:r>
    </w:p>
    <w:p>
      <w:pPr>
        <w:jc w:val="center"/>
        <w:ind w:right="8839"/>
        <w:spacing w:after="0"/>
        <w:rPr>
          <w:sz w:val="20"/>
          <w:szCs w:val="20"/>
          <w:color w:val="auto"/>
        </w:rPr>
      </w:pPr>
      <w:r>
        <w:rPr>
          <w:rFonts w:ascii="Courier New" w:cs="Courier New" w:eastAsia="Courier New" w:hAnsi="Courier New"/>
          <w:sz w:val="18"/>
          <w:szCs w:val="18"/>
          <w:color w:val="auto"/>
        </w:rPr>
        <w:t>for the year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839"/>
        <w:spacing w:after="0"/>
        <w:rPr>
          <w:sz w:val="20"/>
          <w:szCs w:val="20"/>
          <w:color w:val="auto"/>
        </w:rPr>
      </w:pPr>
      <w:r>
        <w:rPr>
          <w:rFonts w:ascii="Courier New" w:cs="Courier New" w:eastAsia="Courier New" w:hAnsi="Courier New"/>
          <w:sz w:val="18"/>
          <w:szCs w:val="18"/>
          <w:color w:val="auto"/>
        </w:rPr>
        <w:t>1998). 5.1 -</w:t>
      </w:r>
    </w:p>
    <w:p>
      <w:pPr>
        <w:spacing w:after="0" w:line="4" w:lineRule="exact"/>
        <w:rPr>
          <w:sz w:val="20"/>
          <w:szCs w:val="20"/>
          <w:color w:val="auto"/>
        </w:rPr>
      </w:pPr>
    </w:p>
    <w:p>
      <w:pPr>
        <w:jc w:val="both"/>
        <w:ind w:left="120" w:right="8899" w:hanging="62"/>
        <w:spacing w:after="0" w:line="268" w:lineRule="auto"/>
        <w:tabs>
          <w:tab w:leader="none" w:pos="27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Baker Botts</w:t>
      </w:r>
    </w:p>
    <w:p>
      <w:pPr>
        <w:jc w:val="center"/>
        <w:ind w:right="8839"/>
        <w:spacing w:after="0" w:line="233" w:lineRule="auto"/>
        <w:rPr>
          <w:sz w:val="20"/>
          <w:szCs w:val="20"/>
          <w:color w:val="auto"/>
        </w:rPr>
      </w:pPr>
      <w:r>
        <w:rPr>
          <w:rFonts w:ascii="Courier New" w:cs="Courier New" w:eastAsia="Courier New" w:hAnsi="Courier New"/>
          <w:sz w:val="18"/>
          <w:szCs w:val="18"/>
          <w:color w:val="auto"/>
        </w:rPr>
        <w:t>L.L.P. as to</w:t>
      </w:r>
    </w:p>
    <w:p>
      <w:pPr>
        <w:jc w:val="center"/>
        <w:ind w:right="8839"/>
        <w:spacing w:after="0"/>
        <w:rPr>
          <w:sz w:val="20"/>
          <w:szCs w:val="20"/>
          <w:color w:val="auto"/>
        </w:rPr>
      </w:pPr>
      <w:r>
        <w:rPr>
          <w:rFonts w:ascii="Courier New" w:cs="Courier New" w:eastAsia="Courier New" w:hAnsi="Courier New"/>
          <w:sz w:val="18"/>
          <w:szCs w:val="18"/>
          <w:color w:val="auto"/>
        </w:rPr>
        <w:t>the legality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being</w:t>
      </w:r>
    </w:p>
    <w:p>
      <w:pPr>
        <w:jc w:val="center"/>
        <w:ind w:right="8839"/>
        <w:spacing w:after="0"/>
        <w:rPr>
          <w:sz w:val="20"/>
          <w:szCs w:val="20"/>
          <w:color w:val="auto"/>
        </w:rPr>
      </w:pPr>
      <w:r>
        <w:rPr>
          <w:rFonts w:ascii="Courier New" w:cs="Courier New" w:eastAsia="Courier New" w:hAnsi="Courier New"/>
          <w:sz w:val="18"/>
          <w:szCs w:val="18"/>
          <w:color w:val="auto"/>
        </w:rPr>
        <w:t>registered.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12.1 --</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Baker Botts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L.L.P.</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24.1 -</w:t>
      </w:r>
    </w:p>
    <w:p>
      <w:pPr>
        <w:spacing w:after="0" w:line="5" w:lineRule="exact"/>
        <w:rPr>
          <w:sz w:val="20"/>
          <w:szCs w:val="20"/>
          <w:color w:val="auto"/>
        </w:rPr>
      </w:pPr>
    </w:p>
    <w:p>
      <w:pPr>
        <w:ind w:left="260" w:right="8959" w:hanging="149"/>
        <w:spacing w:after="0" w:line="268" w:lineRule="auto"/>
        <w:tabs>
          <w:tab w:leader="none" w:pos="31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w:t>
      </w:r>
    </w:p>
    <w:p>
      <w:pPr>
        <w:jc w:val="center"/>
        <w:ind w:right="8839"/>
        <w:spacing w:after="0" w:line="233" w:lineRule="auto"/>
        <w:rPr>
          <w:sz w:val="20"/>
          <w:szCs w:val="20"/>
          <w:color w:val="auto"/>
        </w:rPr>
      </w:pPr>
      <w:r>
        <w:rPr>
          <w:rFonts w:ascii="Courier New" w:cs="Courier New" w:eastAsia="Courier New" w:hAnsi="Courier New"/>
          <w:sz w:val="18"/>
          <w:szCs w:val="18"/>
          <w:color w:val="auto"/>
        </w:rPr>
        <w:t>(included on</w:t>
      </w:r>
    </w:p>
    <w:p>
      <w:pPr>
        <w:jc w:val="center"/>
        <w:ind w:right="8839"/>
        <w:spacing w:after="0"/>
        <w:rPr>
          <w:sz w:val="20"/>
          <w:szCs w:val="20"/>
          <w:color w:val="auto"/>
        </w:rPr>
      </w:pPr>
      <w:r>
        <w:rPr>
          <w:rFonts w:ascii="Courier New" w:cs="Courier New" w:eastAsia="Courier New" w:hAnsi="Courier New"/>
          <w:sz w:val="18"/>
          <w:szCs w:val="18"/>
          <w:color w:val="auto"/>
        </w:rPr>
        <w:t>signature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page</w:t>
      </w:r>
    </w:p>
    <w:p>
      <w:pPr>
        <w:jc w:val="center"/>
        <w:ind w:right="8839"/>
        <w:spacing w:after="0"/>
        <w:rPr>
          <w:sz w:val="20"/>
          <w:szCs w:val="20"/>
          <w:color w:val="auto"/>
        </w:rPr>
      </w:pPr>
      <w:r>
        <w:rPr>
          <w:rFonts w:ascii="Courier New" w:cs="Courier New" w:eastAsia="Courier New" w:hAnsi="Courier New"/>
          <w:sz w:val="18"/>
          <w:szCs w:val="18"/>
          <w:color w:val="auto"/>
        </w:rPr>
        <w:t>herewith).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w:t>
      </w:r>
    </w:p>
    <w:p>
      <w:pPr>
        <w:jc w:val="center"/>
        <w:ind w:right="8839"/>
        <w:spacing w:after="0"/>
        <w:rPr>
          <w:sz w:val="20"/>
          <w:szCs w:val="20"/>
          <w:color w:val="auto"/>
        </w:rPr>
      </w:pPr>
      <w:r>
        <w:rPr>
          <w:rFonts w:ascii="Courier New" w:cs="Courier New" w:eastAsia="Courier New" w:hAnsi="Courier New"/>
          <w:sz w:val="18"/>
          <w:szCs w:val="18"/>
          <w:color w:val="auto"/>
        </w:rPr>
        <w:t>Statement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Eligibility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Trustee</w:t>
      </w:r>
    </w:p>
    <w:p>
      <w:pPr>
        <w:jc w:val="center"/>
        <w:ind w:right="8839"/>
        <w:spacing w:after="0"/>
        <w:rPr>
          <w:sz w:val="20"/>
          <w:szCs w:val="20"/>
          <w:color w:val="auto"/>
        </w:rPr>
      </w:pPr>
      <w:r>
        <w:rPr>
          <w:rFonts w:ascii="Courier New" w:cs="Courier New" w:eastAsia="Courier New" w:hAnsi="Courier New"/>
          <w:sz w:val="18"/>
          <w:szCs w:val="18"/>
          <w:color w:val="auto"/>
        </w:rPr>
        <w:t>with respect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Senior</w:t>
      </w:r>
    </w:p>
    <w:p>
      <w:pPr>
        <w:jc w:val="center"/>
        <w:ind w:right="8839"/>
        <w:spacing w:after="0"/>
        <w:rPr>
          <w:sz w:val="20"/>
          <w:szCs w:val="20"/>
          <w:color w:val="auto"/>
        </w:rPr>
      </w:pPr>
      <w:r>
        <w:rPr>
          <w:rFonts w:ascii="Courier New" w:cs="Courier New" w:eastAsia="Courier New" w:hAnsi="Courier New"/>
          <w:sz w:val="18"/>
          <w:szCs w:val="18"/>
          <w:color w:val="auto"/>
        </w:rPr>
        <w:t>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rPr>
          <w:sz w:val="20"/>
          <w:szCs w:val="20"/>
          <w:color w:val="auto"/>
        </w:rPr>
      </w:pPr>
      <w:r>
        <w:rPr>
          <w:rFonts w:ascii="Courier New" w:cs="Courier New" w:eastAsia="Courier New" w:hAnsi="Courier New"/>
          <w:sz w:val="18"/>
          <w:szCs w:val="18"/>
          <w:color w:val="auto"/>
        </w:rPr>
        <w:t>25.2 --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 of</w:t>
      </w:r>
    </w:p>
    <w:p>
      <w:pPr>
        <w:jc w:val="center"/>
        <w:ind w:right="8839"/>
        <w:spacing w:after="0"/>
        <w:rPr>
          <w:sz w:val="20"/>
          <w:szCs w:val="20"/>
          <w:color w:val="auto"/>
        </w:rPr>
      </w:pPr>
      <w:r>
        <w:rPr>
          <w:rFonts w:ascii="Courier New" w:cs="Courier New" w:eastAsia="Courier New" w:hAnsi="Courier New"/>
          <w:sz w:val="18"/>
          <w:szCs w:val="18"/>
          <w:color w:val="auto"/>
        </w:rPr>
        <w:t>Eligibility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Trustee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with respect</w:t>
      </w:r>
    </w:p>
    <w:p>
      <w:pPr>
        <w:jc w:val="center"/>
        <w:ind w:right="8839"/>
        <w:spacing w:after="0"/>
        <w:rPr>
          <w:sz w:val="20"/>
          <w:szCs w:val="20"/>
          <w:color w:val="auto"/>
        </w:rPr>
      </w:pPr>
      <w:r>
        <w:rPr>
          <w:rFonts w:ascii="Courier New" w:cs="Courier New" w:eastAsia="Courier New" w:hAnsi="Courier New"/>
          <w:sz w:val="18"/>
          <w:szCs w:val="18"/>
          <w:color w:val="auto"/>
        </w:rPr>
        <w:t>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Subordinated</w:t>
      </w:r>
    </w:p>
    <w:p>
      <w:pPr>
        <w:jc w:val="center"/>
        <w:ind w:right="8839"/>
        <w:spacing w:after="0"/>
        <w:rPr>
          <w:sz w:val="20"/>
          <w:szCs w:val="20"/>
          <w:color w:val="auto"/>
        </w:rPr>
      </w:pPr>
      <w:r>
        <w:rPr>
          <w:rFonts w:ascii="Courier New" w:cs="Courier New" w:eastAsia="Courier New" w:hAnsi="Courier New"/>
          <w:sz w:val="18"/>
          <w:szCs w:val="18"/>
          <w:color w:val="auto"/>
        </w:rPr>
        <w:t>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879" w:hanging="212"/>
        <w:spacing w:after="0" w:line="237" w:lineRule="auto"/>
        <w:tabs>
          <w:tab w:leader="none" w:pos="2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file any underwriting agreement relating to debt securities or common stock that we may enter into and any form of debt securities not previously filed by amendment to this Registration Statement or as an exhibit to a Current Report on Form 8-K.</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960" w:hanging="425"/>
        <w:spacing w:after="0"/>
        <w:tabs>
          <w:tab w:leader="none" w:pos="9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registrants hereby undertake:</w:t>
      </w:r>
    </w:p>
    <w:p>
      <w:pPr>
        <w:spacing w:after="0" w:line="206" w:lineRule="exact"/>
        <w:rPr>
          <w:rFonts w:ascii="Courier New" w:cs="Courier New" w:eastAsia="Courier New" w:hAnsi="Courier New"/>
          <w:sz w:val="18"/>
          <w:szCs w:val="18"/>
          <w:color w:val="auto"/>
        </w:rPr>
      </w:pPr>
    </w:p>
    <w:p>
      <w:pPr>
        <w:ind w:left="540" w:right="2319" w:firstLine="521"/>
        <w:spacing w:after="0" w:line="290" w:lineRule="auto"/>
        <w:tabs>
          <w:tab w:leader="none" w:pos="1488"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913" w:val="left"/>
        </w:tabs>
        <w:numPr>
          <w:ilvl w:val="2"/>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36" w:right="1440" w:bottom="740" w:gutter="0" w:footer="0" w:header="0"/>
        </w:sectPr>
      </w:pPr>
    </w:p>
    <w:bookmarkStart w:id="49" w:name="page50"/>
    <w:bookmarkEnd w:id="49"/>
    <w:p>
      <w:pPr>
        <w:ind w:left="860" w:right="1879"/>
        <w:spacing w:after="0" w:line="271" w:lineRule="auto"/>
        <w:rPr>
          <w:sz w:val="20"/>
          <w:szCs w:val="20"/>
          <w:color w:val="auto"/>
        </w:rPr>
      </w:pPr>
      <w:r>
        <w:rPr>
          <w:rFonts w:ascii="Courier New" w:cs="Courier New" w:eastAsia="Courier New" w:hAnsi="Courier New"/>
          <w:sz w:val="16"/>
          <w:szCs w:val="16"/>
          <w:color w:val="auto"/>
        </w:rPr>
        <w:t>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4" w:lineRule="exact"/>
        <w:rPr>
          <w:sz w:val="20"/>
          <w:szCs w:val="20"/>
          <w:color w:val="auto"/>
        </w:rPr>
      </w:pPr>
    </w:p>
    <w:p>
      <w:pPr>
        <w:ind w:left="860" w:right="1879" w:firstLine="517"/>
        <w:spacing w:after="0" w:line="237" w:lineRule="auto"/>
        <w:tabs>
          <w:tab w:leader="none" w:pos="2019"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 filed with or furnished to the Commission by the registrants pursuant to Section 13 or Section 15(d) of the Exchange Act that are incorporated by reference in the registration statement.</w:t>
      </w:r>
    </w:p>
    <w:p>
      <w:pPr>
        <w:spacing w:after="0" w:line="185" w:lineRule="exact"/>
        <w:rPr>
          <w:sz w:val="20"/>
          <w:szCs w:val="20"/>
          <w:color w:val="auto"/>
        </w:rPr>
      </w:pPr>
    </w:p>
    <w:p>
      <w:pPr>
        <w:ind w:left="540" w:right="1879" w:firstLine="521"/>
        <w:spacing w:after="0" w:line="237" w:lineRule="auto"/>
        <w:tabs>
          <w:tab w:leader="none" w:pos="1488"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registrants hereby undertakes that:</w:t>
      </w:r>
    </w:p>
    <w:p>
      <w:pPr>
        <w:spacing w:after="0" w:line="206" w:lineRule="exact"/>
        <w:rPr>
          <w:rFonts w:ascii="Courier New" w:cs="Courier New" w:eastAsia="Courier New" w:hAnsi="Courier New"/>
          <w:sz w:val="18"/>
          <w:szCs w:val="18"/>
          <w:color w:val="auto"/>
        </w:rPr>
      </w:pPr>
    </w:p>
    <w:p>
      <w:pPr>
        <w:ind w:left="540" w:right="1999" w:firstLine="521"/>
        <w:spacing w:after="0" w:line="268" w:lineRule="auto"/>
        <w:tabs>
          <w:tab w:leader="none" w:pos="1488"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or 497(h) under the Securities Act shall be deemed to be part of this registration statement as of the time it was declared effective.</w:t>
      </w:r>
    </w:p>
    <w:p>
      <w:pPr>
        <w:spacing w:after="0" w:line="208"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any charter provision, by-law, contract, arrangement, statute, or otherwise, the registrants have been advised that in the opinion of the Commission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against the registrants by such director, officer or controlling person in connection with the securities being registered, the registrants will, unless in the opinion of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767" w:gutter="0" w:footer="0" w:header="0"/>
        </w:sectPr>
      </w:pPr>
    </w:p>
    <w:bookmarkStart w:id="50" w:name="page51"/>
    <w:bookmarkEnd w:id="50"/>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5th day of August, 2002.</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 MAURICE MYERS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A. Maurice Myers</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 Chief Executive</w:t>
      </w:r>
    </w:p>
    <w:p>
      <w:pPr>
        <w:ind w:left="5700"/>
        <w:spacing w:after="0"/>
        <w:rPr>
          <w:sz w:val="20"/>
          <w:szCs w:val="20"/>
          <w:color w:val="auto"/>
        </w:rPr>
      </w:pPr>
      <w:r>
        <w:rPr>
          <w:rFonts w:ascii="Courier New" w:cs="Courier New" w:eastAsia="Courier New" w:hAnsi="Courier New"/>
          <w:sz w:val="18"/>
          <w:szCs w:val="18"/>
          <w:color w:val="auto"/>
        </w:rPr>
        <w:t>Officer and Chairman of</w:t>
      </w:r>
    </w:p>
    <w:p>
      <w:pPr>
        <w:ind w:left="5700"/>
        <w:spacing w:after="0" w:line="237" w:lineRule="auto"/>
        <w:rPr>
          <w:sz w:val="20"/>
          <w:szCs w:val="20"/>
          <w:color w:val="auto"/>
        </w:rPr>
      </w:pPr>
      <w:r>
        <w:rPr>
          <w:rFonts w:ascii="Courier New" w:cs="Courier New" w:eastAsia="Courier New" w:hAnsi="Courier New"/>
          <w:sz w:val="18"/>
          <w:szCs w:val="18"/>
          <w:color w:val="auto"/>
        </w:rPr>
        <w:t>the Board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constitutes and appoints A. Maurice Myers, William L. Trubeck and David P. Steiner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necessary or advisable to comply with the applicable state securities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10"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5th day of August, 2002.</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w:t>
      </w:r>
    </w:p>
    <w:p>
      <w:pPr>
        <w:ind w:left="420" w:hanging="308"/>
        <w:spacing w:after="0"/>
        <w:tabs>
          <w:tab w:leader="none" w:pos="4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MAURICE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MYERS</w:t>
      </w:r>
    </w:p>
    <w:p>
      <w:pPr>
        <w:jc w:val="center"/>
        <w:ind w:right="8739"/>
        <w:spacing w:after="0"/>
        <w:rPr>
          <w:sz w:val="20"/>
          <w:szCs w:val="20"/>
          <w:color w:val="auto"/>
        </w:rPr>
      </w:pPr>
      <w:r>
        <w:rPr>
          <w:rFonts w:ascii="Courier New" w:cs="Courier New" w:eastAsia="Courier New" w:hAnsi="Courier New"/>
          <w:sz w:val="18"/>
          <w:szCs w:val="18"/>
          <w:color w:val="auto"/>
        </w:rPr>
        <w:t>President,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Chief</w:t>
      </w:r>
    </w:p>
    <w:p>
      <w:pPr>
        <w:jc w:val="center"/>
        <w:ind w:right="873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739"/>
        <w:spacing w:after="0"/>
        <w:rPr>
          <w:sz w:val="20"/>
          <w:szCs w:val="20"/>
          <w:color w:val="auto"/>
        </w:rPr>
      </w:pPr>
      <w:r>
        <w:rPr>
          <w:rFonts w:ascii="Courier New" w:cs="Courier New" w:eastAsia="Courier New" w:hAnsi="Courier New"/>
          <w:sz w:val="18"/>
          <w:szCs w:val="18"/>
          <w:color w:val="auto"/>
        </w:rPr>
        <w:t>Officer,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Chairman of</w:t>
      </w:r>
    </w:p>
    <w:p>
      <w:pPr>
        <w:ind w:left="60"/>
        <w:spacing w:after="0"/>
        <w:rPr>
          <w:sz w:val="20"/>
          <w:szCs w:val="20"/>
          <w:color w:val="auto"/>
        </w:rPr>
      </w:pPr>
      <w:r>
        <w:rPr>
          <w:rFonts w:ascii="Courier New" w:cs="Courier New" w:eastAsia="Courier New" w:hAnsi="Courier New"/>
          <w:sz w:val="18"/>
          <w:szCs w:val="18"/>
          <w:color w:val="auto"/>
        </w:rPr>
        <w:t>the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0" w:right="8839" w:hanging="208"/>
        <w:spacing w:after="0" w:line="268" w:lineRule="auto"/>
        <w:tabs>
          <w:tab w:leader="none" w:pos="42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and Director</w:t>
      </w:r>
    </w:p>
    <w:p>
      <w:pPr>
        <w:jc w:val="center"/>
        <w:ind w:right="8739"/>
        <w:spacing w:after="0" w:line="233" w:lineRule="auto"/>
        <w:rPr>
          <w:sz w:val="20"/>
          <w:szCs w:val="20"/>
          <w:color w:val="auto"/>
        </w:rPr>
      </w:pPr>
      <w:r>
        <w:rPr>
          <w:rFonts w:ascii="Courier New" w:cs="Courier New" w:eastAsia="Courier New" w:hAnsi="Courier New"/>
          <w:sz w:val="18"/>
          <w:szCs w:val="18"/>
          <w:color w:val="auto"/>
        </w:rPr>
        <w:t>(Principal</w:t>
      </w:r>
    </w:p>
    <w:p>
      <w:pPr>
        <w:jc w:val="center"/>
        <w:ind w:right="8739"/>
        <w:spacing w:after="0"/>
        <w:rPr>
          <w:sz w:val="20"/>
          <w:szCs w:val="20"/>
          <w:color w:val="auto"/>
        </w:rPr>
      </w:pPr>
      <w:r>
        <w:rPr>
          <w:rFonts w:ascii="Courier New" w:cs="Courier New" w:eastAsia="Courier New" w:hAnsi="Courier New"/>
          <w:sz w:val="18"/>
          <w:szCs w:val="18"/>
          <w:color w:val="auto"/>
        </w:rPr>
        <w:t>Executive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Officer) A.</w:t>
      </w:r>
    </w:p>
    <w:p>
      <w:pPr>
        <w:jc w:val="center"/>
        <w:ind w:right="8739"/>
        <w:spacing w:after="0"/>
        <w:rPr>
          <w:sz w:val="20"/>
          <w:szCs w:val="20"/>
          <w:color w:val="auto"/>
        </w:rPr>
      </w:pPr>
      <w:r>
        <w:rPr>
          <w:rFonts w:ascii="Courier New" w:cs="Courier New" w:eastAsia="Courier New" w:hAnsi="Courier New"/>
          <w:sz w:val="18"/>
          <w:szCs w:val="18"/>
          <w:color w:val="auto"/>
        </w:rPr>
        <w:t>Maurice Myers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 WILLIAM</w:t>
      </w:r>
    </w:p>
    <w:p>
      <w:pPr>
        <w:spacing w:after="0" w:line="5" w:lineRule="exact"/>
        <w:rPr>
          <w:sz w:val="20"/>
          <w:szCs w:val="20"/>
          <w:color w:val="auto"/>
        </w:rPr>
      </w:pPr>
    </w:p>
    <w:p>
      <w:pPr>
        <w:jc w:val="both"/>
        <w:ind w:left="280" w:right="8939" w:hanging="63"/>
        <w:spacing w:after="0" w:line="290" w:lineRule="auto"/>
        <w:tabs>
          <w:tab w:leader="none" w:pos="543"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TRUBECK Executive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hanging="221"/>
        <w:spacing w:after="0"/>
        <w:tabs>
          <w:tab w:leader="none" w:pos="2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L.</w:t>
      </w:r>
    </w:p>
    <w:p>
      <w:pPr>
        <w:sectPr>
          <w:pgSz w:w="11900" w:h="16838" w:orient="portrait"/>
          <w:cols w:equalWidth="0" w:num="1">
            <w:col w:w="10219"/>
          </w:cols>
          <w:pgMar w:left="240" w:top="717" w:right="1440" w:bottom="0" w:gutter="0" w:footer="0" w:header="0"/>
        </w:sectPr>
      </w:pPr>
    </w:p>
    <w:bookmarkStart w:id="51" w:name="page52"/>
    <w:bookmarkEnd w:id="51"/>
    <w:p>
      <w:pPr>
        <w:jc w:val="center"/>
        <w:ind w:right="8799"/>
        <w:spacing w:after="0"/>
        <w:rPr>
          <w:sz w:val="20"/>
          <w:szCs w:val="20"/>
          <w:color w:val="auto"/>
        </w:rPr>
      </w:pPr>
      <w:r>
        <w:rPr>
          <w:rFonts w:ascii="Courier New" w:cs="Courier New" w:eastAsia="Courier New" w:hAnsi="Courier New"/>
          <w:sz w:val="18"/>
          <w:szCs w:val="18"/>
          <w:color w:val="auto"/>
        </w:rPr>
        <w:t>Trubeck /s/</w:t>
      </w:r>
    </w:p>
    <w:p>
      <w:pPr>
        <w:jc w:val="center"/>
        <w:ind w:right="8799"/>
        <w:spacing w:after="0" w:line="238" w:lineRule="auto"/>
        <w:rPr>
          <w:sz w:val="20"/>
          <w:szCs w:val="20"/>
          <w:color w:val="auto"/>
        </w:rPr>
      </w:pPr>
      <w:r>
        <w:rPr>
          <w:rFonts w:ascii="Courier New" w:cs="Courier New" w:eastAsia="Courier New" w:hAnsi="Courier New"/>
          <w:sz w:val="18"/>
          <w:szCs w:val="18"/>
          <w:color w:val="auto"/>
        </w:rPr>
        <w:t>ROBERT G.</w:t>
      </w:r>
    </w:p>
    <w:p>
      <w:pPr>
        <w:jc w:val="center"/>
        <w:ind w:right="8799"/>
        <w:spacing w:after="0"/>
        <w:rPr>
          <w:sz w:val="20"/>
          <w:szCs w:val="20"/>
          <w:color w:val="auto"/>
        </w:rPr>
      </w:pPr>
      <w:r>
        <w:rPr>
          <w:rFonts w:ascii="Courier New" w:cs="Courier New" w:eastAsia="Courier New" w:hAnsi="Courier New"/>
          <w:sz w:val="18"/>
          <w:szCs w:val="18"/>
          <w:color w:val="auto"/>
        </w:rPr>
        <w:t>SIMPSON Vice</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President and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Chief</w:t>
      </w:r>
    </w:p>
    <w:p>
      <w:pPr>
        <w:jc w:val="center"/>
        <w:ind w:right="8799"/>
        <w:spacing w:after="0" w:line="238" w:lineRule="auto"/>
        <w:rPr>
          <w:sz w:val="20"/>
          <w:szCs w:val="20"/>
          <w:color w:val="auto"/>
        </w:rPr>
      </w:pPr>
      <w:r>
        <w:rPr>
          <w:rFonts w:ascii="Courier New" w:cs="Courier New" w:eastAsia="Courier New" w:hAnsi="Courier New"/>
          <w:sz w:val="18"/>
          <w:szCs w:val="18"/>
          <w:color w:val="auto"/>
        </w:rPr>
        <w:t>Accounting</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Officer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3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line="238" w:lineRule="auto"/>
        <w:rPr>
          <w:sz w:val="20"/>
          <w:szCs w:val="20"/>
          <w:color w:val="auto"/>
        </w:rPr>
      </w:pPr>
      <w:r>
        <w:rPr>
          <w:rFonts w:ascii="Courier New" w:cs="Courier New" w:eastAsia="Courier New" w:hAnsi="Courier New"/>
          <w:sz w:val="18"/>
          <w:szCs w:val="18"/>
          <w:color w:val="auto"/>
        </w:rPr>
        <w:t>(Principal</w:t>
      </w:r>
    </w:p>
    <w:p>
      <w:pPr>
        <w:ind w:left="160"/>
        <w:spacing w:after="0"/>
        <w:rPr>
          <w:sz w:val="20"/>
          <w:szCs w:val="20"/>
          <w:color w:val="auto"/>
        </w:rPr>
      </w:pPr>
      <w:r>
        <w:rPr>
          <w:rFonts w:ascii="Courier New" w:cs="Courier New" w:eastAsia="Courier New" w:hAnsi="Courier New"/>
          <w:sz w:val="18"/>
          <w:szCs w:val="18"/>
          <w:color w:val="auto"/>
        </w:rPr>
        <w:t>Accounting</w:t>
      </w:r>
    </w:p>
    <w:p>
      <w:pPr>
        <w:ind w:left="260"/>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8799"/>
        <w:spacing w:after="0"/>
        <w:rPr>
          <w:sz w:val="20"/>
          <w:szCs w:val="20"/>
          <w:color w:val="auto"/>
        </w:rPr>
      </w:pPr>
      <w:r>
        <w:rPr>
          <w:rFonts w:ascii="Courier New" w:cs="Courier New" w:eastAsia="Courier New" w:hAnsi="Courier New"/>
          <w:sz w:val="18"/>
          <w:szCs w:val="18"/>
          <w:color w:val="auto"/>
        </w:rPr>
        <w:t>Robert G.</w:t>
      </w:r>
    </w:p>
    <w:p>
      <w:pPr>
        <w:jc w:val="center"/>
        <w:ind w:right="8799"/>
        <w:spacing w:after="0" w:line="237" w:lineRule="auto"/>
        <w:rPr>
          <w:sz w:val="20"/>
          <w:szCs w:val="20"/>
          <w:color w:val="auto"/>
        </w:rPr>
      </w:pPr>
      <w:r>
        <w:rPr>
          <w:rFonts w:ascii="Courier New" w:cs="Courier New" w:eastAsia="Courier New" w:hAnsi="Courier New"/>
          <w:sz w:val="18"/>
          <w:szCs w:val="18"/>
          <w:color w:val="auto"/>
        </w:rPr>
        <w:t>Simpson /s/</w:t>
      </w:r>
    </w:p>
    <w:p>
      <w:pPr>
        <w:spacing w:after="0" w:line="5" w:lineRule="exact"/>
        <w:rPr>
          <w:sz w:val="20"/>
          <w:szCs w:val="20"/>
          <w:color w:val="auto"/>
        </w:rPr>
      </w:pPr>
    </w:p>
    <w:p>
      <w:pPr>
        <w:jc w:val="both"/>
        <w:ind w:left="320" w:right="9059" w:hanging="57"/>
        <w:spacing w:after="0" w:line="268" w:lineRule="auto"/>
        <w:tabs>
          <w:tab w:leader="none" w:pos="58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JESSE ARNELLE</w:t>
      </w:r>
    </w:p>
    <w:p>
      <w:pPr>
        <w:spacing w:after="0" w:line="233" w:lineRule="auto"/>
        <w:rPr>
          <w:sz w:val="20"/>
          <w:szCs w:val="20"/>
          <w:color w:val="auto"/>
        </w:rPr>
      </w:pPr>
      <w:r>
        <w:rPr>
          <w:rFonts w:ascii="Courier New" w:cs="Courier New" w:eastAsia="Courier New" w:hAnsi="Courier New"/>
          <w:sz w:val="18"/>
          <w:szCs w:val="18"/>
          <w:color w:val="auto"/>
        </w:rPr>
        <w:t>Director -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 H.</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Jesse Arnelle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/s/ PASTORA</w:t>
      </w:r>
    </w:p>
    <w:p>
      <w:pPr>
        <w:jc w:val="center"/>
        <w:ind w:right="8799"/>
        <w:spacing w:after="0" w:line="238" w:lineRule="auto"/>
        <w:rPr>
          <w:sz w:val="20"/>
          <w:szCs w:val="20"/>
          <w:color w:val="auto"/>
        </w:rPr>
      </w:pPr>
      <w:r>
        <w:rPr>
          <w:rFonts w:ascii="Courier New" w:cs="Courier New" w:eastAsia="Courier New" w:hAnsi="Courier New"/>
          <w:sz w:val="18"/>
          <w:szCs w:val="18"/>
          <w:color w:val="auto"/>
        </w:rPr>
        <w:t>SAN JUAN</w:t>
      </w:r>
    </w:p>
    <w:p>
      <w:pPr>
        <w:jc w:val="center"/>
        <w:ind w:right="8799"/>
        <w:spacing w:after="0"/>
        <w:rPr>
          <w:sz w:val="20"/>
          <w:szCs w:val="20"/>
          <w:color w:val="auto"/>
        </w:rPr>
      </w:pPr>
      <w:r>
        <w:rPr>
          <w:rFonts w:ascii="Courier New" w:cs="Courier New" w:eastAsia="Courier New" w:hAnsi="Courier New"/>
          <w:sz w:val="18"/>
          <w:szCs w:val="18"/>
          <w:color w:val="auto"/>
        </w:rPr>
        <w:t>CAFFERTY</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Director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w:t>
      </w:r>
    </w:p>
    <w:p>
      <w:pPr>
        <w:jc w:val="center"/>
        <w:ind w:right="8799"/>
        <w:spacing w:after="0" w:line="238" w:lineRule="auto"/>
        <w:rPr>
          <w:sz w:val="20"/>
          <w:szCs w:val="20"/>
          <w:color w:val="auto"/>
        </w:rPr>
      </w:pPr>
      <w:r>
        <w:rPr>
          <w:rFonts w:ascii="Courier New" w:cs="Courier New" w:eastAsia="Courier New" w:hAnsi="Courier New"/>
          <w:sz w:val="18"/>
          <w:szCs w:val="18"/>
          <w:color w:val="auto"/>
        </w:rPr>
        <w:t>Pastora San</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Juan Cafferty</w:t>
      </w:r>
    </w:p>
    <w:p>
      <w:pPr>
        <w:spacing w:after="0" w:line="200" w:lineRule="exact"/>
        <w:rPr>
          <w:sz w:val="20"/>
          <w:szCs w:val="20"/>
          <w:color w:val="auto"/>
        </w:rPr>
      </w:pPr>
    </w:p>
    <w:p>
      <w:pPr>
        <w:spacing w:after="0" w:line="22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159"/>
          </w:cols>
          <w:pgMar w:left="300" w:top="136"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TITLE --</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9259"/>
        <w:spacing w:after="0" w:line="237" w:lineRule="auto"/>
        <w:rPr>
          <w:sz w:val="20"/>
          <w:szCs w:val="20"/>
          <w:color w:val="auto"/>
        </w:rPr>
      </w:pPr>
      <w:r>
        <w:rPr>
          <w:rFonts w:ascii="Courier New" w:cs="Courier New" w:eastAsia="Courier New" w:hAnsi="Courier New"/>
          <w:sz w:val="18"/>
          <w:szCs w:val="18"/>
          <w:color w:val="auto"/>
        </w:rPr>
        <w:t>/s/</w:t>
      </w:r>
    </w:p>
    <w:p>
      <w:pPr>
        <w:jc w:val="center"/>
        <w:ind w:right="9259"/>
        <w:spacing w:after="0" w:line="238" w:lineRule="auto"/>
        <w:rPr>
          <w:sz w:val="20"/>
          <w:szCs w:val="20"/>
          <w:color w:val="auto"/>
        </w:rPr>
      </w:pPr>
      <w:r>
        <w:rPr>
          <w:rFonts w:ascii="Courier New" w:cs="Courier New" w:eastAsia="Courier New" w:hAnsi="Courier New"/>
          <w:sz w:val="18"/>
          <w:szCs w:val="18"/>
          <w:color w:val="auto"/>
        </w:rPr>
        <w:t>ROBERT</w:t>
      </w:r>
    </w:p>
    <w:p>
      <w:pPr>
        <w:jc w:val="center"/>
        <w:ind w:right="9259"/>
        <w:spacing w:after="0"/>
        <w:rPr>
          <w:sz w:val="20"/>
          <w:szCs w:val="20"/>
          <w:color w:val="auto"/>
        </w:rPr>
      </w:pPr>
      <w:r>
        <w:rPr>
          <w:rFonts w:ascii="Courier New" w:cs="Courier New" w:eastAsia="Courier New" w:hAnsi="Courier New"/>
          <w:sz w:val="18"/>
          <w:szCs w:val="18"/>
          <w:color w:val="auto"/>
        </w:rPr>
        <w:t>S.</w:t>
      </w:r>
    </w:p>
    <w:p>
      <w:pPr>
        <w:jc w:val="center"/>
        <w:ind w:right="9259"/>
        <w:spacing w:after="0" w:line="237" w:lineRule="auto"/>
        <w:rPr>
          <w:sz w:val="20"/>
          <w:szCs w:val="20"/>
          <w:color w:val="auto"/>
        </w:rPr>
      </w:pPr>
      <w:r>
        <w:rPr>
          <w:rFonts w:ascii="Courier New" w:cs="Courier New" w:eastAsia="Courier New" w:hAnsi="Courier New"/>
          <w:sz w:val="18"/>
          <w:szCs w:val="18"/>
          <w:color w:val="auto"/>
        </w:rPr>
        <w:t>MILLER</w:t>
      </w:r>
    </w:p>
    <w:p>
      <w:pPr>
        <w:jc w:val="center"/>
        <w:ind w:right="9259"/>
        <w:spacing w:after="0"/>
        <w:rPr>
          <w:sz w:val="20"/>
          <w:szCs w:val="20"/>
          <w:color w:val="auto"/>
        </w:rPr>
      </w:pPr>
      <w:r>
        <w:rPr>
          <w:rFonts w:ascii="Courier New" w:cs="Courier New" w:eastAsia="Courier New" w:hAnsi="Courier New"/>
          <w:sz w:val="18"/>
          <w:szCs w:val="18"/>
          <w:color w:val="auto"/>
        </w:rPr>
        <w:t>Director</w:t>
      </w:r>
    </w:p>
    <w:p>
      <w:pPr>
        <w:ind w:left="280" w:hanging="221"/>
        <w:spacing w:after="0" w:line="237" w:lineRule="auto"/>
        <w:tabs>
          <w:tab w:leader="none" w:pos="2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Miller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 JOHN</w:t>
      </w:r>
    </w:p>
    <w:p>
      <w:pPr>
        <w:spacing w:after="0" w:line="4" w:lineRule="exact"/>
        <w:rPr>
          <w:rFonts w:ascii="Courier New" w:cs="Courier New" w:eastAsia="Courier New" w:hAnsi="Courier New"/>
          <w:sz w:val="18"/>
          <w:szCs w:val="18"/>
          <w:color w:val="auto"/>
        </w:rPr>
      </w:pPr>
    </w:p>
    <w:p>
      <w:pPr>
        <w:jc w:val="right"/>
        <w:ind w:left="60" w:right="9319" w:firstLine="52"/>
        <w:spacing w:after="0" w:line="268" w:lineRule="auto"/>
        <w:tabs>
          <w:tab w:leader="none" w:pos="429"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POPE Director</w:t>
      </w:r>
    </w:p>
    <w:p>
      <w:pPr>
        <w:ind w:left="280" w:hanging="221"/>
        <w:spacing w:after="0" w:line="238" w:lineRule="auto"/>
        <w:tabs>
          <w:tab w:leader="none" w:pos="2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John</w:t>
      </w:r>
    </w:p>
    <w:p>
      <w:pPr>
        <w:ind w:left="420" w:hanging="308"/>
        <w:spacing w:after="0" w:line="238" w:lineRule="auto"/>
        <w:tabs>
          <w:tab w:leader="none" w:pos="42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Pope</w:t>
      </w:r>
    </w:p>
    <w:p>
      <w:pPr>
        <w:jc w:val="center"/>
        <w:ind w:right="9259"/>
        <w:spacing w:after="0"/>
        <w:rPr>
          <w:sz w:val="20"/>
          <w:szCs w:val="20"/>
          <w:color w:val="auto"/>
        </w:rPr>
      </w:pPr>
      <w:r>
        <w:rPr>
          <w:rFonts w:ascii="Courier New" w:cs="Courier New" w:eastAsia="Courier New" w:hAnsi="Courier New"/>
          <w:sz w:val="18"/>
          <w:szCs w:val="18"/>
          <w:color w:val="auto"/>
        </w:rPr>
        <w:t>/s/</w:t>
      </w:r>
    </w:p>
    <w:p>
      <w:pPr>
        <w:jc w:val="center"/>
        <w:ind w:right="9259"/>
        <w:spacing w:after="0" w:line="237" w:lineRule="auto"/>
        <w:rPr>
          <w:sz w:val="20"/>
          <w:szCs w:val="20"/>
          <w:color w:val="auto"/>
        </w:rPr>
      </w:pPr>
      <w:r>
        <w:rPr>
          <w:rFonts w:ascii="Courier New" w:cs="Courier New" w:eastAsia="Courier New" w:hAnsi="Courier New"/>
          <w:sz w:val="18"/>
          <w:szCs w:val="18"/>
          <w:color w:val="auto"/>
        </w:rPr>
        <w:t>STEVEN</w:t>
      </w:r>
    </w:p>
    <w:p>
      <w:pPr>
        <w:jc w:val="center"/>
        <w:ind w:right="9259"/>
        <w:spacing w:after="0" w:line="238" w:lineRule="auto"/>
        <w:rPr>
          <w:sz w:val="20"/>
          <w:szCs w:val="20"/>
          <w:color w:val="auto"/>
        </w:rPr>
      </w:pPr>
      <w:r>
        <w:rPr>
          <w:rFonts w:ascii="Courier New" w:cs="Courier New" w:eastAsia="Courier New" w:hAnsi="Courier New"/>
          <w:sz w:val="18"/>
          <w:szCs w:val="18"/>
          <w:color w:val="auto"/>
        </w:rPr>
        <w:t>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ROTHMEIER</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Director</w:t>
      </w:r>
    </w:p>
    <w:p>
      <w:pPr>
        <w:ind w:left="280" w:hanging="221"/>
        <w:spacing w:after="0" w:line="238" w:lineRule="auto"/>
        <w:tabs>
          <w:tab w:leader="none" w:pos="2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w:t>
      </w:r>
    </w:p>
    <w:p>
      <w:pPr>
        <w:spacing w:after="0" w:line="4" w:lineRule="exact"/>
        <w:rPr>
          <w:rFonts w:ascii="Courier New" w:cs="Courier New" w:eastAsia="Courier New" w:hAnsi="Courier New"/>
          <w:sz w:val="18"/>
          <w:szCs w:val="18"/>
          <w:color w:val="auto"/>
        </w:rPr>
      </w:pPr>
    </w:p>
    <w:p>
      <w:pPr>
        <w:jc w:val="both"/>
        <w:ind w:left="60" w:right="9259" w:hanging="5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Rothmeier /s/ CARL</w:t>
      </w:r>
    </w:p>
    <w:p>
      <w:pPr>
        <w:jc w:val="right"/>
        <w:ind w:left="60" w:right="9319" w:firstLine="52"/>
        <w:spacing w:after="0" w:line="268" w:lineRule="auto"/>
        <w:tabs>
          <w:tab w:leader="none" w:pos="429"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VOGT Director</w:t>
      </w:r>
    </w:p>
    <w:p>
      <w:pPr>
        <w:ind w:left="280" w:hanging="221"/>
        <w:spacing w:after="0" w:line="238" w:lineRule="auto"/>
        <w:tabs>
          <w:tab w:leader="none" w:pos="2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Carl</w:t>
      </w:r>
    </w:p>
    <w:p>
      <w:pPr>
        <w:spacing w:after="0" w:line="4" w:lineRule="exact"/>
        <w:rPr>
          <w:rFonts w:ascii="Courier New" w:cs="Courier New" w:eastAsia="Courier New" w:hAnsi="Courier New"/>
          <w:sz w:val="18"/>
          <w:szCs w:val="18"/>
          <w:color w:val="auto"/>
        </w:rPr>
      </w:pPr>
    </w:p>
    <w:p>
      <w:pPr>
        <w:ind w:left="320" w:right="9379" w:hanging="208"/>
        <w:spacing w:after="0" w:line="268" w:lineRule="auto"/>
        <w:tabs>
          <w:tab w:leader="none" w:pos="425"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Vogt /s/</w:t>
      </w:r>
    </w:p>
    <w:p>
      <w:pPr>
        <w:ind w:left="60"/>
        <w:spacing w:after="0" w:line="233" w:lineRule="auto"/>
        <w:rPr>
          <w:sz w:val="20"/>
          <w:szCs w:val="20"/>
          <w:color w:val="auto"/>
        </w:rPr>
      </w:pPr>
      <w:r>
        <w:rPr>
          <w:rFonts w:ascii="Courier New" w:cs="Courier New" w:eastAsia="Courier New" w:hAnsi="Courier New"/>
          <w:sz w:val="18"/>
          <w:szCs w:val="18"/>
          <w:color w:val="auto"/>
        </w:rPr>
        <w:t>RALPH 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WHITWORTH</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Director</w:t>
      </w:r>
    </w:p>
    <w:p>
      <w:pPr>
        <w:ind w:left="280" w:hanging="221"/>
        <w:spacing w:after="0" w:line="238" w:lineRule="auto"/>
        <w:tabs>
          <w:tab w:leader="none" w:pos="2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Ralph</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Whitworth</w:t>
      </w:r>
    </w:p>
    <w:p>
      <w:pPr>
        <w:sectPr>
          <w:pgSz w:w="11900" w:h="16838" w:orient="portrait"/>
          <w:cols w:equalWidth="0" w:num="1">
            <w:col w:w="10219"/>
          </w:cols>
          <w:pgMar w:left="240" w:top="723" w:right="1440" w:bottom="987" w:gutter="0" w:footer="0" w:header="0"/>
        </w:sect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723" w:right="1440" w:bottom="987" w:gutter="0" w:footer="0" w:header="0"/>
          <w:type w:val="continuous"/>
        </w:sectPr>
      </w:pPr>
    </w:p>
    <w:bookmarkStart w:id="53" w:name="page54"/>
    <w:bookmarkEnd w:id="5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the registrant has duly caused this Registration Statement to be signed on its behalf by the undersigned, thereunto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HOLDINGS, INC.</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5, 2002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DAVID P. STEINER</w:t>
      </w:r>
    </w:p>
    <w:p>
      <w:pPr>
        <w:spacing w:after="0" w:line="21" w:lineRule="exact"/>
        <w:rPr>
          <w:sz w:val="20"/>
          <w:szCs w:val="20"/>
          <w:color w:val="auto"/>
        </w:rPr>
      </w:pPr>
    </w:p>
    <w:p>
      <w:pPr>
        <w:sectPr>
          <w:pgSz w:w="11900" w:h="16838" w:orient="portrait"/>
          <w:cols w:equalWidth="0" w:num="2">
            <w:col w:w="3720" w:space="720"/>
            <w:col w:w="5779"/>
          </w:cols>
          <w:pgMar w:left="240" w:top="717" w:right="1440" w:bottom="1440" w:gutter="0" w:footer="0" w:header="0"/>
          <w:type w:val="continuous"/>
        </w:sect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David P. Steiner</w:t>
      </w:r>
    </w:p>
    <w:p>
      <w:pPr>
        <w:ind w:left="4740"/>
        <w:spacing w:after="0" w:line="238" w:lineRule="auto"/>
        <w:rPr>
          <w:sz w:val="20"/>
          <w:szCs w:val="20"/>
          <w:color w:val="auto"/>
        </w:rPr>
      </w:pPr>
      <w:r>
        <w:rPr>
          <w:rFonts w:ascii="Courier New" w:cs="Courier New" w:eastAsia="Courier New" w:hAnsi="Courier New"/>
          <w:sz w:val="18"/>
          <w:szCs w:val="18"/>
          <w:color w:val="auto"/>
        </w:rPr>
        <w:t>Vice President, Secretary and Sole</w:t>
      </w:r>
    </w:p>
    <w:p>
      <w:pPr>
        <w:ind w:left="622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17" w:right="1440" w:bottom="1440" w:gutter="0" w:footer="0" w:header="0"/>
          <w:type w:val="continuous"/>
        </w:sectPr>
      </w:pPr>
    </w:p>
    <w:bookmarkStart w:id="54" w:name="page55"/>
    <w:bookmarkEnd w:id="54"/>
    <w:p>
      <w:pPr>
        <w:jc w:val="right"/>
        <w:ind w:right="5159"/>
        <w:spacing w:after="0"/>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EXHIBIT - --</w:t>
      </w:r>
    </w:p>
    <w:p>
      <w:pPr>
        <w:ind w:left="700" w:hanging="642"/>
        <w:spacing w:after="0" w:line="237" w:lineRule="auto"/>
        <w:tabs>
          <w:tab w:leader="none" w:pos="70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- 1.1*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 w:hanging="324"/>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2002).</w:t>
      </w:r>
    </w:p>
    <w:p>
      <w:pPr>
        <w:jc w:val="center"/>
        <w:ind w:right="8839"/>
        <w:spacing w:after="0"/>
        <w:rPr>
          <w:sz w:val="20"/>
          <w:szCs w:val="20"/>
          <w:color w:val="auto"/>
        </w:rPr>
      </w:pPr>
      <w:r>
        <w:rPr>
          <w:rFonts w:ascii="Courier New" w:cs="Courier New" w:eastAsia="Courier New" w:hAnsi="Courier New"/>
          <w:sz w:val="18"/>
          <w:szCs w:val="18"/>
          <w:color w:val="auto"/>
        </w:rPr>
        <w:t>3.2 --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839"/>
        <w:spacing w:after="0"/>
        <w:rPr>
          <w:sz w:val="20"/>
          <w:szCs w:val="20"/>
          <w:color w:val="auto"/>
        </w:rPr>
      </w:pPr>
      <w:r>
        <w:rPr>
          <w:rFonts w:ascii="Courier New" w:cs="Courier New" w:eastAsia="Courier New" w:hAnsi="Courier New"/>
          <w:sz w:val="18"/>
          <w:szCs w:val="18"/>
          <w:color w:val="auto"/>
        </w:rPr>
        <w:t>Restated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Bylaws of</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3.2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2002).</w:t>
      </w:r>
    </w:p>
    <w:p>
      <w:pPr>
        <w:jc w:val="center"/>
        <w:ind w:right="8839"/>
        <w:spacing w:after="0"/>
        <w:rPr>
          <w:sz w:val="20"/>
          <w:szCs w:val="20"/>
          <w:color w:val="auto"/>
        </w:rPr>
      </w:pPr>
      <w:r>
        <w:rPr>
          <w:rFonts w:ascii="Courier New" w:cs="Courier New" w:eastAsia="Courier New" w:hAnsi="Courier New"/>
          <w:sz w:val="18"/>
          <w:szCs w:val="18"/>
          <w:color w:val="auto"/>
        </w:rPr>
        <w:t>3.3 --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3.4 --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Bylaws of</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4.1 --</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senior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debt</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w:t>
      </w:r>
    </w:p>
    <w:p>
      <w:pPr>
        <w:sectPr>
          <w:pgSz w:w="11900" w:h="16838" w:orient="portrait"/>
          <w:cols w:equalWidth="0" w:num="1">
            <w:col w:w="10219"/>
          </w:cols>
          <w:pgMar w:left="240" w:top="717" w:right="1440" w:bottom="0" w:gutter="0" w:footer="0" w:header="0"/>
        </w:sectPr>
      </w:pPr>
    </w:p>
    <w:bookmarkStart w:id="55" w:name="page56"/>
    <w:bookmarkEnd w:id="55"/>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10, 1997,</w:t>
      </w:r>
    </w:p>
    <w:p>
      <w:pPr>
        <w:jc w:val="center"/>
        <w:ind w:right="8839"/>
        <w:spacing w:after="0"/>
        <w:rPr>
          <w:sz w:val="20"/>
          <w:szCs w:val="20"/>
          <w:color w:val="auto"/>
        </w:rPr>
      </w:pPr>
      <w:r>
        <w:rPr>
          <w:rFonts w:ascii="Courier New" w:cs="Courier New" w:eastAsia="Courier New" w:hAnsi="Courier New"/>
          <w:sz w:val="18"/>
          <w:szCs w:val="18"/>
          <w:color w:val="auto"/>
        </w:rPr>
        <w:t>among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839"/>
        <w:spacing w:after="0"/>
        <w:rPr>
          <w:sz w:val="20"/>
          <w:szCs w:val="20"/>
          <w:color w:val="auto"/>
        </w:rPr>
      </w:pPr>
      <w:r>
        <w:rPr>
          <w:rFonts w:ascii="Courier New" w:cs="Courier New" w:eastAsia="Courier New" w:hAnsi="Courier New"/>
          <w:sz w:val="18"/>
          <w:szCs w:val="18"/>
          <w:color w:val="auto"/>
        </w:rPr>
        <w:t>Texas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Commerce</w:t>
      </w:r>
    </w:p>
    <w:p>
      <w:pPr>
        <w:jc w:val="center"/>
        <w:ind w:right="8839"/>
        <w:spacing w:after="0"/>
        <w:rPr>
          <w:sz w:val="20"/>
          <w:szCs w:val="20"/>
          <w:color w:val="auto"/>
        </w:rPr>
      </w:pPr>
      <w:r>
        <w:rPr>
          <w:rFonts w:ascii="Courier New" w:cs="Courier New" w:eastAsia="Courier New" w:hAnsi="Courier New"/>
          <w:sz w:val="18"/>
          <w:szCs w:val="18"/>
          <w:color w:val="auto"/>
        </w:rPr>
        <w:t>Bank</w:t>
      </w:r>
    </w:p>
    <w:p>
      <w:pPr>
        <w:jc w:val="center"/>
        <w:ind w:right="8839"/>
        <w:spacing w:after="0" w:line="237" w:lineRule="auto"/>
        <w:rPr>
          <w:sz w:val="20"/>
          <w:szCs w:val="20"/>
          <w:color w:val="auto"/>
        </w:rPr>
      </w:pPr>
      <w:r>
        <w:rPr>
          <w:rFonts w:ascii="Courier New" w:cs="Courier New" w:eastAsia="Courier New" w:hAnsi="Courier New"/>
          <w:sz w:val="18"/>
          <w:szCs w:val="18"/>
          <w:color w:val="auto"/>
        </w:rPr>
        <w:t>National</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now known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JPMorgan</w:t>
      </w:r>
    </w:p>
    <w:p>
      <w:pPr>
        <w:jc w:val="center"/>
        <w:ind w:right="8839"/>
        <w:spacing w:after="0"/>
        <w:rPr>
          <w:sz w:val="20"/>
          <w:szCs w:val="20"/>
          <w:color w:val="auto"/>
        </w:rPr>
      </w:pPr>
      <w:r>
        <w:rPr>
          <w:rFonts w:ascii="Courier New" w:cs="Courier New" w:eastAsia="Courier New" w:hAnsi="Courier New"/>
          <w:sz w:val="18"/>
          <w:szCs w:val="18"/>
          <w:color w:val="auto"/>
        </w:rPr>
        <w:t>Chase Bank,</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 trustee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with</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Commission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on September</w:t>
      </w:r>
    </w:p>
    <w:p>
      <w:pPr>
        <w:jc w:val="center"/>
        <w:ind w:right="8839"/>
        <w:spacing w:after="0"/>
        <w:rPr>
          <w:sz w:val="20"/>
          <w:szCs w:val="20"/>
          <w:color w:val="auto"/>
        </w:rPr>
      </w:pPr>
      <w:r>
        <w:rPr>
          <w:rFonts w:ascii="Courier New" w:cs="Courier New" w:eastAsia="Courier New" w:hAnsi="Courier New"/>
          <w:sz w:val="18"/>
          <w:szCs w:val="18"/>
          <w:color w:val="auto"/>
        </w:rPr>
        <w:t>24, 1997).</w:t>
      </w:r>
    </w:p>
    <w:p>
      <w:pPr>
        <w:jc w:val="center"/>
        <w:ind w:right="8839"/>
        <w:spacing w:after="0" w:line="237" w:lineRule="auto"/>
        <w:rPr>
          <w:sz w:val="20"/>
          <w:szCs w:val="20"/>
          <w:color w:val="auto"/>
        </w:rPr>
      </w:pPr>
      <w:r>
        <w:rPr>
          <w:rFonts w:ascii="Courier New" w:cs="Courier New" w:eastAsia="Courier New" w:hAnsi="Courier New"/>
          <w:sz w:val="18"/>
          <w:szCs w:val="18"/>
          <w:color w:val="auto"/>
        </w:rPr>
        <w:t>4.2 --</w:t>
      </w:r>
    </w:p>
    <w:p>
      <w:pPr>
        <w:jc w:val="center"/>
        <w:ind w:right="8839"/>
        <w:spacing w:after="0"/>
        <w:rPr>
          <w:sz w:val="20"/>
          <w:szCs w:val="20"/>
          <w:color w:val="auto"/>
        </w:rPr>
      </w:pPr>
      <w:r>
        <w:rPr>
          <w:rFonts w:ascii="Courier New" w:cs="Courier New" w:eastAsia="Courier New" w:hAnsi="Courier New"/>
          <w:sz w:val="18"/>
          <w:szCs w:val="18"/>
          <w:color w:val="auto"/>
        </w:rPr>
        <w:t>Subordinated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1997, among</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Texas</w:t>
      </w:r>
    </w:p>
    <w:p>
      <w:pPr>
        <w:jc w:val="center"/>
        <w:ind w:right="8839"/>
        <w:spacing w:after="0"/>
        <w:rPr>
          <w:sz w:val="20"/>
          <w:szCs w:val="20"/>
          <w:color w:val="auto"/>
        </w:rPr>
      </w:pPr>
      <w:r>
        <w:rPr>
          <w:rFonts w:ascii="Courier New" w:cs="Courier New" w:eastAsia="Courier New" w:hAnsi="Courier New"/>
          <w:sz w:val="18"/>
          <w:szCs w:val="18"/>
          <w:color w:val="auto"/>
        </w:rPr>
        <w:t>Commerce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Bank</w:t>
      </w:r>
    </w:p>
    <w:p>
      <w:pPr>
        <w:jc w:val="center"/>
        <w:ind w:right="8839"/>
        <w:spacing w:after="0"/>
        <w:rPr>
          <w:sz w:val="20"/>
          <w:szCs w:val="20"/>
          <w:color w:val="auto"/>
        </w:rPr>
      </w:pPr>
      <w:r>
        <w:rPr>
          <w:rFonts w:ascii="Courier New" w:cs="Courier New" w:eastAsia="Courier New" w:hAnsi="Courier New"/>
          <w:sz w:val="18"/>
          <w:szCs w:val="18"/>
          <w:color w:val="auto"/>
        </w:rPr>
        <w:t>National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now known as</w:t>
      </w:r>
    </w:p>
    <w:p>
      <w:pPr>
        <w:jc w:val="center"/>
        <w:ind w:right="8839"/>
        <w:spacing w:after="0"/>
        <w:rPr>
          <w:sz w:val="20"/>
          <w:szCs w:val="20"/>
          <w:color w:val="auto"/>
        </w:rPr>
      </w:pPr>
      <w:r>
        <w:rPr>
          <w:rFonts w:ascii="Courier New" w:cs="Courier New" w:eastAsia="Courier New" w:hAnsi="Courier New"/>
          <w:sz w:val="18"/>
          <w:szCs w:val="18"/>
          <w:color w:val="auto"/>
        </w:rPr>
        <w:t>JPMorgan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Chase Bank,</w:t>
      </w:r>
    </w:p>
    <w:p>
      <w:pPr>
        <w:jc w:val="center"/>
        <w:ind w:right="8839"/>
        <w:spacing w:after="0"/>
        <w:rPr>
          <w:sz w:val="20"/>
          <w:szCs w:val="20"/>
          <w:color w:val="auto"/>
        </w:rPr>
      </w:pPr>
      <w:r>
        <w:rPr>
          <w:rFonts w:ascii="Courier New" w:cs="Courier New" w:eastAsia="Courier New" w:hAnsi="Courier New"/>
          <w:sz w:val="18"/>
          <w:szCs w:val="18"/>
          <w:color w:val="auto"/>
        </w:rPr>
        <w:t>as trustee</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with</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Commission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on February</w:t>
      </w:r>
    </w:p>
    <w:p>
      <w:pPr>
        <w:jc w:val="center"/>
        <w:ind w:right="8839"/>
        <w:spacing w:after="0"/>
        <w:rPr>
          <w:sz w:val="20"/>
          <w:szCs w:val="20"/>
          <w:color w:val="auto"/>
        </w:rPr>
      </w:pPr>
      <w:r>
        <w:rPr>
          <w:rFonts w:ascii="Courier New" w:cs="Courier New" w:eastAsia="Courier New" w:hAnsi="Courier New"/>
          <w:sz w:val="18"/>
          <w:szCs w:val="18"/>
          <w:color w:val="auto"/>
        </w:rPr>
        <w:t>7, 1997).</w:t>
      </w:r>
    </w:p>
    <w:p>
      <w:pPr>
        <w:jc w:val="center"/>
        <w:ind w:right="8839"/>
        <w:spacing w:after="0" w:line="237" w:lineRule="auto"/>
        <w:rPr>
          <w:sz w:val="20"/>
          <w:szCs w:val="20"/>
          <w:color w:val="auto"/>
        </w:rPr>
      </w:pPr>
      <w:r>
        <w:rPr>
          <w:rFonts w:ascii="Courier New" w:cs="Courier New" w:eastAsia="Courier New" w:hAnsi="Courier New"/>
          <w:sz w:val="18"/>
          <w:szCs w:val="18"/>
          <w:color w:val="auto"/>
        </w:rPr>
        <w:t>4.3* -- Form</w:t>
      </w:r>
    </w:p>
    <w:p>
      <w:pPr>
        <w:jc w:val="center"/>
        <w:ind w:right="8839"/>
        <w:spacing w:after="0"/>
        <w:rPr>
          <w:sz w:val="20"/>
          <w:szCs w:val="20"/>
          <w:color w:val="auto"/>
        </w:rPr>
      </w:pPr>
      <w:r>
        <w:rPr>
          <w:rFonts w:ascii="Courier New" w:cs="Courier New" w:eastAsia="Courier New" w:hAnsi="Courier New"/>
          <w:sz w:val="18"/>
          <w:szCs w:val="18"/>
          <w:color w:val="auto"/>
        </w:rPr>
        <w:t>of 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4.4 -- Form</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Guarantee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4.5 --</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Specimen</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 year</w:t>
      </w:r>
    </w:p>
    <w:p>
      <w:pPr>
        <w:jc w:val="center"/>
        <w:ind w:right="8839"/>
        <w:spacing w:after="0"/>
        <w:rPr>
          <w:sz w:val="20"/>
          <w:szCs w:val="20"/>
          <w:color w:val="auto"/>
        </w:rPr>
      </w:pPr>
      <w:r>
        <w:rPr>
          <w:rFonts w:ascii="Courier New" w:cs="Courier New" w:eastAsia="Courier New" w:hAnsi="Courier New"/>
          <w:sz w:val="18"/>
          <w:szCs w:val="18"/>
          <w:color w:val="auto"/>
        </w:rPr>
        <w:t>ended</w:t>
      </w:r>
    </w:p>
    <w:p>
      <w:pPr>
        <w:sectPr>
          <w:pgSz w:w="11900" w:h="16838" w:orient="portrait"/>
          <w:cols w:equalWidth="0" w:num="1">
            <w:col w:w="10219"/>
          </w:cols>
          <w:pgMar w:left="240" w:top="136" w:right="1440" w:bottom="0" w:gutter="0" w:footer="0" w:header="0"/>
        </w:sectPr>
      </w:pPr>
    </w:p>
    <w:bookmarkStart w:id="56" w:name="page57"/>
    <w:bookmarkEnd w:id="56"/>
    <w:p>
      <w:pPr>
        <w:ind w:left="60"/>
        <w:spacing w:after="0"/>
        <w:rPr>
          <w:sz w:val="20"/>
          <w:szCs w:val="20"/>
          <w:color w:val="auto"/>
        </w:rPr>
      </w:pPr>
      <w:r>
        <w:rPr>
          <w:rFonts w:ascii="Courier New" w:cs="Courier New" w:eastAsia="Courier New" w:hAnsi="Courier New"/>
          <w:sz w:val="18"/>
          <w:szCs w:val="18"/>
          <w:color w:val="auto"/>
        </w:rPr>
        <w:t>December 31,</w:t>
      </w:r>
    </w:p>
    <w:p>
      <w:pPr>
        <w:ind w:left="60"/>
        <w:spacing w:after="0" w:line="238" w:lineRule="auto"/>
        <w:rPr>
          <w:sz w:val="20"/>
          <w:szCs w:val="20"/>
          <w:color w:val="auto"/>
        </w:rPr>
      </w:pPr>
      <w:r>
        <w:rPr>
          <w:rFonts w:ascii="Courier New" w:cs="Courier New" w:eastAsia="Courier New" w:hAnsi="Courier New"/>
          <w:sz w:val="18"/>
          <w:szCs w:val="18"/>
          <w:color w:val="auto"/>
        </w:rPr>
        <w:t>1998). 5.1 -</w:t>
      </w:r>
    </w:p>
    <w:p>
      <w:pPr>
        <w:spacing w:after="0" w:line="5" w:lineRule="exact"/>
        <w:rPr>
          <w:sz w:val="20"/>
          <w:szCs w:val="20"/>
          <w:color w:val="auto"/>
        </w:rPr>
      </w:pPr>
    </w:p>
    <w:p>
      <w:pPr>
        <w:jc w:val="both"/>
        <w:ind w:left="120" w:right="8899" w:hanging="62"/>
        <w:spacing w:after="0" w:line="268" w:lineRule="auto"/>
        <w:tabs>
          <w:tab w:leader="none" w:pos="27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Baker Botts</w:t>
      </w:r>
    </w:p>
    <w:p>
      <w:pPr>
        <w:jc w:val="center"/>
        <w:ind w:right="8839"/>
        <w:spacing w:after="0" w:line="233" w:lineRule="auto"/>
        <w:rPr>
          <w:sz w:val="20"/>
          <w:szCs w:val="20"/>
          <w:color w:val="auto"/>
        </w:rPr>
      </w:pPr>
      <w:r>
        <w:rPr>
          <w:rFonts w:ascii="Courier New" w:cs="Courier New" w:eastAsia="Courier New" w:hAnsi="Courier New"/>
          <w:sz w:val="18"/>
          <w:szCs w:val="18"/>
          <w:color w:val="auto"/>
        </w:rPr>
        <w:t>L.L.P. as to</w:t>
      </w:r>
    </w:p>
    <w:p>
      <w:pPr>
        <w:jc w:val="center"/>
        <w:ind w:right="8839"/>
        <w:spacing w:after="0"/>
        <w:rPr>
          <w:sz w:val="20"/>
          <w:szCs w:val="20"/>
          <w:color w:val="auto"/>
        </w:rPr>
      </w:pPr>
      <w:r>
        <w:rPr>
          <w:rFonts w:ascii="Courier New" w:cs="Courier New" w:eastAsia="Courier New" w:hAnsi="Courier New"/>
          <w:sz w:val="18"/>
          <w:szCs w:val="18"/>
          <w:color w:val="auto"/>
        </w:rPr>
        <w:t>the legality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being</w:t>
      </w:r>
    </w:p>
    <w:p>
      <w:pPr>
        <w:jc w:val="center"/>
        <w:ind w:right="8839"/>
        <w:spacing w:after="0"/>
        <w:rPr>
          <w:sz w:val="20"/>
          <w:szCs w:val="20"/>
          <w:color w:val="auto"/>
        </w:rPr>
      </w:pPr>
      <w:r>
        <w:rPr>
          <w:rFonts w:ascii="Courier New" w:cs="Courier New" w:eastAsia="Courier New" w:hAnsi="Courier New"/>
          <w:sz w:val="18"/>
          <w:szCs w:val="18"/>
          <w:color w:val="auto"/>
        </w:rPr>
        <w:t>registered.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12.1 --</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Baker Botts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L.L.P.</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24.1 -</w:t>
      </w:r>
    </w:p>
    <w:p>
      <w:pPr>
        <w:spacing w:after="0" w:line="5" w:lineRule="exact"/>
        <w:rPr>
          <w:sz w:val="20"/>
          <w:szCs w:val="20"/>
          <w:color w:val="auto"/>
        </w:rPr>
      </w:pPr>
    </w:p>
    <w:p>
      <w:pPr>
        <w:ind w:left="260" w:right="8959" w:hanging="149"/>
        <w:spacing w:after="0" w:line="268" w:lineRule="auto"/>
        <w:tabs>
          <w:tab w:leader="none" w:pos="31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w:t>
      </w:r>
    </w:p>
    <w:p>
      <w:pPr>
        <w:jc w:val="center"/>
        <w:ind w:right="8839"/>
        <w:spacing w:after="0" w:line="233" w:lineRule="auto"/>
        <w:rPr>
          <w:sz w:val="20"/>
          <w:szCs w:val="20"/>
          <w:color w:val="auto"/>
        </w:rPr>
      </w:pPr>
      <w:r>
        <w:rPr>
          <w:rFonts w:ascii="Courier New" w:cs="Courier New" w:eastAsia="Courier New" w:hAnsi="Courier New"/>
          <w:sz w:val="18"/>
          <w:szCs w:val="18"/>
          <w:color w:val="auto"/>
        </w:rPr>
        <w:t>(included on</w:t>
      </w:r>
    </w:p>
    <w:p>
      <w:pPr>
        <w:jc w:val="center"/>
        <w:ind w:right="8839"/>
        <w:spacing w:after="0"/>
        <w:rPr>
          <w:sz w:val="20"/>
          <w:szCs w:val="20"/>
          <w:color w:val="auto"/>
        </w:rPr>
      </w:pPr>
      <w:r>
        <w:rPr>
          <w:rFonts w:ascii="Courier New" w:cs="Courier New" w:eastAsia="Courier New" w:hAnsi="Courier New"/>
          <w:sz w:val="18"/>
          <w:szCs w:val="18"/>
          <w:color w:val="auto"/>
        </w:rPr>
        <w:t>signature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page</w:t>
      </w:r>
    </w:p>
    <w:p>
      <w:pPr>
        <w:jc w:val="center"/>
        <w:ind w:right="8839"/>
        <w:spacing w:after="0"/>
        <w:rPr>
          <w:sz w:val="20"/>
          <w:szCs w:val="20"/>
          <w:color w:val="auto"/>
        </w:rPr>
      </w:pPr>
      <w:r>
        <w:rPr>
          <w:rFonts w:ascii="Courier New" w:cs="Courier New" w:eastAsia="Courier New" w:hAnsi="Courier New"/>
          <w:sz w:val="18"/>
          <w:szCs w:val="18"/>
          <w:color w:val="auto"/>
        </w:rPr>
        <w:t>herewith).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w:t>
      </w:r>
    </w:p>
    <w:p>
      <w:pPr>
        <w:jc w:val="center"/>
        <w:ind w:right="8839"/>
        <w:spacing w:after="0"/>
        <w:rPr>
          <w:sz w:val="20"/>
          <w:szCs w:val="20"/>
          <w:color w:val="auto"/>
        </w:rPr>
      </w:pPr>
      <w:r>
        <w:rPr>
          <w:rFonts w:ascii="Courier New" w:cs="Courier New" w:eastAsia="Courier New" w:hAnsi="Courier New"/>
          <w:sz w:val="18"/>
          <w:szCs w:val="18"/>
          <w:color w:val="auto"/>
        </w:rPr>
        <w:t>Statement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Eligibility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Trustee</w:t>
      </w:r>
    </w:p>
    <w:p>
      <w:pPr>
        <w:jc w:val="center"/>
        <w:ind w:right="8839"/>
        <w:spacing w:after="0"/>
        <w:rPr>
          <w:sz w:val="20"/>
          <w:szCs w:val="20"/>
          <w:color w:val="auto"/>
        </w:rPr>
      </w:pPr>
      <w:r>
        <w:rPr>
          <w:rFonts w:ascii="Courier New" w:cs="Courier New" w:eastAsia="Courier New" w:hAnsi="Courier New"/>
          <w:sz w:val="18"/>
          <w:szCs w:val="18"/>
          <w:color w:val="auto"/>
        </w:rPr>
        <w:t>with respect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Senior</w:t>
      </w:r>
    </w:p>
    <w:p>
      <w:pPr>
        <w:jc w:val="center"/>
        <w:ind w:right="8839"/>
        <w:spacing w:after="0"/>
        <w:rPr>
          <w:sz w:val="20"/>
          <w:szCs w:val="20"/>
          <w:color w:val="auto"/>
        </w:rPr>
      </w:pPr>
      <w:r>
        <w:rPr>
          <w:rFonts w:ascii="Courier New" w:cs="Courier New" w:eastAsia="Courier New" w:hAnsi="Courier New"/>
          <w:sz w:val="18"/>
          <w:szCs w:val="18"/>
          <w:color w:val="auto"/>
        </w:rPr>
        <w:t>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rPr>
          <w:sz w:val="20"/>
          <w:szCs w:val="20"/>
          <w:color w:val="auto"/>
        </w:rPr>
      </w:pPr>
      <w:r>
        <w:rPr>
          <w:rFonts w:ascii="Courier New" w:cs="Courier New" w:eastAsia="Courier New" w:hAnsi="Courier New"/>
          <w:sz w:val="18"/>
          <w:szCs w:val="18"/>
          <w:color w:val="auto"/>
        </w:rPr>
        <w:t>25.2 --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 of</w:t>
      </w:r>
    </w:p>
    <w:p>
      <w:pPr>
        <w:jc w:val="center"/>
        <w:ind w:right="8839"/>
        <w:spacing w:after="0"/>
        <w:rPr>
          <w:sz w:val="20"/>
          <w:szCs w:val="20"/>
          <w:color w:val="auto"/>
        </w:rPr>
      </w:pPr>
      <w:r>
        <w:rPr>
          <w:rFonts w:ascii="Courier New" w:cs="Courier New" w:eastAsia="Courier New" w:hAnsi="Courier New"/>
          <w:sz w:val="18"/>
          <w:szCs w:val="18"/>
          <w:color w:val="auto"/>
        </w:rPr>
        <w:t>Eligibility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Trustee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with respect</w:t>
      </w:r>
    </w:p>
    <w:p>
      <w:pPr>
        <w:jc w:val="center"/>
        <w:ind w:right="8839"/>
        <w:spacing w:after="0"/>
        <w:rPr>
          <w:sz w:val="20"/>
          <w:szCs w:val="20"/>
          <w:color w:val="auto"/>
        </w:rPr>
      </w:pPr>
      <w:r>
        <w:rPr>
          <w:rFonts w:ascii="Courier New" w:cs="Courier New" w:eastAsia="Courier New" w:hAnsi="Courier New"/>
          <w:sz w:val="18"/>
          <w:szCs w:val="18"/>
          <w:color w:val="auto"/>
        </w:rPr>
        <w:t>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Subordinated</w:t>
      </w:r>
    </w:p>
    <w:p>
      <w:pPr>
        <w:jc w:val="center"/>
        <w:ind w:right="8839"/>
        <w:spacing w:after="0"/>
        <w:rPr>
          <w:sz w:val="20"/>
          <w:szCs w:val="20"/>
          <w:color w:val="auto"/>
        </w:rPr>
      </w:pPr>
      <w:r>
        <w:rPr>
          <w:rFonts w:ascii="Courier New" w:cs="Courier New" w:eastAsia="Courier New" w:hAnsi="Courier New"/>
          <w:sz w:val="18"/>
          <w:szCs w:val="18"/>
          <w:color w:val="auto"/>
        </w:rPr>
        <w:t>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879" w:hanging="212"/>
        <w:spacing w:after="0" w:line="237" w:lineRule="auto"/>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file any underwriting agreement relating to debt securities or common stock that we may enter into and any form of debt securities not previously filed by amendment to this Registration Statement or as an exhibit to a Current Report on Form 8-K.</w:t>
      </w:r>
    </w:p>
    <w:p>
      <w:pPr>
        <w:sectPr>
          <w:pgSz w:w="11900" w:h="16838" w:orient="portrait"/>
          <w:cols w:equalWidth="0" w:num="1">
            <w:col w:w="10219"/>
          </w:cols>
          <w:pgMar w:left="240" w:top="136" w:right="1440" w:bottom="1440" w:gutter="0" w:footer="0" w:header="0"/>
        </w:sectPr>
      </w:pPr>
    </w:p>
    <w:bookmarkStart w:id="57" w:name="page58"/>
    <w:bookmarkEnd w:id="57"/>
    <w:p>
      <w:pPr>
        <w:jc w:val="right"/>
        <w:ind w:right="1779"/>
        <w:spacing w:after="0"/>
        <w:rPr>
          <w:sz w:val="20"/>
          <w:szCs w:val="20"/>
          <w:color w:val="auto"/>
        </w:rPr>
      </w:pPr>
      <w:r>
        <w:rPr>
          <w:rFonts w:ascii="Courier New" w:cs="Courier New" w:eastAsia="Courier New" w:hAnsi="Courier New"/>
          <w:sz w:val="18"/>
          <w:szCs w:val="18"/>
          <w:color w:val="auto"/>
        </w:rPr>
        <w:t>Exhibit 3.3</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RESTATED CERTIFICATE OF INCORPORATION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ind w:left="4020"/>
        <w:spacing w:after="0" w:line="238" w:lineRule="auto"/>
        <w:rPr>
          <w:sz w:val="20"/>
          <w:szCs w:val="20"/>
          <w:color w:val="auto"/>
        </w:rPr>
      </w:pPr>
      <w:r>
        <w:rPr>
          <w:rFonts w:ascii="Courier New" w:cs="Courier New" w:eastAsia="Courier New" w:hAnsi="Courier New"/>
          <w:sz w:val="18"/>
          <w:szCs w:val="18"/>
          <w:color w:val="auto"/>
        </w:rPr>
        <w:t>Name</w:t>
      </w:r>
    </w:p>
    <w:p>
      <w:pPr>
        <w:spacing w:after="0" w:line="207" w:lineRule="exact"/>
        <w:rPr>
          <w:sz w:val="20"/>
          <w:szCs w:val="20"/>
          <w:color w:val="auto"/>
        </w:rPr>
      </w:pPr>
    </w:p>
    <w:p>
      <w:pPr>
        <w:ind w:right="2839" w:firstLine="1264"/>
        <w:spacing w:after="0" w:line="235" w:lineRule="auto"/>
        <w:rPr>
          <w:sz w:val="20"/>
          <w:szCs w:val="20"/>
          <w:color w:val="auto"/>
        </w:rPr>
      </w:pPr>
      <w:r>
        <w:rPr>
          <w:rFonts w:ascii="Courier New" w:cs="Courier New" w:eastAsia="Courier New" w:hAnsi="Courier New"/>
          <w:sz w:val="18"/>
          <w:szCs w:val="18"/>
          <w:color w:val="auto"/>
        </w:rPr>
        <w:t>The name of the corporation is Waste Management, Inc. (the "Corporation").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2120"/>
        <w:spacing w:after="0" w:line="238" w:lineRule="auto"/>
        <w:rPr>
          <w:sz w:val="20"/>
          <w:szCs w:val="20"/>
          <w:color w:val="auto"/>
        </w:rPr>
      </w:pPr>
      <w:r>
        <w:rPr>
          <w:rFonts w:ascii="Courier New" w:cs="Courier New" w:eastAsia="Courier New" w:hAnsi="Courier New"/>
          <w:sz w:val="18"/>
          <w:szCs w:val="18"/>
          <w:color w:val="auto"/>
        </w:rPr>
        <w:t>Registered Office and Registered Agent</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street address of the initial registered office of the Corporation in the State of Delaware is the Corporation Trust Center, 1209 Orange Street, in the City of Wilmington, County of New Castle. The name of the registered agent of the Corporation at such address is The Corporation Trust Company.</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Corporate Purpose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The purpose of the Corporation is to engage in any lawful act or activity for which corporations may be organized under the General Corporation Law of the State of Delaware (the "General Corporation Law").</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ind w:left="3580"/>
        <w:spacing w:after="0" w:line="238" w:lineRule="auto"/>
        <w:rPr>
          <w:sz w:val="20"/>
          <w:szCs w:val="20"/>
          <w:color w:val="auto"/>
        </w:rPr>
      </w:pPr>
      <w:r>
        <w:rPr>
          <w:rFonts w:ascii="Courier New" w:cs="Courier New" w:eastAsia="Courier New" w:hAnsi="Courier New"/>
          <w:sz w:val="18"/>
          <w:szCs w:val="18"/>
          <w:color w:val="auto"/>
        </w:rPr>
        <w:t>Capital Stock</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The total number of shares of all classes of stock that the Corporation shall have authority to issue is 100, all of which shall be shares of Common Stock, par value $.01 per share.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ind w:left="3800"/>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jc w:val="both"/>
        <w:ind w:right="2199" w:firstLine="1264"/>
        <w:spacing w:after="0" w:line="290" w:lineRule="auto"/>
        <w:rPr>
          <w:sz w:val="20"/>
          <w:szCs w:val="20"/>
          <w:color w:val="auto"/>
        </w:rPr>
      </w:pPr>
      <w:r>
        <w:rPr>
          <w:rFonts w:ascii="Courier New" w:cs="Courier New" w:eastAsia="Courier New" w:hAnsi="Courier New"/>
          <w:sz w:val="16"/>
          <w:szCs w:val="16"/>
          <w:color w:val="auto"/>
        </w:rPr>
        <w:t>Elections of directors of the Corporation need not be by written ballot, except and to the extent provided in the By-laws of the Corporation.</w:t>
      </w:r>
    </w:p>
    <w:p>
      <w:pPr>
        <w:spacing w:after="0" w:line="16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Indemnification of Directors, Officers and Others</w:t>
      </w:r>
    </w:p>
    <w:p>
      <w:pPr>
        <w:spacing w:after="0" w:line="207" w:lineRule="exact"/>
        <w:rPr>
          <w:sz w:val="20"/>
          <w:szCs w:val="20"/>
          <w:color w:val="auto"/>
        </w:rPr>
      </w:pPr>
    </w:p>
    <w:p>
      <w:pPr>
        <w:ind w:right="1779" w:firstLine="1272"/>
        <w:spacing w:after="0" w:line="268" w:lineRule="auto"/>
        <w:tabs>
          <w:tab w:leader="none" w:pos="1685"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director of the Corporation shall be personally liable to the Corporation or its stockholders for monetary damages for breach of fiduciary duty as a director, except to the extent provided by applicable law (i) for any breach of the director's duty of loyalty to the Corporation or its stockholders,</w:t>
      </w:r>
    </w:p>
    <w:p>
      <w:pPr>
        <w:ind w:left="540" w:hanging="532"/>
        <w:spacing w:after="0" w:line="238" w:lineRule="auto"/>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acts or omissions not in good faith or which involve intentional</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misconduct or a knowing violation of law, (iii) pursuant to Section 174 of the Delaware General Corporation Law, or (iv) for any transaction from which the director derived an improper personal benefit.</w:t>
      </w:r>
    </w:p>
    <w:p>
      <w:pPr>
        <w:sectPr>
          <w:pgSz w:w="11900" w:h="16838" w:orient="portrait"/>
          <w:cols w:equalWidth="0" w:num="1">
            <w:col w:w="10219"/>
          </w:cols>
          <w:pgMar w:left="240" w:top="339" w:right="1440" w:bottom="1440" w:gutter="0" w:footer="0" w:header="0"/>
        </w:sectPr>
      </w:pPr>
    </w:p>
    <w:bookmarkStart w:id="58" w:name="page59"/>
    <w:bookmarkEnd w:id="58"/>
    <w:p>
      <w:pPr>
        <w:ind w:left="-1200" w:right="1779" w:firstLine="1272"/>
        <w:spacing w:after="0" w:line="238" w:lineRule="auto"/>
        <w:tabs>
          <w:tab w:leader="none" w:pos="48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person who is or was a director or officer of the Corporation, and each person who serves or served at the request of the Corporation as a director or officer (or equivalent) of another enterprise, shall be indemnified by the Corporation to the fullest extent authorized by the General Corporation law of Delaware as it may be in effect from time to time, except as to any action, suit or proceeding brought by or on behalf of such director or officer without prior approval of the board of Directors or, if there is an Interested Stockholder (as defined below) at the time such action, suit or proceeding is brought, without prior approval of the majority of the Continuing Directors (as defined below) of the Corporation. The right to indemnification conferred in this Article VI shall not be exclusive of any other right which any person may have or hereafter acquire under this Amended and Restated Certificate of Incorporation, or any statute, by-law agreement, vote of stockholders or disinterested directors or otherwise.</w:t>
      </w:r>
    </w:p>
    <w:p>
      <w:pPr>
        <w:spacing w:after="0" w:line="207" w:lineRule="exact"/>
        <w:rPr>
          <w:rFonts w:ascii="Courier New" w:cs="Courier New" w:eastAsia="Courier New" w:hAnsi="Courier New"/>
          <w:sz w:val="18"/>
          <w:szCs w:val="18"/>
          <w:color w:val="auto"/>
        </w:rPr>
      </w:pPr>
    </w:p>
    <w:p>
      <w:pPr>
        <w:ind w:left="-1200" w:right="1779" w:firstLine="1272"/>
        <w:spacing w:after="0" w:line="238" w:lineRule="auto"/>
        <w:tabs>
          <w:tab w:leader="none" w:pos="48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Delaware General Corporation Law is amended to further limit or eliminate liability of the Corporation's directors for breach of fiduciary duty, then a director of the Corporation shall not be liable for any such breach to the fullest extent permitted by the Delaware General Corporation Law as so amended. If the Delaware General Corporation Law is amended to increase or expand liability of the Corporation's directors for breach of fiduciary duty or if the foregoing provisions of this Article VI are modified or repealed by the stockholders of the Corporation, no such amendment, modification or repeal shall apply to or have any effect on the liability or alleged liability of any director of the Corporation for or with respect to any acts or omissions of such director occurring prior to the time of such amendment, modification or repeal.</w:t>
      </w:r>
    </w:p>
    <w:p>
      <w:pPr>
        <w:spacing w:after="0" w:line="207" w:lineRule="exact"/>
        <w:rPr>
          <w:rFonts w:ascii="Courier New" w:cs="Courier New" w:eastAsia="Courier New" w:hAnsi="Courier New"/>
          <w:sz w:val="18"/>
          <w:szCs w:val="18"/>
          <w:color w:val="auto"/>
        </w:rPr>
      </w:pPr>
    </w:p>
    <w:p>
      <w:pPr>
        <w:ind w:left="-1200" w:right="1779" w:firstLine="1272"/>
        <w:spacing w:after="0" w:line="237" w:lineRule="auto"/>
        <w:tabs>
          <w:tab w:leader="none" w:pos="48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provisions of this Amended and Restated Certificate of Incorporation or the by-laws of the Corporation (and notwithstanding the fact that a lesser percentage may be specified by law, this Amended and Restated Certificate of Incorporation or the by-laws of the corporation), the amendment or repeal of Article VI of this Amended and Restated Certificate of Incorporation, or the adoption of any provision inconsistent herewith, shall require the approval of the holders of shares representing at least 80% of the outstanding shares of Common Stock.</w:t>
      </w:r>
    </w:p>
    <w:p>
      <w:pPr>
        <w:spacing w:after="0" w:line="212" w:lineRule="exact"/>
        <w:rPr>
          <w:rFonts w:ascii="Courier New" w:cs="Courier New" w:eastAsia="Courier New" w:hAnsi="Courier New"/>
          <w:sz w:val="18"/>
          <w:szCs w:val="18"/>
          <w:color w:val="auto"/>
        </w:rPr>
      </w:pPr>
    </w:p>
    <w:p>
      <w:pPr>
        <w:ind w:left="-1200" w:right="1779" w:firstLine="1272"/>
        <w:spacing w:after="0" w:line="237" w:lineRule="auto"/>
        <w:tabs>
          <w:tab w:leader="none" w:pos="48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Article VI, the term "Continuing Director" shall mean a Director who was a member of the Board of Directors of the Corporation prior to the time the Interested Stockholder in question became an Interested Stockholder and who is not an Affiliate or Associate of such Interested Stockholder and who was not proposed for election as a Director by or on behalf of such Interested Stockholders, and any successor of a Continuing Director who is not an Affiliate or Associate or representative of such Interested Stockholder and is recommended to succeed a Continuing Director by a majority of the Continuing Directors then on the Board of Directors of the Corporation.</w:t>
      </w:r>
    </w:p>
    <w:p>
      <w:pPr>
        <w:spacing w:after="0" w:line="214" w:lineRule="exact"/>
        <w:rPr>
          <w:rFonts w:ascii="Courier New" w:cs="Courier New" w:eastAsia="Courier New" w:hAnsi="Courier New"/>
          <w:sz w:val="18"/>
          <w:szCs w:val="18"/>
          <w:color w:val="auto"/>
        </w:rPr>
      </w:pPr>
    </w:p>
    <w:p>
      <w:pPr>
        <w:ind w:left="-1200" w:right="1779" w:firstLine="1272"/>
        <w:spacing w:after="0" w:line="273" w:lineRule="auto"/>
        <w:tabs>
          <w:tab w:leader="none" w:pos="48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Article VI, the term "Interested Stockholder" shall mean and include any individual, corporation, partnership or other person or entity (other than the Corporation or any of its Subsidiaries or any employee benefit plan of either the Corporation or any of its Subsidiaries or any employee benefit plan of either the Corporation or any of its</w:t>
      </w:r>
    </w:p>
    <w:p>
      <w:pPr>
        <w:spacing w:after="0" w:line="38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019"/>
          </w:cols>
          <w:pgMar w:left="1440" w:top="520" w:right="1440" w:bottom="1440" w:gutter="0" w:footer="0" w:header="0"/>
        </w:sectPr>
      </w:pPr>
    </w:p>
    <w:bookmarkStart w:id="59" w:name="page60"/>
    <w:bookmarkEnd w:id="59"/>
    <w:p>
      <w:pPr>
        <w:ind w:right="1779"/>
        <w:spacing w:after="0" w:line="238" w:lineRule="auto"/>
        <w:rPr>
          <w:sz w:val="20"/>
          <w:szCs w:val="20"/>
          <w:color w:val="auto"/>
        </w:rPr>
      </w:pPr>
      <w:r>
        <w:rPr>
          <w:rFonts w:ascii="Courier New" w:cs="Courier New" w:eastAsia="Courier New" w:hAnsi="Courier New"/>
          <w:sz w:val="18"/>
          <w:szCs w:val="18"/>
          <w:color w:val="auto"/>
        </w:rPr>
        <w:t>Subsidiaries or any trustee or fiduciary with respect to any such plan when acting in such capacity) which, together with its "Affiliates" and "Associates" (as defined pursuant to Rule 12b-2 under the Securities Exchange Act of 1934, as such Rule was in effect on march 1, 1985), was the "Beneficial Owner" (as defined pursuant to rule 13d-3 under such Act, as such rule was in effect on march 1, 1985), of more than five percent of the outstanding shares of Common Stock, and any Affiliate or Associate of any such individual, corporation, partnership or other person or entity, or which was the Beneficial Owner at any time within the two-year period immediately preceding the time in question of more than five percent of the outstanding Common Stock, and any Affiliate or Associate of any such individual, corporation, partnership or other person or entity.</w:t>
      </w:r>
    </w:p>
    <w:p>
      <w:pPr>
        <w:spacing w:after="0" w:line="207" w:lineRule="exact"/>
        <w:rPr>
          <w:sz w:val="20"/>
          <w:szCs w:val="20"/>
          <w:color w:val="auto"/>
        </w:rPr>
      </w:pPr>
    </w:p>
    <w:p>
      <w:pPr>
        <w:ind w:right="1779" w:firstLine="1272"/>
        <w:spacing w:after="0" w:line="236" w:lineRule="auto"/>
        <w:tabs>
          <w:tab w:leader="none" w:pos="1685"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Article VI, the term "Subsidiary" shall mean a corporation with respect to which the Corporation is the Beneficial Owner of the majority of each class of voting securities.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By-Laws</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The directors of the Corporation shall have the power to adopt, amend or repeal by-laws.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Reorganization</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in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60" w:name="page61"/>
    <w:bookmarkEnd w:id="60"/>
    <w:p>
      <w:pPr>
        <w:jc w:val="right"/>
        <w:ind w:right="5479"/>
        <w:spacing w:after="0"/>
        <w:rPr>
          <w:sz w:val="20"/>
          <w:szCs w:val="20"/>
          <w:color w:val="auto"/>
        </w:rPr>
      </w:pPr>
      <w:r>
        <w:rPr>
          <w:rFonts w:ascii="Courier New" w:cs="Courier New" w:eastAsia="Courier New" w:hAnsi="Courier New"/>
          <w:sz w:val="18"/>
          <w:szCs w:val="18"/>
          <w:color w:val="auto"/>
        </w:rPr>
        <w:t>ARTICLE IX</w:t>
      </w:r>
    </w:p>
    <w:p>
      <w:pPr>
        <w:jc w:val="right"/>
        <w:ind w:right="5479"/>
        <w:spacing w:after="0" w:line="238" w:lineRule="auto"/>
        <w:rPr>
          <w:sz w:val="20"/>
          <w:szCs w:val="20"/>
          <w:color w:val="auto"/>
        </w:rPr>
      </w:pPr>
      <w:r>
        <w:rPr>
          <w:rFonts w:ascii="Courier New" w:cs="Courier New" w:eastAsia="Courier New" w:hAnsi="Courier New"/>
          <w:sz w:val="18"/>
          <w:szCs w:val="18"/>
          <w:color w:val="auto"/>
        </w:rPr>
        <w:t>Amendment</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Corporation reserves the right to amend, alter, change or repeal any provision of this Amended and Restated Certificate of Incorporation, in the manner now or hereafter prescribed by law, and all rights conferred on stockholders in this Certificate of Incorporation are subject to this reservation.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61" w:name="page62"/>
    <w:bookmarkEnd w:id="61"/>
    <w:p>
      <w:pPr>
        <w:ind w:left="2960"/>
        <w:spacing w:after="0"/>
        <w:rPr>
          <w:sz w:val="20"/>
          <w:szCs w:val="20"/>
          <w:color w:val="auto"/>
        </w:rPr>
      </w:pPr>
      <w:r>
        <w:rPr>
          <w:rFonts w:ascii="Courier New" w:cs="Courier New" w:eastAsia="Courier New" w:hAnsi="Courier New"/>
          <w:sz w:val="18"/>
          <w:szCs w:val="18"/>
          <w:color w:val="auto"/>
        </w:rPr>
        <w:t>CERTIFICATE OF AMENDMENT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CERTIFICATE OF INCORPORATION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Waste Management, Inc., a corporation organized and existing under and by virtue of the General Corporation law of the State of Delaware (the "Corporation"), DOES HEREBY CERTIFY:</w:t>
      </w:r>
    </w:p>
    <w:p>
      <w:pPr>
        <w:spacing w:after="0" w:line="209" w:lineRule="exact"/>
        <w:rPr>
          <w:sz w:val="20"/>
          <w:szCs w:val="20"/>
          <w:color w:val="auto"/>
        </w:rPr>
      </w:pPr>
    </w:p>
    <w:p>
      <w:pPr>
        <w:ind w:right="2099" w:firstLine="1272"/>
        <w:spacing w:after="0" w:line="237" w:lineRule="auto"/>
        <w:tabs>
          <w:tab w:leader="none" w:pos="15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Board of Directors of the Corporation has approved resolutions recommending to the stockholders of the Corporation that the Corporation's Amended and Restated Certificate of Incorporation be amended in the following respect:</w:t>
      </w:r>
    </w:p>
    <w:p>
      <w:pPr>
        <w:spacing w:after="0" w:line="207"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That Article I of the Corporation's Amended and Restated Certificate of Incorporation be deleted in its entirety, and the following be inserted in its place:</w:t>
      </w:r>
    </w:p>
    <w:p>
      <w:pPr>
        <w:spacing w:after="0" w:line="209" w:lineRule="exact"/>
        <w:rPr>
          <w:sz w:val="20"/>
          <w:szCs w:val="20"/>
          <w:color w:val="auto"/>
        </w:rPr>
      </w:pPr>
    </w:p>
    <w:p>
      <w:pPr>
        <w:ind w:right="2319" w:firstLine="1896"/>
        <w:spacing w:after="0" w:line="235" w:lineRule="auto"/>
        <w:rPr>
          <w:sz w:val="20"/>
          <w:szCs w:val="20"/>
          <w:color w:val="auto"/>
        </w:rPr>
      </w:pPr>
      <w:r>
        <w:rPr>
          <w:rFonts w:ascii="Courier New" w:cs="Courier New" w:eastAsia="Courier New" w:hAnsi="Courier New"/>
          <w:sz w:val="18"/>
          <w:szCs w:val="18"/>
          <w:color w:val="auto"/>
        </w:rPr>
        <w:t>The name of the Corporation is Waste Management Holdings, Inc. (the "Corporation").</w:t>
      </w:r>
    </w:p>
    <w:p>
      <w:pPr>
        <w:spacing w:after="0" w:line="208" w:lineRule="exact"/>
        <w:rPr>
          <w:sz w:val="20"/>
          <w:szCs w:val="20"/>
          <w:color w:val="auto"/>
        </w:rPr>
      </w:pPr>
    </w:p>
    <w:p>
      <w:pPr>
        <w:ind w:right="1779" w:firstLine="1272"/>
        <w:spacing w:after="0" w:line="237" w:lineRule="auto"/>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said resolution was duly approved by the sole stockholder of the Corporation by written consent on July 16, 1998, in accordance with the provisions of Section 228 of the General Corporation Law of the State of Delaware.</w:t>
      </w:r>
    </w:p>
    <w:p>
      <w:pPr>
        <w:spacing w:after="0" w:line="207" w:lineRule="exact"/>
        <w:rPr>
          <w:rFonts w:ascii="Courier New" w:cs="Courier New" w:eastAsia="Courier New" w:hAnsi="Courier New"/>
          <w:sz w:val="18"/>
          <w:szCs w:val="18"/>
          <w:color w:val="auto"/>
        </w:rPr>
      </w:pPr>
    </w:p>
    <w:p>
      <w:pPr>
        <w:ind w:right="2099" w:firstLine="1272"/>
        <w:spacing w:after="0" w:line="236" w:lineRule="auto"/>
        <w:tabs>
          <w:tab w:leader="none" w:pos="15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amendment of the Corporation's Amended and Restated Certificate of Incorporation has been duly adopted in accordance with Section 242 of the General Corporation Law of the State of Delaware.</w:t>
      </w:r>
    </w:p>
    <w:p>
      <w:pPr>
        <w:sectPr>
          <w:pgSz w:w="11900" w:h="16838" w:orient="portrait"/>
          <w:cols w:equalWidth="0" w:num="1">
            <w:col w:w="10219"/>
          </w:cols>
          <w:pgMar w:left="240" w:top="514" w:right="1440" w:bottom="1440" w:gutter="0" w:footer="0" w:header="0"/>
        </w:sectPr>
      </w:pPr>
    </w:p>
    <w:bookmarkStart w:id="62" w:name="page63"/>
    <w:bookmarkEnd w:id="62"/>
    <w:p>
      <w:pPr>
        <w:ind w:right="2619" w:firstLine="1264"/>
        <w:spacing w:after="0" w:line="236" w:lineRule="auto"/>
        <w:rPr>
          <w:sz w:val="20"/>
          <w:szCs w:val="20"/>
          <w:color w:val="auto"/>
        </w:rPr>
      </w:pPr>
      <w:r>
        <w:rPr>
          <w:rFonts w:ascii="Courier New" w:cs="Courier New" w:eastAsia="Courier New" w:hAnsi="Courier New"/>
          <w:sz w:val="18"/>
          <w:szCs w:val="18"/>
          <w:color w:val="auto"/>
        </w:rPr>
        <w:t>IN WITNESS WHEREOF, this Certificate of amendment of the Corporation's Amended and Restated Certificate of Incorporation has been executed as of this 16th day of July, 1998.</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Gregory T. Sangalis</w:t>
      </w:r>
    </w:p>
    <w:p>
      <w:pPr>
        <w:ind w:left="200"/>
        <w:spacing w:after="0" w:line="238" w:lineRule="auto"/>
        <w:rPr>
          <w:sz w:val="20"/>
          <w:szCs w:val="20"/>
          <w:color w:val="auto"/>
        </w:rPr>
      </w:pPr>
      <w:r>
        <w:rPr>
          <w:rFonts w:ascii="Courier New" w:cs="Courier New" w:eastAsia="Courier New" w:hAnsi="Courier New"/>
          <w:sz w:val="18"/>
          <w:szCs w:val="18"/>
          <w:color w:val="auto"/>
        </w:rPr>
        <w:t>Vice President and Secretary</w:t>
      </w:r>
    </w:p>
    <w:p>
      <w:pPr>
        <w:spacing w:after="0" w:line="200" w:lineRule="exact"/>
        <w:rPr>
          <w:sz w:val="20"/>
          <w:szCs w:val="20"/>
          <w:color w:val="auto"/>
        </w:rPr>
      </w:pPr>
    </w:p>
    <w:p>
      <w:pPr>
        <w:sectPr>
          <w:pgSz w:w="11900" w:h="16838" w:orient="portrait"/>
          <w:cols w:equalWidth="0" w:num="2">
            <w:col w:w="4440" w:space="0"/>
            <w:col w:w="5779"/>
          </w:cols>
          <w:pgMar w:left="240" w:top="520"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Bryan J. Blankfield</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Bryan J. Blankfield</w:t>
      </w:r>
    </w:p>
    <w:p>
      <w:pPr>
        <w:spacing w:after="0" w:line="237"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520" w:right="1440" w:bottom="1440" w:gutter="0" w:footer="0" w:header="0"/>
          <w:type w:val="continuous"/>
        </w:sectPr>
      </w:pPr>
    </w:p>
    <w:bookmarkStart w:id="63" w:name="page64"/>
    <w:bookmarkEnd w:id="63"/>
    <w:p>
      <w:pPr>
        <w:jc w:val="center"/>
        <w:ind w:right="1759"/>
        <w:spacing w:after="0"/>
        <w:rPr>
          <w:sz w:val="20"/>
          <w:szCs w:val="20"/>
          <w:color w:val="auto"/>
        </w:rPr>
      </w:pPr>
      <w:r>
        <w:rPr>
          <w:rFonts w:ascii="Courier New" w:cs="Courier New" w:eastAsia="Courier New" w:hAnsi="Courier New"/>
          <w:sz w:val="18"/>
          <w:szCs w:val="18"/>
          <w:color w:val="auto"/>
        </w:rPr>
        <w:t>CERTIFICATE OF AMENDMENT</w:t>
      </w:r>
    </w:p>
    <w:p>
      <w:pPr>
        <w:jc w:val="center"/>
        <w:ind w:right="1759"/>
        <w:spacing w:after="0" w:line="238" w:lineRule="auto"/>
        <w:rPr>
          <w:sz w:val="20"/>
          <w:szCs w:val="20"/>
          <w:color w:val="auto"/>
        </w:rPr>
      </w:pPr>
      <w:r>
        <w:rPr>
          <w:rFonts w:ascii="Courier New" w:cs="Courier New" w:eastAsia="Courier New" w:hAnsi="Courier New"/>
          <w:sz w:val="18"/>
          <w:szCs w:val="18"/>
          <w:color w:val="auto"/>
        </w:rPr>
        <w:t>TO</w:t>
      </w:r>
    </w:p>
    <w:p>
      <w:pPr>
        <w:jc w:val="center"/>
        <w:ind w:right="1759"/>
        <w:spacing w:after="0"/>
        <w:rPr>
          <w:sz w:val="20"/>
          <w:szCs w:val="20"/>
          <w:color w:val="auto"/>
        </w:rPr>
      </w:pPr>
      <w:r>
        <w:rPr>
          <w:rFonts w:ascii="Courier New" w:cs="Courier New" w:eastAsia="Courier New" w:hAnsi="Courier New"/>
          <w:sz w:val="18"/>
          <w:szCs w:val="18"/>
          <w:color w:val="auto"/>
        </w:rPr>
        <w:t>CERTIFICATE OF INCORPORATION</w:t>
      </w:r>
    </w:p>
    <w:p>
      <w:pPr>
        <w:jc w:val="center"/>
        <w:ind w:right="1759"/>
        <w:spacing w:after="0" w:line="237" w:lineRule="auto"/>
        <w:rPr>
          <w:sz w:val="20"/>
          <w:szCs w:val="20"/>
          <w:color w:val="auto"/>
        </w:rPr>
      </w:pPr>
      <w:r>
        <w:rPr>
          <w:rFonts w:ascii="Courier New" w:cs="Courier New" w:eastAsia="Courier New" w:hAnsi="Courier New"/>
          <w:sz w:val="18"/>
          <w:szCs w:val="18"/>
          <w:color w:val="auto"/>
        </w:rPr>
        <w:t>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WASTE MANAGEMENT HOLDINGS, INC.</w:t>
      </w:r>
    </w:p>
    <w:p>
      <w:pPr>
        <w:spacing w:after="0" w:line="208"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WASTE MANAGEMENT HOLDINGS, INC., a corporation organized and existing under and by virtue of the General Corporation law of the State of Delaware, DOES HEREBY CERTIFY:</w:t>
      </w:r>
    </w:p>
    <w:p>
      <w:pPr>
        <w:spacing w:after="0" w:line="209" w:lineRule="exact"/>
        <w:rPr>
          <w:sz w:val="20"/>
          <w:szCs w:val="20"/>
          <w:color w:val="auto"/>
        </w:rPr>
      </w:pPr>
    </w:p>
    <w:p>
      <w:pPr>
        <w:ind w:right="1879" w:firstLine="640"/>
        <w:spacing w:after="0" w:line="237"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Board of Director of the Company, acting by written consent without a meeting in accordance with Section 141 of the General Corporation law of the State of Delaware, approved resolutions recommending to the sole shareholder of the Company that the Company's Certificate of incorporation be amended in the following respects:</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Article VIII is hereby amended to read in its entirety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follows:</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VIII: [Reserved]</w:t>
      </w:r>
    </w:p>
    <w:p>
      <w:pPr>
        <w:spacing w:after="0" w:line="207" w:lineRule="exact"/>
        <w:rPr>
          <w:sz w:val="20"/>
          <w:szCs w:val="20"/>
          <w:color w:val="auto"/>
        </w:rPr>
      </w:pPr>
    </w:p>
    <w:p>
      <w:pPr>
        <w:ind w:right="1999" w:firstLine="640"/>
        <w:spacing w:after="0" w:line="235"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said resolution was duly approved by written consent of the sole stockholder of the Company.</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such amendment to the Company's Certificate of Incorporation has been duly adopted in accordance with Section 242 of the General Corporation Law of the State of Delaware.</w:t>
      </w:r>
    </w:p>
    <w:p>
      <w:pPr>
        <w:spacing w:after="0" w:line="209" w:lineRule="exact"/>
        <w:rPr>
          <w:sz w:val="20"/>
          <w:szCs w:val="20"/>
          <w:color w:val="auto"/>
        </w:rPr>
      </w:pPr>
    </w:p>
    <w:p>
      <w:pPr>
        <w:ind w:right="2619" w:firstLine="632"/>
        <w:spacing w:after="0" w:line="290" w:lineRule="auto"/>
        <w:rPr>
          <w:sz w:val="20"/>
          <w:szCs w:val="20"/>
          <w:color w:val="auto"/>
        </w:rPr>
      </w:pPr>
      <w:r>
        <w:rPr>
          <w:rFonts w:ascii="Courier New" w:cs="Courier New" w:eastAsia="Courier New" w:hAnsi="Courier New"/>
          <w:sz w:val="16"/>
          <w:szCs w:val="16"/>
          <w:color w:val="auto"/>
        </w:rPr>
        <w:t>IN WITNESS WHEREOF, this Certificate of Amendment of the Company's Certificate of Incorporation has been executed on July 16, 1998.</w:t>
      </w:r>
    </w:p>
    <w:p>
      <w:pPr>
        <w:spacing w:after="0" w:line="200" w:lineRule="exact"/>
        <w:rPr>
          <w:sz w:val="20"/>
          <w:szCs w:val="20"/>
          <w:color w:val="auto"/>
        </w:rPr>
      </w:pPr>
    </w:p>
    <w:p>
      <w:pPr>
        <w:spacing w:after="0" w:line="3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WASTE MANAGEMENT HOLDINGS, INC.</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Gregory T. Sangalis, Vice President and</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ectPr>
          <w:pgSz w:w="11900" w:h="16838" w:orient="portrait"/>
          <w:cols w:equalWidth="0" w:num="2">
            <w:col w:w="4120" w:space="200"/>
            <w:col w:w="5899"/>
          </w:cols>
          <w:pgMar w:left="240" w:top="514"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Bryan J. Blankfield</w:t>
      </w:r>
    </w:p>
    <w:p>
      <w:pPr>
        <w:spacing w:after="0" w:line="4"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7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Bryan J. Blankfield, Assistant Secretary of</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Waste Management Holdings, Inc.</w:t>
      </w:r>
    </w:p>
    <w:p>
      <w:pPr>
        <w:sectPr>
          <w:pgSz w:w="11900" w:h="16838" w:orient="portrait"/>
          <w:cols w:equalWidth="0" w:num="1">
            <w:col w:w="10219"/>
          </w:cols>
          <w:pgMar w:left="240" w:top="514" w:right="1440" w:bottom="1440" w:gutter="0" w:footer="0" w:header="0"/>
          <w:type w:val="continuous"/>
        </w:sectPr>
      </w:pPr>
    </w:p>
    <w:bookmarkStart w:id="64" w:name="page65"/>
    <w:bookmarkEnd w:id="64"/>
    <w:p>
      <w:pPr>
        <w:jc w:val="right"/>
        <w:ind w:right="1779"/>
        <w:spacing w:after="0"/>
        <w:rPr>
          <w:sz w:val="20"/>
          <w:szCs w:val="20"/>
          <w:color w:val="auto"/>
        </w:rPr>
      </w:pPr>
      <w:r>
        <w:rPr>
          <w:rFonts w:ascii="Courier New" w:cs="Courier New" w:eastAsia="Courier New" w:hAnsi="Courier New"/>
          <w:sz w:val="18"/>
          <w:szCs w:val="18"/>
          <w:color w:val="auto"/>
        </w:rPr>
        <w:t>Exhibit 3.4</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BYLAWS</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w:t>
      </w:r>
    </w:p>
    <w:p>
      <w:pPr>
        <w:ind w:left="2640"/>
        <w:spacing w:after="0"/>
        <w:rPr>
          <w:sz w:val="20"/>
          <w:szCs w:val="20"/>
          <w:color w:val="auto"/>
        </w:rPr>
      </w:pPr>
      <w:r>
        <w:rPr>
          <w:rFonts w:ascii="Courier New" w:cs="Courier New" w:eastAsia="Courier New" w:hAnsi="Courier New"/>
          <w:sz w:val="18"/>
          <w:szCs w:val="18"/>
          <w:color w:val="auto"/>
        </w:rPr>
        <w:t>WASTE MANAGEMENT HOLDINGS, INC.</w:t>
      </w:r>
    </w:p>
    <w:p>
      <w:pPr>
        <w:ind w:left="2220"/>
        <w:spacing w:after="0" w:line="237" w:lineRule="auto"/>
        <w:rPr>
          <w:sz w:val="20"/>
          <w:szCs w:val="20"/>
          <w:color w:val="auto"/>
        </w:rPr>
      </w:pPr>
      <w:r>
        <w:rPr>
          <w:rFonts w:ascii="Courier New" w:cs="Courier New" w:eastAsia="Courier New" w:hAnsi="Courier New"/>
          <w:sz w:val="18"/>
          <w:szCs w:val="18"/>
          <w:color w:val="auto"/>
        </w:rPr>
        <w:t>(HEREINAFTER CALLED THE "CORPORATION")</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OFFICES</w:t>
      </w:r>
    </w:p>
    <w:p>
      <w:pPr>
        <w:spacing w:after="0" w:line="200" w:lineRule="exact"/>
        <w:rPr>
          <w:sz w:val="20"/>
          <w:szCs w:val="20"/>
          <w:color w:val="auto"/>
        </w:rPr>
      </w:pPr>
    </w:p>
    <w:p>
      <w:pPr>
        <w:spacing w:after="0" w:line="210"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Section 1. Registered Office. The registered office of the Corporation shall be shall be c/o CT Corporation, 1209 Street, Wilmington, New Castle County, Delaware.</w:t>
      </w:r>
    </w:p>
    <w:p>
      <w:pPr>
        <w:spacing w:after="0" w:line="209"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Section 2. Other Offices. The Corporation may also have offices at such other places both within and without the State of Delaware as the Board of Directors may from time to time determine.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Section 1. Place of Meetings.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 Annual Meetings. The annual meetings of stockholders shall be held on such date and at such time as shall be designated from time to time by the Board of Directors and stated in the notice of the meeting, at which meetings the stockholders shall elect directors and transact such other business as may properly be brought before the meeting. Written notice of each annual meeting stating the place, date and hour of the meeting shall be given to each stockholder entitled to vote at such meeting not less than ten (10) nor more than sixty (60) days before the date of the meeting.</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 Special Meetings. Special meetings of stockholders may be called by the President or the Board of Directors. Written notice of a special meeting stating the place, date and hour of the meeting and the purpose or purposes for which the meeting is called shall be given not less than ten (10) nor more than sixty (60) days before the date of the meeting to each stockholder entitled to vote at such meeting.</w:t>
      </w:r>
    </w:p>
    <w:p>
      <w:pPr>
        <w:spacing w:after="0" w:line="210"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4. Quorum. Except as otherwise provided by law or by the Certificate of Incorporation,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65" w:name="page66"/>
    <w:bookmarkEnd w:id="65"/>
    <w:p>
      <w:pPr>
        <w:ind w:right="1879"/>
        <w:spacing w:after="0" w:line="268" w:lineRule="auto"/>
        <w:rPr>
          <w:sz w:val="20"/>
          <w:szCs w:val="20"/>
          <w:color w:val="auto"/>
        </w:rPr>
      </w:pPr>
      <w:r>
        <w:rPr>
          <w:rFonts w:ascii="Courier New" w:cs="Courier New" w:eastAsia="Courier New" w:hAnsi="Courier New"/>
          <w:sz w:val="16"/>
          <w:szCs w:val="16"/>
          <w:color w:val="auto"/>
        </w:rPr>
        <w:t>represented. At such adjourned meeting at which a quorum shall be present or represented, any business may be transacted which might have been transacted at the meeting as originally noticed. If the adjournment is for more than thirty</w:t>
      </w:r>
    </w:p>
    <w:p>
      <w:pPr>
        <w:spacing w:after="0" w:line="1" w:lineRule="exact"/>
        <w:rPr>
          <w:sz w:val="20"/>
          <w:szCs w:val="20"/>
          <w:color w:val="auto"/>
        </w:rPr>
      </w:pPr>
    </w:p>
    <w:p>
      <w:pPr>
        <w:ind w:right="2319" w:firstLine="8"/>
        <w:spacing w:after="0" w:line="236" w:lineRule="auto"/>
        <w:tabs>
          <w:tab w:leader="none" w:pos="52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or if after the adjournment a new record date is fixed for the adjourned meeting, a notice of the adjourned meeting shall be given to each stockholder entitled to vote at the meeting.</w:t>
      </w:r>
    </w:p>
    <w:p>
      <w:pPr>
        <w:spacing w:after="0" w:line="209"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Section 5. Voting. Unless otherwise required by law, the Certificate of Incorporation or these Bylaws, (i) any question brought before any meeting of stockholders shall be decided by the vote of the holders of a majority of the stock represented and entitled to vote thereat and (ii) each stockholder represented at a meeting of stockholders shall be entitled to cast one vote for each share of the capital stock entitled to vote thereat held by such stockholder. Such votes may be cast in person or by proxy but no proxy shall be voted on or after three (3)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18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6. List of Stockholders Entitled to Vote. The officer of the Corporation who has charge of the stock ledger of the Corporation shall prepare and make, at least ten (10) days before every meeting of stockholders, a complete list of the stockholders entitled to vote at the meeting, arranged in alphabetical order, and showing the address of each stockholders and the number of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208" w:lineRule="exact"/>
        <w:rPr>
          <w:sz w:val="20"/>
          <w:szCs w:val="20"/>
          <w:color w:val="auto"/>
        </w:rPr>
      </w:pPr>
    </w:p>
    <w:p>
      <w:pPr>
        <w:ind w:right="1879" w:firstLine="632"/>
        <w:spacing w:after="0" w:line="275" w:lineRule="auto"/>
        <w:rPr>
          <w:sz w:val="20"/>
          <w:szCs w:val="20"/>
          <w:color w:val="auto"/>
        </w:rPr>
      </w:pPr>
      <w:r>
        <w:rPr>
          <w:rFonts w:ascii="Courier New" w:cs="Courier New" w:eastAsia="Courier New" w:hAnsi="Courier New"/>
          <w:sz w:val="16"/>
          <w:szCs w:val="16"/>
          <w:color w:val="auto"/>
        </w:rPr>
        <w:t>Section 7. Stock Ledger. The stock ledger of the Corporation shall be the only evidence as to who are the stockholders entitled to examine the stock ledger, the list required by Section 6 of this Article II or the books of the Corporation, or to vote in person or by proxy at any meeting of stockholders.</w:t>
      </w:r>
    </w:p>
    <w:p>
      <w:pPr>
        <w:spacing w:after="0" w:line="17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1. Number and Election of Directors. The business and affairs of the Corporation shall be managed by or under the direction of a Board of Directors consisting of not less than one director, the exact number of directors to be determined from time to time by resolution adopted by the affirmative vote of a majority of the directors then in office. At each annual meeting of stockholders beginning with the first, successor directors shall be elected. Each director shall hold office until the ensuing meeting and until such director's successor is elected and qualified or until such director's earlier death, resignation, or removal.</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66" w:name="page67"/>
    <w:bookmarkEnd w:id="66"/>
    <w:p>
      <w:pPr>
        <w:ind w:right="1779" w:firstLine="632"/>
        <w:spacing w:after="0" w:line="236" w:lineRule="auto"/>
        <w:rPr>
          <w:sz w:val="20"/>
          <w:szCs w:val="20"/>
          <w:color w:val="auto"/>
        </w:rPr>
      </w:pPr>
      <w:r>
        <w:rPr>
          <w:rFonts w:ascii="Courier New" w:cs="Courier New" w:eastAsia="Courier New" w:hAnsi="Courier New"/>
          <w:sz w:val="18"/>
          <w:szCs w:val="18"/>
          <w:color w:val="auto"/>
        </w:rPr>
        <w:t>Directors of the Corporation may be removed, with or without cause, by the holders of a majority of the shares then entitled to vote at an election of directors.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 Vacancies. Any vacancy on the Board of Directors that results from an increase in the number of directors may be filled by a majority of the Board of Directors then in office, provided that a quorum is present, and any other vacancy occurring in the Board of Directors may be filled by a majority of the directors then in office, even if less than a quorum, or by a sole remaining director.</w:t>
      </w:r>
    </w:p>
    <w:p>
      <w:pPr>
        <w:spacing w:after="0" w:line="210"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Section 3. Duties and Powers. The business of the Corporation shall be managed by or under the direction of the Board of Directors, which may exercise all such powers of the Corporation and do all such lawful acts and things as are not by statute or by the Corporation's Certificate of Incorporation or by these Bylaws directed or required to be exercised or done by the stockholders.</w:t>
      </w:r>
    </w:p>
    <w:p>
      <w:pPr>
        <w:spacing w:after="0" w:line="185"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4. Meetings. The Board of Directors of the Corporation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 President or any two directors. Notice thereof stating the place, date and hour of the meeting shall be given to each director either by mail not less than forty-eight (48) hours before the time of the meeting, by telephone, electronic facsimile or telegram not less than twenty-four (24) hours before the time of the meeting, or on such shorter notice as the person or persons calling such meeting may deem necessary or appropriate in the circumstances.</w:t>
      </w:r>
    </w:p>
    <w:p>
      <w:pPr>
        <w:spacing w:after="0" w:line="39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 Quorum. Except as may be otherwise specifically provided by law, the Corporation's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until a quorum shall be present.</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 Actions of Board. Unless otherwise provided by the Corporation's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7. Meetings by Means of Conference Telephone. Unless otherwise provided by the Corporation's Certificate of Incorporation or these Bylaws, members of the Board of Directors of the Corporation, or any committee designated by the Board of Directors, may participate in a meeting of the Board of Directors or such committee by means of a conference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67" w:name="page68"/>
    <w:bookmarkEnd w:id="67"/>
    <w:p>
      <w:pPr>
        <w:ind w:right="1779"/>
        <w:spacing w:after="0" w:line="237" w:lineRule="auto"/>
        <w:rPr>
          <w:sz w:val="20"/>
          <w:szCs w:val="20"/>
          <w:color w:val="auto"/>
        </w:rPr>
      </w:pPr>
      <w:r>
        <w:rPr>
          <w:rFonts w:ascii="Courier New" w:cs="Courier New" w:eastAsia="Courier New" w:hAnsi="Courier New"/>
          <w:sz w:val="18"/>
          <w:szCs w:val="18"/>
          <w:color w:val="auto"/>
        </w:rPr>
        <w:t>telephone or similar communications equipment by means of which all persons participating in the meeting can hear each other, and participation in a meeting pursuant to this Section 7 of this Article III shall constitute presence in person at such meeting.</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8. Committees. The Board of Directors may, by resolution passed by a majority of the entire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members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39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9. Compensation.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10.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68" w:name="page69"/>
    <w:bookmarkEnd w:id="68"/>
    <w:p>
      <w:pPr>
        <w:jc w:val="center"/>
        <w:ind w:right="1779"/>
        <w:spacing w:after="0"/>
        <w:rPr>
          <w:sz w:val="20"/>
          <w:szCs w:val="20"/>
          <w:color w:val="auto"/>
        </w:rPr>
      </w:pPr>
      <w:r>
        <w:rPr>
          <w:rFonts w:ascii="Courier New" w:cs="Courier New" w:eastAsia="Courier New" w:hAnsi="Courier New"/>
          <w:sz w:val="18"/>
          <w:szCs w:val="18"/>
          <w:color w:val="auto"/>
        </w:rPr>
        <w:t>ARTICLE IV</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 General. The offices of the Corporation shall be chosen by the Board of Directors and shall be a President and a Secretary. The Board of Directors, in its discretion, may also choose one Treasurer and one or more Vice Presidents, Assistant Secretaries, Assistant Treasurers and other officers. Any number of offices may be held by the same person, unless otherwise prohibited by law, the Corporation's Certificate of Incorporation or these Bylaws. The officers of the Corporation need not be stockholders of the Corporation nor need such officers be directors of the Corporation.</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 Election.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and other compensation of all officers of the Corporation shall be fixed by the Board of Directors.</w:t>
      </w:r>
    </w:p>
    <w:p>
      <w:pPr>
        <w:spacing w:after="0" w:line="216"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3. Voting Securities Owned by the Corporation. Powers of attorney, proxies, waivers of notice of meeting, consents and other instruments relating to securities owned by the Corporation may be executed in the name of and on behalf of the Corporation by the President or any Vice President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39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4. The President. The President shall be the chief executive officer and the chief operating officer of the Corporation, shall have general direction of the business and affairs of the Corporation and general supervision over its several officers, subject, however, to the control of the Board of Directors and shall see that all orders and resolutions of the Board of Directors are carried into effect. The President may sign, with the Secretary or Assistant Secretary, certificates representing shares of stock of the Corporation. The President shall execute and deliver, in the name and on behalf of the Corporation, (i) contracts or other instruments authorized by the Board of Directors and (ii) contracts or instruments in the usual and regular course of business except in cases when the execution and delivery thereof shall be expressly delegated or permitted by the Board of Directors or by these Bylaws to some other officer or agent of the Corporation, and, in general, shall perform all duties incident to the office of President and such other duties as from time to time may be assigned to him by the Board of Directors or as are prescribed by these Bylaws.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1440" w:gutter="0" w:footer="0" w:header="0"/>
        </w:sectPr>
      </w:pPr>
    </w:p>
    <w:bookmarkStart w:id="69" w:name="page70"/>
    <w:bookmarkEnd w:id="69"/>
    <w:p>
      <w:pPr>
        <w:ind w:right="1879" w:firstLine="632"/>
        <w:spacing w:after="0" w:line="237" w:lineRule="auto"/>
        <w:rPr>
          <w:sz w:val="20"/>
          <w:szCs w:val="20"/>
          <w:color w:val="auto"/>
        </w:rPr>
      </w:pPr>
      <w:r>
        <w:rPr>
          <w:rFonts w:ascii="Courier New" w:cs="Courier New" w:eastAsia="Courier New" w:hAnsi="Courier New"/>
          <w:sz w:val="18"/>
          <w:szCs w:val="18"/>
          <w:color w:val="auto"/>
        </w:rPr>
        <w:t>Section 5. Vice Presidents. Vice Presidents, if there be any, shall perform such duties and may exercise such other powers as from time to time may be assigned to him by these Bylaws or by the Board of Directors. The Vice President may sign certificates of stock of the Corporation. In the absence or disability of the President, a Vice President may preside at meetings of the stockholders and the Board of Directors.</w:t>
      </w:r>
    </w:p>
    <w:p>
      <w:pPr>
        <w:spacing w:after="0" w:line="210"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6. Secretary.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President.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such officer's signature. The Secretary shall see that all books, reports, statements, certificates and other documents and records required by law to be kept or filed are properly kept or filed, as the case may be.</w:t>
      </w:r>
    </w:p>
    <w:p>
      <w:pPr>
        <w:spacing w:after="0" w:line="200" w:lineRule="exact"/>
        <w:rPr>
          <w:sz w:val="20"/>
          <w:szCs w:val="20"/>
          <w:color w:val="auto"/>
        </w:rPr>
      </w:pPr>
    </w:p>
    <w:p>
      <w:pPr>
        <w:spacing w:after="0" w:line="39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7. Treasurer. The Treasurer, if there be one,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21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8. Assistant Secretaries.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the Secretary's disability or refusal to act, shall perform the duties of the Secretary, and when so acting, shall have all the powers of and be subject to all the restrictions upon the Secretary.</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9. Assistant Treasurers. Assistant Treasurers, if there be any, shall perform such duties and have such powers as from time to time may be assigned to them by the Board of Directors, the President, any Vice President, if there be one, or the Treasurer, and in the absence of the Treasurer or in the event of the Treasurer's disability or refusal to act, shall perform the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70" w:name="page71"/>
    <w:bookmarkEnd w:id="70"/>
    <w:p>
      <w:pPr>
        <w:ind w:right="1779"/>
        <w:spacing w:after="0" w:line="235" w:lineRule="auto"/>
        <w:rPr>
          <w:sz w:val="20"/>
          <w:szCs w:val="20"/>
          <w:color w:val="auto"/>
        </w:rPr>
      </w:pPr>
      <w:r>
        <w:rPr>
          <w:rFonts w:ascii="Courier New" w:cs="Courier New" w:eastAsia="Courier New" w:hAnsi="Courier New"/>
          <w:sz w:val="18"/>
          <w:szCs w:val="18"/>
          <w:color w:val="auto"/>
        </w:rPr>
        <w:t>duties of the Treasurer, and when so acting, shall have all the powers of and be subject to all the restrictions upon the Treasurer.</w:t>
      </w:r>
    </w:p>
    <w:p>
      <w:pPr>
        <w:spacing w:after="0" w:line="208"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Section 10. Other Officers.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7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Section 1. Form of Certificates. Every holder of stock in the Corporation shall be entitled to have a certificate signed, in the name of the Corporation</w:t>
      </w:r>
    </w:p>
    <w:p>
      <w:pPr>
        <w:ind w:right="1779" w:firstLine="8"/>
        <w:spacing w:after="0" w:line="236" w:lineRule="auto"/>
        <w:tabs>
          <w:tab w:leader="none" w:pos="42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President or a Vice President and (ii) by the Secretary or an Assistant Secretary of the Corporation, certifying the number of shares owned by such holder of stock in the Corporation.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 Signatures. Where a certificate is countersigned by (i) a transfer agent other than the Corporation or its employee, or (ii)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214"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3. Lost Certificates.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4. Transfers. Stock of the Corporation shall be transferable in the manner prescribed by law and in these Bylaws. Transfers of stock shall be made on the books of the Corporation only by the person named in the certificate or by his attorney lawfully constituted in writing and upon the surrender of the certificate therefor, which shall be canceled before a new certificate shall be issued.</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 Record Date. In order that the Corporation may determine the stockholders entitled to notice of or to vote at any meeting of stockholders or any adjournment thereof, or entitled to receive payment of any dividend or other distribution or allotment of any rights, or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71" w:name="page72"/>
    <w:bookmarkEnd w:id="71"/>
    <w:p>
      <w:pPr>
        <w:ind w:right="1779"/>
        <w:spacing w:after="0" w:line="268" w:lineRule="auto"/>
        <w:rPr>
          <w:sz w:val="20"/>
          <w:szCs w:val="20"/>
          <w:color w:val="auto"/>
        </w:rPr>
      </w:pPr>
      <w:r>
        <w:rPr>
          <w:rFonts w:ascii="Courier New" w:cs="Courier New" w:eastAsia="Courier New" w:hAnsi="Courier New"/>
          <w:sz w:val="16"/>
          <w:szCs w:val="16"/>
          <w:color w:val="auto"/>
        </w:rPr>
        <w:t>entitled to exercise any rights in respect of any change, conversion or exchange of stock, or for the purpose of any other lawful action, the Board of Directors may fix, in advance, a record date, which shall not be more than sixty (60) days nor less than ten (10) days before the date of such meeting, nor more than sixty</w:t>
      </w:r>
    </w:p>
    <w:p>
      <w:pPr>
        <w:spacing w:after="0" w:line="1" w:lineRule="exact"/>
        <w:rPr>
          <w:sz w:val="20"/>
          <w:szCs w:val="20"/>
          <w:color w:val="auto"/>
        </w:rPr>
      </w:pPr>
    </w:p>
    <w:p>
      <w:pPr>
        <w:ind w:right="1779" w:firstLine="8"/>
        <w:spacing w:after="0" w:line="237" w:lineRule="auto"/>
        <w:tabs>
          <w:tab w:leader="none" w:pos="52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 Beneficial Owners.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ind w:left="3900"/>
        <w:spacing w:after="0" w:line="238" w:lineRule="auto"/>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Section 1. Notices. Whenever written notice is required by law, the Corporation's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by electronic facsimile, telegram, telex or cable.</w:t>
      </w:r>
    </w:p>
    <w:p>
      <w:pPr>
        <w:spacing w:after="0" w:line="18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 Waivers of Notice. Whenever any notice is required by law, the Corporation's Certificate of Incorporation or these Bylaws, to be given to any director, member of a committee or stockholder, a waiver thereof in writing, signed, by the person or persons entitled to said notice, whether before or after the time stated therein, shall be deemed equivalent thereto.</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ind w:left="3280"/>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1. Dividends. Dividends upon the capital stock of the Corporation, subject to the provisions of the Corporation's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72" w:name="page73"/>
    <w:bookmarkEnd w:id="72"/>
    <w:p>
      <w:pPr>
        <w:ind w:right="1779" w:firstLine="632"/>
        <w:spacing w:after="0" w:line="236" w:lineRule="auto"/>
        <w:rPr>
          <w:sz w:val="20"/>
          <w:szCs w:val="20"/>
          <w:color w:val="auto"/>
        </w:rPr>
      </w:pPr>
      <w:r>
        <w:rPr>
          <w:rFonts w:ascii="Courier New" w:cs="Courier New" w:eastAsia="Courier New" w:hAnsi="Courier New"/>
          <w:sz w:val="18"/>
          <w:szCs w:val="18"/>
          <w:color w:val="auto"/>
        </w:rPr>
        <w:t>Section 2. Disbursements. All checks or demands for money and notes of the Corporation shall be signed by such officer or officers or such other person or persons as the Board of Directors may from time to time designate.</w:t>
      </w:r>
    </w:p>
    <w:p>
      <w:pPr>
        <w:spacing w:after="0" w:line="209" w:lineRule="exact"/>
        <w:rPr>
          <w:sz w:val="20"/>
          <w:szCs w:val="20"/>
          <w:color w:val="auto"/>
        </w:rPr>
      </w:pPr>
    </w:p>
    <w:p>
      <w:pPr>
        <w:ind w:right="2419" w:firstLine="632"/>
        <w:spacing w:after="0" w:line="235" w:lineRule="auto"/>
        <w:rPr>
          <w:sz w:val="20"/>
          <w:szCs w:val="20"/>
          <w:color w:val="auto"/>
        </w:rPr>
      </w:pPr>
      <w:r>
        <w:rPr>
          <w:rFonts w:ascii="Courier New" w:cs="Courier New" w:eastAsia="Courier New" w:hAnsi="Courier New"/>
          <w:sz w:val="18"/>
          <w:szCs w:val="18"/>
          <w:color w:val="auto"/>
        </w:rPr>
        <w:t>Section 3. Fiscal Year. The fiscal year of the Corporation shall be fixed by resolution of the Board of Directors.</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Section 4. Corporate Seal. The corporate seal, if there shall be one, shall be in such form as the Board of Directors may prescribe.</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ind w:left="3480"/>
        <w:spacing w:after="0" w:line="238" w:lineRule="auto"/>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1. Power to Indemnify in Actions, Suits or Proceedings Other than Those by or in the Right of the Corporation. Subject to Section 3 of this Article VIII,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serving at the request of the Corporation as a director,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such person did not act in good faith and in a manner which such person reasonably believed to be in or not opposed to the best interests of the Corporation, and, with respect to any criminal action or proceeding, had reasonable cause to believe that his conduct was unlawful.</w:t>
      </w:r>
    </w:p>
    <w:p>
      <w:pPr>
        <w:spacing w:after="0" w:line="200" w:lineRule="exact"/>
        <w:rPr>
          <w:sz w:val="20"/>
          <w:szCs w:val="20"/>
          <w:color w:val="auto"/>
        </w:rPr>
      </w:pPr>
    </w:p>
    <w:p>
      <w:pPr>
        <w:spacing w:after="0" w:line="396"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2. Power to Indemnify in Actions, Suits or Proceedings by or in the Right of the Corporation. Subject to Section 3 of this Article VIII,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serving at the request of the Corporation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w:t>
      </w: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73" w:name="page74"/>
    <w:bookmarkEnd w:id="73"/>
    <w:p>
      <w:pPr>
        <w:ind w:right="1779"/>
        <w:spacing w:after="0" w:line="237" w:lineRule="auto"/>
        <w:rPr>
          <w:sz w:val="20"/>
          <w:szCs w:val="20"/>
          <w:color w:val="auto"/>
        </w:rPr>
      </w:pPr>
      <w:r>
        <w:rPr>
          <w:rFonts w:ascii="Courier New" w:cs="Courier New" w:eastAsia="Courier New" w:hAnsi="Courier New"/>
          <w:sz w:val="18"/>
          <w:szCs w:val="18"/>
          <w:color w:val="auto"/>
        </w:rPr>
        <w:t>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207"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Section 3. Authorization of Indemnification. Any indemnification under this Article VIII (unless ordered by a court) shall be made by the Corporation only as authorized in the specific case upon a determination that indemnification of the director or officer is proper in the circumstances because such person has met the applicable standard of conduct set forth in Section 1 or Section 2 of this Article VIII, as the case may be. Such determination shall be made (i) by the Board of Directors by a majority vote of the directors who are not parties to such action, suit or proceeding, even though less than a quorum, or (ii) if there are no such directors or if such directors so direct, by independent legal counsel in a written opinion, or (iii) by the stockholders. To the extent, however, that a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him in connection therewith, without the necessity of authorization in the specific case.</w:t>
      </w:r>
    </w:p>
    <w:p>
      <w:pPr>
        <w:spacing w:after="0" w:line="39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4. Good Faith Defined. For purposes of any determination under Section 3 of this Article VIII,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Section 4 of this Article VIII shall mean any other corporation or any partnership, joint venture, trust, employee benefit plan or other enterprise of which such person is or was serving at the request of the Corporation as a director, officer, employee or agent. The provisions of this Section 4 of this Article VIII shall not be deemed to be exclusive or to limit in any way the circumstances in which a person may be deemed to have met the applicable standard of conduct set forth in Section 1 or Section 2 of this Article VIII, as the case may be.</w:t>
      </w:r>
    </w:p>
    <w:p>
      <w:pPr>
        <w:spacing w:after="0" w:line="21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5. Indemnification by a Court. Notwithstanding any contrary determination in the specific case under Section 3 of this Article VIII, and notwithstanding the absence of any determination thereunder, any director or officer may apply to any court of competent jurisdiction in the State of Delaware for indemnification to the extent otherwise permissible under Sections 1 and 2 of this Article VIII. The basis of such indemnification by a court shall be a determination by such court that indemnification of the director or officer is proper in the circumstances because such person has met the applicable standards of conduct set forth in Section 1 or Section 2 of this Article VIII, as the case may be. Neither a contrary determination in the specific case under Section 3 of this Article VIII nor the absence of any determination thereunder shall be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74" w:name="page75"/>
    <w:bookmarkEnd w:id="74"/>
    <w:p>
      <w:pPr>
        <w:ind w:right="1779"/>
        <w:spacing w:after="0" w:line="237" w:lineRule="auto"/>
        <w:rPr>
          <w:sz w:val="20"/>
          <w:szCs w:val="20"/>
          <w:color w:val="auto"/>
        </w:rPr>
      </w:pPr>
      <w:r>
        <w:rPr>
          <w:rFonts w:ascii="Courier New" w:cs="Courier New" w:eastAsia="Courier New" w:hAnsi="Courier New"/>
          <w:sz w:val="18"/>
          <w:szCs w:val="18"/>
          <w:color w:val="auto"/>
        </w:rPr>
        <w:t>a defense to such application or create a presumption that the director or officer seeking indemnification has not met any applicable standard of conduct. Notice of any application for indemnification pursuant to this Section 5 of this Article VIII shall be given to the Corporation promptly upon the filing of such application. If successful, in whole or in part, the director or officer seeking indemnification shall also be entitled to be paid the expense of prosecuting such application.</w:t>
      </w:r>
    </w:p>
    <w:p>
      <w:pPr>
        <w:spacing w:after="0" w:line="211"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6. Expenses Payable in Advance. Expenses incurred by a director or officer in defending or investigating a threatened or pending action, suit or proceeding may be required by the Board of Directors to be paid (upon such terms and conditions, if any, as the Board deems appropriate)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VIII.</w:t>
      </w:r>
    </w:p>
    <w:p>
      <w:pPr>
        <w:spacing w:after="0" w:line="186"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7. Nonexclusivity of Indemnification and Advancement of Expenses. The indemnification and advancement of expenses provided by, or granted pursuant to, this Article VIII shall not be deemed exclusive of any other rights to which those seeking indemnification or advancement of expenses may be entitled under any By-Law, agreement, contract, vote of stockholders or disinterested directors or pursuant to the direction (howsoever embodied) of any court of competent jurisdiction or otherwise, both as to action in a person's official capacity and as to action in another capacity while holding such office, it being the policy of the Corporation that indemnification of the persons specified in Sections 1 and 2 of this Article VIII shall be made to the fullest extent permitted by law. The provisions of this Article VIII shall not be deemed to preclude the indemnification of any person who is not specified in Section 1 of Section 2 of this Article VIII but whom the Corporation has the power or obligation to indemnify under the provisions of the General Corporation Law of the State of Delaware, or otherwise.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8. Insurance. The Corporation may purchase and maintain insurance on behalf of any person who is or was a director or officer of the Corporation, or is or was serving at the request of the Corporation as a director, officer, employee or agent of another corporation, partnership, joint venture, trust, employee benefit plan or other enterprise against any liability asserted against such person and incurred by him in any such capacity, or arising out of such person's status as such, whether or not the Corporation would have the power or the obligation to indemnify such person against such liability under the provisions of this Article VIII.</w:t>
      </w:r>
    </w:p>
    <w:p>
      <w:pPr>
        <w:spacing w:after="0" w:line="214"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Section 9. Certain Definitions. For purposes of this Article VIII,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and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employee benefit plan or other enterprise, shall stand in the same position under the provisions of this Article VIII with respect to the resulting or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75" w:name="page76"/>
    <w:bookmarkEnd w:id="75"/>
    <w:p>
      <w:pPr>
        <w:ind w:right="1779"/>
        <w:spacing w:after="0" w:line="238" w:lineRule="auto"/>
        <w:rPr>
          <w:sz w:val="20"/>
          <w:szCs w:val="20"/>
          <w:color w:val="auto"/>
        </w:rPr>
      </w:pPr>
      <w:r>
        <w:rPr>
          <w:rFonts w:ascii="Courier New" w:cs="Courier New" w:eastAsia="Courier New" w:hAnsi="Courier New"/>
          <w:sz w:val="18"/>
          <w:szCs w:val="18"/>
          <w:color w:val="auto"/>
        </w:rPr>
        <w:t>surviving corporation as such indemnification relates to such person's acts while serving in any of the foregoing capacities, of such constituent corporation, as such person would have with respect to such constituent corporation if its separate existence had continued. For purposes of this Article VIII,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VIII.</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10. Survival of Indemnification and Advancement of Expenses. The indemnification and advancement of expenses provided by, or granted pursuant to, this Article VIII shall, unless otherwise provided when authorized or ratified, continue as to a person who has ceased to be a director or officer and shall inure to the benefit of the heirs, executors and administrators of such a person.</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11. Limitation on Indemnification. Notwithstanding anything contained in this Article VIII to the contrary, except for proceedings to enforce rights to indemnification (which shall be governed by Section 5 of this Article VIII), the Corporation shall not be obligated to indemnify any director or officer in connection with a proceeding (or part thereof) initiated by such person unless such proceeding (or part thereof) was authorized or consented to by the Board of Directors of the Corporation.</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12. Indemnification of Employees and Agents. The Corporation may, to the extent authorized from time to time by the Board of Directors, provide rights to indemnification and to the advancement of expenses to employees and agents of the Corporation similar to those conferred in this Article VIII to directors and officers of the Corporation.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ind w:left="3700"/>
        <w:spacing w:after="0" w:line="238" w:lineRule="auto"/>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 Except as otherwise provided in the Corporation's Certificate of Incorporation, these Bylaws may be altered, amended or repealed, in whole or in part, or new Bylaws may be adopted by the stockholders or by the Board of Directors, provided, however, that notice of such alteration, amendment, repeal or adoption of new Bylaws be contained in the notice of such meeting of stockholders or Board of Directors as the case may be. Except as otherwise provided in the Corporation's Certificate of Incorporation, all such amendments must be approved by either the holders of a majority of the outstanding capital stock entitled to vote thereon or by a majority of the entire Board of Directors then in office.</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20" w:right="1440" w:bottom="1440" w:gutter="0" w:footer="0" w:header="0"/>
        </w:sectPr>
      </w:pPr>
    </w:p>
    <w:bookmarkStart w:id="76" w:name="page77"/>
    <w:bookmarkEnd w:id="76"/>
    <w:p>
      <w:pPr>
        <w:jc w:val="right"/>
        <w:ind w:right="1779"/>
        <w:spacing w:after="0"/>
        <w:rPr>
          <w:sz w:val="20"/>
          <w:szCs w:val="20"/>
          <w:color w:val="auto"/>
        </w:rPr>
      </w:pPr>
      <w:r>
        <w:rPr>
          <w:rFonts w:ascii="Courier New" w:cs="Courier New" w:eastAsia="Courier New" w:hAnsi="Courier New"/>
          <w:sz w:val="18"/>
          <w:szCs w:val="18"/>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GUARANTEE</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BY WASTE MANAGEMENT HOLDINGS, INC.</w:t>
      </w:r>
    </w:p>
    <w:p>
      <w:pPr>
        <w:spacing w:after="0" w:line="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(formerly known as Waste Management, Inc.)</w:t>
      </w:r>
    </w:p>
    <w:p>
      <w:pPr>
        <w:spacing w:after="0" w:line="21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in Favor of the Holders</w:t>
      </w:r>
    </w:p>
    <w:p>
      <w:pPr>
        <w:jc w:val="center"/>
        <w:ind w:right="2879"/>
        <w:spacing w:after="0" w:line="238" w:lineRule="auto"/>
        <w:rPr>
          <w:sz w:val="20"/>
          <w:szCs w:val="20"/>
          <w:color w:val="auto"/>
        </w:rPr>
      </w:pPr>
      <w:r>
        <w:rPr>
          <w:rFonts w:ascii="Courier New" w:cs="Courier New" w:eastAsia="Courier New" w:hAnsi="Courier New"/>
          <w:sz w:val="18"/>
          <w:szCs w:val="18"/>
          <w:color w:val="auto"/>
        </w:rPr>
        <w:t>of Certain Debt Securities of</w:t>
      </w:r>
    </w:p>
    <w:p>
      <w:pPr>
        <w:spacing w:after="0" w:line="20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___% Notes Due _____</w:t>
      </w:r>
    </w:p>
    <w:p>
      <w:pPr>
        <w:sectPr>
          <w:pgSz w:w="11900" w:h="16838" w:orient="portrait"/>
          <w:cols w:equalWidth="0" w:num="1">
            <w:col w:w="9019"/>
          </w:cols>
          <w:pgMar w:left="1440" w:top="339" w:right="1440" w:bottom="1440" w:gutter="0" w:footer="0" w:header="0"/>
        </w:sectPr>
      </w:pPr>
    </w:p>
    <w:bookmarkStart w:id="77" w:name="page78"/>
    <w:bookmarkEnd w:id="77"/>
    <w:p>
      <w:pPr>
        <w:ind w:left="960"/>
        <w:spacing w:after="0"/>
        <w:rPr>
          <w:sz w:val="20"/>
          <w:szCs w:val="20"/>
          <w:color w:val="auto"/>
        </w:rPr>
      </w:pPr>
      <w:r>
        <w:rPr>
          <w:rFonts w:ascii="Courier New" w:cs="Courier New" w:eastAsia="Courier New" w:hAnsi="Courier New"/>
          <w:sz w:val="18"/>
          <w:szCs w:val="18"/>
          <w:color w:val="auto"/>
        </w:rPr>
        <w:t>GUARANTEE, dated as of _________ _____, made by Waste Management</w:t>
      </w:r>
    </w:p>
    <w:p>
      <w:pPr>
        <w:spacing w:after="0" w:line="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Holdings, Inc. (formerly known as Waste Management, Inc.), a Delaware corporation (the "Guarantor"), in favor of the holders of the ___% Notes Due</w:t>
      </w:r>
    </w:p>
    <w:p>
      <w:pPr>
        <w:spacing w:after="0"/>
        <w:rPr>
          <w:sz w:val="20"/>
          <w:szCs w:val="20"/>
          <w:color w:val="auto"/>
        </w:rPr>
      </w:pPr>
      <w:r>
        <w:rPr>
          <w:rFonts w:ascii="Courier New" w:cs="Courier New" w:eastAsia="Courier New" w:hAnsi="Courier New"/>
          <w:sz w:val="16"/>
          <w:szCs w:val="16"/>
          <w:color w:val="auto"/>
        </w:rPr>
        <w:t>_____ (collectively, the "Debt Securities") of Waste Management, Inc. (formerly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known as USA Waste Services, Inc.), a Delaware corporation (the "Issuer").</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Guarantee. (a) The Guarantor hereby unconditionally guarantees the punctual payment when due, whether at stated maturity, by acceleration or otherwise, of the principal of, premium, if any, and interest on the Debt Securities (the "Obligations"), according to the terms of the Debt Securities and as more fully described in the Senior Indenture (as amended, modified or otherwise supplemented from time to time, the "Indenture"), dated as of _______________, ______, between the Issuer and ______________________ as trustee (the "Trustee").</w:t>
      </w:r>
    </w:p>
    <w:p>
      <w:pPr>
        <w:spacing w:after="0" w:line="212" w:lineRule="exact"/>
        <w:rPr>
          <w:sz w:val="20"/>
          <w:szCs w:val="20"/>
          <w:color w:val="auto"/>
        </w:rPr>
      </w:pPr>
    </w:p>
    <w:p>
      <w:pPr>
        <w:ind w:right="1779" w:firstLine="1904"/>
        <w:spacing w:after="0" w:line="270" w:lineRule="auto"/>
        <w:tabs>
          <w:tab w:leader="none" w:pos="2318"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the intention of the Guarantor that this Guarantee not constitute a fraudulent transfer or conveyance for purposes of Bankruptcy Law,the Uniform Fraudulent Conveyance Act, the Uniform Fraudulent Transfer Act or any similar federal or state law to the extent applicable to this Guarantee. To effectuate the foregoing intention, the Obligations of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391"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SECTION 2. Guarantee Absolute.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86" w:lineRule="exact"/>
        <w:rPr>
          <w:sz w:val="20"/>
          <w:szCs w:val="20"/>
          <w:color w:val="auto"/>
        </w:rPr>
      </w:pPr>
    </w:p>
    <w:p>
      <w:pPr>
        <w:ind w:left="960" w:right="1779" w:firstLine="944"/>
        <w:spacing w:after="0" w:line="235" w:lineRule="auto"/>
        <w:tabs>
          <w:tab w:leader="none" w:pos="2329"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the Indenture or any other agreement or instrument relating thereto;</w:t>
      </w:r>
    </w:p>
    <w:p>
      <w:pPr>
        <w:spacing w:after="0" w:line="208" w:lineRule="exact"/>
        <w:rPr>
          <w:rFonts w:ascii="Courier New" w:cs="Courier New" w:eastAsia="Courier New" w:hAnsi="Courier New"/>
          <w:sz w:val="18"/>
          <w:szCs w:val="18"/>
          <w:color w:val="auto"/>
        </w:rPr>
      </w:pPr>
    </w:p>
    <w:p>
      <w:pPr>
        <w:ind w:left="960" w:right="1779" w:firstLine="944"/>
        <w:spacing w:after="0" w:line="279" w:lineRule="auto"/>
        <w:tabs>
          <w:tab w:leader="none" w:pos="243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the Obligations, or any other amendment or waiver of or any consent to departure from the Indenture;</w:t>
      </w:r>
    </w:p>
    <w:p>
      <w:pPr>
        <w:spacing w:after="0" w:line="178" w:lineRule="exact"/>
        <w:rPr>
          <w:rFonts w:ascii="Courier New" w:cs="Courier New" w:eastAsia="Courier New" w:hAnsi="Courier New"/>
          <w:sz w:val="16"/>
          <w:szCs w:val="16"/>
          <w:color w:val="auto"/>
        </w:rPr>
      </w:pPr>
    </w:p>
    <w:p>
      <w:pPr>
        <w:ind w:left="960" w:right="1999" w:firstLine="944"/>
        <w:spacing w:after="0" w:line="237" w:lineRule="auto"/>
        <w:tabs>
          <w:tab w:leader="none" w:pos="25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exchange, release or non-perfection of any collateral, or any release or amendment or waiver of or consent to departure from any other guaranty, for all or any of the Obligations; or</w:t>
      </w:r>
    </w:p>
    <w:p>
      <w:pPr>
        <w:spacing w:after="0" w:line="207" w:lineRule="exact"/>
        <w:rPr>
          <w:rFonts w:ascii="Courier New" w:cs="Courier New" w:eastAsia="Courier New" w:hAnsi="Courier New"/>
          <w:sz w:val="18"/>
          <w:szCs w:val="18"/>
          <w:color w:val="auto"/>
        </w:rPr>
      </w:pPr>
    </w:p>
    <w:p>
      <w:pPr>
        <w:ind w:left="960" w:right="1779" w:firstLine="944"/>
        <w:spacing w:after="0" w:line="290" w:lineRule="auto"/>
        <w:tabs>
          <w:tab w:leader="none" w:pos="243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which might otherwise constitute a defense available to, or a discharge of, the Issuer, or a guarantor.</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78" w:name="page79"/>
    <w:bookmarkEnd w:id="78"/>
    <w:p>
      <w:pPr>
        <w:ind w:right="1779" w:firstLine="948"/>
        <w:spacing w:after="0" w:line="269" w:lineRule="auto"/>
        <w:rPr>
          <w:sz w:val="20"/>
          <w:szCs w:val="20"/>
          <w:color w:val="auto"/>
        </w:rPr>
      </w:pPr>
      <w:r>
        <w:rPr>
          <w:rFonts w:ascii="Courier New" w:cs="Courier New" w:eastAsia="Courier New" w:hAnsi="Courier New"/>
          <w:sz w:val="16"/>
          <w:szCs w:val="16"/>
          <w:color w:val="auto"/>
        </w:rPr>
        <w:t>SECTION 3. Subordination. The Guarantor covenants and agrees that its obligation to make payments of the Obligations hereunder constitutes an unsecured obligation of the Guarantor ranking (a) pari passu with all senior debt issued under the Indenture, dated as of June 1, 1993, between the Guarantor and The Fuji Bank and Trust Company, as trustee, "Senior Indebtedness" (as such term is defined in the Indenture, dated as of January 24, 1995, between the Guarantor and NationsBank of Georgia, National Association, as trustee, as supplemented by the First Supplemental Indenture, dated as of July 16, 1998, among the Guarantor, the Issuer and Harris Trust and Savings Bank, as trustee), "Senior Debt" (as such term is defined in the Indenture, dated as of November 1, 1988, between the Guarantor and Harris Trust and Savings Bank, as trustee), and "Senior Indebtedness" (as such term is defined in the Indenture, dated as of August 1, 1990, between Chemical Waste Management, Inc. ("CWM") and Harris Trust and Savings Bank, as trustee, as supplemented by the First Supplemental Indenture, dated as of January 24, 1995, among CWM, the Guarantor, as successor to CWM, and Harris Trust and Savings Bank, as trustee) of the Guarantor and (b) senior in right of payment to the Guarantor's Convertible Subordinated Notes due 2005 and to the Guarantor's guarantees of the Issuer's 4% Convertible Subordinated Notes due 2002 and 4 1/2% Convertible Subordinated Notes due 2001.</w:t>
      </w:r>
    </w:p>
    <w:p>
      <w:pPr>
        <w:spacing w:after="0" w:line="395"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SECTION 4. Waiver; Subrogation (a) The Guarantor hereby waives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5" w:lineRule="exact"/>
        <w:rPr>
          <w:sz w:val="20"/>
          <w:szCs w:val="20"/>
          <w:color w:val="auto"/>
        </w:rPr>
      </w:pPr>
    </w:p>
    <w:p>
      <w:pPr>
        <w:ind w:right="1779" w:firstLine="1904"/>
        <w:spacing w:after="0" w:line="272" w:lineRule="auto"/>
        <w:tabs>
          <w:tab w:leader="none" w:pos="2318"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No Waiver, Remedies. No failure on the part of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6. Continuing Guarantee; Transfer of Interest.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(1) the Banks under the Loan Agreement dated as of July 16, 1998, by and among the Issuer, the Guarantor (as guarantor) and the Banks, the Administrative Agent, the Documentation Agent and the Syndication Agents named therein (or under any replacement or new principal credit facility of the Issuer) of the guarantee of the Guarantor thereunder and (2) the Banks under the Second Amended and Restated Revolving Credit Agreement, dated as of July 16,1998, by and among the Issuer, the Guarantor (as guarantor), Bank of America National Trust and Savings Association, Morgan Guaranty Trust Company of New York and each of the Banks named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79" w:name="page80"/>
    <w:bookmarkEnd w:id="79"/>
    <w:p>
      <w:pPr>
        <w:ind w:right="1879"/>
        <w:spacing w:after="0" w:line="237" w:lineRule="auto"/>
        <w:rPr>
          <w:sz w:val="20"/>
          <w:szCs w:val="20"/>
          <w:color w:val="auto"/>
        </w:rPr>
      </w:pPr>
      <w:r>
        <w:rPr>
          <w:rFonts w:ascii="Courier New" w:cs="Courier New" w:eastAsia="Courier New" w:hAnsi="Courier New"/>
          <w:sz w:val="18"/>
          <w:szCs w:val="18"/>
          <w:color w:val="auto"/>
        </w:rPr>
        <w:t>therein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209"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SECTION 7. Reinstatement.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8. Amendment.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SECTION 9. Governing Law. THIS GUARANTEE SHALL BE GOVERNED BY, AND CONSTRUED IN ACCORDANCE WITH THE LAWS OF THE STATE OF NEW YORK, WITHOUT REGARD TO THE PROVISIONS THEREOF RELATING TO CONFLICT OF LAWS.</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IN WITNESS WHEREOF, the Guarantor has caused this Guarantee to be duly executed and delivered by its officer thereunto duly authorized as of the date first above written.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WASTE MANAGEMENT HOLDINGS, INC.,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formerly known as Waste Management, Inc.</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80" w:name="page81"/>
    <w:bookmarkEnd w:id="80"/>
    <w:p>
      <w:pPr>
        <w:ind w:left="2440"/>
        <w:spacing w:after="0"/>
        <w:rPr>
          <w:sz w:val="20"/>
          <w:szCs w:val="20"/>
          <w:color w:val="auto"/>
        </w:rPr>
      </w:pPr>
      <w:r>
        <w:rPr>
          <w:rFonts w:ascii="Courier New" w:cs="Courier New" w:eastAsia="Courier New" w:hAnsi="Courier New"/>
          <w:sz w:val="18"/>
          <w:szCs w:val="18"/>
          <w:color w:val="auto"/>
        </w:rPr>
        <w:t>[Letterhead of Baker Botts L.L.P.]</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August 5,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Waste Management Holdings, Inc.</w:t>
      </w:r>
    </w:p>
    <w:p>
      <w:pPr>
        <w:spacing w:after="0"/>
        <w:rPr>
          <w:sz w:val="20"/>
          <w:szCs w:val="20"/>
          <w:color w:val="auto"/>
        </w:rPr>
      </w:pPr>
      <w:r>
        <w:rPr>
          <w:rFonts w:ascii="Courier New" w:cs="Courier New" w:eastAsia="Courier New" w:hAnsi="Courier New"/>
          <w:sz w:val="18"/>
          <w:szCs w:val="18"/>
          <w:color w:val="auto"/>
        </w:rPr>
        <w:t>1001 Fannin, Suite 4000</w:t>
      </w:r>
    </w:p>
    <w:p>
      <w:pPr>
        <w:spacing w:after="0"/>
        <w:tabs>
          <w:tab w:leader="none" w:pos="1360" w:val="left"/>
        </w:tabs>
        <w:rPr>
          <w:sz w:val="20"/>
          <w:szCs w:val="20"/>
          <w:color w:val="auto"/>
        </w:rPr>
      </w:pPr>
      <w:r>
        <w:rPr>
          <w:rFonts w:ascii="Courier New" w:cs="Courier New" w:eastAsia="Courier New" w:hAnsi="Courier New"/>
          <w:sz w:val="18"/>
          <w:szCs w:val="18"/>
          <w:color w:val="auto"/>
        </w:rPr>
        <w:t>Houston, TX</w:t>
      </w:r>
      <w:r>
        <w:rPr>
          <w:sz w:val="20"/>
          <w:szCs w:val="20"/>
          <w:color w:val="auto"/>
        </w:rPr>
        <w:tab/>
      </w:r>
      <w:r>
        <w:rPr>
          <w:rFonts w:ascii="Courier New" w:cs="Courier New" w:eastAsia="Courier New" w:hAnsi="Courier New"/>
          <w:sz w:val="16"/>
          <w:szCs w:val="16"/>
          <w:color w:val="auto"/>
        </w:rPr>
        <w:t>77002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Waste Management, Inc., a Delaware corporation ("Waste Management"), and Waste Management Holdings, Inc., a Delaware corporation ("WM Holdings" and together with Waste Management, the "Registrants"), have engaged us to render to them the opinions we express below in connection with the registration of (i) debt securities of Waste Management, (ii) shares of Waste Management common stock, par value $0.01 per share, and (iii) guarantees by WM Holdings of debt securities of Waste Management (collectively, the "Securities") that the Registrants may offer, issue and sell from time to time at an aggregate initial offering price not to exceed $1,868,070,886.</w:t>
      </w:r>
    </w:p>
    <w:p>
      <w:pPr>
        <w:spacing w:after="0" w:line="214"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Concurrently with our delivery of this letter, the Registrants are filing with the Securities and Exchange Commission (the "SEC") under the Securities Act of 1933, as amended (the "1933 Act"), a registration statement on Form S-3 (the "Registration Statement") relating to the offering and sale of the Securities pursuant to Rule 415 under the 1933 Act. For purposes of the opinions we express below, we have examined, among other agreements, instruments and documents, the Registration Statement and its exhibits, including Exhibit 4.1, the Senior Debt Indenture dated September 10, 1997 among Waste Management and Texas Commerce Bank National Association, now known as JPMorgan Chase Bank (the "Senior Debt Indenture"), Exhibit 4.2, the Subordinated Indenture dated February 1, 1997 among Waste Management and Texas Commerce Bank National Association, now known as JPMorgan Chase Bank (the "Subordinated Debt Indenture"), and</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Exhibit 4.4 (the "Guarantee Form"). We have also examined Waste Management's Second Restated Certificate of Incorporation and By-laws and WM Holdings' Certificate of Incorporation and By-laws, each as amended to date (collectively, the "Charter Documents").</w:t>
      </w:r>
    </w:p>
    <w:p>
      <w:pPr>
        <w:spacing w:after="0" w:line="207"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We base the opinions we express below in part on the following assumptions we have made:</w:t>
      </w:r>
    </w:p>
    <w:p>
      <w:pPr>
        <w:spacing w:after="0" w:line="208" w:lineRule="exact"/>
        <w:rPr>
          <w:sz w:val="20"/>
          <w:szCs w:val="20"/>
          <w:color w:val="auto"/>
        </w:rPr>
      </w:pPr>
    </w:p>
    <w:p>
      <w:pPr>
        <w:ind w:left="1900" w:right="2099" w:hanging="944"/>
        <w:spacing w:after="0" w:line="235" w:lineRule="auto"/>
        <w:tabs>
          <w:tab w:leader="none" w:pos="190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will have become effective under the 1933 Act;</w:t>
      </w:r>
    </w:p>
    <w:p>
      <w:pPr>
        <w:spacing w:after="0" w:line="208"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type or series of Securities the Registrants offer under the Registration Statement, the Registrants will have prepared and properly filed with the SEC under the 1933 Act a prospectus supplement that describes that type or series and, if Securities of another type or series are issuable on the conversion, exchange,</w:t>
      </w:r>
    </w:p>
    <w:p>
      <w:pPr>
        <w:sectPr>
          <w:pgSz w:w="11900" w:h="16838" w:orient="portrait"/>
          <w:cols w:equalWidth="0" w:num="1">
            <w:col w:w="10219"/>
          </w:cols>
          <w:pgMar w:left="240" w:top="541" w:right="1440" w:bottom="1440" w:gutter="0" w:footer="0" w:header="0"/>
        </w:sectPr>
      </w:pPr>
    </w:p>
    <w:bookmarkStart w:id="81" w:name="page82"/>
    <w:bookmarkEnd w:id="81"/>
    <w:p>
      <w:pPr>
        <w:ind w:left="3064"/>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944" w:right="1999"/>
        <w:spacing w:after="0" w:line="290" w:lineRule="auto"/>
        <w:rPr>
          <w:sz w:val="20"/>
          <w:szCs w:val="20"/>
          <w:color w:val="auto"/>
        </w:rPr>
      </w:pPr>
      <w:r>
        <w:rPr>
          <w:rFonts w:ascii="Courier New" w:cs="Courier New" w:eastAsia="Courier New" w:hAnsi="Courier New"/>
          <w:sz w:val="16"/>
          <w:szCs w:val="16"/>
          <w:color w:val="auto"/>
        </w:rPr>
        <w:t>redemption or exercise of the Securities the Registrants are so offering, that also describes that other type or series;</w:t>
      </w:r>
    </w:p>
    <w:p>
      <w:pPr>
        <w:spacing w:after="0" w:line="170" w:lineRule="exact"/>
        <w:rPr>
          <w:sz w:val="20"/>
          <w:szCs w:val="20"/>
          <w:color w:val="auto"/>
        </w:rPr>
      </w:pPr>
    </w:p>
    <w:p>
      <w:pPr>
        <w:ind w:left="944" w:right="1879" w:hanging="944"/>
        <w:spacing w:after="0" w:line="237" w:lineRule="auto"/>
        <w:tabs>
          <w:tab w:leader="none" w:pos="944"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will have offered, issued and sold the Securities in the manner described in the Registration Statement and the relevant prospectus supplements, and otherwise in compliance with all applicable federal and state securities laws;</w:t>
      </w:r>
    </w:p>
    <w:p>
      <w:pPr>
        <w:spacing w:after="0" w:line="208" w:lineRule="exact"/>
        <w:rPr>
          <w:rFonts w:ascii="Courier New" w:cs="Courier New" w:eastAsia="Courier New" w:hAnsi="Courier New"/>
          <w:sz w:val="18"/>
          <w:szCs w:val="18"/>
          <w:color w:val="auto"/>
        </w:rPr>
      </w:pPr>
    </w:p>
    <w:p>
      <w:pPr>
        <w:ind w:left="944" w:right="2199" w:hanging="944"/>
        <w:spacing w:after="0" w:line="237" w:lineRule="auto"/>
        <w:tabs>
          <w:tab w:leader="none" w:pos="944"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each Registrant or any committee thereof duly designated in accordance with the Charter Documents and applicable Delaware law will have taken all corporate action necessary to:</w:t>
      </w:r>
    </w:p>
    <w:p>
      <w:pPr>
        <w:spacing w:after="0" w:line="207" w:lineRule="exact"/>
        <w:rPr>
          <w:rFonts w:ascii="Courier New" w:cs="Courier New" w:eastAsia="Courier New" w:hAnsi="Courier New"/>
          <w:sz w:val="18"/>
          <w:szCs w:val="18"/>
          <w:color w:val="auto"/>
        </w:rPr>
      </w:pPr>
    </w:p>
    <w:p>
      <w:pPr>
        <w:ind w:left="1904" w:right="1779" w:hanging="956"/>
        <w:spacing w:after="0" w:line="237" w:lineRule="auto"/>
        <w:tabs>
          <w:tab w:leader="none" w:pos="1904"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the issuance of those Securities and the other Securities, if any, issuable on the conversion, exchange, redemption or exercise of those Securities; and</w:t>
      </w:r>
    </w:p>
    <w:p>
      <w:pPr>
        <w:spacing w:after="0" w:line="207" w:lineRule="exact"/>
        <w:rPr>
          <w:rFonts w:ascii="Courier New" w:cs="Courier New" w:eastAsia="Courier New" w:hAnsi="Courier New"/>
          <w:sz w:val="18"/>
          <w:szCs w:val="18"/>
          <w:color w:val="auto"/>
        </w:rPr>
      </w:pPr>
    </w:p>
    <w:p>
      <w:pPr>
        <w:ind w:left="1904" w:right="1999" w:hanging="956"/>
        <w:spacing w:after="0" w:line="235" w:lineRule="auto"/>
        <w:tabs>
          <w:tab w:leader="none" w:pos="1904"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the terms of the offering and sale of those Securities;</w:t>
      </w:r>
    </w:p>
    <w:p>
      <w:pPr>
        <w:spacing w:after="0" w:line="208" w:lineRule="exact"/>
        <w:rPr>
          <w:rFonts w:ascii="Courier New" w:cs="Courier New" w:eastAsia="Courier New" w:hAnsi="Courier New"/>
          <w:sz w:val="18"/>
          <w:szCs w:val="18"/>
          <w:color w:val="auto"/>
        </w:rPr>
      </w:pPr>
    </w:p>
    <w:p>
      <w:pPr>
        <w:ind w:left="944" w:right="1879" w:hanging="944"/>
        <w:spacing w:after="0" w:line="237" w:lineRule="auto"/>
        <w:tabs>
          <w:tab w:leader="none" w:pos="944"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Securities issuable on the conversion, exchange, redemption or exercise of other Securities, those Securities will be available for issuance on that conversion, exchange, redemption or exercise;</w:t>
      </w:r>
    </w:p>
    <w:p>
      <w:pPr>
        <w:spacing w:after="0" w:line="207" w:lineRule="exact"/>
        <w:rPr>
          <w:rFonts w:ascii="Courier New" w:cs="Courier New" w:eastAsia="Courier New" w:hAnsi="Courier New"/>
          <w:sz w:val="18"/>
          <w:szCs w:val="18"/>
          <w:color w:val="auto"/>
        </w:rPr>
      </w:pPr>
    </w:p>
    <w:p>
      <w:pPr>
        <w:ind w:left="944" w:right="1999" w:hanging="944"/>
        <w:spacing w:after="0" w:line="235" w:lineRule="auto"/>
        <w:tabs>
          <w:tab w:leader="none" w:pos="944"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debt securities of any series included in the Securities:</w:t>
      </w:r>
    </w:p>
    <w:p>
      <w:pPr>
        <w:spacing w:after="0" w:line="208" w:lineRule="exact"/>
        <w:rPr>
          <w:rFonts w:ascii="Courier New" w:cs="Courier New" w:eastAsia="Courier New" w:hAnsi="Courier New"/>
          <w:sz w:val="18"/>
          <w:szCs w:val="18"/>
          <w:color w:val="auto"/>
        </w:rPr>
      </w:pPr>
    </w:p>
    <w:p>
      <w:pPr>
        <w:ind w:left="1904" w:right="2099" w:hanging="956"/>
        <w:spacing w:after="0" w:line="237" w:lineRule="auto"/>
        <w:tabs>
          <w:tab w:leader="none" w:pos="1904"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debt securities will not be subordinated to any other indebtedness of Waste Management, the Securities will be issued under the Senior Debt Indenture;</w:t>
      </w:r>
    </w:p>
    <w:p>
      <w:pPr>
        <w:spacing w:after="0" w:line="207" w:lineRule="exact"/>
        <w:rPr>
          <w:rFonts w:ascii="Courier New" w:cs="Courier New" w:eastAsia="Courier New" w:hAnsi="Courier New"/>
          <w:sz w:val="18"/>
          <w:szCs w:val="18"/>
          <w:color w:val="auto"/>
        </w:rPr>
      </w:pPr>
    </w:p>
    <w:p>
      <w:pPr>
        <w:ind w:left="1904" w:right="1779" w:hanging="956"/>
        <w:spacing w:after="0" w:line="237" w:lineRule="auto"/>
        <w:tabs>
          <w:tab w:leader="none" w:pos="1904"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debt securities will be subordinated to other indebtedness of Waste Management, the Securities will be issued under the Subordinated Debt Indenture;</w:t>
      </w:r>
    </w:p>
    <w:p>
      <w:pPr>
        <w:spacing w:after="0" w:line="207" w:lineRule="exact"/>
        <w:rPr>
          <w:rFonts w:ascii="Courier New" w:cs="Courier New" w:eastAsia="Courier New" w:hAnsi="Courier New"/>
          <w:sz w:val="18"/>
          <w:szCs w:val="18"/>
          <w:color w:val="auto"/>
        </w:rPr>
      </w:pPr>
    </w:p>
    <w:p>
      <w:pPr>
        <w:ind w:left="1904" w:right="1999" w:hanging="956"/>
        <w:spacing w:after="0" w:line="237" w:lineRule="auto"/>
        <w:tabs>
          <w:tab w:leader="none" w:pos="1904"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debt securities will be guaranteed by WM Holdings, a guarantee substantially in the form of the Guarantee Form will have been duly executed and delivered by WM Holdings;</w:t>
      </w:r>
    </w:p>
    <w:p>
      <w:pPr>
        <w:spacing w:after="0" w:line="207" w:lineRule="exact"/>
        <w:rPr>
          <w:rFonts w:ascii="Courier New" w:cs="Courier New" w:eastAsia="Courier New" w:hAnsi="Courier New"/>
          <w:sz w:val="18"/>
          <w:szCs w:val="18"/>
          <w:color w:val="auto"/>
        </w:rPr>
      </w:pPr>
    </w:p>
    <w:p>
      <w:pPr>
        <w:ind w:left="1904" w:right="1879" w:hanging="956"/>
        <w:spacing w:after="0" w:line="237" w:lineRule="auto"/>
        <w:tabs>
          <w:tab w:leader="none" w:pos="1904"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terms of the indenture under which those debt securities will be issued, Waste Management's Board of Directors will have designated and established the terms of the series to which those debt securities belong and those debt securities will not include any provision that is unenforceable;</w:t>
      </w:r>
    </w:p>
    <w:p>
      <w:pPr>
        <w:spacing w:after="0" w:line="211" w:lineRule="exact"/>
        <w:rPr>
          <w:rFonts w:ascii="Courier New" w:cs="Courier New" w:eastAsia="Courier New" w:hAnsi="Courier New"/>
          <w:sz w:val="18"/>
          <w:szCs w:val="18"/>
          <w:color w:val="auto"/>
        </w:rPr>
      </w:pPr>
    </w:p>
    <w:p>
      <w:pPr>
        <w:jc w:val="both"/>
        <w:ind w:left="1904" w:right="1879" w:hanging="956"/>
        <w:spacing w:after="0" w:line="236" w:lineRule="auto"/>
        <w:tabs>
          <w:tab w:leader="none" w:pos="1904"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 under which those debt securities will be issued will have become qualified under the Trust Indenture Act of 1939, as amended; and</w:t>
      </w:r>
    </w:p>
    <w:p>
      <w:pPr>
        <w:spacing w:after="0" w:line="208" w:lineRule="exact"/>
        <w:rPr>
          <w:rFonts w:ascii="Courier New" w:cs="Courier New" w:eastAsia="Courier New" w:hAnsi="Courier New"/>
          <w:sz w:val="18"/>
          <w:szCs w:val="18"/>
          <w:color w:val="auto"/>
        </w:rPr>
      </w:pPr>
    </w:p>
    <w:p>
      <w:pPr>
        <w:ind w:left="1904" w:right="1779" w:hanging="956"/>
        <w:spacing w:after="0" w:line="237" w:lineRule="auto"/>
        <w:tabs>
          <w:tab w:leader="none" w:pos="1904"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forms of securities complying with the terms of the indenture under which those debt securities will be issued and evidencing those debt securities will have been duly executed, authenticated, issued and delivered in accordance with the provisions of that indenture and either:</w:t>
      </w:r>
    </w:p>
    <w:p>
      <w:pPr>
        <w:sectPr>
          <w:pgSz w:w="11900" w:h="16838" w:orient="portrait"/>
          <w:cols w:equalWidth="0" w:num="1">
            <w:col w:w="9263"/>
          </w:cols>
          <w:pgMar w:left="1196" w:top="514" w:right="1440" w:bottom="1440" w:gutter="0" w:footer="0" w:header="0"/>
        </w:sectPr>
      </w:pPr>
    </w:p>
    <w:bookmarkStart w:id="82" w:name="page83"/>
    <w:bookmarkEnd w:id="82"/>
    <w:p>
      <w:pPr>
        <w:ind w:left="40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3800" w:right="1879" w:hanging="948"/>
        <w:spacing w:after="0" w:line="237" w:lineRule="auto"/>
        <w:tabs>
          <w:tab w:leader="none" w:pos="380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the applicable underwriting, purchase or other agreement under which the Registrants will sell those Securities; or</w:t>
      </w:r>
    </w:p>
    <w:p>
      <w:pPr>
        <w:spacing w:after="0" w:line="207" w:lineRule="exact"/>
        <w:rPr>
          <w:sz w:val="20"/>
          <w:szCs w:val="20"/>
          <w:color w:val="auto"/>
        </w:rPr>
      </w:pPr>
    </w:p>
    <w:p>
      <w:pPr>
        <w:ind w:left="3800" w:right="1779" w:hanging="948"/>
        <w:spacing w:after="0" w:line="272" w:lineRule="auto"/>
        <w:tabs>
          <w:tab w:leader="none" w:pos="3800" w:val="left"/>
        </w:tabs>
        <w:numPr>
          <w:ilvl w:val="2"/>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issued on conversion, exchange, redemption or exercise of any other Securities, the applicable provisions of that Security or the agreement or instrument under which that conversion, exchange, redemption or exercise will be effected;</w:t>
      </w:r>
    </w:p>
    <w:p>
      <w:pPr>
        <w:spacing w:after="0" w:line="185"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shares of common stock included in the Securities, certificates representing those shares will have been duly executed, countersigned, registered and delivered in accordance with the provisions of the Charter Documents of Waste Management and either:</w:t>
      </w:r>
    </w:p>
    <w:p>
      <w:pPr>
        <w:spacing w:after="0" w:line="208" w:lineRule="exact"/>
        <w:rPr>
          <w:rFonts w:ascii="Courier New" w:cs="Courier New" w:eastAsia="Courier New" w:hAnsi="Courier New"/>
          <w:sz w:val="18"/>
          <w:szCs w:val="18"/>
          <w:color w:val="auto"/>
        </w:rPr>
      </w:pPr>
    </w:p>
    <w:p>
      <w:pPr>
        <w:ind w:left="2860" w:right="2519" w:hanging="956"/>
        <w:spacing w:after="0" w:line="279" w:lineRule="auto"/>
        <w:tabs>
          <w:tab w:leader="none" w:pos="286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the applicable underwriting, purchase or other agreement under which Waste Management will sell those Securities; or</w:t>
      </w:r>
    </w:p>
    <w:p>
      <w:pPr>
        <w:spacing w:after="0" w:line="178"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issued on conversion, exchange, redemption or exercise of any other Securities, the applicable provisions of the other Security or the agreement or instrument under which that conversion, exchange, redemption or exercise will be effected;</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each share of common stock included in the Securities, the purchase price therefor payable to Waste Management, or, if that share is issuable on the conversion, exchange, redemption or exercise of another Security, the consideration payable to Waste Management for that conversion, exchange, redemption or exercise will not be less than the par value of that share; and</w:t>
      </w:r>
    </w:p>
    <w:p>
      <w:pPr>
        <w:spacing w:after="0" w:line="211"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and the initial purchasers of the Securities of any type will have duly authorized, executed and delivered a definitive underwriting, purchase or other similar agreement relating to those Securities.</w:t>
      </w:r>
    </w:p>
    <w:p>
      <w:pPr>
        <w:spacing w:after="0" w:line="207"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On the basis of the foregoing, and subject to the assumptions, limitations and qualifications set forth herein, we are of the opinion that:</w:t>
      </w:r>
    </w:p>
    <w:p>
      <w:pPr>
        <w:spacing w:after="0" w:line="170" w:lineRule="exact"/>
        <w:rPr>
          <w:sz w:val="20"/>
          <w:szCs w:val="20"/>
          <w:color w:val="auto"/>
        </w:rPr>
      </w:pPr>
    </w:p>
    <w:p>
      <w:pPr>
        <w:ind w:left="960" w:right="1879" w:firstLine="944"/>
        <w:spacing w:after="0" w:line="236" w:lineRule="auto"/>
        <w:tabs>
          <w:tab w:leader="none" w:pos="2224"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Registrants is a corporation duly incorporated and validly existing in good standing under the laws of the State of Delaware.</w:t>
      </w:r>
    </w:p>
    <w:p>
      <w:pPr>
        <w:spacing w:after="0" w:line="208" w:lineRule="exact"/>
        <w:rPr>
          <w:rFonts w:ascii="Courier New" w:cs="Courier New" w:eastAsia="Courier New" w:hAnsi="Courier New"/>
          <w:sz w:val="18"/>
          <w:szCs w:val="18"/>
          <w:color w:val="auto"/>
        </w:rPr>
      </w:pPr>
    </w:p>
    <w:p>
      <w:pPr>
        <w:ind w:left="960" w:right="1779" w:firstLine="944"/>
        <w:spacing w:after="0" w:line="236" w:lineRule="auto"/>
        <w:tabs>
          <w:tab w:leader="none" w:pos="2224"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included in the Securities will, when issued, have been duly authorized and validly issued and will be fully paid and nonassessable.</w:t>
      </w:r>
    </w:p>
    <w:p>
      <w:pPr>
        <w:spacing w:after="0" w:line="208" w:lineRule="exact"/>
        <w:rPr>
          <w:rFonts w:ascii="Courier New" w:cs="Courier New" w:eastAsia="Courier New" w:hAnsi="Courier New"/>
          <w:sz w:val="18"/>
          <w:szCs w:val="18"/>
          <w:color w:val="auto"/>
        </w:rPr>
      </w:pPr>
    </w:p>
    <w:p>
      <w:pPr>
        <w:ind w:left="960" w:right="1879" w:firstLine="944"/>
        <w:spacing w:after="0" w:line="237" w:lineRule="auto"/>
        <w:tabs>
          <w:tab w:leader="none" w:pos="2224"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debt securities included in the Securities will, when issued, constitute legal, valid and binding obligations of Waste Management, enforceable against Waste Management in accordance with their terms, except to the extent that the enforceability thereof may be limited by (a) any applicable bankruptcy, insolvency, reorganization, moratorium, fraudulent transfer or conveyance or other laws relating to or affecting creditors' rights generally, (b) general principles of equity (regardless of whether such</w:t>
      </w:r>
    </w:p>
    <w:p>
      <w:pPr>
        <w:sectPr>
          <w:pgSz w:w="11900" w:h="16838" w:orient="portrait"/>
          <w:cols w:equalWidth="0" w:num="1">
            <w:col w:w="10219"/>
          </w:cols>
          <w:pgMar w:left="240" w:top="514" w:right="1440" w:bottom="1440" w:gutter="0" w:footer="0" w:header="0"/>
        </w:sectPr>
      </w:pPr>
    </w:p>
    <w:bookmarkStart w:id="83" w:name="page84"/>
    <w:bookmarkEnd w:id="83"/>
    <w:p>
      <w:pPr>
        <w:ind w:left="40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enforceability is considered in a proceeding in equity or at law) and</w:t>
      </w:r>
    </w:p>
    <w:p>
      <w:pPr>
        <w:ind w:left="1380" w:hanging="424"/>
        <w:spacing w:after="0" w:line="238" w:lineRule="auto"/>
        <w:tabs>
          <w:tab w:leader="none" w:pos="13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implied covenants of good faith and fair dealing.</w:t>
      </w:r>
    </w:p>
    <w:p>
      <w:pPr>
        <w:spacing w:after="0" w:line="207" w:lineRule="exact"/>
        <w:rPr>
          <w:rFonts w:ascii="Courier New" w:cs="Courier New" w:eastAsia="Courier New" w:hAnsi="Courier New"/>
          <w:sz w:val="18"/>
          <w:szCs w:val="18"/>
          <w:color w:val="auto"/>
        </w:rPr>
      </w:pPr>
    </w:p>
    <w:p>
      <w:pPr>
        <w:ind w:left="960" w:right="1879" w:firstLine="944"/>
        <w:spacing w:after="0" w:line="238" w:lineRule="auto"/>
        <w:tabs>
          <w:tab w:leader="none" w:pos="2224"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guarantees of the debt securities included in the Securities will, when issued, constitute legal, valid and binding obligations of WM Holdings, enforceable against WM Holdings in accordance with their terms, (a) except to the extent that the enforceability may be limited by (i) any applicable bankruptcy, insolvency, reorganization, moratorium, fraudulent transfer or conveyance or other laws relating to or affecting creditors' rights generally, (ii) general principles of equity (regardless of whether that enforceability is considered in a proceeding in equity or at law) and (iii) any implied covenants of good faith and fair dealing and (b) except for provisions purporting to waive rights to notice, legal defenses, statutes of limitation or other benefits that cannot be waived under applicable law.</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limit the opinions we express above in all respects to matters of the federal laws of the United States, the General Corporation Law of the State of Delaware and the contract law of the State of New York, each as in effect on the date hereof.</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hereby consent to the filing of this opinion of counsel as Exhibit 5.1 to the Registration Statement. We also consent to the reference to our Firm under the heading "Legal Matters" in the prospectus relating to the Registration Statement. In giving this consent, we do not hereby admit we are in the category of persons whose consent is required under Section 7 of the 1933 Act or the rules and regulations of the SEC thereunder.</w:t>
      </w: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BAKER BOTTS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JDK/ERH</w:t>
      </w:r>
    </w:p>
    <w:p>
      <w:pPr>
        <w:sectPr>
          <w:pgSz w:w="11900" w:h="16838" w:orient="portrait"/>
          <w:cols w:equalWidth="0" w:num="1">
            <w:col w:w="10219"/>
          </w:cols>
          <w:pgMar w:left="240" w:top="514" w:right="1440" w:bottom="1440" w:gutter="0" w:footer="0" w:header="0"/>
        </w:sectPr>
      </w:pPr>
    </w:p>
    <w:bookmarkStart w:id="84" w:name="page85"/>
    <w:bookmarkEnd w:id="84"/>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Computation of Ratio of Earnings to Fixed Charges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millions, except ratios)</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Six Months</w:t>
      </w:r>
    </w:p>
    <w:p>
      <w:pPr>
        <w:jc w:val="center"/>
        <w:ind w:right="8839"/>
        <w:spacing w:after="0" w:line="238" w:lineRule="auto"/>
        <w:rPr>
          <w:sz w:val="20"/>
          <w:szCs w:val="20"/>
          <w:color w:val="auto"/>
        </w:rPr>
      </w:pPr>
      <w:r>
        <w:rPr>
          <w:rFonts w:ascii="Courier New" w:cs="Courier New" w:eastAsia="Courier New" w:hAnsi="Courier New"/>
          <w:sz w:val="18"/>
          <w:szCs w:val="18"/>
          <w:color w:val="auto"/>
        </w:rPr>
        <w:t>Ended Years</w:t>
      </w:r>
    </w:p>
    <w:p>
      <w:pPr>
        <w:jc w:val="center"/>
        <w:ind w:right="8839"/>
        <w:spacing w:after="0"/>
        <w:rPr>
          <w:sz w:val="20"/>
          <w:szCs w:val="20"/>
          <w:color w:val="auto"/>
        </w:rPr>
      </w:pPr>
      <w:r>
        <w:rPr>
          <w:rFonts w:ascii="Courier New" w:cs="Courier New" w:eastAsia="Courier New" w:hAnsi="Courier New"/>
          <w:sz w:val="18"/>
          <w:szCs w:val="18"/>
          <w:color w:val="auto"/>
        </w:rPr>
        <w:t>Ended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31,</w:t>
      </w:r>
    </w:p>
    <w:p>
      <w:pPr>
        <w:jc w:val="center"/>
        <w:ind w:right="8839"/>
        <w:spacing w:after="0" w:line="238" w:lineRule="auto"/>
        <w:rPr>
          <w:sz w:val="20"/>
          <w:szCs w:val="20"/>
          <w:color w:val="auto"/>
        </w:rPr>
      </w:pPr>
      <w:r>
        <w:rPr>
          <w:rFonts w:ascii="Courier New" w:cs="Courier New" w:eastAsia="Courier New" w:hAnsi="Courier New"/>
          <w:sz w:val="18"/>
          <w:szCs w:val="18"/>
          <w:color w:val="auto"/>
        </w:rPr>
        <w:t>June 30, ---</w:t>
      </w:r>
    </w:p>
    <w:p>
      <w:pPr>
        <w:ind w:left="60"/>
        <w:spacing w:after="0"/>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2"/>
        </w:trPr>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73"/>
              </w:rPr>
              <w:t>----------</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7"/>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1998</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1999</w:t>
            </w:r>
          </w:p>
        </w:tc>
      </w:tr>
      <w:tr>
        <w:trPr>
          <w:trHeight w:val="203"/>
        </w:trPr>
        <w:tc>
          <w:tcPr>
            <w:tcW w:w="6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2000</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2001</w:t>
            </w:r>
          </w:p>
        </w:tc>
      </w:tr>
    </w:tbl>
    <w:p>
      <w:pPr>
        <w:ind w:left="60"/>
        <w:spacing w:after="0" w:line="238" w:lineRule="auto"/>
        <w:rPr>
          <w:sz w:val="20"/>
          <w:szCs w:val="20"/>
          <w:color w:val="auto"/>
        </w:rPr>
      </w:pPr>
      <w:r>
        <w:rPr>
          <w:rFonts w:ascii="Courier New" w:cs="Courier New" w:eastAsia="Courier New" w:hAnsi="Courier New"/>
          <w:sz w:val="18"/>
          <w:szCs w:val="18"/>
          <w:color w:val="auto"/>
        </w:rPr>
        <w:t>2002 ---- --</w:t>
      </w:r>
    </w:p>
    <w:p>
      <w:pPr>
        <w:ind w:left="380" w:hanging="322"/>
        <w:spacing w:after="0"/>
        <w:tabs>
          <w:tab w:leader="none" w:pos="3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40" w:hanging="524"/>
        <w:spacing w:after="0" w:line="238" w:lineRule="auto"/>
        <w:tabs>
          <w:tab w:leader="none" w:pos="74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w:t>
      </w:r>
    </w:p>
    <w:p>
      <w:pPr>
        <w:jc w:val="center"/>
        <w:ind w:right="8839"/>
        <w:spacing w:after="0"/>
        <w:rPr>
          <w:sz w:val="20"/>
          <w:szCs w:val="20"/>
          <w:color w:val="auto"/>
        </w:rPr>
      </w:pPr>
      <w:r>
        <w:rPr>
          <w:rFonts w:ascii="Courier New" w:cs="Courier New" w:eastAsia="Courier New" w:hAnsi="Courier New"/>
          <w:sz w:val="18"/>
          <w:szCs w:val="18"/>
          <w:color w:val="auto"/>
        </w:rPr>
        <w:t>(loss)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before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8839"/>
        <w:spacing w:after="0"/>
        <w:rPr>
          <w:sz w:val="20"/>
          <w:szCs w:val="20"/>
          <w:color w:val="auto"/>
        </w:rPr>
      </w:pPr>
      <w:r>
        <w:rPr>
          <w:rFonts w:ascii="Courier New" w:cs="Courier New" w:eastAsia="Courier New" w:hAnsi="Courier New"/>
          <w:sz w:val="18"/>
          <w:szCs w:val="18"/>
          <w:color w:val="auto"/>
        </w:rPr>
        <w:t>taxes,</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extraordinary</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items,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cumulative</w:t>
      </w:r>
    </w:p>
    <w:p>
      <w:pPr>
        <w:jc w:val="center"/>
        <w:ind w:right="8839"/>
        <w:spacing w:after="0"/>
        <w:rPr>
          <w:sz w:val="20"/>
          <w:szCs w:val="20"/>
          <w:color w:val="auto"/>
        </w:rPr>
      </w:pPr>
      <w:r>
        <w:rPr>
          <w:rFonts w:ascii="Courier New" w:cs="Courier New" w:eastAsia="Courier New" w:hAnsi="Courier New"/>
          <w:sz w:val="18"/>
          <w:szCs w:val="18"/>
          <w:color w:val="auto"/>
        </w:rPr>
        <w:t>effect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changes in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accounting</w:t>
      </w:r>
    </w:p>
    <w:p>
      <w:pPr>
        <w:jc w:val="center"/>
        <w:ind w:right="8839"/>
        <w:spacing w:after="0"/>
        <w:rPr>
          <w:sz w:val="20"/>
          <w:szCs w:val="20"/>
          <w:color w:val="auto"/>
        </w:rPr>
      </w:pPr>
      <w:r>
        <w:rPr>
          <w:rFonts w:ascii="Courier New" w:cs="Courier New" w:eastAsia="Courier New" w:hAnsi="Courier New"/>
          <w:sz w:val="18"/>
          <w:szCs w:val="18"/>
          <w:color w:val="auto"/>
        </w:rPr>
        <w:t>principle,</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undistributed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earnings</w:t>
      </w:r>
    </w:p>
    <w:p>
      <w:pPr>
        <w:jc w:val="center"/>
        <w:ind w:right="8839"/>
        <w:spacing w:after="0" w:line="238" w:lineRule="auto"/>
        <w:rPr>
          <w:sz w:val="20"/>
          <w:szCs w:val="20"/>
          <w:color w:val="auto"/>
        </w:rPr>
      </w:pPr>
      <w:r>
        <w:rPr>
          <w:rFonts w:ascii="Courier New" w:cs="Courier New" w:eastAsia="Courier New" w:hAnsi="Courier New"/>
          <w:sz w:val="18"/>
          <w:szCs w:val="18"/>
          <w:color w:val="auto"/>
        </w:rPr>
        <w:t>from</w:t>
      </w:r>
    </w:p>
    <w:p>
      <w:pPr>
        <w:jc w:val="center"/>
        <w:ind w:right="8839"/>
        <w:spacing w:after="0"/>
        <w:rPr>
          <w:sz w:val="20"/>
          <w:szCs w:val="20"/>
          <w:color w:val="auto"/>
        </w:rPr>
      </w:pPr>
      <w:r>
        <w:rPr>
          <w:rFonts w:ascii="Courier New" w:cs="Courier New" w:eastAsia="Courier New" w:hAnsi="Courier New"/>
          <w:sz w:val="18"/>
          <w:szCs w:val="18"/>
          <w:color w:val="auto"/>
        </w:rPr>
        <w:t>affiliated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companies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minority</w:t>
      </w:r>
    </w:p>
    <w:p>
      <w:pPr>
        <w:jc w:val="center"/>
        <w:ind w:right="8839"/>
        <w:spacing w:after="0"/>
        <w:rPr>
          <w:sz w:val="20"/>
          <w:szCs w:val="20"/>
          <w:color w:val="auto"/>
        </w:rPr>
      </w:pPr>
      <w:r>
        <w:rPr>
          <w:rFonts w:ascii="Courier New" w:cs="Courier New" w:eastAsia="Courier New" w:hAnsi="Courier New"/>
          <w:sz w:val="18"/>
          <w:szCs w:val="18"/>
          <w:color w:val="auto"/>
        </w:rPr>
        <w:t>interests $</w:t>
      </w:r>
    </w:p>
    <w:p>
      <w:pPr>
        <w:ind w:left="960" w:hanging="639"/>
        <w:spacing w:after="0" w:line="237" w:lineRule="auto"/>
        <w:tabs>
          <w:tab w:leader="none" w:pos="96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60" w:hanging="639"/>
        <w:spacing w:after="0" w:line="238" w:lineRule="auto"/>
        <w:tabs>
          <w:tab w:leader="none" w:pos="960"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right"/>
        <w:ind w:left="120" w:right="8959" w:hanging="9"/>
        <w:spacing w:after="0" w:line="268" w:lineRule="auto"/>
        <w:tabs>
          <w:tab w:leader="none" w:pos="75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$ 344 $ 792 $ 576</w:t>
      </w:r>
    </w:p>
    <w:p>
      <w:pPr>
        <w:ind w:left="60"/>
        <w:spacing w:after="0" w:line="233" w:lineRule="auto"/>
        <w:rPr>
          <w:sz w:val="20"/>
          <w:szCs w:val="20"/>
          <w:color w:val="auto"/>
        </w:rPr>
      </w:pPr>
      <w:r>
        <w:rPr>
          <w:rFonts w:ascii="Courier New" w:cs="Courier New" w:eastAsia="Courier New" w:hAnsi="Courier New"/>
          <w:sz w:val="18"/>
          <w:szCs w:val="18"/>
          <w:color w:val="auto"/>
        </w:rPr>
        <w:t>------ -----</w:t>
      </w:r>
    </w:p>
    <w:p>
      <w:pPr>
        <w:ind w:left="260" w:hanging="202"/>
        <w:spacing w:after="0"/>
        <w:tabs>
          <w:tab w:leader="none" w:pos="2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740" w:hanging="629"/>
        <w:spacing w:after="0" w:line="238" w:lineRule="auto"/>
        <w:tabs>
          <w:tab w:leader="none" w:pos="740"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jc w:val="center"/>
        <w:ind w:right="8839"/>
        <w:spacing w:after="0"/>
        <w:rPr>
          <w:sz w:val="20"/>
          <w:szCs w:val="20"/>
          <w:color w:val="auto"/>
        </w:rPr>
      </w:pPr>
      <w:r>
        <w:rPr>
          <w:rFonts w:ascii="Courier New" w:cs="Courier New" w:eastAsia="Courier New" w:hAnsi="Courier New"/>
          <w:sz w:val="18"/>
          <w:szCs w:val="18"/>
          <w:color w:val="auto"/>
        </w:rPr>
        <w:t>charges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deducted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from income:</w:t>
      </w:r>
    </w:p>
    <w:p>
      <w:pPr>
        <w:jc w:val="center"/>
        <w:ind w:right="8839"/>
        <w:spacing w:after="0"/>
        <w:rPr>
          <w:sz w:val="20"/>
          <w:szCs w:val="20"/>
          <w:color w:val="auto"/>
        </w:rPr>
      </w:pPr>
      <w:r>
        <w:rPr>
          <w:rFonts w:ascii="Courier New" w:cs="Courier New" w:eastAsia="Courier New" w:hAnsi="Courier New"/>
          <w:sz w:val="18"/>
          <w:szCs w:val="18"/>
          <w:color w:val="auto"/>
        </w:rPr>
        <w:t>Interest</w:t>
      </w:r>
    </w:p>
    <w:p>
      <w:pPr>
        <w:ind w:left="120"/>
        <w:spacing w:after="0" w:line="237" w:lineRule="auto"/>
        <w:rPr>
          <w:sz w:val="20"/>
          <w:szCs w:val="20"/>
          <w:color w:val="auto"/>
        </w:rPr>
      </w:pPr>
      <w:r>
        <w:rPr>
          <w:rFonts w:ascii="Courier New" w:cs="Courier New" w:eastAsia="Courier New" w:hAnsi="Courier New"/>
          <w:sz w:val="18"/>
          <w:szCs w:val="18"/>
          <w:color w:val="auto"/>
        </w:rPr>
        <w:t>expense 556</w:t>
      </w:r>
    </w:p>
    <w:p>
      <w:pPr>
        <w:ind w:left="120"/>
        <w:spacing w:after="0"/>
        <w:rPr>
          <w:sz w:val="20"/>
          <w:szCs w:val="20"/>
          <w:color w:val="auto"/>
        </w:rPr>
      </w:pPr>
      <w:r>
        <w:rPr>
          <w:rFonts w:ascii="Courier New" w:cs="Courier New" w:eastAsia="Courier New" w:hAnsi="Courier New"/>
          <w:sz w:val="18"/>
          <w:szCs w:val="18"/>
          <w:color w:val="auto"/>
        </w:rPr>
        <w:t>682 770 748</w:t>
      </w:r>
    </w:p>
    <w:p>
      <w:pPr>
        <w:spacing w:after="0" w:line="4" w:lineRule="exact"/>
        <w:rPr>
          <w:sz w:val="20"/>
          <w:szCs w:val="20"/>
          <w:color w:val="auto"/>
        </w:rPr>
      </w:pPr>
    </w:p>
    <w:p>
      <w:pPr>
        <w:jc w:val="right"/>
        <w:ind w:left="260" w:right="9099" w:firstLine="61"/>
        <w:spacing w:after="0" w:line="268" w:lineRule="auto"/>
        <w:tabs>
          <w:tab w:leader="none" w:pos="73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232 Implicit</w:t>
      </w:r>
    </w:p>
    <w:p>
      <w:pPr>
        <w:ind w:left="120"/>
        <w:spacing w:after="0" w:line="233" w:lineRule="auto"/>
        <w:rPr>
          <w:sz w:val="20"/>
          <w:szCs w:val="20"/>
          <w:color w:val="auto"/>
        </w:rPr>
      </w:pPr>
      <w:r>
        <w:rPr>
          <w:rFonts w:ascii="Courier New" w:cs="Courier New" w:eastAsia="Courier New" w:hAnsi="Courier New"/>
          <w:sz w:val="18"/>
          <w:szCs w:val="18"/>
          <w:color w:val="auto"/>
        </w:rPr>
        <w:t>interest in</w:t>
      </w:r>
    </w:p>
    <w:tbl>
      <w:tblPr>
        <w:tblLayout w:type="fixed"/>
        <w:tblInd w:w="60" w:type="dxa"/>
        <w:tblCellMar>
          <w:top w:w="0" w:type="dxa"/>
          <w:left w:w="0" w:type="dxa"/>
          <w:bottom w:w="0" w:type="dxa"/>
          <w:right w:w="0" w:type="dxa"/>
        </w:tblCellMar>
      </w:tblPr>
      <w:tr>
        <w:trPr>
          <w:trHeight w:val="203"/>
        </w:trPr>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rents</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59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79</w:t>
            </w:r>
          </w:p>
        </w:tc>
      </w:tr>
      <w:tr>
        <w:trPr>
          <w:trHeight w:val="203"/>
        </w:trPr>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75</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74</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260" w:hanging="202"/>
        <w:spacing w:after="0" w:line="238" w:lineRule="auto"/>
        <w:tabs>
          <w:tab w:leader="none" w:pos="2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40" w:hanging="624"/>
        <w:spacing w:after="0" w:line="238" w:lineRule="auto"/>
        <w:tabs>
          <w:tab w:leader="none" w:pos="84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615</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761 845 822</w:t>
      </w:r>
    </w:p>
    <w:p>
      <w:pPr>
        <w:ind w:left="60"/>
        <w:spacing w:after="0"/>
        <w:rPr>
          <w:sz w:val="20"/>
          <w:szCs w:val="20"/>
          <w:color w:val="auto"/>
        </w:rPr>
      </w:pPr>
      <w:r>
        <w:rPr>
          <w:rFonts w:ascii="Courier New" w:cs="Courier New" w:eastAsia="Courier New" w:hAnsi="Courier New"/>
          <w:sz w:val="18"/>
          <w:szCs w:val="18"/>
          <w:color w:val="auto"/>
        </w:rPr>
        <w:t>606 261 ----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40" w:hanging="529"/>
        <w:spacing w:after="0" w:line="238" w:lineRule="auto"/>
        <w:tabs>
          <w:tab w:leader="none" w:pos="6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60" w:right="8899" w:firstLine="105"/>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Earnings available for fixed charges $ 6 $ 82 $ 706 $1,166 $1,398 $ 837</w:t>
      </w:r>
    </w:p>
    <w:p>
      <w:pPr>
        <w:spacing w:after="0" w:line="181" w:lineRule="exact"/>
        <w:rPr>
          <w:rFonts w:ascii="Courier New" w:cs="Courier New" w:eastAsia="Courier New" w:hAnsi="Courier New"/>
          <w:sz w:val="18"/>
          <w:szCs w:val="18"/>
          <w:color w:val="auto"/>
        </w:rPr>
      </w:pP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0" w:gutter="0" w:footer="0" w:header="0"/>
        </w:sectPr>
      </w:pPr>
    </w:p>
    <w:bookmarkStart w:id="85" w:name="page86"/>
    <w:bookmarkEnd w:id="85"/>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Interest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expense $</w:t>
      </w:r>
    </w:p>
    <w:p>
      <w:pPr>
        <w:jc w:val="center"/>
        <w:ind w:right="8839"/>
        <w:spacing w:after="0" w:line="238" w:lineRule="auto"/>
        <w:rPr>
          <w:sz w:val="20"/>
          <w:szCs w:val="20"/>
          <w:color w:val="auto"/>
        </w:rPr>
      </w:pPr>
      <w:r>
        <w:rPr>
          <w:rFonts w:ascii="Courier New" w:cs="Courier New" w:eastAsia="Courier New" w:hAnsi="Courier New"/>
          <w:sz w:val="18"/>
          <w:szCs w:val="18"/>
          <w:color w:val="auto"/>
        </w:rPr>
        <w:t>556 $ 682 $</w:t>
      </w:r>
    </w:p>
    <w:p>
      <w:pPr>
        <w:jc w:val="center"/>
        <w:ind w:right="8839"/>
        <w:spacing w:after="0"/>
        <w:rPr>
          <w:sz w:val="20"/>
          <w:szCs w:val="20"/>
          <w:color w:val="auto"/>
        </w:rPr>
      </w:pPr>
      <w:r>
        <w:rPr>
          <w:rFonts w:ascii="Courier New" w:cs="Courier New" w:eastAsia="Courier New" w:hAnsi="Courier New"/>
          <w:sz w:val="18"/>
          <w:szCs w:val="18"/>
          <w:color w:val="auto"/>
        </w:rPr>
        <w:t>770 $ 748 $</w:t>
      </w:r>
    </w:p>
    <w:p>
      <w:pPr>
        <w:jc w:val="center"/>
        <w:ind w:right="8839"/>
        <w:spacing w:after="0" w:line="237" w:lineRule="auto"/>
        <w:rPr>
          <w:sz w:val="20"/>
          <w:szCs w:val="20"/>
          <w:color w:val="auto"/>
        </w:rPr>
      </w:pPr>
      <w:r>
        <w:rPr>
          <w:rFonts w:ascii="Courier New" w:cs="Courier New" w:eastAsia="Courier New" w:hAnsi="Courier New"/>
          <w:sz w:val="18"/>
          <w:szCs w:val="18"/>
          <w:color w:val="auto"/>
        </w:rPr>
        <w:t>541 $ 232</w:t>
      </w:r>
    </w:p>
    <w:p>
      <w:pPr>
        <w:ind w:left="120"/>
        <w:spacing w:after="0"/>
        <w:rPr>
          <w:sz w:val="20"/>
          <w:szCs w:val="20"/>
          <w:color w:val="auto"/>
        </w:rPr>
      </w:pPr>
      <w:r>
        <w:rPr>
          <w:rFonts w:ascii="Courier New" w:cs="Courier New" w:eastAsia="Courier New" w:hAnsi="Courier New"/>
          <w:sz w:val="18"/>
          <w:szCs w:val="18"/>
          <w:color w:val="auto"/>
        </w:rPr>
        <w:t>Capitalized</w:t>
      </w:r>
    </w:p>
    <w:p>
      <w:pPr>
        <w:ind w:left="120"/>
        <w:spacing w:after="0" w:line="237" w:lineRule="auto"/>
        <w:rPr>
          <w:sz w:val="20"/>
          <w:szCs w:val="20"/>
          <w:color w:val="auto"/>
        </w:rPr>
      </w:pPr>
      <w:r>
        <w:rPr>
          <w:rFonts w:ascii="Courier New" w:cs="Courier New" w:eastAsia="Courier New" w:hAnsi="Courier New"/>
          <w:sz w:val="18"/>
          <w:szCs w:val="18"/>
          <w:color w:val="auto"/>
        </w:rPr>
        <w:t>interest 51</w:t>
      </w:r>
    </w:p>
    <w:p>
      <w:pPr>
        <w:ind w:left="120"/>
        <w:spacing w:after="0"/>
        <w:rPr>
          <w:sz w:val="20"/>
          <w:szCs w:val="20"/>
          <w:color w:val="auto"/>
        </w:rPr>
      </w:pPr>
      <w:r>
        <w:rPr>
          <w:rFonts w:ascii="Courier New" w:cs="Courier New" w:eastAsia="Courier New" w:hAnsi="Courier New"/>
          <w:sz w:val="18"/>
          <w:szCs w:val="18"/>
          <w:color w:val="auto"/>
        </w:rPr>
        <w:t>42 34 22 16</w:t>
      </w:r>
    </w:p>
    <w:p>
      <w:pPr>
        <w:spacing w:after="0" w:line="3" w:lineRule="exact"/>
        <w:rPr>
          <w:sz w:val="20"/>
          <w:szCs w:val="20"/>
          <w:color w:val="auto"/>
        </w:rPr>
      </w:pPr>
    </w:p>
    <w:p>
      <w:pPr>
        <w:jc w:val="both"/>
        <w:ind w:left="120" w:right="8959" w:firstLine="43"/>
        <w:spacing w:after="0" w:line="268" w:lineRule="auto"/>
        <w:tabs>
          <w:tab w:leader="none" w:pos="383"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Implicit interest in rents 59 79 75 74 65 29</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260" w:hanging="202"/>
        <w:spacing w:after="0" w:line="238" w:lineRule="auto"/>
        <w:tabs>
          <w:tab w:leader="none" w:pos="2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Total</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666 $ 803 $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879 $ 844 $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622 $ 270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20" w:right="889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Ratio of earnings to fixed charges N/A(1) N/A(2) N/A(3) 1.4 2.2 3.1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8"/>
        <w:spacing w:after="0" w:line="237" w:lineRule="auto"/>
        <w:tabs>
          <w:tab w:leader="none" w:pos="421"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Inc. of its operating assets and investments.</w:t>
      </w:r>
    </w:p>
    <w:p>
      <w:pPr>
        <w:spacing w:after="0" w:line="212" w:lineRule="exact"/>
        <w:rPr>
          <w:rFonts w:ascii="Courier New" w:cs="Courier New" w:eastAsia="Courier New" w:hAnsi="Courier New"/>
          <w:sz w:val="18"/>
          <w:szCs w:val="18"/>
          <w:color w:val="auto"/>
        </w:rPr>
      </w:pPr>
    </w:p>
    <w:p>
      <w:pPr>
        <w:ind w:right="2199" w:firstLine="8"/>
        <w:spacing w:after="0" w:line="237" w:lineRule="auto"/>
        <w:tabs>
          <w:tab w:leader="none" w:pos="421"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Inc. and Waste Management Holdings, Inc. in July 1998, and Waste Management and Eastern Environmental Services, Inc. in December 1998.</w:t>
      </w:r>
    </w:p>
    <w:p>
      <w:pPr>
        <w:spacing w:after="0" w:line="211" w:lineRule="exact"/>
        <w:rPr>
          <w:rFonts w:ascii="Courier New" w:cs="Courier New" w:eastAsia="Courier New" w:hAnsi="Courier New"/>
          <w:sz w:val="18"/>
          <w:szCs w:val="18"/>
          <w:color w:val="auto"/>
        </w:rPr>
      </w:pPr>
    </w:p>
    <w:p>
      <w:pPr>
        <w:ind w:right="1779" w:firstLine="8"/>
        <w:spacing w:after="0" w:line="238" w:lineRule="auto"/>
        <w:tabs>
          <w:tab w:leader="none" w:pos="421"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1999. Additional earnings available for fixed charges of $173 million were needed to cover fixed charges for this period. The earnings available for fixed charges were negatively impacted by merger costs of $45 million primarily related to the merger between Waste Management, Inc. and Waste Management Holdings, Inc. during July 1998 and asset impairments and unusual items of $739 million primarily related to losses on businesses sold and held-for-sale adjustments for businesses to be sold and, to a lesser extent, asset impairments related to landfill sites and other operating assets due to abandonment and closures of facilities, denials and permits, regulatory problems and a more stringent criteria used by Waste Management, Inc. in determining the probability of landfill expansions.</w:t>
      </w:r>
    </w:p>
    <w:p>
      <w:pPr>
        <w:sectPr>
          <w:pgSz w:w="11900" w:h="16838" w:orient="portrait"/>
          <w:cols w:equalWidth="0" w:num="1">
            <w:col w:w="10219"/>
          </w:cols>
          <w:pgMar w:left="240" w:top="136" w:right="1440" w:bottom="1440" w:gutter="0" w:footer="0" w:header="0"/>
        </w:sectPr>
      </w:pPr>
    </w:p>
    <w:bookmarkStart w:id="86" w:name="page87"/>
    <w:bookmarkEnd w:id="86"/>
    <w:p>
      <w:pPr>
        <w:ind w:left="2540"/>
        <w:spacing w:after="0"/>
        <w:rPr>
          <w:sz w:val="20"/>
          <w:szCs w:val="20"/>
          <w:color w:val="auto"/>
        </w:rPr>
      </w:pPr>
      <w:r>
        <w:rPr>
          <w:rFonts w:ascii="Courier New" w:cs="Courier New" w:eastAsia="Courier New" w:hAnsi="Courier New"/>
          <w:sz w:val="18"/>
          <w:szCs w:val="18"/>
          <w:color w:val="auto"/>
        </w:rPr>
        <w:t>Filed Pursuant to Registration Statement No. 333-_____</w:t>
      </w:r>
    </w:p>
    <w:p>
      <w:pPr>
        <w:ind w:left="6960"/>
        <w:spacing w:after="0" w:line="238" w:lineRule="auto"/>
        <w:rPr>
          <w:sz w:val="20"/>
          <w:szCs w:val="20"/>
          <w:color w:val="auto"/>
        </w:rPr>
      </w:pPr>
      <w:r>
        <w:rPr>
          <w:rFonts w:ascii="Courier New" w:cs="Courier New" w:eastAsia="Courier New" w:hAnsi="Courier New"/>
          <w:sz w:val="18"/>
          <w:szCs w:val="18"/>
          <w:color w:val="auto"/>
        </w:rPr>
        <w:t>EXHIBIT 25.1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T-1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STATEMENT OF ELIGIBILITY</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TRUST INDENTURE ACT OF 1939 OF</w:t>
      </w:r>
    </w:p>
    <w:p>
      <w:pPr>
        <w:jc w:val="center"/>
        <w:ind w:right="1779"/>
        <w:spacing w:after="0"/>
        <w:rPr>
          <w:sz w:val="20"/>
          <w:szCs w:val="20"/>
          <w:color w:val="auto"/>
        </w:rPr>
      </w:pPr>
      <w:r>
        <w:rPr>
          <w:rFonts w:ascii="Courier New" w:cs="Courier New" w:eastAsia="Courier New" w:hAnsi="Courier New"/>
          <w:sz w:val="18"/>
          <w:szCs w:val="18"/>
          <w:color w:val="auto"/>
        </w:rPr>
        <w:t>A CORPORATION DESIGNATED TO ACT AS TRUSTEE</w:t>
      </w:r>
    </w:p>
    <w:p>
      <w:pPr>
        <w:ind w:left="2000"/>
        <w:spacing w:after="0" w:line="237" w:lineRule="auto"/>
        <w:rPr>
          <w:sz w:val="20"/>
          <w:szCs w:val="20"/>
          <w:color w:val="auto"/>
        </w:rPr>
      </w:pPr>
      <w:r>
        <w:rPr>
          <w:rFonts w:ascii="Courier New" w:cs="Courier New" w:eastAsia="Courier New" w:hAnsi="Courier New"/>
          <w:sz w:val="18"/>
          <w:szCs w:val="18"/>
          <w:color w:val="auto"/>
        </w:rPr>
        <w:t>-------------------------------------------</w:t>
      </w:r>
    </w:p>
    <w:p>
      <w:pPr>
        <w:jc w:val="center"/>
        <w:ind w:right="1679"/>
        <w:spacing w:after="0" w:line="238" w:lineRule="auto"/>
        <w:rPr>
          <w:sz w:val="20"/>
          <w:szCs w:val="20"/>
          <w:color w:val="auto"/>
        </w:rPr>
      </w:pPr>
      <w:r>
        <w:rPr>
          <w:rFonts w:ascii="Courier New" w:cs="Courier New" w:eastAsia="Courier New" w:hAnsi="Courier New"/>
          <w:sz w:val="18"/>
          <w:szCs w:val="18"/>
          <w:color w:val="auto"/>
        </w:rPr>
        <w:t>CHECK IF AN APPLICATION TO DETERMINE ELIGIBILITY OF</w:t>
      </w:r>
    </w:p>
    <w:p>
      <w:pPr>
        <w:jc w:val="center"/>
        <w:ind w:right="1679"/>
        <w:spacing w:after="0"/>
        <w:rPr>
          <w:sz w:val="20"/>
          <w:szCs w:val="20"/>
          <w:color w:val="auto"/>
        </w:rPr>
      </w:pPr>
      <w:r>
        <w:rPr>
          <w:rFonts w:ascii="Courier New" w:cs="Courier New" w:eastAsia="Courier New" w:hAnsi="Courier New"/>
          <w:sz w:val="18"/>
          <w:szCs w:val="18"/>
          <w:color w:val="auto"/>
        </w:rPr>
        <w:t>A TRUSTEE PURSUANT TO SECTION 305(b)(2)</w:t>
      </w:r>
    </w:p>
    <w:p>
      <w:pPr>
        <w:ind w:left="21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JPMORGAN CHASE BANK</w:t>
      </w:r>
    </w:p>
    <w:p>
      <w:pPr>
        <w:jc w:val="center"/>
        <w:ind w:right="1679"/>
        <w:spacing w:after="0" w:line="238" w:lineRule="auto"/>
        <w:rPr>
          <w:sz w:val="20"/>
          <w:szCs w:val="20"/>
          <w:color w:val="auto"/>
        </w:rPr>
      </w:pPr>
      <w:r>
        <w:rPr>
          <w:rFonts w:ascii="Courier New" w:cs="Courier New" w:eastAsia="Courier New" w:hAnsi="Courier New"/>
          <w:sz w:val="18"/>
          <w:szCs w:val="18"/>
          <w:color w:val="auto"/>
        </w:rPr>
        <w:t>(Exact name of trustee as specified in its charter)</w:t>
      </w:r>
    </w:p>
    <w:p>
      <w:pPr>
        <w:sectPr>
          <w:pgSz w:w="11900" w:h="16838" w:orient="portrait"/>
          <w:cols w:equalWidth="0" w:num="1">
            <w:col w:w="10219"/>
          </w:cols>
          <w:pgMar w:left="240" w:top="541" w:right="1440" w:bottom="1440" w:gutter="0" w:footer="0" w:header="0"/>
        </w:sectPr>
      </w:pP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(State of incorporation</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if not a national bank)</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13-4994650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0"/>
          <w:szCs w:val="20"/>
          <w:color w:val="auto"/>
        </w:rPr>
      </w:pPr>
    </w:p>
    <w:p>
      <w:pPr>
        <w:sectPr>
          <w:pgSz w:w="11900" w:h="16838" w:orient="portrait"/>
          <w:cols w:equalWidth="0" w:num="2">
            <w:col w:w="5720" w:space="720"/>
            <w:col w:w="3779"/>
          </w:cols>
          <w:pgMar w:left="240" w:top="541" w:right="1440" w:bottom="1440" w:gutter="0" w:footer="0" w:header="0"/>
          <w:type w:val="continuous"/>
        </w:sectPr>
      </w:pPr>
    </w:p>
    <w:p>
      <w:pPr>
        <w:spacing w:after="0" w:line="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270 PARK AVENUE</w:t>
      </w:r>
    </w:p>
    <w:p>
      <w:pPr>
        <w:ind w:left="1060"/>
        <w:spacing w:after="0" w:line="238" w:lineRule="auto"/>
        <w:rPr>
          <w:sz w:val="20"/>
          <w:szCs w:val="20"/>
          <w:color w:val="auto"/>
        </w:rPr>
      </w:pPr>
      <w:r>
        <w:rPr>
          <w:rFonts w:ascii="Courier New" w:cs="Courier New" w:eastAsia="Courier New" w:hAnsi="Courier New"/>
          <w:sz w:val="18"/>
          <w:szCs w:val="18"/>
          <w:color w:val="auto"/>
        </w:rPr>
        <w:t>NEW YORK, NEW YORK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10017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0"/>
          <w:szCs w:val="20"/>
          <w:color w:val="auto"/>
        </w:rPr>
      </w:pPr>
    </w:p>
    <w:p>
      <w:pPr>
        <w:sectPr>
          <w:pgSz w:w="11900" w:h="16838" w:orient="portrait"/>
          <w:cols w:equalWidth="0" w:num="2">
            <w:col w:w="6340" w:space="720"/>
            <w:col w:w="3159"/>
          </w:cols>
          <w:pgMar w:left="240" w:top="541" w:right="1440" w:bottom="1440" w:gutter="0" w:footer="0" w:header="0"/>
          <w:type w:val="continuous"/>
        </w:sectPr>
      </w:pPr>
    </w:p>
    <w:p>
      <w:pPr>
        <w:spacing w:after="0" w:line="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WILLIAM H. MCDAVID</w:t>
      </w:r>
    </w:p>
    <w:p>
      <w:pPr>
        <w:ind w:left="3480"/>
        <w:spacing w:after="0" w:line="238" w:lineRule="auto"/>
        <w:rPr>
          <w:sz w:val="20"/>
          <w:szCs w:val="20"/>
          <w:color w:val="auto"/>
        </w:rPr>
      </w:pPr>
      <w:r>
        <w:rPr>
          <w:rFonts w:ascii="Courier New" w:cs="Courier New" w:eastAsia="Courier New" w:hAnsi="Courier New"/>
          <w:sz w:val="18"/>
          <w:szCs w:val="18"/>
          <w:color w:val="auto"/>
        </w:rPr>
        <w:t>GENERAL COUNSEL</w:t>
      </w:r>
    </w:p>
    <w:p>
      <w:pPr>
        <w:ind w:left="3480"/>
        <w:spacing w:after="0"/>
        <w:rPr>
          <w:sz w:val="20"/>
          <w:szCs w:val="20"/>
          <w:color w:val="auto"/>
        </w:rPr>
      </w:pPr>
      <w:r>
        <w:rPr>
          <w:rFonts w:ascii="Courier New" w:cs="Courier New" w:eastAsia="Courier New" w:hAnsi="Courier New"/>
          <w:sz w:val="18"/>
          <w:szCs w:val="18"/>
          <w:color w:val="auto"/>
        </w:rPr>
        <w:t>270 PARK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10017</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TELEPHONE: (212) 270-2611</w:t>
      </w:r>
    </w:p>
    <w:p>
      <w:pPr>
        <w:sectPr>
          <w:pgSz w:w="11900" w:h="16838" w:orient="portrait"/>
          <w:cols w:equalWidth="0" w:num="1">
            <w:col w:w="10219"/>
          </w:cols>
          <w:pgMar w:left="240" w:top="541" w:right="1440" w:bottom="1440" w:gutter="0" w:footer="0" w:header="0"/>
          <w:type w:val="continuous"/>
        </w:sectPr>
      </w:pP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(Exact name of obligor as specified in its charter)</w:t>
      </w:r>
    </w:p>
    <w:p>
      <w:pPr>
        <w:spacing w:after="0" w:line="202" w:lineRule="exact"/>
        <w:rPr>
          <w:sz w:val="20"/>
          <w:szCs w:val="20"/>
          <w:color w:val="auto"/>
        </w:rPr>
      </w:pPr>
    </w:p>
    <w:p>
      <w:pPr>
        <w:ind w:left="1160"/>
        <w:spacing w:after="0"/>
        <w:tabs>
          <w:tab w:leader="none" w:pos="662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6"/>
          <w:szCs w:val="16"/>
          <w:color w:val="auto"/>
        </w:rPr>
        <w:t>73-1309529</w:t>
      </w:r>
    </w:p>
    <w:p>
      <w:pPr>
        <w:spacing w:after="0"/>
        <w:tabs>
          <w:tab w:leader="none" w:pos="630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w:t>
      </w:r>
    </w:p>
    <w:p>
      <w:pPr>
        <w:spacing w:after="0"/>
        <w:tabs>
          <w:tab w:leader="none" w:pos="6100" w:val="left"/>
        </w:tabs>
        <w:rPr>
          <w:sz w:val="20"/>
          <w:szCs w:val="20"/>
          <w:color w:val="auto"/>
        </w:rPr>
      </w:pPr>
      <w:r>
        <w:rPr>
          <w:rFonts w:ascii="Courier New" w:cs="Courier New" w:eastAsia="Courier New" w:hAnsi="Courier New"/>
          <w:sz w:val="18"/>
          <w:szCs w:val="18"/>
          <w:color w:val="auto"/>
        </w:rPr>
        <w:t>incorporation or organization)</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1001 FANNIN STREET, SUITE 4000</w:t>
      </w:r>
    </w:p>
    <w:p>
      <w:pPr>
        <w:ind w:left="1580"/>
        <w:spacing w:after="0"/>
        <w:tabs>
          <w:tab w:leader="none" w:pos="684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77002</w:t>
      </w:r>
    </w:p>
    <w:p>
      <w:pPr>
        <w:spacing w:after="0"/>
        <w:tabs>
          <w:tab w:leader="none" w:pos="66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3060"/>
        <w:spacing w:after="0" w:line="238" w:lineRule="auto"/>
        <w:rPr>
          <w:sz w:val="20"/>
          <w:szCs w:val="20"/>
          <w:color w:val="auto"/>
        </w:rPr>
      </w:pPr>
      <w:r>
        <w:rPr>
          <w:rFonts w:ascii="Courier New" w:cs="Courier New" w:eastAsia="Courier New" w:hAnsi="Courier New"/>
          <w:sz w:val="18"/>
          <w:szCs w:val="18"/>
          <w:color w:val="auto"/>
        </w:rPr>
        <w:t>SENIOR DEBT SECURITIES</w:t>
      </w:r>
    </w:p>
    <w:p>
      <w:pPr>
        <w:ind w:left="15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1440" w:gutter="0" w:footer="0" w:header="0"/>
          <w:type w:val="continuous"/>
        </w:sectPr>
      </w:pPr>
    </w:p>
    <w:bookmarkStart w:id="87" w:name="page88"/>
    <w:bookmarkEnd w:id="87"/>
    <w:p>
      <w:pPr>
        <w:ind w:left="2540"/>
        <w:spacing w:after="0"/>
        <w:rPr>
          <w:sz w:val="20"/>
          <w:szCs w:val="20"/>
          <w:color w:val="auto"/>
        </w:rPr>
      </w:pPr>
      <w:r>
        <w:rPr>
          <w:rFonts w:ascii="Courier New" w:cs="Courier New" w:eastAsia="Courier New" w:hAnsi="Courier New"/>
          <w:sz w:val="18"/>
          <w:szCs w:val="18"/>
          <w:color w:val="auto"/>
        </w:rPr>
        <w:t>Filed Pursuant to Registration Statement No. 333-_____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GENERAL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FURNISH THE FOLLOWING INFORMATION AS TO THE TRUSTEE:</w:t>
      </w:r>
    </w:p>
    <w:p>
      <w:pPr>
        <w:spacing w:after="0" w:line="207" w:lineRule="exact"/>
        <w:rPr>
          <w:sz w:val="20"/>
          <w:szCs w:val="20"/>
          <w:color w:val="auto"/>
        </w:rPr>
      </w:pPr>
    </w:p>
    <w:p>
      <w:pPr>
        <w:ind w:right="2319" w:firstLine="956"/>
        <w:spacing w:after="0" w:line="235" w:lineRule="auto"/>
        <w:tabs>
          <w:tab w:leader="none" w:pos="136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EACH EXAMINING OR SUPERVISING AUTHORITY TO WHICH IT IS SUBJECT.</w:t>
      </w:r>
    </w:p>
    <w:p>
      <w:pPr>
        <w:spacing w:after="0" w:line="208" w:lineRule="exact"/>
        <w:rPr>
          <w:sz w:val="20"/>
          <w:szCs w:val="20"/>
          <w:color w:val="auto"/>
        </w:rPr>
      </w:pPr>
    </w:p>
    <w:p>
      <w:pPr>
        <w:ind w:left="1380" w:right="2099"/>
        <w:spacing w:after="0" w:line="235" w:lineRule="auto"/>
        <w:rPr>
          <w:sz w:val="20"/>
          <w:szCs w:val="20"/>
          <w:color w:val="auto"/>
        </w:rPr>
      </w:pPr>
      <w:r>
        <w:rPr>
          <w:rFonts w:ascii="Courier New" w:cs="Courier New" w:eastAsia="Courier New" w:hAnsi="Courier New"/>
          <w:sz w:val="18"/>
          <w:szCs w:val="18"/>
          <w:color w:val="auto"/>
        </w:rPr>
        <w:t>New York State Banking Department, State House, Albany, New York 12110.</w:t>
      </w:r>
    </w:p>
    <w:p>
      <w:pPr>
        <w:spacing w:after="0" w:line="208" w:lineRule="exact"/>
        <w:rPr>
          <w:sz w:val="20"/>
          <w:szCs w:val="20"/>
          <w:color w:val="auto"/>
        </w:rPr>
      </w:pPr>
    </w:p>
    <w:p>
      <w:pPr>
        <w:ind w:left="1380" w:right="1779"/>
        <w:spacing w:after="0" w:line="235" w:lineRule="auto"/>
        <w:rPr>
          <w:sz w:val="20"/>
          <w:szCs w:val="20"/>
          <w:color w:val="auto"/>
        </w:rPr>
      </w:pPr>
      <w:r>
        <w:rPr>
          <w:rFonts w:ascii="Courier New" w:cs="Courier New" w:eastAsia="Courier New" w:hAnsi="Courier New"/>
          <w:sz w:val="18"/>
          <w:szCs w:val="18"/>
          <w:color w:val="auto"/>
        </w:rPr>
        <w:t>Board of Governors of the Federal Reserve System, Washington, D.C., 20551.</w:t>
      </w:r>
    </w:p>
    <w:p>
      <w:pPr>
        <w:spacing w:after="0" w:line="208" w:lineRule="exact"/>
        <w:rPr>
          <w:sz w:val="20"/>
          <w:szCs w:val="20"/>
          <w:color w:val="auto"/>
        </w:rPr>
      </w:pPr>
    </w:p>
    <w:p>
      <w:pPr>
        <w:ind w:left="1380" w:right="2519"/>
        <w:spacing w:after="0" w:line="235" w:lineRule="auto"/>
        <w:rPr>
          <w:sz w:val="20"/>
          <w:szCs w:val="20"/>
          <w:color w:val="auto"/>
        </w:rPr>
      </w:pPr>
      <w:r>
        <w:rPr>
          <w:rFonts w:ascii="Courier New" w:cs="Courier New" w:eastAsia="Courier New" w:hAnsi="Courier New"/>
          <w:sz w:val="18"/>
          <w:szCs w:val="18"/>
          <w:color w:val="auto"/>
        </w:rPr>
        <w:t>Federal Reserve Bank of New York, District No. 2, 33 Liberty Street, New York, 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Federal Deposit Insurance Corporation, Washington, D.C., 20429.</w:t>
      </w:r>
    </w:p>
    <w:p>
      <w:pPr>
        <w:spacing w:after="0" w:line="207" w:lineRule="exact"/>
        <w:rPr>
          <w:sz w:val="20"/>
          <w:szCs w:val="20"/>
          <w:color w:val="auto"/>
        </w:rPr>
      </w:pPr>
    </w:p>
    <w:p>
      <w:pPr>
        <w:ind w:left="1380" w:right="2519" w:hanging="424"/>
        <w:spacing w:after="0" w:line="470" w:lineRule="auto"/>
        <w:tabs>
          <w:tab w:leader="none" w:pos="138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IT IS AUTHORIZED TO EXERCISE CORPORATE TRUST POWERS. Yes.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AFFILIATIONS WITH THE OBLIGOR AND GUARANTORS.</w:t>
      </w:r>
    </w:p>
    <w:p>
      <w:pPr>
        <w:spacing w:after="0" w:line="207"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IF THE OBLIGOR OR ANY GUARANTOR IS AN AFFILIATE OF THE TRUSTEE, DESCRIBE EACH SUCH AFFILIATION.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ITEMS 3 THROUGH 15, INCLUSIVE, ARE NOT APPLICABLE BY VIRTUE OF T-1 GENERAL INSTRUCTION 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LIST OF EXHIBITS</w:t>
      </w:r>
    </w:p>
    <w:p>
      <w:pPr>
        <w:spacing w:after="0" w:line="207" w:lineRule="exact"/>
        <w:rPr>
          <w:sz w:val="20"/>
          <w:szCs w:val="20"/>
          <w:color w:val="auto"/>
        </w:rPr>
      </w:pPr>
    </w:p>
    <w:p>
      <w:pPr>
        <w:ind w:right="2939" w:firstLine="948"/>
        <w:spacing w:after="0" w:line="235" w:lineRule="auto"/>
        <w:rPr>
          <w:sz w:val="20"/>
          <w:szCs w:val="20"/>
          <w:color w:val="auto"/>
        </w:rPr>
      </w:pPr>
      <w:r>
        <w:rPr>
          <w:rFonts w:ascii="Courier New" w:cs="Courier New" w:eastAsia="Courier New" w:hAnsi="Courier New"/>
          <w:sz w:val="18"/>
          <w:szCs w:val="18"/>
          <w:color w:val="auto"/>
        </w:rPr>
        <w:t>LIST BELOW ALL EXHIBITS FILED AS A PART OF THIS STATEMENT OF ELIGIBILITY.</w:t>
      </w:r>
    </w:p>
    <w:p>
      <w:pPr>
        <w:spacing w:after="0" w:line="208" w:lineRule="exact"/>
        <w:rPr>
          <w:sz w:val="20"/>
          <w:szCs w:val="20"/>
          <w:color w:val="auto"/>
        </w:rPr>
      </w:pPr>
    </w:p>
    <w:p>
      <w:pPr>
        <w:ind w:right="1779" w:firstLine="956"/>
        <w:spacing w:after="0" w:line="236" w:lineRule="auto"/>
        <w:tabs>
          <w:tab w:leader="none" w:pos="1264"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Restated Organization Certificate of the Trustee dated March 25, 1997 and the Certificate of Amendment dated October 22, 2001 (see Exhibit 1 to Form T-1 filed in connection with Registration Statement No.</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333-76894, which is incorporated by reference.)</w:t>
      </w:r>
    </w:p>
    <w:p>
      <w:pPr>
        <w:spacing w:after="0" w:line="207" w:lineRule="exact"/>
        <w:rPr>
          <w:rFonts w:ascii="Courier New" w:cs="Courier New" w:eastAsia="Courier New" w:hAnsi="Courier New"/>
          <w:sz w:val="18"/>
          <w:szCs w:val="18"/>
          <w:color w:val="auto"/>
        </w:rPr>
      </w:pPr>
    </w:p>
    <w:p>
      <w:pPr>
        <w:ind w:right="2099" w:firstLine="956"/>
        <w:spacing w:after="0" w:line="236" w:lineRule="auto"/>
        <w:tabs>
          <w:tab w:leader="none" w:pos="1264"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Certificate of Authority of the Trustee to Commence Business (see Exhibit 2 to Form T-1 filed in connection with Registration Statement No. 33-50010, which is</w:t>
      </w:r>
    </w:p>
    <w:p>
      <w:pPr>
        <w:sectPr>
          <w:pgSz w:w="11900" w:h="16838" w:orient="portrait"/>
          <w:cols w:equalWidth="0" w:num="1">
            <w:col w:w="10219"/>
          </w:cols>
          <w:pgMar w:left="240" w:top="514" w:right="1440" w:bottom="1440" w:gutter="0" w:footer="0" w:header="0"/>
        </w:sectPr>
      </w:pPr>
    </w:p>
    <w:bookmarkStart w:id="88" w:name="page89"/>
    <w:bookmarkEnd w:id="88"/>
    <w:p>
      <w:pPr>
        <w:ind w:left="2540"/>
        <w:spacing w:after="0"/>
        <w:rPr>
          <w:sz w:val="20"/>
          <w:szCs w:val="20"/>
          <w:color w:val="auto"/>
        </w:rPr>
      </w:pPr>
      <w:r>
        <w:rPr>
          <w:rFonts w:ascii="Courier New" w:cs="Courier New" w:eastAsia="Courier New" w:hAnsi="Courier New"/>
          <w:sz w:val="18"/>
          <w:szCs w:val="18"/>
          <w:color w:val="auto"/>
        </w:rPr>
        <w:t>Filed Pursuant to Registration Statement No. 333-_____</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incorporated by reference). On November 11, 2001, in connection with the merger of The Chase Manhattan Bank and Morgan Guaranty Trust Company of New York, the surviving corporation was renamed JPMorgan Chase Bank.</w:t>
      </w:r>
    </w:p>
    <w:p>
      <w:pPr>
        <w:spacing w:after="0" w:line="209" w:lineRule="exact"/>
        <w:rPr>
          <w:sz w:val="20"/>
          <w:szCs w:val="20"/>
          <w:color w:val="auto"/>
        </w:rPr>
      </w:pPr>
    </w:p>
    <w:p>
      <w:pPr>
        <w:ind w:right="2619" w:firstLine="956"/>
        <w:spacing w:after="0" w:line="235" w:lineRule="auto"/>
        <w:tabs>
          <w:tab w:leader="none" w:pos="1264"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authorization to exercise corporate trust powers being contained in the documents identified above as Exhibits 1 and 2.</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264"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existing By-Laws of the Trustee (see Exhibit 4 to Form T-1 filed in connection with Registration Statement No. 333-76894, which is incorporated by reference.)</w:t>
      </w:r>
    </w:p>
    <w:p>
      <w:pPr>
        <w:spacing w:after="0" w:line="203"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right="1779" w:firstLine="956"/>
        <w:spacing w:after="0" w:line="273" w:lineRule="auto"/>
        <w:tabs>
          <w:tab w:leader="none" w:pos="126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consent of the Trustee required by Section 321(b) of the Act (see Exhibit 6 to Form T-1 filed in connection with Registration Statement No. 33-50010, which is incorporated by reference). On November 11, 2001, in connection with the merger of The Chase Manhattan Bank and Morgan Guaranty Trust Company of New York, the surviving corporation was renamed JPMorgan Chase Bank.</w:t>
      </w:r>
    </w:p>
    <w:p>
      <w:pPr>
        <w:spacing w:after="0" w:line="184" w:lineRule="exact"/>
        <w:rPr>
          <w:rFonts w:ascii="Courier New" w:cs="Courier New" w:eastAsia="Courier New" w:hAnsi="Courier New"/>
          <w:sz w:val="16"/>
          <w:szCs w:val="16"/>
          <w:color w:val="auto"/>
        </w:rPr>
      </w:pPr>
    </w:p>
    <w:p>
      <w:pPr>
        <w:jc w:val="both"/>
        <w:ind w:right="1999" w:firstLine="956"/>
        <w:spacing w:after="0" w:line="290" w:lineRule="auto"/>
        <w:tabs>
          <w:tab w:leader="none" w:pos="126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latest report of condition of the Trustee, published pursuant to law or the requirements of its supervising or examining authority.</w:t>
      </w:r>
    </w:p>
    <w:p>
      <w:pPr>
        <w:spacing w:after="0" w:line="164" w:lineRule="exact"/>
        <w:rPr>
          <w:rFonts w:ascii="Courier New" w:cs="Courier New" w:eastAsia="Courier New" w:hAnsi="Courier New"/>
          <w:sz w:val="16"/>
          <w:szCs w:val="16"/>
          <w:color w:val="auto"/>
        </w:rPr>
      </w:pPr>
    </w:p>
    <w:p>
      <w:pPr>
        <w:ind w:left="1280" w:hanging="324"/>
        <w:spacing w:after="0"/>
        <w:tabs>
          <w:tab w:leader="none" w:pos="12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Trust Indenture Act of 1939 the Trustee, JPMorgan Chase Bank, a corporation organized and existing under the laws of the State of New York, has duly caused this statement of eligibility to be signed on its behalf by the undersigned, thereunto duly authorized, all in the City of Houston and State of Texas, on the 1st day of August, 2002.</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JPMORGAN CHASE BANK</w:t>
      </w:r>
    </w:p>
    <w:p>
      <w:pPr>
        <w:spacing w:after="0" w:line="201"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Rebecca A. Newman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5280"/>
        <w:spacing w:after="0"/>
        <w:rPr>
          <w:sz w:val="20"/>
          <w:szCs w:val="20"/>
          <w:color w:val="auto"/>
        </w:rPr>
      </w:pPr>
      <w:r>
        <w:rPr>
          <w:rFonts w:ascii="Courier New" w:cs="Courier New" w:eastAsia="Courier New" w:hAnsi="Courier New"/>
          <w:sz w:val="18"/>
          <w:szCs w:val="18"/>
          <w:color w:val="auto"/>
        </w:rPr>
        <w:t>Rebecca A. Newman</w:t>
      </w:r>
    </w:p>
    <w:p>
      <w:pPr>
        <w:ind w:left="4860"/>
        <w:spacing w:after="0" w:line="237" w:lineRule="auto"/>
        <w:rPr>
          <w:sz w:val="20"/>
          <w:szCs w:val="20"/>
          <w:color w:val="auto"/>
        </w:rPr>
      </w:pPr>
      <w:r>
        <w:rPr>
          <w:rFonts w:ascii="Courier New" w:cs="Courier New" w:eastAsia="Courier New" w:hAnsi="Courier New"/>
          <w:sz w:val="18"/>
          <w:szCs w:val="18"/>
          <w:color w:val="auto"/>
        </w:rPr>
        <w:t>Vice President and Trust Officer</w:t>
      </w:r>
    </w:p>
    <w:p>
      <w:pPr>
        <w:sectPr>
          <w:pgSz w:w="11900" w:h="16838" w:orient="portrait"/>
          <w:cols w:equalWidth="0" w:num="1">
            <w:col w:w="10219"/>
          </w:cols>
          <w:pgMar w:left="240" w:top="514" w:right="1440" w:bottom="1440" w:gutter="0" w:footer="0" w:header="0"/>
        </w:sectPr>
      </w:pPr>
    </w:p>
    <w:bookmarkStart w:id="89" w:name="page90"/>
    <w:bookmarkEnd w:id="89"/>
    <w:p>
      <w:pPr>
        <w:ind w:left="3160"/>
        <w:spacing w:after="0"/>
        <w:rPr>
          <w:sz w:val="20"/>
          <w:szCs w:val="20"/>
          <w:color w:val="auto"/>
        </w:rPr>
      </w:pPr>
      <w:r>
        <w:rPr>
          <w:rFonts w:ascii="Courier New" w:cs="Courier New" w:eastAsia="Courier New" w:hAnsi="Courier New"/>
          <w:sz w:val="18"/>
          <w:szCs w:val="18"/>
          <w:color w:val="auto"/>
        </w:rPr>
        <w:t>Exhibit 7 to Form T-1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Bank Call Notice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RESERVE DISTRICT NO. 2</w:t>
      </w:r>
    </w:p>
    <w:p>
      <w:pPr>
        <w:ind w:left="2440"/>
        <w:spacing w:after="0" w:line="238" w:lineRule="auto"/>
        <w:rPr>
          <w:sz w:val="20"/>
          <w:szCs w:val="20"/>
          <w:color w:val="auto"/>
        </w:rPr>
      </w:pPr>
      <w:r>
        <w:rPr>
          <w:rFonts w:ascii="Courier New" w:cs="Courier New" w:eastAsia="Courier New" w:hAnsi="Courier New"/>
          <w:sz w:val="18"/>
          <w:szCs w:val="18"/>
          <w:color w:val="auto"/>
        </w:rPr>
        <w:t>CONSOLIDATED REPORT OF CONDITION OF</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JPMorgan Chase Bank</w:t>
      </w:r>
    </w:p>
    <w:p>
      <w:pPr>
        <w:ind w:left="1900"/>
        <w:spacing w:after="0" w:line="238" w:lineRule="auto"/>
        <w:rPr>
          <w:sz w:val="20"/>
          <w:szCs w:val="20"/>
          <w:color w:val="auto"/>
        </w:rPr>
      </w:pPr>
      <w:r>
        <w:rPr>
          <w:rFonts w:ascii="Courier New" w:cs="Courier New" w:eastAsia="Courier New" w:hAnsi="Courier New"/>
          <w:sz w:val="18"/>
          <w:szCs w:val="18"/>
          <w:color w:val="auto"/>
        </w:rPr>
        <w:t>of 270 Park Avenue, New York, New York 10017</w:t>
      </w:r>
    </w:p>
    <w:p>
      <w:pPr>
        <w:ind w:left="2220"/>
        <w:spacing w:after="0"/>
        <w:rPr>
          <w:sz w:val="20"/>
          <w:szCs w:val="20"/>
          <w:color w:val="auto"/>
        </w:rPr>
      </w:pPr>
      <w:r>
        <w:rPr>
          <w:rFonts w:ascii="Courier New" w:cs="Courier New" w:eastAsia="Courier New" w:hAnsi="Courier New"/>
          <w:sz w:val="18"/>
          <w:szCs w:val="18"/>
          <w:color w:val="auto"/>
        </w:rPr>
        <w:t>and Foreign and Domestic Subsidiaries,</w:t>
      </w:r>
    </w:p>
    <w:p>
      <w:pPr>
        <w:ind w:left="2220"/>
        <w:spacing w:after="0" w:line="237" w:lineRule="auto"/>
        <w:rPr>
          <w:sz w:val="20"/>
          <w:szCs w:val="20"/>
          <w:color w:val="auto"/>
        </w:rPr>
      </w:pPr>
      <w:r>
        <w:rPr>
          <w:rFonts w:ascii="Courier New" w:cs="Courier New" w:eastAsia="Courier New" w:hAnsi="Courier New"/>
          <w:sz w:val="18"/>
          <w:szCs w:val="18"/>
          <w:color w:val="auto"/>
        </w:rPr>
        <w:t>a member of the Federal Reserve System,</w:t>
      </w:r>
    </w:p>
    <w:p>
      <w:pPr>
        <w:ind w:left="2000"/>
        <w:spacing w:after="0" w:line="238" w:lineRule="auto"/>
        <w:rPr>
          <w:sz w:val="20"/>
          <w:szCs w:val="20"/>
          <w:color w:val="auto"/>
        </w:rPr>
      </w:pPr>
      <w:r>
        <w:rPr>
          <w:rFonts w:ascii="Courier New" w:cs="Courier New" w:eastAsia="Courier New" w:hAnsi="Courier New"/>
          <w:sz w:val="18"/>
          <w:szCs w:val="18"/>
          <w:color w:val="auto"/>
        </w:rPr>
        <w:t>at the close of business March 31, 2002, in</w:t>
      </w:r>
    </w:p>
    <w:p>
      <w:pPr>
        <w:ind w:left="860"/>
        <w:spacing w:after="0"/>
        <w:rPr>
          <w:sz w:val="20"/>
          <w:szCs w:val="20"/>
          <w:color w:val="auto"/>
        </w:rPr>
      </w:pPr>
      <w:r>
        <w:rPr>
          <w:rFonts w:ascii="Courier New" w:cs="Courier New" w:eastAsia="Courier New" w:hAnsi="Courier New"/>
          <w:sz w:val="18"/>
          <w:szCs w:val="18"/>
          <w:color w:val="auto"/>
        </w:rPr>
        <w:t>accordance with a call made by the Federal Reserve Bank of this</w:t>
      </w:r>
    </w:p>
    <w:p>
      <w:pPr>
        <w:ind w:left="860"/>
        <w:spacing w:after="0" w:line="237" w:lineRule="auto"/>
        <w:rPr>
          <w:sz w:val="20"/>
          <w:szCs w:val="20"/>
          <w:color w:val="auto"/>
        </w:rPr>
      </w:pPr>
      <w:r>
        <w:rPr>
          <w:rFonts w:ascii="Courier New" w:cs="Courier New" w:eastAsia="Courier New" w:hAnsi="Courier New"/>
          <w:sz w:val="18"/>
          <w:szCs w:val="18"/>
          <w:color w:val="auto"/>
        </w:rPr>
        <w:t>District pursuant to the provisions of the Federal Reserve 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DOLLAR AMOUNTS</w:t>
      </w:r>
    </w:p>
    <w:p>
      <w:pPr>
        <w:ind w:left="2220"/>
        <w:spacing w:after="0"/>
        <w:tabs>
          <w:tab w:leader="none" w:pos="6620" w:val="left"/>
        </w:tabs>
        <w:rPr>
          <w:sz w:val="20"/>
          <w:szCs w:val="20"/>
          <w:color w:val="auto"/>
        </w:rPr>
      </w:pPr>
      <w:r>
        <w:rPr>
          <w:rFonts w:ascii="Courier New" w:cs="Courier New" w:eastAsia="Courier New" w:hAnsi="Courier New"/>
          <w:sz w:val="18"/>
          <w:szCs w:val="18"/>
          <w:color w:val="auto"/>
        </w:rPr>
        <w:t>ASSETS</w:t>
      </w:r>
      <w:r>
        <w:rPr>
          <w:sz w:val="20"/>
          <w:szCs w:val="20"/>
          <w:color w:val="auto"/>
        </w:rPr>
        <w:tab/>
      </w:r>
      <w:r>
        <w:rPr>
          <w:rFonts w:ascii="Courier New" w:cs="Courier New" w:eastAsia="Courier New" w:hAnsi="Courier New"/>
          <w:sz w:val="16"/>
          <w:szCs w:val="16"/>
          <w:color w:val="auto"/>
        </w:rPr>
        <w:t>IN MILLIONS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balances due from depository institutions:</w:t>
      </w:r>
    </w:p>
    <w:p>
      <w:pPr>
        <w:ind w:left="420"/>
        <w:spacing w:after="0" w:line="238" w:lineRule="auto"/>
        <w:rPr>
          <w:sz w:val="20"/>
          <w:szCs w:val="20"/>
          <w:color w:val="auto"/>
        </w:rPr>
      </w:pPr>
      <w:r>
        <w:rPr>
          <w:rFonts w:ascii="Courier New" w:cs="Courier New" w:eastAsia="Courier New" w:hAnsi="Courier New"/>
          <w:sz w:val="18"/>
          <w:szCs w:val="18"/>
          <w:color w:val="auto"/>
        </w:rPr>
        <w:t>Noninterest-bearing balances and</w:t>
      </w:r>
    </w:p>
    <w:p>
      <w:pPr>
        <w:ind w:left="540"/>
        <w:spacing w:after="0"/>
        <w:tabs>
          <w:tab w:leader="dot" w:pos="6840" w:val="left"/>
        </w:tabs>
        <w:rPr>
          <w:sz w:val="20"/>
          <w:szCs w:val="20"/>
          <w:color w:val="auto"/>
        </w:rPr>
      </w:pPr>
      <w:r>
        <w:rPr>
          <w:rFonts w:ascii="Courier New" w:cs="Courier New" w:eastAsia="Courier New" w:hAnsi="Courier New"/>
          <w:sz w:val="18"/>
          <w:szCs w:val="18"/>
          <w:color w:val="auto"/>
        </w:rPr>
        <w:t>currency and coin</w:t>
      </w:r>
      <w:r>
        <w:rPr>
          <w:sz w:val="20"/>
          <w:szCs w:val="20"/>
          <w:color w:val="auto"/>
        </w:rPr>
        <w:tab/>
      </w:r>
      <w:r>
        <w:rPr>
          <w:rFonts w:ascii="Courier New" w:cs="Courier New" w:eastAsia="Courier New" w:hAnsi="Courier New"/>
          <w:sz w:val="16"/>
          <w:szCs w:val="16"/>
          <w:color w:val="auto"/>
        </w:rPr>
        <w:t>$ 22,028</w:t>
      </w:r>
    </w:p>
    <w:p>
      <w:pPr>
        <w:ind w:left="420"/>
        <w:spacing w:after="0"/>
        <w:tabs>
          <w:tab w:leader="dot" w:pos="7160" w:val="left"/>
        </w:tabs>
        <w:rPr>
          <w:sz w:val="20"/>
          <w:szCs w:val="20"/>
          <w:color w:val="auto"/>
        </w:rPr>
      </w:pPr>
      <w:r>
        <w:rPr>
          <w:rFonts w:ascii="Courier New" w:cs="Courier New" w:eastAsia="Courier New" w:hAnsi="Courier New"/>
          <w:sz w:val="18"/>
          <w:szCs w:val="18"/>
          <w:color w:val="auto"/>
        </w:rPr>
        <w:t>Interest-bearing balances</w:t>
      </w:r>
      <w:r>
        <w:rPr>
          <w:sz w:val="20"/>
          <w:szCs w:val="20"/>
          <w:color w:val="auto"/>
        </w:rPr>
        <w:tab/>
      </w:r>
      <w:r>
        <w:rPr>
          <w:rFonts w:ascii="Courier New" w:cs="Courier New" w:eastAsia="Courier New" w:hAnsi="Courier New"/>
          <w:sz w:val="16"/>
          <w:szCs w:val="16"/>
          <w:color w:val="auto"/>
        </w:rPr>
        <w:t>9,189</w:t>
      </w:r>
    </w:p>
    <w:p>
      <w:pPr>
        <w:spacing w:after="0" w:line="238" w:lineRule="auto"/>
        <w:rPr>
          <w:sz w:val="20"/>
          <w:szCs w:val="20"/>
          <w:color w:val="auto"/>
        </w:rPr>
      </w:pPr>
      <w:r>
        <w:rPr>
          <w:rFonts w:ascii="Courier New" w:cs="Courier New" w:eastAsia="Courier New" w:hAnsi="Courier New"/>
          <w:sz w:val="18"/>
          <w:szCs w:val="18"/>
          <w:color w:val="auto"/>
        </w:rPr>
        <w:t>Securities:</w:t>
      </w:r>
    </w:p>
    <w:p>
      <w:pPr>
        <w:spacing w:after="0"/>
        <w:tabs>
          <w:tab w:leader="dot" w:pos="7360" w:val="left"/>
        </w:tabs>
        <w:rPr>
          <w:sz w:val="20"/>
          <w:szCs w:val="20"/>
          <w:color w:val="auto"/>
        </w:rPr>
      </w:pPr>
      <w:r>
        <w:rPr>
          <w:rFonts w:ascii="Courier New" w:cs="Courier New" w:eastAsia="Courier New" w:hAnsi="Courier New"/>
          <w:sz w:val="18"/>
          <w:szCs w:val="18"/>
          <w:color w:val="auto"/>
        </w:rPr>
        <w:t>Held to maturity securities</w:t>
      </w:r>
      <w:r>
        <w:rPr>
          <w:sz w:val="20"/>
          <w:szCs w:val="20"/>
          <w:color w:val="auto"/>
        </w:rPr>
        <w:tab/>
      </w:r>
      <w:r>
        <w:rPr>
          <w:rFonts w:ascii="Courier New" w:cs="Courier New" w:eastAsia="Courier New" w:hAnsi="Courier New"/>
          <w:sz w:val="16"/>
          <w:szCs w:val="16"/>
          <w:color w:val="auto"/>
        </w:rPr>
        <w:t>428</w:t>
      </w:r>
    </w:p>
    <w:p>
      <w:pPr>
        <w:spacing w:after="0"/>
        <w:tabs>
          <w:tab w:leader="dot" w:pos="7040" w:val="left"/>
        </w:tabs>
        <w:rPr>
          <w:sz w:val="20"/>
          <w:szCs w:val="20"/>
          <w:color w:val="auto"/>
        </w:rPr>
      </w:pPr>
      <w:r>
        <w:rPr>
          <w:rFonts w:ascii="Courier New" w:cs="Courier New" w:eastAsia="Courier New" w:hAnsi="Courier New"/>
          <w:sz w:val="18"/>
          <w:szCs w:val="18"/>
          <w:color w:val="auto"/>
        </w:rPr>
        <w:t>Available for sale securities</w:t>
      </w:r>
      <w:r>
        <w:rPr>
          <w:sz w:val="20"/>
          <w:szCs w:val="20"/>
          <w:color w:val="auto"/>
        </w:rPr>
        <w:tab/>
      </w:r>
      <w:r>
        <w:rPr>
          <w:rFonts w:ascii="Courier New" w:cs="Courier New" w:eastAsia="Courier New" w:hAnsi="Courier New"/>
          <w:sz w:val="16"/>
          <w:szCs w:val="16"/>
          <w:color w:val="auto"/>
        </w:rPr>
        <w:t>56,159</w:t>
      </w:r>
    </w:p>
    <w:p>
      <w:pPr>
        <w:spacing w:after="0"/>
        <w:rPr>
          <w:sz w:val="20"/>
          <w:szCs w:val="20"/>
          <w:color w:val="auto"/>
        </w:rPr>
      </w:pPr>
      <w:r>
        <w:rPr>
          <w:rFonts w:ascii="Courier New" w:cs="Courier New" w:eastAsia="Courier New" w:hAnsi="Courier New"/>
          <w:sz w:val="18"/>
          <w:szCs w:val="18"/>
          <w:color w:val="auto"/>
        </w:rPr>
        <w:t>Federal funds sold and securities purchased under</w:t>
      </w:r>
    </w:p>
    <w:p>
      <w:pPr>
        <w:ind w:left="220"/>
        <w:spacing w:after="0"/>
        <w:tabs>
          <w:tab w:leader="none" w:pos="2420" w:val="left"/>
        </w:tabs>
        <w:rPr>
          <w:sz w:val="20"/>
          <w:szCs w:val="20"/>
          <w:color w:val="auto"/>
        </w:rPr>
      </w:pPr>
      <w:r>
        <w:rPr>
          <w:rFonts w:ascii="Courier New" w:cs="Courier New" w:eastAsia="Courier New" w:hAnsi="Courier New"/>
          <w:sz w:val="18"/>
          <w:szCs w:val="18"/>
          <w:color w:val="auto"/>
        </w:rPr>
        <w:t>agreements to resell</w:t>
      </w:r>
      <w:r>
        <w:rPr>
          <w:sz w:val="20"/>
          <w:szCs w:val="20"/>
          <w:color w:val="auto"/>
        </w:rPr>
        <w:tab/>
      </w:r>
      <w:r>
        <w:rPr>
          <w:rFonts w:ascii="Courier New" w:cs="Courier New" w:eastAsia="Courier New" w:hAnsi="Courier New"/>
          <w:sz w:val="16"/>
          <w:szCs w:val="16"/>
          <w:color w:val="auto"/>
        </w:rPr>
        <w:t>.....................................</w:t>
      </w:r>
    </w:p>
    <w:p>
      <w:pPr>
        <w:ind w:left="420"/>
        <w:spacing w:after="0"/>
        <w:tabs>
          <w:tab w:leader="dot" w:pos="7160" w:val="left"/>
        </w:tabs>
        <w:rPr>
          <w:sz w:val="20"/>
          <w:szCs w:val="20"/>
          <w:color w:val="auto"/>
        </w:rPr>
      </w:pPr>
      <w:r>
        <w:rPr>
          <w:rFonts w:ascii="Courier New" w:cs="Courier New" w:eastAsia="Courier New" w:hAnsi="Courier New"/>
          <w:sz w:val="18"/>
          <w:szCs w:val="18"/>
          <w:color w:val="auto"/>
        </w:rPr>
        <w:t>Federal funds sold in domestic offices</w:t>
      </w:r>
      <w:r>
        <w:rPr>
          <w:sz w:val="20"/>
          <w:szCs w:val="20"/>
          <w:color w:val="auto"/>
        </w:rPr>
        <w:tab/>
      </w:r>
      <w:r>
        <w:rPr>
          <w:rFonts w:ascii="Courier New" w:cs="Courier New" w:eastAsia="Courier New" w:hAnsi="Courier New"/>
          <w:sz w:val="16"/>
          <w:szCs w:val="16"/>
          <w:color w:val="auto"/>
        </w:rPr>
        <w:t>1,901</w:t>
      </w:r>
    </w:p>
    <w:p>
      <w:pPr>
        <w:ind w:left="420"/>
        <w:spacing w:after="0"/>
        <w:tabs>
          <w:tab w:leader="dot" w:pos="7040" w:val="left"/>
        </w:tabs>
        <w:rPr>
          <w:sz w:val="20"/>
          <w:szCs w:val="20"/>
          <w:color w:val="auto"/>
        </w:rPr>
      </w:pPr>
      <w:r>
        <w:rPr>
          <w:rFonts w:ascii="Courier New" w:cs="Courier New" w:eastAsia="Courier New" w:hAnsi="Courier New"/>
          <w:sz w:val="18"/>
          <w:szCs w:val="18"/>
          <w:color w:val="auto"/>
        </w:rPr>
        <w:t>Securities purchased under agreements to resell</w:t>
      </w:r>
      <w:r>
        <w:rPr>
          <w:sz w:val="20"/>
          <w:szCs w:val="20"/>
          <w:color w:val="auto"/>
        </w:rPr>
        <w:tab/>
      </w:r>
      <w:r>
        <w:rPr>
          <w:rFonts w:ascii="Courier New" w:cs="Courier New" w:eastAsia="Courier New" w:hAnsi="Courier New"/>
          <w:sz w:val="16"/>
          <w:szCs w:val="16"/>
          <w:color w:val="auto"/>
        </w:rPr>
        <w:t>69,260</w:t>
      </w:r>
    </w:p>
    <w:p>
      <w:pPr>
        <w:spacing w:after="0" w:line="238" w:lineRule="auto"/>
        <w:rPr>
          <w:sz w:val="20"/>
          <w:szCs w:val="20"/>
          <w:color w:val="auto"/>
        </w:rPr>
      </w:pPr>
      <w:r>
        <w:rPr>
          <w:rFonts w:ascii="Courier New" w:cs="Courier New" w:eastAsia="Courier New" w:hAnsi="Courier New"/>
          <w:sz w:val="18"/>
          <w:szCs w:val="18"/>
          <w:color w:val="auto"/>
        </w:rPr>
        <w:t>Loans and lease financing receivables:</w:t>
      </w:r>
    </w:p>
    <w:p>
      <w:pPr>
        <w:ind w:left="420"/>
        <w:spacing w:after="0"/>
        <w:tabs>
          <w:tab w:leader="dot" w:pos="7040" w:val="left"/>
        </w:tabs>
        <w:rPr>
          <w:sz w:val="20"/>
          <w:szCs w:val="20"/>
          <w:color w:val="auto"/>
        </w:rPr>
      </w:pPr>
      <w:r>
        <w:rPr>
          <w:rFonts w:ascii="Courier New" w:cs="Courier New" w:eastAsia="Courier New" w:hAnsi="Courier New"/>
          <w:sz w:val="18"/>
          <w:szCs w:val="18"/>
          <w:color w:val="auto"/>
        </w:rPr>
        <w:t>Loans and leases held for sale</w:t>
      </w:r>
      <w:r>
        <w:rPr>
          <w:sz w:val="20"/>
          <w:szCs w:val="20"/>
          <w:color w:val="auto"/>
        </w:rPr>
        <w:tab/>
      </w:r>
      <w:r>
        <w:rPr>
          <w:rFonts w:ascii="Courier New" w:cs="Courier New" w:eastAsia="Courier New" w:hAnsi="Courier New"/>
          <w:sz w:val="16"/>
          <w:szCs w:val="16"/>
          <w:color w:val="auto"/>
        </w:rPr>
        <w:t>13,042</w:t>
      </w:r>
    </w:p>
    <w:p>
      <w:pPr>
        <w:ind w:left="420"/>
        <w:spacing w:after="0"/>
        <w:tabs>
          <w:tab w:leader="dot" w:pos="6840" w:val="left"/>
        </w:tabs>
        <w:rPr>
          <w:sz w:val="20"/>
          <w:szCs w:val="20"/>
          <w:color w:val="auto"/>
        </w:rPr>
      </w:pPr>
      <w:r>
        <w:rPr>
          <w:rFonts w:ascii="Courier New" w:cs="Courier New" w:eastAsia="Courier New" w:hAnsi="Courier New"/>
          <w:sz w:val="18"/>
          <w:szCs w:val="18"/>
          <w:color w:val="auto"/>
        </w:rPr>
        <w:t>Loans and leases, net of unearned income</w:t>
      </w:r>
      <w:r>
        <w:rPr>
          <w:sz w:val="20"/>
          <w:szCs w:val="20"/>
          <w:color w:val="auto"/>
        </w:rPr>
        <w:tab/>
      </w:r>
      <w:r>
        <w:rPr>
          <w:rFonts w:ascii="Courier New" w:cs="Courier New" w:eastAsia="Courier New" w:hAnsi="Courier New"/>
          <w:sz w:val="16"/>
          <w:szCs w:val="16"/>
          <w:color w:val="auto"/>
        </w:rPr>
        <w:t>$165,950</w:t>
      </w:r>
    </w:p>
    <w:p>
      <w:pPr>
        <w:ind w:left="420"/>
        <w:spacing w:after="0"/>
        <w:tabs>
          <w:tab w:leader="dot" w:pos="7160" w:val="left"/>
        </w:tabs>
        <w:rPr>
          <w:sz w:val="20"/>
          <w:szCs w:val="20"/>
          <w:color w:val="auto"/>
        </w:rPr>
      </w:pPr>
      <w:r>
        <w:rPr>
          <w:rFonts w:ascii="Courier New" w:cs="Courier New" w:eastAsia="Courier New" w:hAnsi="Courier New"/>
          <w:sz w:val="18"/>
          <w:szCs w:val="18"/>
          <w:color w:val="auto"/>
        </w:rPr>
        <w:t>Less: Allowance for loan and lease losses</w:t>
      </w:r>
      <w:r>
        <w:rPr>
          <w:sz w:val="20"/>
          <w:szCs w:val="20"/>
          <w:color w:val="auto"/>
        </w:rPr>
        <w:tab/>
      </w:r>
      <w:r>
        <w:rPr>
          <w:rFonts w:ascii="Courier New" w:cs="Courier New" w:eastAsia="Courier New" w:hAnsi="Courier New"/>
          <w:sz w:val="16"/>
          <w:szCs w:val="16"/>
          <w:color w:val="auto"/>
        </w:rPr>
        <w:t>3,284</w:t>
      </w:r>
    </w:p>
    <w:p>
      <w:pPr>
        <w:ind w:left="420"/>
        <w:spacing w:after="0" w:line="237" w:lineRule="auto"/>
        <w:rPr>
          <w:sz w:val="20"/>
          <w:szCs w:val="20"/>
          <w:color w:val="auto"/>
        </w:rPr>
      </w:pPr>
      <w:r>
        <w:rPr>
          <w:rFonts w:ascii="Courier New" w:cs="Courier New" w:eastAsia="Courier New" w:hAnsi="Courier New"/>
          <w:sz w:val="18"/>
          <w:szCs w:val="18"/>
          <w:color w:val="auto"/>
        </w:rPr>
        <w:t>Loans and leases, net of unearned income and</w:t>
      </w:r>
    </w:p>
    <w:p>
      <w:pPr>
        <w:ind w:left="540"/>
        <w:spacing w:after="0"/>
        <w:tabs>
          <w:tab w:leader="dot" w:pos="6940" w:val="left"/>
        </w:tabs>
        <w:rPr>
          <w:sz w:val="20"/>
          <w:szCs w:val="20"/>
          <w:color w:val="auto"/>
        </w:rPr>
      </w:pPr>
      <w:r>
        <w:rPr>
          <w:rFonts w:ascii="Courier New" w:cs="Courier New" w:eastAsia="Courier New" w:hAnsi="Courier New"/>
          <w:sz w:val="18"/>
          <w:szCs w:val="18"/>
          <w:color w:val="auto"/>
        </w:rPr>
        <w:t>allowance</w:t>
      </w:r>
      <w:r>
        <w:rPr>
          <w:sz w:val="20"/>
          <w:szCs w:val="20"/>
          <w:color w:val="auto"/>
        </w:rPr>
        <w:tab/>
      </w:r>
      <w:r>
        <w:rPr>
          <w:rFonts w:ascii="Courier New" w:cs="Courier New" w:eastAsia="Courier New" w:hAnsi="Courier New"/>
          <w:sz w:val="16"/>
          <w:szCs w:val="16"/>
          <w:color w:val="auto"/>
        </w:rPr>
        <w:t>162,666</w:t>
      </w:r>
    </w:p>
    <w:p>
      <w:pPr>
        <w:spacing w:after="0"/>
        <w:tabs>
          <w:tab w:leader="dot" w:pos="6940" w:val="left"/>
        </w:tabs>
        <w:rPr>
          <w:sz w:val="20"/>
          <w:szCs w:val="20"/>
          <w:color w:val="auto"/>
        </w:rPr>
      </w:pPr>
      <w:r>
        <w:rPr>
          <w:rFonts w:ascii="Courier New" w:cs="Courier New" w:eastAsia="Courier New" w:hAnsi="Courier New"/>
          <w:sz w:val="18"/>
          <w:szCs w:val="18"/>
          <w:color w:val="auto"/>
        </w:rPr>
        <w:t>Trading Assets</w:t>
      </w:r>
      <w:r>
        <w:rPr>
          <w:sz w:val="20"/>
          <w:szCs w:val="20"/>
          <w:color w:val="auto"/>
        </w:rPr>
        <w:tab/>
      </w:r>
      <w:r>
        <w:rPr>
          <w:rFonts w:ascii="Courier New" w:cs="Courier New" w:eastAsia="Courier New" w:hAnsi="Courier New"/>
          <w:sz w:val="16"/>
          <w:szCs w:val="16"/>
          <w:color w:val="auto"/>
        </w:rPr>
        <w:t>152,633</w:t>
      </w:r>
    </w:p>
    <w:p>
      <w:pPr>
        <w:spacing w:after="0"/>
        <w:tabs>
          <w:tab w:leader="dot" w:pos="7160" w:val="left"/>
        </w:tabs>
        <w:rPr>
          <w:sz w:val="20"/>
          <w:szCs w:val="20"/>
          <w:color w:val="auto"/>
        </w:rPr>
      </w:pPr>
      <w:r>
        <w:rPr>
          <w:rFonts w:ascii="Courier New" w:cs="Courier New" w:eastAsia="Courier New" w:hAnsi="Courier New"/>
          <w:sz w:val="18"/>
          <w:szCs w:val="18"/>
          <w:color w:val="auto"/>
        </w:rPr>
        <w:t>Premises and fixed assets (including capitalized leases)</w:t>
      </w:r>
      <w:r>
        <w:rPr>
          <w:sz w:val="20"/>
          <w:szCs w:val="20"/>
          <w:color w:val="auto"/>
        </w:rPr>
        <w:tab/>
      </w:r>
      <w:r>
        <w:rPr>
          <w:rFonts w:ascii="Courier New" w:cs="Courier New" w:eastAsia="Courier New" w:hAnsi="Courier New"/>
          <w:sz w:val="16"/>
          <w:szCs w:val="16"/>
          <w:color w:val="auto"/>
        </w:rPr>
        <w:t>5,737</w:t>
      </w:r>
    </w:p>
    <w:p>
      <w:pPr>
        <w:spacing w:after="0"/>
        <w:tabs>
          <w:tab w:leader="dot" w:pos="7460" w:val="left"/>
        </w:tabs>
        <w:rPr>
          <w:sz w:val="20"/>
          <w:szCs w:val="20"/>
          <w:color w:val="auto"/>
        </w:rPr>
      </w:pPr>
      <w:r>
        <w:rPr>
          <w:rFonts w:ascii="Courier New" w:cs="Courier New" w:eastAsia="Courier New" w:hAnsi="Courier New"/>
          <w:sz w:val="18"/>
          <w:szCs w:val="18"/>
          <w:color w:val="auto"/>
        </w:rPr>
        <w:t>Other real estate owned</w:t>
      </w:r>
      <w:r>
        <w:rPr>
          <w:sz w:val="20"/>
          <w:szCs w:val="20"/>
          <w:color w:val="auto"/>
        </w:rPr>
        <w:tab/>
      </w:r>
      <w:r>
        <w:rPr>
          <w:rFonts w:ascii="Courier New" w:cs="Courier New" w:eastAsia="Courier New" w:hAnsi="Courier New"/>
          <w:sz w:val="18"/>
          <w:szCs w:val="18"/>
          <w:color w:val="auto"/>
        </w:rPr>
        <w:t>43</w:t>
      </w:r>
    </w:p>
    <w:p>
      <w:pPr>
        <w:spacing w:after="0" w:line="237" w:lineRule="auto"/>
        <w:rPr>
          <w:sz w:val="20"/>
          <w:szCs w:val="20"/>
          <w:color w:val="auto"/>
        </w:rPr>
      </w:pPr>
      <w:r>
        <w:rPr>
          <w:rFonts w:ascii="Courier New" w:cs="Courier New" w:eastAsia="Courier New" w:hAnsi="Courier New"/>
          <w:sz w:val="18"/>
          <w:szCs w:val="18"/>
          <w:color w:val="auto"/>
        </w:rPr>
        <w:t>Investments in unconsolidated subsidiaries and</w:t>
      </w:r>
    </w:p>
    <w:p>
      <w:pPr>
        <w:ind w:left="220"/>
        <w:spacing w:after="0"/>
        <w:tabs>
          <w:tab w:leader="dot" w:pos="7360" w:val="left"/>
        </w:tabs>
        <w:rPr>
          <w:sz w:val="20"/>
          <w:szCs w:val="20"/>
          <w:color w:val="auto"/>
        </w:rPr>
      </w:pPr>
      <w:r>
        <w:rPr>
          <w:rFonts w:ascii="Courier New" w:cs="Courier New" w:eastAsia="Courier New" w:hAnsi="Courier New"/>
          <w:sz w:val="18"/>
          <w:szCs w:val="18"/>
          <w:color w:val="auto"/>
        </w:rPr>
        <w:t>associated companies</w:t>
      </w:r>
      <w:r>
        <w:rPr>
          <w:sz w:val="20"/>
          <w:szCs w:val="20"/>
          <w:color w:val="auto"/>
        </w:rPr>
        <w:tab/>
      </w:r>
      <w:r>
        <w:rPr>
          <w:rFonts w:ascii="Courier New" w:cs="Courier New" w:eastAsia="Courier New" w:hAnsi="Courier New"/>
          <w:sz w:val="16"/>
          <w:szCs w:val="16"/>
          <w:color w:val="auto"/>
        </w:rPr>
        <w:t>366</w:t>
      </w:r>
    </w:p>
    <w:p>
      <w:pPr>
        <w:spacing w:after="0" w:line="237" w:lineRule="auto"/>
        <w:rPr>
          <w:sz w:val="20"/>
          <w:szCs w:val="20"/>
          <w:color w:val="auto"/>
        </w:rPr>
      </w:pPr>
      <w:r>
        <w:rPr>
          <w:rFonts w:ascii="Courier New" w:cs="Courier New" w:eastAsia="Courier New" w:hAnsi="Courier New"/>
          <w:sz w:val="18"/>
          <w:szCs w:val="18"/>
          <w:color w:val="auto"/>
        </w:rPr>
        <w:t>Customers' liability to this bank on acceptances</w:t>
      </w:r>
    </w:p>
    <w:p>
      <w:pPr>
        <w:ind w:left="220"/>
        <w:spacing w:after="0"/>
        <w:tabs>
          <w:tab w:leader="dot" w:pos="736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6"/>
          <w:szCs w:val="16"/>
          <w:color w:val="auto"/>
        </w:rPr>
        <w:t>306</w:t>
      </w:r>
    </w:p>
    <w:p>
      <w:pPr>
        <w:spacing w:after="0" w:line="237" w:lineRule="auto"/>
        <w:rPr>
          <w:sz w:val="20"/>
          <w:szCs w:val="20"/>
          <w:color w:val="auto"/>
        </w:rPr>
      </w:pPr>
      <w:r>
        <w:rPr>
          <w:rFonts w:ascii="Courier New" w:cs="Courier New" w:eastAsia="Courier New" w:hAnsi="Courier New"/>
          <w:sz w:val="18"/>
          <w:szCs w:val="18"/>
          <w:color w:val="auto"/>
        </w:rPr>
        <w:t>Intangible assets</w:t>
      </w:r>
    </w:p>
    <w:p>
      <w:pPr>
        <w:ind w:left="420"/>
        <w:spacing w:after="0"/>
        <w:tabs>
          <w:tab w:leader="dot" w:pos="7160" w:val="left"/>
        </w:tabs>
        <w:rPr>
          <w:sz w:val="20"/>
          <w:szCs w:val="20"/>
          <w:color w:val="auto"/>
        </w:rPr>
      </w:pPr>
      <w:r>
        <w:rPr>
          <w:rFonts w:ascii="Courier New" w:cs="Courier New" w:eastAsia="Courier New" w:hAnsi="Courier New"/>
          <w:sz w:val="18"/>
          <w:szCs w:val="18"/>
          <w:color w:val="auto"/>
        </w:rPr>
        <w:t>Goodwill</w:t>
      </w:r>
      <w:r>
        <w:rPr>
          <w:sz w:val="20"/>
          <w:szCs w:val="20"/>
          <w:color w:val="auto"/>
        </w:rPr>
        <w:tab/>
      </w:r>
      <w:r>
        <w:rPr>
          <w:rFonts w:ascii="Courier New" w:cs="Courier New" w:eastAsia="Courier New" w:hAnsi="Courier New"/>
          <w:sz w:val="16"/>
          <w:szCs w:val="16"/>
          <w:color w:val="auto"/>
        </w:rPr>
        <w:t>1,908</w:t>
      </w:r>
    </w:p>
    <w:p>
      <w:pPr>
        <w:ind w:left="420"/>
        <w:spacing w:after="0"/>
        <w:tabs>
          <w:tab w:leader="dot" w:pos="7160" w:val="left"/>
        </w:tabs>
        <w:rPr>
          <w:sz w:val="20"/>
          <w:szCs w:val="20"/>
          <w:color w:val="auto"/>
        </w:rPr>
      </w:pPr>
      <w:r>
        <w:rPr>
          <w:rFonts w:ascii="Courier New" w:cs="Courier New" w:eastAsia="Courier New" w:hAnsi="Courier New"/>
          <w:sz w:val="18"/>
          <w:szCs w:val="18"/>
          <w:color w:val="auto"/>
        </w:rPr>
        <w:t>Other Intangible assets</w:t>
      </w:r>
      <w:r>
        <w:rPr>
          <w:sz w:val="20"/>
          <w:szCs w:val="20"/>
          <w:color w:val="auto"/>
        </w:rPr>
        <w:tab/>
      </w:r>
      <w:r>
        <w:rPr>
          <w:rFonts w:ascii="Courier New" w:cs="Courier New" w:eastAsia="Courier New" w:hAnsi="Courier New"/>
          <w:sz w:val="16"/>
          <w:szCs w:val="16"/>
          <w:color w:val="auto"/>
        </w:rPr>
        <w:t>7,218</w:t>
      </w:r>
    </w:p>
    <w:p>
      <w:pPr>
        <w:spacing w:after="0"/>
        <w:tabs>
          <w:tab w:leader="dot" w:pos="7040" w:val="left"/>
        </w:tabs>
        <w:rPr>
          <w:sz w:val="20"/>
          <w:szCs w:val="20"/>
          <w:color w:val="auto"/>
        </w:rPr>
      </w:pPr>
      <w:r>
        <w:rPr>
          <w:rFonts w:ascii="Courier New" w:cs="Courier New" w:eastAsia="Courier New" w:hAnsi="Courier New"/>
          <w:sz w:val="18"/>
          <w:szCs w:val="18"/>
          <w:color w:val="auto"/>
        </w:rPr>
        <w:t>Other assets</w:t>
      </w:r>
      <w:r>
        <w:rPr>
          <w:sz w:val="20"/>
          <w:szCs w:val="20"/>
          <w:color w:val="auto"/>
        </w:rPr>
        <w:tab/>
      </w:r>
      <w:r>
        <w:rPr>
          <w:rFonts w:ascii="Courier New" w:cs="Courier New" w:eastAsia="Courier New" w:hAnsi="Courier New"/>
          <w:sz w:val="16"/>
          <w:szCs w:val="16"/>
          <w:color w:val="auto"/>
        </w:rPr>
        <w:t>38,458</w:t>
      </w:r>
    </w:p>
    <w:p>
      <w:pPr>
        <w:spacing w:after="0"/>
        <w:tabs>
          <w:tab w:leader="dot" w:pos="6840" w:val="left"/>
        </w:tabs>
        <w:rPr>
          <w:sz w:val="20"/>
          <w:szCs w:val="20"/>
          <w:color w:val="auto"/>
        </w:rPr>
      </w:pPr>
      <w:r>
        <w:rPr>
          <w:rFonts w:ascii="Courier New" w:cs="Courier New" w:eastAsia="Courier New" w:hAnsi="Courier New"/>
          <w:sz w:val="18"/>
          <w:szCs w:val="18"/>
          <w:color w:val="auto"/>
        </w:rPr>
        <w:t>TOTAL ASSETS</w:t>
      </w:r>
      <w:r>
        <w:rPr>
          <w:sz w:val="20"/>
          <w:szCs w:val="20"/>
          <w:color w:val="auto"/>
        </w:rPr>
        <w:tab/>
      </w:r>
      <w:r>
        <w:rPr>
          <w:rFonts w:ascii="Courier New" w:cs="Courier New" w:eastAsia="Courier New" w:hAnsi="Courier New"/>
          <w:sz w:val="16"/>
          <w:szCs w:val="16"/>
          <w:color w:val="auto"/>
        </w:rPr>
        <w:t>$541,342</w:t>
      </w:r>
    </w:p>
    <w:p>
      <w:pPr>
        <w:ind w:left="68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1 of 2</w:t>
      </w:r>
    </w:p>
    <w:p>
      <w:pPr>
        <w:sectPr>
          <w:pgSz w:w="11900" w:h="16838" w:orient="portrait"/>
          <w:cols w:equalWidth="0" w:num="1">
            <w:col w:w="10219"/>
          </w:cols>
          <w:pgMar w:left="240" w:top="514"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4"/>
        </w:trPr>
        <w:tc>
          <w:tcPr>
            <w:tcW w:w="664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LIABILITIES</w:t>
            </w:r>
          </w:p>
        </w:tc>
        <w:tc>
          <w:tcPr>
            <w:tcW w:w="1260" w:type="dxa"/>
            <w:vAlign w:val="bottom"/>
          </w:tcPr>
          <w:p>
            <w:pPr>
              <w:spacing w:after="0"/>
              <w:rPr>
                <w:sz w:val="17"/>
                <w:szCs w:val="17"/>
                <w:color w:val="auto"/>
              </w:rPr>
            </w:pP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Deposits</w:t>
            </w:r>
          </w:p>
        </w:tc>
        <w:tc>
          <w:tcPr>
            <w:tcW w:w="1260" w:type="dxa"/>
            <w:vAlign w:val="bottom"/>
          </w:tcPr>
          <w:p>
            <w:pPr>
              <w:spacing w:after="0"/>
              <w:rPr>
                <w:sz w:val="17"/>
                <w:szCs w:val="17"/>
                <w:color w:val="auto"/>
              </w:rPr>
            </w:pP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domestic offices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$151,985</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Noninterest-bearing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$ 66,567</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Interest-bearing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85,418</w:t>
            </w:r>
          </w:p>
        </w:tc>
      </w:tr>
      <w:tr>
        <w:trPr>
          <w:trHeight w:val="203"/>
        </w:trPr>
        <w:tc>
          <w:tcPr>
            <w:tcW w:w="66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In foreign offices, Edge and Agreement</w:t>
            </w:r>
          </w:p>
        </w:tc>
        <w:tc>
          <w:tcPr>
            <w:tcW w:w="1260" w:type="dxa"/>
            <w:vAlign w:val="bottom"/>
          </w:tcPr>
          <w:p>
            <w:pPr>
              <w:spacing w:after="0"/>
              <w:rPr>
                <w:sz w:val="17"/>
                <w:szCs w:val="17"/>
                <w:color w:val="auto"/>
              </w:rPr>
            </w:pP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subsidiaries and IBF's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119,955</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Noninterest-bearing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6,741</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Interest-bearing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113,214</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funds purchased and securities sold under</w:t>
            </w:r>
          </w:p>
        </w:tc>
        <w:tc>
          <w:tcPr>
            <w:tcW w:w="1260" w:type="dxa"/>
            <w:vAlign w:val="bottom"/>
          </w:tcPr>
          <w:p>
            <w:pPr>
              <w:spacing w:after="0"/>
              <w:rPr>
                <w:sz w:val="17"/>
                <w:szCs w:val="17"/>
                <w:color w:val="auto"/>
              </w:rPr>
            </w:pPr>
          </w:p>
        </w:tc>
      </w:tr>
      <w:tr>
        <w:trPr>
          <w:trHeight w:val="203"/>
        </w:trPr>
        <w:tc>
          <w:tcPr>
            <w:tcW w:w="6640" w:type="dxa"/>
            <w:vAlign w:val="bottom"/>
          </w:tcPr>
          <w:p>
            <w:pPr>
              <w:jc w:val="right"/>
              <w:ind w:right="3692"/>
              <w:spacing w:after="0" w:line="203" w:lineRule="exact"/>
              <w:rPr>
                <w:sz w:val="20"/>
                <w:szCs w:val="20"/>
                <w:color w:val="auto"/>
              </w:rPr>
            </w:pPr>
            <w:r>
              <w:rPr>
                <w:rFonts w:ascii="Courier New" w:cs="Courier New" w:eastAsia="Courier New" w:hAnsi="Courier New"/>
                <w:sz w:val="18"/>
                <w:szCs w:val="18"/>
                <w:color w:val="auto"/>
              </w:rPr>
              <w:t>agreements to repurchase:</w:t>
            </w:r>
          </w:p>
        </w:tc>
        <w:tc>
          <w:tcPr>
            <w:tcW w:w="1260" w:type="dxa"/>
            <w:vAlign w:val="bottom"/>
          </w:tcPr>
          <w:p>
            <w:pPr>
              <w:spacing w:after="0"/>
              <w:rPr>
                <w:sz w:val="17"/>
                <w:szCs w:val="17"/>
                <w:color w:val="auto"/>
              </w:rPr>
            </w:pP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Federal funds purchased in domestic offices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12,983</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Securities sold under agreements to repurchase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82,618</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Trading liabilities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94,099</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borrowed money (includes mortgage indebtedness</w:t>
            </w:r>
          </w:p>
        </w:tc>
        <w:tc>
          <w:tcPr>
            <w:tcW w:w="1260" w:type="dxa"/>
            <w:vAlign w:val="bottom"/>
          </w:tcPr>
          <w:p>
            <w:pPr>
              <w:spacing w:after="0"/>
              <w:rPr>
                <w:sz w:val="17"/>
                <w:szCs w:val="17"/>
                <w:color w:val="auto"/>
              </w:rPr>
            </w:pP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and obligations under capitalized leases)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10,234</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Bank's liability on acceptances executed and outstanding....</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311</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Subordinated notes and debentures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9,679</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Other liabilities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25,609</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TOTAL LIABILITIES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507,473</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Minority Interest in consolidated subsidiaries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w:t>
            </w:r>
          </w:p>
        </w:tc>
      </w:tr>
      <w:tr>
        <w:trPr>
          <w:trHeight w:val="405"/>
        </w:trPr>
        <w:tc>
          <w:tcPr>
            <w:tcW w:w="664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EQUITY CAPITAL</w:t>
            </w:r>
          </w:p>
        </w:tc>
        <w:tc>
          <w:tcPr>
            <w:tcW w:w="1260" w:type="dxa"/>
            <w:vAlign w:val="bottom"/>
          </w:tcPr>
          <w:p>
            <w:pPr>
              <w:spacing w:after="0"/>
              <w:rPr>
                <w:sz w:val="24"/>
                <w:szCs w:val="24"/>
                <w:color w:val="auto"/>
              </w:rPr>
            </w:pPr>
          </w:p>
        </w:tc>
      </w:tr>
      <w:tr>
        <w:trPr>
          <w:trHeight w:val="405"/>
        </w:trPr>
        <w:tc>
          <w:tcPr>
            <w:tcW w:w="6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7"/>
              </w:rPr>
              <w:t>Perpetual preferred stock and related surplus ..............</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Common stock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1,785</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Surplus (exclude all surplus related to preferred stock)....</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16,304</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Retained earnings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16,548</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Accumulated other comprehensive income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(877)</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Other equity capital components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6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TOTAL EQUITY CAPITAL .......................................</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33,760</w:t>
            </w:r>
          </w:p>
        </w:tc>
      </w:tr>
      <w:tr>
        <w:trPr>
          <w:trHeight w:val="203"/>
        </w:trPr>
        <w:tc>
          <w:tcPr>
            <w:tcW w:w="66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MINORITY INTEREST, AND EQUITY CAPITAL</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$541,342</w:t>
            </w:r>
          </w:p>
        </w:tc>
      </w:tr>
      <w:tr>
        <w:trPr>
          <w:trHeight w:val="203"/>
        </w:trPr>
        <w:tc>
          <w:tcPr>
            <w:tcW w:w="66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Joseph L. Sclafani, E.V.P. &amp; Controller of the above-named bank, do hereby declare that this Report of Condition has been prepared in conformance with the instructions issued by the appropriate Federal regulatory authority and is true to the best of my knowledge and belief.</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JOSEPH L. SCLAFANI</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pacing w:after="0" w:line="17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WILLIAM B. HARRISON, JR. )</w:t>
      </w:r>
    </w:p>
    <w:p>
      <w:pPr>
        <w:ind w:left="5060"/>
        <w:spacing w:after="0"/>
        <w:tabs>
          <w:tab w:leader="none" w:pos="7680" w:val="left"/>
        </w:tabs>
        <w:rPr>
          <w:sz w:val="20"/>
          <w:szCs w:val="20"/>
          <w:color w:val="auto"/>
        </w:rPr>
      </w:pPr>
      <w:r>
        <w:rPr>
          <w:rFonts w:ascii="Courier New" w:cs="Courier New" w:eastAsia="Courier New" w:hAnsi="Courier New"/>
          <w:sz w:val="18"/>
          <w:szCs w:val="18"/>
          <w:color w:val="auto"/>
        </w:rPr>
        <w:t>ELLEN V. FUTTER</w:t>
      </w:r>
      <w:r>
        <w:rPr>
          <w:sz w:val="20"/>
          <w:szCs w:val="20"/>
          <w:color w:val="auto"/>
        </w:rPr>
        <w:tab/>
      </w:r>
      <w:r>
        <w:rPr>
          <w:rFonts w:ascii="Courier New" w:cs="Courier New" w:eastAsia="Courier New" w:hAnsi="Courier New"/>
          <w:sz w:val="16"/>
          <w:szCs w:val="16"/>
          <w:color w:val="auto"/>
        </w:rPr>
        <w:t>)</w:t>
      </w:r>
    </w:p>
    <w:p>
      <w:pPr>
        <w:ind w:left="5060"/>
        <w:spacing w:after="0"/>
        <w:tabs>
          <w:tab w:leader="none" w:pos="7680" w:val="left"/>
        </w:tabs>
        <w:rPr>
          <w:sz w:val="20"/>
          <w:szCs w:val="20"/>
          <w:color w:val="auto"/>
        </w:rPr>
      </w:pPr>
      <w:r>
        <w:rPr>
          <w:rFonts w:ascii="Courier New" w:cs="Courier New" w:eastAsia="Courier New" w:hAnsi="Courier New"/>
          <w:sz w:val="18"/>
          <w:szCs w:val="18"/>
          <w:color w:val="auto"/>
        </w:rPr>
        <w:t>LAWRENCE A. BOSSIDY</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 of 2</w:t>
      </w:r>
    </w:p>
    <w:p>
      <w:pPr>
        <w:sectPr>
          <w:pgSz w:w="11900" w:h="16838" w:orient="portrait"/>
          <w:cols w:equalWidth="0" w:num="1">
            <w:col w:w="10219"/>
          </w:cols>
          <w:pgMar w:left="240" w:top="919" w:right="1440" w:bottom="1440" w:gutter="0" w:footer="0" w:header="0"/>
        </w:sectPr>
      </w:pPr>
    </w:p>
    <w:bookmarkStart w:id="91" w:name="page92"/>
    <w:bookmarkEnd w:id="91"/>
    <w:p>
      <w:pPr>
        <w:ind w:left="2640"/>
        <w:spacing w:after="0"/>
        <w:rPr>
          <w:sz w:val="20"/>
          <w:szCs w:val="20"/>
          <w:color w:val="auto"/>
        </w:rPr>
      </w:pPr>
      <w:r>
        <w:rPr>
          <w:rFonts w:ascii="Courier New" w:cs="Courier New" w:eastAsia="Courier New" w:hAnsi="Courier New"/>
          <w:sz w:val="18"/>
          <w:szCs w:val="18"/>
          <w:color w:val="auto"/>
        </w:rPr>
        <w:t>Filed Pursuant to Registration Statement No. 333-_____</w:t>
      </w:r>
    </w:p>
    <w:p>
      <w:pPr>
        <w:ind w:left="7180"/>
        <w:spacing w:after="0" w:line="238" w:lineRule="auto"/>
        <w:rPr>
          <w:sz w:val="20"/>
          <w:szCs w:val="20"/>
          <w:color w:val="auto"/>
        </w:rPr>
      </w:pPr>
      <w:r>
        <w:rPr>
          <w:rFonts w:ascii="Courier New" w:cs="Courier New" w:eastAsia="Courier New" w:hAnsi="Courier New"/>
          <w:sz w:val="18"/>
          <w:szCs w:val="18"/>
          <w:color w:val="auto"/>
        </w:rPr>
        <w:t>EXHIBIT 25.2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T-1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STATEMENT OF ELIGIBILITY</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TRUST INDENTURE ACT OF 1939 OF</w:t>
      </w:r>
    </w:p>
    <w:p>
      <w:pPr>
        <w:jc w:val="center"/>
        <w:ind w:right="1779"/>
        <w:spacing w:after="0"/>
        <w:rPr>
          <w:sz w:val="20"/>
          <w:szCs w:val="20"/>
          <w:color w:val="auto"/>
        </w:rPr>
      </w:pPr>
      <w:r>
        <w:rPr>
          <w:rFonts w:ascii="Courier New" w:cs="Courier New" w:eastAsia="Courier New" w:hAnsi="Courier New"/>
          <w:sz w:val="18"/>
          <w:szCs w:val="18"/>
          <w:color w:val="auto"/>
        </w:rPr>
        <w:t>A CORPORATION DESIGNATED TO ACT AS TRUSTEE</w:t>
      </w:r>
    </w:p>
    <w:p>
      <w:pPr>
        <w:ind w:left="2000"/>
        <w:spacing w:after="0" w:line="237" w:lineRule="auto"/>
        <w:rPr>
          <w:sz w:val="20"/>
          <w:szCs w:val="20"/>
          <w:color w:val="auto"/>
        </w:rPr>
      </w:pPr>
      <w:r>
        <w:rPr>
          <w:rFonts w:ascii="Courier New" w:cs="Courier New" w:eastAsia="Courier New" w:hAnsi="Courier New"/>
          <w:sz w:val="18"/>
          <w:szCs w:val="18"/>
          <w:color w:val="auto"/>
        </w:rPr>
        <w:t>-------------------------------------------</w:t>
      </w:r>
    </w:p>
    <w:p>
      <w:pPr>
        <w:jc w:val="center"/>
        <w:ind w:right="1679"/>
        <w:spacing w:after="0" w:line="238" w:lineRule="auto"/>
        <w:rPr>
          <w:sz w:val="20"/>
          <w:szCs w:val="20"/>
          <w:color w:val="auto"/>
        </w:rPr>
      </w:pPr>
      <w:r>
        <w:rPr>
          <w:rFonts w:ascii="Courier New" w:cs="Courier New" w:eastAsia="Courier New" w:hAnsi="Courier New"/>
          <w:sz w:val="18"/>
          <w:szCs w:val="18"/>
          <w:color w:val="auto"/>
        </w:rPr>
        <w:t>CHECK IF AN APPLICATION TO DETERMINE ELIGIBILITY OF</w:t>
      </w:r>
    </w:p>
    <w:p>
      <w:pPr>
        <w:jc w:val="center"/>
        <w:ind w:right="1679"/>
        <w:spacing w:after="0"/>
        <w:rPr>
          <w:sz w:val="20"/>
          <w:szCs w:val="20"/>
          <w:color w:val="auto"/>
        </w:rPr>
      </w:pPr>
      <w:r>
        <w:rPr>
          <w:rFonts w:ascii="Courier New" w:cs="Courier New" w:eastAsia="Courier New" w:hAnsi="Courier New"/>
          <w:sz w:val="18"/>
          <w:szCs w:val="18"/>
          <w:color w:val="auto"/>
        </w:rPr>
        <w:t>A TRUSTEE PURSUANT TO SECTION 305(b)(2)</w:t>
      </w:r>
    </w:p>
    <w:p>
      <w:pPr>
        <w:ind w:left="21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JPMORGAN CHASE BANK</w:t>
      </w:r>
    </w:p>
    <w:p>
      <w:pPr>
        <w:jc w:val="center"/>
        <w:ind w:right="1679"/>
        <w:spacing w:after="0" w:line="238" w:lineRule="auto"/>
        <w:rPr>
          <w:sz w:val="20"/>
          <w:szCs w:val="20"/>
          <w:color w:val="auto"/>
        </w:rPr>
      </w:pPr>
      <w:r>
        <w:rPr>
          <w:rFonts w:ascii="Courier New" w:cs="Courier New" w:eastAsia="Courier New" w:hAnsi="Courier New"/>
          <w:sz w:val="18"/>
          <w:szCs w:val="18"/>
          <w:color w:val="auto"/>
        </w:rPr>
        <w:t>(Exact name of trustee as specified in its charter)</w:t>
      </w:r>
    </w:p>
    <w:p>
      <w:pPr>
        <w:spacing w:after="0" w:line="202" w:lineRule="exact"/>
        <w:rPr>
          <w:sz w:val="20"/>
          <w:szCs w:val="20"/>
          <w:color w:val="auto"/>
        </w:rPr>
      </w:pPr>
    </w:p>
    <w:p>
      <w:pPr>
        <w:ind w:left="860"/>
        <w:spacing w:after="0"/>
        <w:tabs>
          <w:tab w:leader="none" w:pos="6840" w:val="left"/>
        </w:tabs>
        <w:rPr>
          <w:sz w:val="20"/>
          <w:szCs w:val="20"/>
          <w:color w:val="auto"/>
        </w:rPr>
      </w:pPr>
      <w:r>
        <w:rPr>
          <w:rFonts w:ascii="Courier New" w:cs="Courier New" w:eastAsia="Courier New" w:hAnsi="Courier New"/>
          <w:sz w:val="18"/>
          <w:szCs w:val="18"/>
          <w:color w:val="auto"/>
        </w:rPr>
        <w:t>NEW YORK</w:t>
      </w:r>
      <w:r>
        <w:rPr>
          <w:sz w:val="20"/>
          <w:szCs w:val="20"/>
          <w:color w:val="auto"/>
        </w:rPr>
        <w:tab/>
      </w:r>
      <w:r>
        <w:rPr>
          <w:rFonts w:ascii="Courier New" w:cs="Courier New" w:eastAsia="Courier New" w:hAnsi="Courier New"/>
          <w:sz w:val="16"/>
          <w:szCs w:val="16"/>
          <w:color w:val="auto"/>
        </w:rPr>
        <w:t>13-4994650</w:t>
      </w:r>
    </w:p>
    <w:p>
      <w:pPr>
        <w:spacing w:after="0"/>
        <w:tabs>
          <w:tab w:leader="none" w:pos="6520" w:val="left"/>
        </w:tabs>
        <w:rPr>
          <w:sz w:val="20"/>
          <w:szCs w:val="20"/>
          <w:color w:val="auto"/>
        </w:rPr>
      </w:pPr>
      <w:r>
        <w:rPr>
          <w:rFonts w:ascii="Courier New" w:cs="Courier New" w:eastAsia="Courier New" w:hAnsi="Courier New"/>
          <w:sz w:val="18"/>
          <w:szCs w:val="18"/>
          <w:color w:val="auto"/>
        </w:rPr>
        <w:t>(State of incorporation</w:t>
      </w:r>
      <w:r>
        <w:rPr>
          <w:sz w:val="20"/>
          <w:szCs w:val="20"/>
          <w:color w:val="auto"/>
        </w:rPr>
        <w:tab/>
      </w:r>
      <w:r>
        <w:rPr>
          <w:rFonts w:ascii="Courier New" w:cs="Courier New" w:eastAsia="Courier New" w:hAnsi="Courier New"/>
          <w:sz w:val="16"/>
          <w:szCs w:val="16"/>
          <w:color w:val="auto"/>
        </w:rPr>
        <w:t>(I.R.S. employer</w:t>
      </w:r>
    </w:p>
    <w:p>
      <w:pPr>
        <w:spacing w:after="0"/>
        <w:tabs>
          <w:tab w:leader="none" w:pos="6420" w:val="left"/>
        </w:tabs>
        <w:rPr>
          <w:sz w:val="20"/>
          <w:szCs w:val="20"/>
          <w:color w:val="auto"/>
        </w:rPr>
      </w:pPr>
      <w:r>
        <w:rPr>
          <w:rFonts w:ascii="Courier New" w:cs="Courier New" w:eastAsia="Courier New" w:hAnsi="Courier New"/>
          <w:sz w:val="18"/>
          <w:szCs w:val="18"/>
          <w:color w:val="auto"/>
        </w:rPr>
        <w:t>if not a national bank)</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270 PARK AVENUE</w:t>
      </w:r>
    </w:p>
    <w:p>
      <w:pPr>
        <w:ind w:left="1060"/>
        <w:spacing w:after="0" w:line="238" w:lineRule="auto"/>
        <w:tabs>
          <w:tab w:leader="none" w:pos="704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8"/>
          <w:szCs w:val="18"/>
          <w:color w:val="auto"/>
        </w:rPr>
        <w:t>10017</w:t>
      </w:r>
    </w:p>
    <w:p>
      <w:pPr>
        <w:spacing w:after="0"/>
        <w:tabs>
          <w:tab w:leader="none" w:pos="68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WILLIAM H. MCDAVID</w:t>
      </w:r>
    </w:p>
    <w:p>
      <w:pPr>
        <w:ind w:left="3480"/>
        <w:spacing w:after="0" w:line="238" w:lineRule="auto"/>
        <w:rPr>
          <w:sz w:val="20"/>
          <w:szCs w:val="20"/>
          <w:color w:val="auto"/>
        </w:rPr>
      </w:pPr>
      <w:r>
        <w:rPr>
          <w:rFonts w:ascii="Courier New" w:cs="Courier New" w:eastAsia="Courier New" w:hAnsi="Courier New"/>
          <w:sz w:val="18"/>
          <w:szCs w:val="18"/>
          <w:color w:val="auto"/>
        </w:rPr>
        <w:t>GENERAL COUNSEL</w:t>
      </w:r>
    </w:p>
    <w:p>
      <w:pPr>
        <w:ind w:left="3480"/>
        <w:spacing w:after="0"/>
        <w:rPr>
          <w:sz w:val="20"/>
          <w:szCs w:val="20"/>
          <w:color w:val="auto"/>
        </w:rPr>
      </w:pPr>
      <w:r>
        <w:rPr>
          <w:rFonts w:ascii="Courier New" w:cs="Courier New" w:eastAsia="Courier New" w:hAnsi="Courier New"/>
          <w:sz w:val="18"/>
          <w:szCs w:val="18"/>
          <w:color w:val="auto"/>
        </w:rPr>
        <w:t>270 PARK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10017</w:t>
      </w:r>
    </w:p>
    <w:p>
      <w:pPr>
        <w:ind w:left="2960"/>
        <w:spacing w:after="0" w:line="238" w:lineRule="auto"/>
        <w:rPr>
          <w:sz w:val="20"/>
          <w:szCs w:val="20"/>
          <w:color w:val="auto"/>
        </w:rPr>
      </w:pPr>
      <w:r>
        <w:rPr>
          <w:rFonts w:ascii="Courier New" w:cs="Courier New" w:eastAsia="Courier New" w:hAnsi="Courier New"/>
          <w:sz w:val="18"/>
          <w:szCs w:val="18"/>
          <w:color w:val="auto"/>
        </w:rPr>
        <w:t>TELEPHONE: (212) 270-2611</w:t>
      </w:r>
    </w:p>
    <w:p>
      <w:pPr>
        <w:ind w:left="1280"/>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ind w:left="1580"/>
        <w:spacing w:after="0" w:line="238" w:lineRule="auto"/>
        <w:rPr>
          <w:sz w:val="20"/>
          <w:szCs w:val="20"/>
          <w:color w:val="auto"/>
        </w:rPr>
      </w:pPr>
      <w:r>
        <w:rPr>
          <w:rFonts w:ascii="Courier New" w:cs="Courier New" w:eastAsia="Courier New" w:hAnsi="Courier New"/>
          <w:sz w:val="18"/>
          <w:szCs w:val="18"/>
          <w:color w:val="auto"/>
        </w:rPr>
        <w:t>(Exact name of obligor as specified in its charter)</w:t>
      </w:r>
    </w:p>
    <w:p>
      <w:pPr>
        <w:spacing w:after="0" w:line="202" w:lineRule="exact"/>
        <w:rPr>
          <w:sz w:val="20"/>
          <w:szCs w:val="20"/>
          <w:color w:val="auto"/>
        </w:rPr>
      </w:pPr>
    </w:p>
    <w:p>
      <w:pPr>
        <w:ind w:left="1380"/>
        <w:spacing w:after="0"/>
        <w:tabs>
          <w:tab w:leader="none" w:pos="694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6"/>
          <w:szCs w:val="16"/>
          <w:color w:val="auto"/>
        </w:rPr>
        <w:t>73-1309529</w:t>
      </w:r>
    </w:p>
    <w:p>
      <w:pPr>
        <w:spacing w:after="0"/>
        <w:tabs>
          <w:tab w:leader="none" w:pos="662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w:t>
      </w:r>
    </w:p>
    <w:p>
      <w:pPr>
        <w:spacing w:after="0"/>
        <w:tabs>
          <w:tab w:leader="none" w:pos="6420" w:val="left"/>
        </w:tabs>
        <w:rPr>
          <w:sz w:val="20"/>
          <w:szCs w:val="20"/>
          <w:color w:val="auto"/>
        </w:rPr>
      </w:pPr>
      <w:r>
        <w:rPr>
          <w:rFonts w:ascii="Courier New" w:cs="Courier New" w:eastAsia="Courier New" w:hAnsi="Courier New"/>
          <w:sz w:val="18"/>
          <w:szCs w:val="18"/>
          <w:color w:val="auto"/>
        </w:rPr>
        <w:t>incorporation or organization)</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1001 FANNIN STREET, SUITE 4000</w:t>
      </w:r>
    </w:p>
    <w:p>
      <w:pPr>
        <w:ind w:left="1380"/>
        <w:spacing w:after="0"/>
        <w:tabs>
          <w:tab w:leader="none" w:pos="736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77002</w:t>
      </w:r>
    </w:p>
    <w:p>
      <w:pPr>
        <w:spacing w:after="0"/>
        <w:tabs>
          <w:tab w:leader="none" w:pos="70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2740"/>
        <w:spacing w:after="0" w:line="238" w:lineRule="auto"/>
        <w:rPr>
          <w:sz w:val="20"/>
          <w:szCs w:val="20"/>
          <w:color w:val="auto"/>
        </w:rPr>
      </w:pPr>
      <w:r>
        <w:rPr>
          <w:rFonts w:ascii="Courier New" w:cs="Courier New" w:eastAsia="Courier New" w:hAnsi="Courier New"/>
          <w:sz w:val="18"/>
          <w:szCs w:val="18"/>
          <w:color w:val="auto"/>
        </w:rPr>
        <w:t>SUBORDINATED DEBT SECURITIES</w:t>
      </w:r>
    </w:p>
    <w:p>
      <w:pPr>
        <w:ind w:left="15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1440" w:gutter="0" w:footer="0" w:header="0"/>
        </w:sectPr>
      </w:pPr>
    </w:p>
    <w:bookmarkStart w:id="92" w:name="page93"/>
    <w:bookmarkEnd w:id="92"/>
    <w:p>
      <w:pPr>
        <w:ind w:left="2640"/>
        <w:spacing w:after="0"/>
        <w:rPr>
          <w:sz w:val="20"/>
          <w:szCs w:val="20"/>
          <w:color w:val="auto"/>
        </w:rPr>
      </w:pPr>
      <w:r>
        <w:rPr>
          <w:rFonts w:ascii="Courier New" w:cs="Courier New" w:eastAsia="Courier New" w:hAnsi="Courier New"/>
          <w:sz w:val="16"/>
          <w:szCs w:val="16"/>
          <w:color w:val="auto"/>
        </w:rPr>
        <w:t>Filed Pursuant to Registration Statement No. 333-_____</w:t>
      </w:r>
    </w:p>
    <w:p>
      <w:pPr>
        <w:spacing w:after="0" w:line="200" w:lineRule="exact"/>
        <w:rPr>
          <w:sz w:val="20"/>
          <w:szCs w:val="20"/>
          <w:color w:val="auto"/>
        </w:rPr>
      </w:pPr>
    </w:p>
    <w:p>
      <w:pPr>
        <w:spacing w:after="0" w:line="22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GENERAL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FURNISH THE FOLLOWING INFORMATION AS TO THE TRUSTEE:</w:t>
      </w:r>
    </w:p>
    <w:p>
      <w:pPr>
        <w:spacing w:after="0" w:line="207" w:lineRule="exact"/>
        <w:rPr>
          <w:sz w:val="20"/>
          <w:szCs w:val="20"/>
          <w:color w:val="auto"/>
        </w:rPr>
      </w:pPr>
    </w:p>
    <w:p>
      <w:pPr>
        <w:ind w:right="2319" w:firstLine="956"/>
        <w:spacing w:after="0" w:line="235" w:lineRule="auto"/>
        <w:tabs>
          <w:tab w:leader="none" w:pos="1369"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EACH EXAMINING OR SUPERVISING AUTHORITY TO WHICH IT IS SUBJECT.</w:t>
      </w:r>
    </w:p>
    <w:p>
      <w:pPr>
        <w:spacing w:after="0" w:line="208" w:lineRule="exact"/>
        <w:rPr>
          <w:sz w:val="20"/>
          <w:szCs w:val="20"/>
          <w:color w:val="auto"/>
        </w:rPr>
      </w:pPr>
    </w:p>
    <w:p>
      <w:pPr>
        <w:ind w:left="1380" w:right="2099"/>
        <w:spacing w:after="0" w:line="235" w:lineRule="auto"/>
        <w:rPr>
          <w:sz w:val="20"/>
          <w:szCs w:val="20"/>
          <w:color w:val="auto"/>
        </w:rPr>
      </w:pPr>
      <w:r>
        <w:rPr>
          <w:rFonts w:ascii="Courier New" w:cs="Courier New" w:eastAsia="Courier New" w:hAnsi="Courier New"/>
          <w:sz w:val="18"/>
          <w:szCs w:val="18"/>
          <w:color w:val="auto"/>
        </w:rPr>
        <w:t>New York State Banking Department, State House, Albany, New York 12110.</w:t>
      </w:r>
    </w:p>
    <w:p>
      <w:pPr>
        <w:spacing w:after="0" w:line="208" w:lineRule="exact"/>
        <w:rPr>
          <w:sz w:val="20"/>
          <w:szCs w:val="20"/>
          <w:color w:val="auto"/>
        </w:rPr>
      </w:pPr>
    </w:p>
    <w:p>
      <w:pPr>
        <w:ind w:left="1380" w:right="1779"/>
        <w:spacing w:after="0" w:line="235" w:lineRule="auto"/>
        <w:rPr>
          <w:sz w:val="20"/>
          <w:szCs w:val="20"/>
          <w:color w:val="auto"/>
        </w:rPr>
      </w:pPr>
      <w:r>
        <w:rPr>
          <w:rFonts w:ascii="Courier New" w:cs="Courier New" w:eastAsia="Courier New" w:hAnsi="Courier New"/>
          <w:sz w:val="18"/>
          <w:szCs w:val="18"/>
          <w:color w:val="auto"/>
        </w:rPr>
        <w:t>Board of Governors of the Federal Reserve System, Washington, D.C., 20551.</w:t>
      </w:r>
    </w:p>
    <w:p>
      <w:pPr>
        <w:spacing w:after="0" w:line="208" w:lineRule="exact"/>
        <w:rPr>
          <w:sz w:val="20"/>
          <w:szCs w:val="20"/>
          <w:color w:val="auto"/>
        </w:rPr>
      </w:pPr>
    </w:p>
    <w:p>
      <w:pPr>
        <w:ind w:left="1380" w:right="2519"/>
        <w:spacing w:after="0" w:line="235" w:lineRule="auto"/>
        <w:rPr>
          <w:sz w:val="20"/>
          <w:szCs w:val="20"/>
          <w:color w:val="auto"/>
        </w:rPr>
      </w:pPr>
      <w:r>
        <w:rPr>
          <w:rFonts w:ascii="Courier New" w:cs="Courier New" w:eastAsia="Courier New" w:hAnsi="Courier New"/>
          <w:sz w:val="18"/>
          <w:szCs w:val="18"/>
          <w:color w:val="auto"/>
        </w:rPr>
        <w:t>Federal Reserve Bank of New York, District No. 2, 33 Liberty Street, New York, 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Federal Deposit Insurance Corporation, Washington, D.C., 20429.</w:t>
      </w:r>
    </w:p>
    <w:p>
      <w:pPr>
        <w:spacing w:after="0" w:line="207" w:lineRule="exact"/>
        <w:rPr>
          <w:sz w:val="20"/>
          <w:szCs w:val="20"/>
          <w:color w:val="auto"/>
        </w:rPr>
      </w:pPr>
    </w:p>
    <w:p>
      <w:pPr>
        <w:ind w:left="1380" w:right="2519" w:hanging="424"/>
        <w:spacing w:after="0" w:line="470" w:lineRule="auto"/>
        <w:tabs>
          <w:tab w:leader="none" w:pos="13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IT IS AUTHORIZED TO EXERCISE CORPORATE TRUST POWERS. Yes.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AFFILIATIONS WITH THE OBLIGOR AND GUARANTORS.</w:t>
      </w:r>
    </w:p>
    <w:p>
      <w:pPr>
        <w:spacing w:after="0" w:line="207"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IF THE OBLIGOR OR ANY GUARANTOR IS AN AFFILIATE OF THE TRUSTEE, DESCRIBE EACH SUCH AFFILIATION.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ITEMS 3 THROUGH 15, INCLUSIVE, ARE NOT APPLICABLE BY VIRTUE OF T-1 GENERAL INSTRUCTION 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LIST OF EXHIBITS</w:t>
      </w:r>
    </w:p>
    <w:p>
      <w:pPr>
        <w:spacing w:after="0" w:line="207" w:lineRule="exact"/>
        <w:rPr>
          <w:sz w:val="20"/>
          <w:szCs w:val="20"/>
          <w:color w:val="auto"/>
        </w:rPr>
      </w:pPr>
    </w:p>
    <w:p>
      <w:pPr>
        <w:ind w:right="2939" w:firstLine="948"/>
        <w:spacing w:after="0" w:line="235" w:lineRule="auto"/>
        <w:rPr>
          <w:sz w:val="20"/>
          <w:szCs w:val="20"/>
          <w:color w:val="auto"/>
        </w:rPr>
      </w:pPr>
      <w:r>
        <w:rPr>
          <w:rFonts w:ascii="Courier New" w:cs="Courier New" w:eastAsia="Courier New" w:hAnsi="Courier New"/>
          <w:sz w:val="18"/>
          <w:szCs w:val="18"/>
          <w:color w:val="auto"/>
        </w:rPr>
        <w:t>LIST BELOW ALL EXHIBITS FILED AS A PART OF THIS STATEMENT OF ELIGIBILITY.</w:t>
      </w:r>
    </w:p>
    <w:p>
      <w:pPr>
        <w:spacing w:after="0" w:line="208" w:lineRule="exact"/>
        <w:rPr>
          <w:sz w:val="20"/>
          <w:szCs w:val="20"/>
          <w:color w:val="auto"/>
        </w:rPr>
      </w:pPr>
    </w:p>
    <w:p>
      <w:pPr>
        <w:ind w:right="1779" w:firstLine="956"/>
        <w:spacing w:after="0" w:line="236" w:lineRule="auto"/>
        <w:tabs>
          <w:tab w:leader="none" w:pos="1264"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Restated Organization Certificate of the Trustee dated March 25, 1997 and the Certificate of Amendment dated October 22, 2001 (see Exhibit 1 to Form T-1 filed in connection with Registration Statement No.</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333-76894, which is incorporated by reference.)</w:t>
      </w:r>
    </w:p>
    <w:p>
      <w:pPr>
        <w:spacing w:after="0" w:line="207" w:lineRule="exact"/>
        <w:rPr>
          <w:rFonts w:ascii="Courier New" w:cs="Courier New" w:eastAsia="Courier New" w:hAnsi="Courier New"/>
          <w:sz w:val="18"/>
          <w:szCs w:val="18"/>
          <w:color w:val="auto"/>
        </w:rPr>
      </w:pPr>
    </w:p>
    <w:p>
      <w:pPr>
        <w:ind w:right="2099" w:firstLine="956"/>
        <w:spacing w:after="0" w:line="236" w:lineRule="auto"/>
        <w:tabs>
          <w:tab w:leader="none" w:pos="1264"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Certificate of Authority of the Trustee to Commence Business (see Exhibit 2 to Form T-1 filed in connection with Registration Statement No. 33-50010, which is</w:t>
      </w:r>
    </w:p>
    <w:p>
      <w:pPr>
        <w:sectPr>
          <w:pgSz w:w="11900" w:h="16838" w:orient="portrait"/>
          <w:cols w:equalWidth="0" w:num="1">
            <w:col w:w="10219"/>
          </w:cols>
          <w:pgMar w:left="240" w:top="520" w:right="1440" w:bottom="1440" w:gutter="0" w:footer="0" w:header="0"/>
        </w:sectPr>
      </w:pPr>
    </w:p>
    <w:bookmarkStart w:id="93" w:name="page94"/>
    <w:bookmarkEnd w:id="93"/>
    <w:p>
      <w:pPr>
        <w:ind w:left="2640"/>
        <w:spacing w:after="0"/>
        <w:rPr>
          <w:sz w:val="20"/>
          <w:szCs w:val="20"/>
          <w:color w:val="auto"/>
        </w:rPr>
      </w:pPr>
      <w:r>
        <w:rPr>
          <w:rFonts w:ascii="Courier New" w:cs="Courier New" w:eastAsia="Courier New" w:hAnsi="Courier New"/>
          <w:sz w:val="16"/>
          <w:szCs w:val="16"/>
          <w:color w:val="auto"/>
        </w:rPr>
        <w:t>Filed Pursuant to Registration Statement No. 333-_____</w:t>
      </w:r>
    </w:p>
    <w:p>
      <w:pPr>
        <w:spacing w:after="0" w:line="200" w:lineRule="exact"/>
        <w:rPr>
          <w:sz w:val="20"/>
          <w:szCs w:val="20"/>
          <w:color w:val="auto"/>
        </w:rPr>
      </w:pPr>
    </w:p>
    <w:p>
      <w:pPr>
        <w:spacing w:after="0" w:line="22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incorporated by reference). On November 11, 2001, in connection with the merger of The Chase Manhattan Bank and Morgan Guaranty Trust Company of New York, the surviving corporation was renamed JPMorgan Chase Bank.</w:t>
      </w:r>
    </w:p>
    <w:p>
      <w:pPr>
        <w:spacing w:after="0" w:line="209" w:lineRule="exact"/>
        <w:rPr>
          <w:sz w:val="20"/>
          <w:szCs w:val="20"/>
          <w:color w:val="auto"/>
        </w:rPr>
      </w:pPr>
    </w:p>
    <w:p>
      <w:pPr>
        <w:ind w:right="2619" w:firstLine="956"/>
        <w:spacing w:after="0" w:line="235" w:lineRule="auto"/>
        <w:tabs>
          <w:tab w:leader="none" w:pos="1264"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authorization to exercise corporate trust powers being contained in the documents identified above as Exhibits 1 and 2.</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264"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existing By-Laws of the Trustee (see Exhibit 4 to Form T-1 filed in connection with Registration Statement No. 333-76894, which is incorporated by reference.)</w:t>
      </w:r>
    </w:p>
    <w:p>
      <w:pPr>
        <w:spacing w:after="0" w:line="203"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right="1779" w:firstLine="956"/>
        <w:spacing w:after="0" w:line="273" w:lineRule="auto"/>
        <w:tabs>
          <w:tab w:leader="none" w:pos="126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consent of the Trustee required by Section 321(b) of the Act (see Exhibit 6 to Form T-1 filed in connection with Registration Statement No. 33-50010, which is incorporated by reference). On November 11, 2001, in connection with the merger of The Chase Manhattan Bank and Morgan Guaranty Trust Company of New York, the surviving corporation was renamed JPMorgan Chase Bank.</w:t>
      </w:r>
    </w:p>
    <w:p>
      <w:pPr>
        <w:spacing w:after="0" w:line="184" w:lineRule="exact"/>
        <w:rPr>
          <w:rFonts w:ascii="Courier New" w:cs="Courier New" w:eastAsia="Courier New" w:hAnsi="Courier New"/>
          <w:sz w:val="16"/>
          <w:szCs w:val="16"/>
          <w:color w:val="auto"/>
        </w:rPr>
      </w:pPr>
    </w:p>
    <w:p>
      <w:pPr>
        <w:jc w:val="both"/>
        <w:ind w:right="1999" w:firstLine="956"/>
        <w:spacing w:after="0" w:line="290" w:lineRule="auto"/>
        <w:tabs>
          <w:tab w:leader="none" w:pos="126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latest report of condition of the Trustee, published pursuant to law or the requirements of its supervising or examining authority.</w:t>
      </w:r>
    </w:p>
    <w:p>
      <w:pPr>
        <w:spacing w:after="0" w:line="164" w:lineRule="exact"/>
        <w:rPr>
          <w:rFonts w:ascii="Courier New" w:cs="Courier New" w:eastAsia="Courier New" w:hAnsi="Courier New"/>
          <w:sz w:val="16"/>
          <w:szCs w:val="16"/>
          <w:color w:val="auto"/>
        </w:rPr>
      </w:pPr>
    </w:p>
    <w:p>
      <w:pPr>
        <w:ind w:left="1280" w:hanging="324"/>
        <w:spacing w:after="0"/>
        <w:tabs>
          <w:tab w:leader="none" w:pos="128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Trust Indenture Act of 1939 the Trustee, JPMorgan Chase Bank, a corporation organized and existing under the laws of the State of New York, has duly caused this statement of eligibility to be signed on its behalf by the undersigned, thereunto duly authorized, all in the City of Houston and State of Texas, on the 1st day of August, 2002.</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JPMORGAN CHASE BANK</w:t>
      </w:r>
    </w:p>
    <w:p>
      <w:pPr>
        <w:spacing w:after="0" w:line="201"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Rebecca A. Newman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Rebecca A. Newman</w:t>
      </w:r>
    </w:p>
    <w:p>
      <w:pPr>
        <w:ind w:left="4540"/>
        <w:spacing w:after="0" w:line="238" w:lineRule="auto"/>
        <w:rPr>
          <w:sz w:val="20"/>
          <w:szCs w:val="20"/>
          <w:color w:val="auto"/>
        </w:rPr>
      </w:pPr>
      <w:r>
        <w:rPr>
          <w:rFonts w:ascii="Courier New" w:cs="Courier New" w:eastAsia="Courier New" w:hAnsi="Courier New"/>
          <w:sz w:val="18"/>
          <w:szCs w:val="18"/>
          <w:color w:val="auto"/>
        </w:rPr>
        <w:t>Vice President and Trust Officer</w:t>
      </w:r>
    </w:p>
    <w:p>
      <w:pPr>
        <w:sectPr>
          <w:pgSz w:w="11900" w:h="16838" w:orient="portrait"/>
          <w:cols w:equalWidth="0" w:num="1">
            <w:col w:w="10219"/>
          </w:cols>
          <w:pgMar w:left="240" w:top="520" w:right="1440" w:bottom="1440" w:gutter="0" w:footer="0" w:header="0"/>
        </w:sectPr>
      </w:pPr>
    </w:p>
    <w:bookmarkStart w:id="94" w:name="page95"/>
    <w:bookmarkEnd w:id="94"/>
    <w:p>
      <w:pPr>
        <w:ind w:left="3160"/>
        <w:spacing w:after="0"/>
        <w:rPr>
          <w:sz w:val="20"/>
          <w:szCs w:val="20"/>
          <w:color w:val="auto"/>
        </w:rPr>
      </w:pPr>
      <w:r>
        <w:rPr>
          <w:rFonts w:ascii="Courier New" w:cs="Courier New" w:eastAsia="Courier New" w:hAnsi="Courier New"/>
          <w:sz w:val="18"/>
          <w:szCs w:val="18"/>
          <w:color w:val="auto"/>
        </w:rPr>
        <w:t>Exhibit 7 to Form T-1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Bank Call Notice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RESERVE DISTRICT NO. 2</w:t>
      </w:r>
    </w:p>
    <w:p>
      <w:pPr>
        <w:ind w:left="2440"/>
        <w:spacing w:after="0" w:line="238" w:lineRule="auto"/>
        <w:rPr>
          <w:sz w:val="20"/>
          <w:szCs w:val="20"/>
          <w:color w:val="auto"/>
        </w:rPr>
      </w:pPr>
      <w:r>
        <w:rPr>
          <w:rFonts w:ascii="Courier New" w:cs="Courier New" w:eastAsia="Courier New" w:hAnsi="Courier New"/>
          <w:sz w:val="18"/>
          <w:szCs w:val="18"/>
          <w:color w:val="auto"/>
        </w:rPr>
        <w:t>CONSOLIDATED REPORT OF CONDITION OF</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JPMorgan Chase Bank</w:t>
      </w:r>
    </w:p>
    <w:p>
      <w:pPr>
        <w:ind w:left="1900"/>
        <w:spacing w:after="0" w:line="238" w:lineRule="auto"/>
        <w:rPr>
          <w:sz w:val="20"/>
          <w:szCs w:val="20"/>
          <w:color w:val="auto"/>
        </w:rPr>
      </w:pPr>
      <w:r>
        <w:rPr>
          <w:rFonts w:ascii="Courier New" w:cs="Courier New" w:eastAsia="Courier New" w:hAnsi="Courier New"/>
          <w:sz w:val="18"/>
          <w:szCs w:val="18"/>
          <w:color w:val="auto"/>
        </w:rPr>
        <w:t>of 270 Park Avenue, New York, New York 10017</w:t>
      </w:r>
    </w:p>
    <w:p>
      <w:pPr>
        <w:ind w:left="2220"/>
        <w:spacing w:after="0"/>
        <w:rPr>
          <w:sz w:val="20"/>
          <w:szCs w:val="20"/>
          <w:color w:val="auto"/>
        </w:rPr>
      </w:pPr>
      <w:r>
        <w:rPr>
          <w:rFonts w:ascii="Courier New" w:cs="Courier New" w:eastAsia="Courier New" w:hAnsi="Courier New"/>
          <w:sz w:val="18"/>
          <w:szCs w:val="18"/>
          <w:color w:val="auto"/>
        </w:rPr>
        <w:t>and Foreign and Domestic Subsidiaries,</w:t>
      </w:r>
    </w:p>
    <w:p>
      <w:pPr>
        <w:ind w:left="2220"/>
        <w:spacing w:after="0" w:line="237" w:lineRule="auto"/>
        <w:rPr>
          <w:sz w:val="20"/>
          <w:szCs w:val="20"/>
          <w:color w:val="auto"/>
        </w:rPr>
      </w:pPr>
      <w:r>
        <w:rPr>
          <w:rFonts w:ascii="Courier New" w:cs="Courier New" w:eastAsia="Courier New" w:hAnsi="Courier New"/>
          <w:sz w:val="18"/>
          <w:szCs w:val="18"/>
          <w:color w:val="auto"/>
        </w:rPr>
        <w:t>a member of the Federal Reserve System,</w:t>
      </w:r>
    </w:p>
    <w:p>
      <w:pPr>
        <w:ind w:left="2000"/>
        <w:spacing w:after="0" w:line="238" w:lineRule="auto"/>
        <w:rPr>
          <w:sz w:val="20"/>
          <w:szCs w:val="20"/>
          <w:color w:val="auto"/>
        </w:rPr>
      </w:pPr>
      <w:r>
        <w:rPr>
          <w:rFonts w:ascii="Courier New" w:cs="Courier New" w:eastAsia="Courier New" w:hAnsi="Courier New"/>
          <w:sz w:val="18"/>
          <w:szCs w:val="18"/>
          <w:color w:val="auto"/>
        </w:rPr>
        <w:t>at the close of business March 31, 2002, in</w:t>
      </w:r>
    </w:p>
    <w:p>
      <w:pPr>
        <w:ind w:left="860"/>
        <w:spacing w:after="0"/>
        <w:rPr>
          <w:sz w:val="20"/>
          <w:szCs w:val="20"/>
          <w:color w:val="auto"/>
        </w:rPr>
      </w:pPr>
      <w:r>
        <w:rPr>
          <w:rFonts w:ascii="Courier New" w:cs="Courier New" w:eastAsia="Courier New" w:hAnsi="Courier New"/>
          <w:sz w:val="18"/>
          <w:szCs w:val="18"/>
          <w:color w:val="auto"/>
        </w:rPr>
        <w:t>accordance with a call made by the Federal Reserve Bank of this</w:t>
      </w:r>
    </w:p>
    <w:p>
      <w:pPr>
        <w:ind w:left="860"/>
        <w:spacing w:after="0" w:line="237" w:lineRule="auto"/>
        <w:rPr>
          <w:sz w:val="20"/>
          <w:szCs w:val="20"/>
          <w:color w:val="auto"/>
        </w:rPr>
      </w:pPr>
      <w:r>
        <w:rPr>
          <w:rFonts w:ascii="Courier New" w:cs="Courier New" w:eastAsia="Courier New" w:hAnsi="Courier New"/>
          <w:sz w:val="18"/>
          <w:szCs w:val="18"/>
          <w:color w:val="auto"/>
        </w:rPr>
        <w:t>District pursuant to the provisions of the Federal Reserve 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DOLLAR AMOUNTS</w:t>
      </w:r>
    </w:p>
    <w:p>
      <w:pPr>
        <w:ind w:left="2220"/>
        <w:spacing w:after="0"/>
        <w:tabs>
          <w:tab w:leader="none" w:pos="6720" w:val="left"/>
        </w:tabs>
        <w:rPr>
          <w:sz w:val="20"/>
          <w:szCs w:val="20"/>
          <w:color w:val="auto"/>
        </w:rPr>
      </w:pPr>
      <w:r>
        <w:rPr>
          <w:rFonts w:ascii="Courier New" w:cs="Courier New" w:eastAsia="Courier New" w:hAnsi="Courier New"/>
          <w:sz w:val="18"/>
          <w:szCs w:val="18"/>
          <w:color w:val="auto"/>
        </w:rPr>
        <w:t>ASSETS</w:t>
      </w:r>
      <w:r>
        <w:rPr>
          <w:sz w:val="20"/>
          <w:szCs w:val="20"/>
          <w:color w:val="auto"/>
        </w:rPr>
        <w:tab/>
      </w:r>
      <w:r>
        <w:rPr>
          <w:rFonts w:ascii="Courier New" w:cs="Courier New" w:eastAsia="Courier New" w:hAnsi="Courier New"/>
          <w:sz w:val="16"/>
          <w:szCs w:val="16"/>
          <w:color w:val="auto"/>
        </w:rPr>
        <w:t>IN MILLIONS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balances due from depository institutions:</w:t>
      </w:r>
    </w:p>
    <w:p>
      <w:pPr>
        <w:ind w:left="420"/>
        <w:spacing w:after="0" w:line="238" w:lineRule="auto"/>
        <w:rPr>
          <w:sz w:val="20"/>
          <w:szCs w:val="20"/>
          <w:color w:val="auto"/>
        </w:rPr>
      </w:pPr>
      <w:r>
        <w:rPr>
          <w:rFonts w:ascii="Courier New" w:cs="Courier New" w:eastAsia="Courier New" w:hAnsi="Courier New"/>
          <w:sz w:val="18"/>
          <w:szCs w:val="18"/>
          <w:color w:val="auto"/>
        </w:rPr>
        <w:t>Noninterest-bearing balances and</w:t>
      </w:r>
    </w:p>
    <w:p>
      <w:pPr>
        <w:ind w:left="540"/>
        <w:spacing w:after="0"/>
        <w:tabs>
          <w:tab w:leader="dot" w:pos="6840" w:val="left"/>
        </w:tabs>
        <w:rPr>
          <w:sz w:val="20"/>
          <w:szCs w:val="20"/>
          <w:color w:val="auto"/>
        </w:rPr>
      </w:pPr>
      <w:r>
        <w:rPr>
          <w:rFonts w:ascii="Courier New" w:cs="Courier New" w:eastAsia="Courier New" w:hAnsi="Courier New"/>
          <w:sz w:val="18"/>
          <w:szCs w:val="18"/>
          <w:color w:val="auto"/>
        </w:rPr>
        <w:t>currency and coin</w:t>
      </w:r>
      <w:r>
        <w:rPr>
          <w:sz w:val="20"/>
          <w:szCs w:val="20"/>
          <w:color w:val="auto"/>
        </w:rPr>
        <w:tab/>
      </w:r>
      <w:r>
        <w:rPr>
          <w:rFonts w:ascii="Courier New" w:cs="Courier New" w:eastAsia="Courier New" w:hAnsi="Courier New"/>
          <w:sz w:val="16"/>
          <w:szCs w:val="16"/>
          <w:color w:val="auto"/>
        </w:rPr>
        <w:t>$ 22,028</w:t>
      </w:r>
    </w:p>
    <w:p>
      <w:pPr>
        <w:ind w:left="420"/>
        <w:spacing w:after="0"/>
        <w:tabs>
          <w:tab w:leader="dot" w:pos="7160" w:val="left"/>
        </w:tabs>
        <w:rPr>
          <w:sz w:val="20"/>
          <w:szCs w:val="20"/>
          <w:color w:val="auto"/>
        </w:rPr>
      </w:pPr>
      <w:r>
        <w:rPr>
          <w:rFonts w:ascii="Courier New" w:cs="Courier New" w:eastAsia="Courier New" w:hAnsi="Courier New"/>
          <w:sz w:val="18"/>
          <w:szCs w:val="18"/>
          <w:color w:val="auto"/>
        </w:rPr>
        <w:t>Interest-bearing balances</w:t>
      </w:r>
      <w:r>
        <w:rPr>
          <w:sz w:val="20"/>
          <w:szCs w:val="20"/>
          <w:color w:val="auto"/>
        </w:rPr>
        <w:tab/>
      </w:r>
      <w:r>
        <w:rPr>
          <w:rFonts w:ascii="Courier New" w:cs="Courier New" w:eastAsia="Courier New" w:hAnsi="Courier New"/>
          <w:sz w:val="16"/>
          <w:szCs w:val="16"/>
          <w:color w:val="auto"/>
        </w:rPr>
        <w:t>9,189</w:t>
      </w:r>
    </w:p>
    <w:p>
      <w:pPr>
        <w:spacing w:after="0" w:line="238" w:lineRule="auto"/>
        <w:rPr>
          <w:sz w:val="20"/>
          <w:szCs w:val="20"/>
          <w:color w:val="auto"/>
        </w:rPr>
      </w:pPr>
      <w:r>
        <w:rPr>
          <w:rFonts w:ascii="Courier New" w:cs="Courier New" w:eastAsia="Courier New" w:hAnsi="Courier New"/>
          <w:sz w:val="18"/>
          <w:szCs w:val="18"/>
          <w:color w:val="auto"/>
        </w:rPr>
        <w:t>Securities:</w:t>
      </w:r>
    </w:p>
    <w:p>
      <w:pPr>
        <w:spacing w:after="0"/>
        <w:tabs>
          <w:tab w:leader="dot" w:pos="7360" w:val="left"/>
        </w:tabs>
        <w:rPr>
          <w:sz w:val="20"/>
          <w:szCs w:val="20"/>
          <w:color w:val="auto"/>
        </w:rPr>
      </w:pPr>
      <w:r>
        <w:rPr>
          <w:rFonts w:ascii="Courier New" w:cs="Courier New" w:eastAsia="Courier New" w:hAnsi="Courier New"/>
          <w:sz w:val="18"/>
          <w:szCs w:val="18"/>
          <w:color w:val="auto"/>
        </w:rPr>
        <w:t>Held to maturity securities</w:t>
      </w:r>
      <w:r>
        <w:rPr>
          <w:sz w:val="20"/>
          <w:szCs w:val="20"/>
          <w:color w:val="auto"/>
        </w:rPr>
        <w:tab/>
      </w:r>
      <w:r>
        <w:rPr>
          <w:rFonts w:ascii="Courier New" w:cs="Courier New" w:eastAsia="Courier New" w:hAnsi="Courier New"/>
          <w:sz w:val="16"/>
          <w:szCs w:val="16"/>
          <w:color w:val="auto"/>
        </w:rPr>
        <w:t>428</w:t>
      </w:r>
    </w:p>
    <w:p>
      <w:pPr>
        <w:spacing w:after="0"/>
        <w:tabs>
          <w:tab w:leader="dot" w:pos="7040" w:val="left"/>
        </w:tabs>
        <w:rPr>
          <w:sz w:val="20"/>
          <w:szCs w:val="20"/>
          <w:color w:val="auto"/>
        </w:rPr>
      </w:pPr>
      <w:r>
        <w:rPr>
          <w:rFonts w:ascii="Courier New" w:cs="Courier New" w:eastAsia="Courier New" w:hAnsi="Courier New"/>
          <w:sz w:val="18"/>
          <w:szCs w:val="18"/>
          <w:color w:val="auto"/>
        </w:rPr>
        <w:t>Available for sale securities</w:t>
      </w:r>
      <w:r>
        <w:rPr>
          <w:sz w:val="20"/>
          <w:szCs w:val="20"/>
          <w:color w:val="auto"/>
        </w:rPr>
        <w:tab/>
      </w:r>
      <w:r>
        <w:rPr>
          <w:rFonts w:ascii="Courier New" w:cs="Courier New" w:eastAsia="Courier New" w:hAnsi="Courier New"/>
          <w:sz w:val="16"/>
          <w:szCs w:val="16"/>
          <w:color w:val="auto"/>
        </w:rPr>
        <w:t>56,159</w:t>
      </w:r>
    </w:p>
    <w:p>
      <w:pPr>
        <w:spacing w:after="0"/>
        <w:rPr>
          <w:sz w:val="20"/>
          <w:szCs w:val="20"/>
          <w:color w:val="auto"/>
        </w:rPr>
      </w:pPr>
      <w:r>
        <w:rPr>
          <w:rFonts w:ascii="Courier New" w:cs="Courier New" w:eastAsia="Courier New" w:hAnsi="Courier New"/>
          <w:sz w:val="18"/>
          <w:szCs w:val="18"/>
          <w:color w:val="auto"/>
        </w:rPr>
        <w:t>Federal funds sold and securities purchased under</w:t>
      </w:r>
    </w:p>
    <w:p>
      <w:pPr>
        <w:ind w:left="220"/>
        <w:spacing w:after="0"/>
        <w:tabs>
          <w:tab w:leader="none" w:pos="2420" w:val="left"/>
        </w:tabs>
        <w:rPr>
          <w:sz w:val="20"/>
          <w:szCs w:val="20"/>
          <w:color w:val="auto"/>
        </w:rPr>
      </w:pPr>
      <w:r>
        <w:rPr>
          <w:rFonts w:ascii="Courier New" w:cs="Courier New" w:eastAsia="Courier New" w:hAnsi="Courier New"/>
          <w:sz w:val="18"/>
          <w:szCs w:val="18"/>
          <w:color w:val="auto"/>
        </w:rPr>
        <w:t>agreements to resell</w:t>
      </w:r>
      <w:r>
        <w:rPr>
          <w:sz w:val="20"/>
          <w:szCs w:val="20"/>
          <w:color w:val="auto"/>
        </w:rPr>
        <w:tab/>
      </w:r>
      <w:r>
        <w:rPr>
          <w:rFonts w:ascii="Courier New" w:cs="Courier New" w:eastAsia="Courier New" w:hAnsi="Courier New"/>
          <w:sz w:val="16"/>
          <w:szCs w:val="16"/>
          <w:color w:val="auto"/>
        </w:rPr>
        <w:t>......................................</w:t>
      </w:r>
    </w:p>
    <w:p>
      <w:pPr>
        <w:ind w:left="420"/>
        <w:spacing w:after="0"/>
        <w:tabs>
          <w:tab w:leader="dot" w:pos="7160" w:val="left"/>
        </w:tabs>
        <w:rPr>
          <w:sz w:val="20"/>
          <w:szCs w:val="20"/>
          <w:color w:val="auto"/>
        </w:rPr>
      </w:pPr>
      <w:r>
        <w:rPr>
          <w:rFonts w:ascii="Courier New" w:cs="Courier New" w:eastAsia="Courier New" w:hAnsi="Courier New"/>
          <w:sz w:val="18"/>
          <w:szCs w:val="18"/>
          <w:color w:val="auto"/>
        </w:rPr>
        <w:t>Federal funds sold in domestic offices</w:t>
      </w:r>
      <w:r>
        <w:rPr>
          <w:sz w:val="20"/>
          <w:szCs w:val="20"/>
          <w:color w:val="auto"/>
        </w:rPr>
        <w:tab/>
      </w:r>
      <w:r>
        <w:rPr>
          <w:rFonts w:ascii="Courier New" w:cs="Courier New" w:eastAsia="Courier New" w:hAnsi="Courier New"/>
          <w:sz w:val="16"/>
          <w:szCs w:val="16"/>
          <w:color w:val="auto"/>
        </w:rPr>
        <w:t>1,901</w:t>
      </w:r>
    </w:p>
    <w:p>
      <w:pPr>
        <w:ind w:left="420"/>
        <w:spacing w:after="0"/>
        <w:tabs>
          <w:tab w:leader="dot" w:pos="7040" w:val="left"/>
        </w:tabs>
        <w:rPr>
          <w:sz w:val="20"/>
          <w:szCs w:val="20"/>
          <w:color w:val="auto"/>
        </w:rPr>
      </w:pPr>
      <w:r>
        <w:rPr>
          <w:rFonts w:ascii="Courier New" w:cs="Courier New" w:eastAsia="Courier New" w:hAnsi="Courier New"/>
          <w:sz w:val="18"/>
          <w:szCs w:val="18"/>
          <w:color w:val="auto"/>
        </w:rPr>
        <w:t>Securities purchased under agreements to resell</w:t>
      </w:r>
      <w:r>
        <w:rPr>
          <w:sz w:val="20"/>
          <w:szCs w:val="20"/>
          <w:color w:val="auto"/>
        </w:rPr>
        <w:tab/>
      </w:r>
      <w:r>
        <w:rPr>
          <w:rFonts w:ascii="Courier New" w:cs="Courier New" w:eastAsia="Courier New" w:hAnsi="Courier New"/>
          <w:sz w:val="16"/>
          <w:szCs w:val="16"/>
          <w:color w:val="auto"/>
        </w:rPr>
        <w:t>69,260</w:t>
      </w:r>
    </w:p>
    <w:p>
      <w:pPr>
        <w:spacing w:after="0" w:line="238" w:lineRule="auto"/>
        <w:rPr>
          <w:sz w:val="20"/>
          <w:szCs w:val="20"/>
          <w:color w:val="auto"/>
        </w:rPr>
      </w:pPr>
      <w:r>
        <w:rPr>
          <w:rFonts w:ascii="Courier New" w:cs="Courier New" w:eastAsia="Courier New" w:hAnsi="Courier New"/>
          <w:sz w:val="18"/>
          <w:szCs w:val="18"/>
          <w:color w:val="auto"/>
        </w:rPr>
        <w:t>Loans and lease financing receivables:</w:t>
      </w:r>
    </w:p>
    <w:p>
      <w:pPr>
        <w:ind w:left="420"/>
        <w:spacing w:after="0"/>
        <w:tabs>
          <w:tab w:leader="dot" w:pos="7040" w:val="left"/>
        </w:tabs>
        <w:rPr>
          <w:sz w:val="20"/>
          <w:szCs w:val="20"/>
          <w:color w:val="auto"/>
        </w:rPr>
      </w:pPr>
      <w:r>
        <w:rPr>
          <w:rFonts w:ascii="Courier New" w:cs="Courier New" w:eastAsia="Courier New" w:hAnsi="Courier New"/>
          <w:sz w:val="18"/>
          <w:szCs w:val="18"/>
          <w:color w:val="auto"/>
        </w:rPr>
        <w:t>Loans and leases held for sale</w:t>
      </w:r>
      <w:r>
        <w:rPr>
          <w:sz w:val="20"/>
          <w:szCs w:val="20"/>
          <w:color w:val="auto"/>
        </w:rPr>
        <w:tab/>
      </w:r>
      <w:r>
        <w:rPr>
          <w:rFonts w:ascii="Courier New" w:cs="Courier New" w:eastAsia="Courier New" w:hAnsi="Courier New"/>
          <w:sz w:val="16"/>
          <w:szCs w:val="16"/>
          <w:color w:val="auto"/>
        </w:rPr>
        <w:t>13,042</w:t>
      </w:r>
    </w:p>
    <w:p>
      <w:pPr>
        <w:ind w:left="420"/>
        <w:spacing w:after="0"/>
        <w:tabs>
          <w:tab w:leader="dot" w:pos="6840" w:val="left"/>
        </w:tabs>
        <w:rPr>
          <w:sz w:val="20"/>
          <w:szCs w:val="20"/>
          <w:color w:val="auto"/>
        </w:rPr>
      </w:pPr>
      <w:r>
        <w:rPr>
          <w:rFonts w:ascii="Courier New" w:cs="Courier New" w:eastAsia="Courier New" w:hAnsi="Courier New"/>
          <w:sz w:val="18"/>
          <w:szCs w:val="18"/>
          <w:color w:val="auto"/>
        </w:rPr>
        <w:t>Loans and leases, net of unearned income</w:t>
      </w:r>
      <w:r>
        <w:rPr>
          <w:sz w:val="20"/>
          <w:szCs w:val="20"/>
          <w:color w:val="auto"/>
        </w:rPr>
        <w:tab/>
      </w:r>
      <w:r>
        <w:rPr>
          <w:rFonts w:ascii="Courier New" w:cs="Courier New" w:eastAsia="Courier New" w:hAnsi="Courier New"/>
          <w:sz w:val="16"/>
          <w:szCs w:val="16"/>
          <w:color w:val="auto"/>
        </w:rPr>
        <w:t>$165,950</w:t>
      </w:r>
    </w:p>
    <w:p>
      <w:pPr>
        <w:ind w:left="420"/>
        <w:spacing w:after="0"/>
        <w:tabs>
          <w:tab w:leader="dot" w:pos="7160" w:val="left"/>
        </w:tabs>
        <w:rPr>
          <w:sz w:val="20"/>
          <w:szCs w:val="20"/>
          <w:color w:val="auto"/>
        </w:rPr>
      </w:pPr>
      <w:r>
        <w:rPr>
          <w:rFonts w:ascii="Courier New" w:cs="Courier New" w:eastAsia="Courier New" w:hAnsi="Courier New"/>
          <w:sz w:val="18"/>
          <w:szCs w:val="18"/>
          <w:color w:val="auto"/>
        </w:rPr>
        <w:t>Less: Allowance for loan and lease losses</w:t>
      </w:r>
      <w:r>
        <w:rPr>
          <w:sz w:val="20"/>
          <w:szCs w:val="20"/>
          <w:color w:val="auto"/>
        </w:rPr>
        <w:tab/>
      </w:r>
      <w:r>
        <w:rPr>
          <w:rFonts w:ascii="Courier New" w:cs="Courier New" w:eastAsia="Courier New" w:hAnsi="Courier New"/>
          <w:sz w:val="16"/>
          <w:szCs w:val="16"/>
          <w:color w:val="auto"/>
        </w:rPr>
        <w:t>3,284</w:t>
      </w:r>
    </w:p>
    <w:p>
      <w:pPr>
        <w:ind w:left="420"/>
        <w:spacing w:after="0" w:line="237" w:lineRule="auto"/>
        <w:rPr>
          <w:sz w:val="20"/>
          <w:szCs w:val="20"/>
          <w:color w:val="auto"/>
        </w:rPr>
      </w:pPr>
      <w:r>
        <w:rPr>
          <w:rFonts w:ascii="Courier New" w:cs="Courier New" w:eastAsia="Courier New" w:hAnsi="Courier New"/>
          <w:sz w:val="18"/>
          <w:szCs w:val="18"/>
          <w:color w:val="auto"/>
        </w:rPr>
        <w:t>Loans and leases, net of unearned income and</w:t>
      </w:r>
    </w:p>
    <w:p>
      <w:pPr>
        <w:ind w:left="540"/>
        <w:spacing w:after="0"/>
        <w:tabs>
          <w:tab w:leader="dot" w:pos="6940" w:val="left"/>
        </w:tabs>
        <w:rPr>
          <w:sz w:val="20"/>
          <w:szCs w:val="20"/>
          <w:color w:val="auto"/>
        </w:rPr>
      </w:pPr>
      <w:r>
        <w:rPr>
          <w:rFonts w:ascii="Courier New" w:cs="Courier New" w:eastAsia="Courier New" w:hAnsi="Courier New"/>
          <w:sz w:val="18"/>
          <w:szCs w:val="18"/>
          <w:color w:val="auto"/>
        </w:rPr>
        <w:t>allowance</w:t>
      </w:r>
      <w:r>
        <w:rPr>
          <w:sz w:val="20"/>
          <w:szCs w:val="20"/>
          <w:color w:val="auto"/>
        </w:rPr>
        <w:tab/>
      </w:r>
      <w:r>
        <w:rPr>
          <w:rFonts w:ascii="Courier New" w:cs="Courier New" w:eastAsia="Courier New" w:hAnsi="Courier New"/>
          <w:sz w:val="16"/>
          <w:szCs w:val="16"/>
          <w:color w:val="auto"/>
        </w:rPr>
        <w:t>162,666</w:t>
      </w:r>
    </w:p>
    <w:p>
      <w:pPr>
        <w:spacing w:after="0"/>
        <w:tabs>
          <w:tab w:leader="dot" w:pos="6940" w:val="left"/>
        </w:tabs>
        <w:rPr>
          <w:sz w:val="20"/>
          <w:szCs w:val="20"/>
          <w:color w:val="auto"/>
        </w:rPr>
      </w:pPr>
      <w:r>
        <w:rPr>
          <w:rFonts w:ascii="Courier New" w:cs="Courier New" w:eastAsia="Courier New" w:hAnsi="Courier New"/>
          <w:sz w:val="18"/>
          <w:szCs w:val="18"/>
          <w:color w:val="auto"/>
        </w:rPr>
        <w:t>Trading Assets</w:t>
      </w:r>
      <w:r>
        <w:rPr>
          <w:sz w:val="20"/>
          <w:szCs w:val="20"/>
          <w:color w:val="auto"/>
        </w:rPr>
        <w:tab/>
      </w:r>
      <w:r>
        <w:rPr>
          <w:rFonts w:ascii="Courier New" w:cs="Courier New" w:eastAsia="Courier New" w:hAnsi="Courier New"/>
          <w:sz w:val="16"/>
          <w:szCs w:val="16"/>
          <w:color w:val="auto"/>
        </w:rPr>
        <w:t>152,633</w:t>
      </w:r>
    </w:p>
    <w:p>
      <w:pPr>
        <w:spacing w:after="0"/>
        <w:tabs>
          <w:tab w:leader="dot" w:pos="7160" w:val="left"/>
        </w:tabs>
        <w:rPr>
          <w:sz w:val="20"/>
          <w:szCs w:val="20"/>
          <w:color w:val="auto"/>
        </w:rPr>
      </w:pPr>
      <w:r>
        <w:rPr>
          <w:rFonts w:ascii="Courier New" w:cs="Courier New" w:eastAsia="Courier New" w:hAnsi="Courier New"/>
          <w:sz w:val="18"/>
          <w:szCs w:val="18"/>
          <w:color w:val="auto"/>
        </w:rPr>
        <w:t>Premises and fixed assets (including capitalized leases)</w:t>
      </w:r>
      <w:r>
        <w:rPr>
          <w:sz w:val="20"/>
          <w:szCs w:val="20"/>
          <w:color w:val="auto"/>
        </w:rPr>
        <w:tab/>
      </w:r>
      <w:r>
        <w:rPr>
          <w:rFonts w:ascii="Courier New" w:cs="Courier New" w:eastAsia="Courier New" w:hAnsi="Courier New"/>
          <w:sz w:val="16"/>
          <w:szCs w:val="16"/>
          <w:color w:val="auto"/>
        </w:rPr>
        <w:t>5,737</w:t>
      </w:r>
    </w:p>
    <w:p>
      <w:pPr>
        <w:spacing w:after="0"/>
        <w:tabs>
          <w:tab w:leader="dot" w:pos="7460" w:val="left"/>
        </w:tabs>
        <w:rPr>
          <w:sz w:val="20"/>
          <w:szCs w:val="20"/>
          <w:color w:val="auto"/>
        </w:rPr>
      </w:pPr>
      <w:r>
        <w:rPr>
          <w:rFonts w:ascii="Courier New" w:cs="Courier New" w:eastAsia="Courier New" w:hAnsi="Courier New"/>
          <w:sz w:val="18"/>
          <w:szCs w:val="18"/>
          <w:color w:val="auto"/>
        </w:rPr>
        <w:t>Other real estate owned</w:t>
      </w:r>
      <w:r>
        <w:rPr>
          <w:sz w:val="20"/>
          <w:szCs w:val="20"/>
          <w:color w:val="auto"/>
        </w:rPr>
        <w:tab/>
      </w:r>
      <w:r>
        <w:rPr>
          <w:rFonts w:ascii="Courier New" w:cs="Courier New" w:eastAsia="Courier New" w:hAnsi="Courier New"/>
          <w:sz w:val="18"/>
          <w:szCs w:val="18"/>
          <w:color w:val="auto"/>
        </w:rPr>
        <w:t>43</w:t>
      </w:r>
    </w:p>
    <w:p>
      <w:pPr>
        <w:spacing w:after="0" w:line="237" w:lineRule="auto"/>
        <w:rPr>
          <w:sz w:val="20"/>
          <w:szCs w:val="20"/>
          <w:color w:val="auto"/>
        </w:rPr>
      </w:pPr>
      <w:r>
        <w:rPr>
          <w:rFonts w:ascii="Courier New" w:cs="Courier New" w:eastAsia="Courier New" w:hAnsi="Courier New"/>
          <w:sz w:val="18"/>
          <w:szCs w:val="18"/>
          <w:color w:val="auto"/>
        </w:rPr>
        <w:t>Investments in unconsolidated subsidiaries and</w:t>
      </w:r>
    </w:p>
    <w:p>
      <w:pPr>
        <w:ind w:left="220"/>
        <w:spacing w:after="0"/>
        <w:tabs>
          <w:tab w:leader="dot" w:pos="7360" w:val="left"/>
        </w:tabs>
        <w:rPr>
          <w:sz w:val="20"/>
          <w:szCs w:val="20"/>
          <w:color w:val="auto"/>
        </w:rPr>
      </w:pPr>
      <w:r>
        <w:rPr>
          <w:rFonts w:ascii="Courier New" w:cs="Courier New" w:eastAsia="Courier New" w:hAnsi="Courier New"/>
          <w:sz w:val="18"/>
          <w:szCs w:val="18"/>
          <w:color w:val="auto"/>
        </w:rPr>
        <w:t>associated companies</w:t>
      </w:r>
      <w:r>
        <w:rPr>
          <w:sz w:val="20"/>
          <w:szCs w:val="20"/>
          <w:color w:val="auto"/>
        </w:rPr>
        <w:tab/>
      </w:r>
      <w:r>
        <w:rPr>
          <w:rFonts w:ascii="Courier New" w:cs="Courier New" w:eastAsia="Courier New" w:hAnsi="Courier New"/>
          <w:sz w:val="16"/>
          <w:szCs w:val="16"/>
          <w:color w:val="auto"/>
        </w:rPr>
        <w:t>366</w:t>
      </w:r>
    </w:p>
    <w:p>
      <w:pPr>
        <w:spacing w:after="0" w:line="237" w:lineRule="auto"/>
        <w:rPr>
          <w:sz w:val="20"/>
          <w:szCs w:val="20"/>
          <w:color w:val="auto"/>
        </w:rPr>
      </w:pPr>
      <w:r>
        <w:rPr>
          <w:rFonts w:ascii="Courier New" w:cs="Courier New" w:eastAsia="Courier New" w:hAnsi="Courier New"/>
          <w:sz w:val="18"/>
          <w:szCs w:val="18"/>
          <w:color w:val="auto"/>
        </w:rPr>
        <w:t>Customers' liability to this bank on acceptances</w:t>
      </w:r>
    </w:p>
    <w:p>
      <w:pPr>
        <w:ind w:left="220"/>
        <w:spacing w:after="0"/>
        <w:tabs>
          <w:tab w:leader="dot" w:pos="736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6"/>
          <w:szCs w:val="16"/>
          <w:color w:val="auto"/>
        </w:rPr>
        <w:t>306</w:t>
      </w:r>
    </w:p>
    <w:p>
      <w:pPr>
        <w:spacing w:after="0" w:line="237" w:lineRule="auto"/>
        <w:rPr>
          <w:sz w:val="20"/>
          <w:szCs w:val="20"/>
          <w:color w:val="auto"/>
        </w:rPr>
      </w:pPr>
      <w:r>
        <w:rPr>
          <w:rFonts w:ascii="Courier New" w:cs="Courier New" w:eastAsia="Courier New" w:hAnsi="Courier New"/>
          <w:sz w:val="18"/>
          <w:szCs w:val="18"/>
          <w:color w:val="auto"/>
        </w:rPr>
        <w:t>Intangible assets</w:t>
      </w:r>
    </w:p>
    <w:p>
      <w:pPr>
        <w:ind w:left="420"/>
        <w:spacing w:after="0"/>
        <w:tabs>
          <w:tab w:leader="dot" w:pos="7160" w:val="left"/>
        </w:tabs>
        <w:rPr>
          <w:sz w:val="20"/>
          <w:szCs w:val="20"/>
          <w:color w:val="auto"/>
        </w:rPr>
      </w:pPr>
      <w:r>
        <w:rPr>
          <w:rFonts w:ascii="Courier New" w:cs="Courier New" w:eastAsia="Courier New" w:hAnsi="Courier New"/>
          <w:sz w:val="18"/>
          <w:szCs w:val="18"/>
          <w:color w:val="auto"/>
        </w:rPr>
        <w:t>Goodwill</w:t>
      </w:r>
      <w:r>
        <w:rPr>
          <w:sz w:val="20"/>
          <w:szCs w:val="20"/>
          <w:color w:val="auto"/>
        </w:rPr>
        <w:tab/>
      </w:r>
      <w:r>
        <w:rPr>
          <w:rFonts w:ascii="Courier New" w:cs="Courier New" w:eastAsia="Courier New" w:hAnsi="Courier New"/>
          <w:sz w:val="16"/>
          <w:szCs w:val="16"/>
          <w:color w:val="auto"/>
        </w:rPr>
        <w:t>1,908</w:t>
      </w:r>
    </w:p>
    <w:p>
      <w:pPr>
        <w:ind w:left="420"/>
        <w:spacing w:after="0"/>
        <w:tabs>
          <w:tab w:leader="dot" w:pos="7160" w:val="left"/>
        </w:tabs>
        <w:rPr>
          <w:sz w:val="20"/>
          <w:szCs w:val="20"/>
          <w:color w:val="auto"/>
        </w:rPr>
      </w:pPr>
      <w:r>
        <w:rPr>
          <w:rFonts w:ascii="Courier New" w:cs="Courier New" w:eastAsia="Courier New" w:hAnsi="Courier New"/>
          <w:sz w:val="18"/>
          <w:szCs w:val="18"/>
          <w:color w:val="auto"/>
        </w:rPr>
        <w:t>Other Intangible assets</w:t>
      </w:r>
      <w:r>
        <w:rPr>
          <w:sz w:val="20"/>
          <w:szCs w:val="20"/>
          <w:color w:val="auto"/>
        </w:rPr>
        <w:tab/>
      </w:r>
      <w:r>
        <w:rPr>
          <w:rFonts w:ascii="Courier New" w:cs="Courier New" w:eastAsia="Courier New" w:hAnsi="Courier New"/>
          <w:sz w:val="16"/>
          <w:szCs w:val="16"/>
          <w:color w:val="auto"/>
        </w:rPr>
        <w:t>7,218</w:t>
      </w:r>
    </w:p>
    <w:p>
      <w:pPr>
        <w:spacing w:after="0"/>
        <w:tabs>
          <w:tab w:leader="dot" w:pos="7040" w:val="left"/>
        </w:tabs>
        <w:rPr>
          <w:sz w:val="20"/>
          <w:szCs w:val="20"/>
          <w:color w:val="auto"/>
        </w:rPr>
      </w:pPr>
      <w:r>
        <w:rPr>
          <w:rFonts w:ascii="Courier New" w:cs="Courier New" w:eastAsia="Courier New" w:hAnsi="Courier New"/>
          <w:sz w:val="18"/>
          <w:szCs w:val="18"/>
          <w:color w:val="auto"/>
        </w:rPr>
        <w:t>Other assets</w:t>
      </w:r>
      <w:r>
        <w:rPr>
          <w:sz w:val="20"/>
          <w:szCs w:val="20"/>
          <w:color w:val="auto"/>
        </w:rPr>
        <w:tab/>
      </w:r>
      <w:r>
        <w:rPr>
          <w:rFonts w:ascii="Courier New" w:cs="Courier New" w:eastAsia="Courier New" w:hAnsi="Courier New"/>
          <w:sz w:val="16"/>
          <w:szCs w:val="16"/>
          <w:color w:val="auto"/>
        </w:rPr>
        <w:t>38,458</w:t>
      </w:r>
    </w:p>
    <w:p>
      <w:pPr>
        <w:spacing w:after="0"/>
        <w:tabs>
          <w:tab w:leader="dot" w:pos="6840" w:val="left"/>
        </w:tabs>
        <w:rPr>
          <w:sz w:val="20"/>
          <w:szCs w:val="20"/>
          <w:color w:val="auto"/>
        </w:rPr>
      </w:pPr>
      <w:r>
        <w:rPr>
          <w:rFonts w:ascii="Courier New" w:cs="Courier New" w:eastAsia="Courier New" w:hAnsi="Courier New"/>
          <w:sz w:val="18"/>
          <w:szCs w:val="18"/>
          <w:color w:val="auto"/>
        </w:rPr>
        <w:t>TOTAL ASSETS</w:t>
      </w:r>
      <w:r>
        <w:rPr>
          <w:sz w:val="20"/>
          <w:szCs w:val="20"/>
          <w:color w:val="auto"/>
        </w:rPr>
        <w:tab/>
      </w:r>
      <w:r>
        <w:rPr>
          <w:rFonts w:ascii="Courier New" w:cs="Courier New" w:eastAsia="Courier New" w:hAnsi="Courier New"/>
          <w:sz w:val="16"/>
          <w:szCs w:val="16"/>
          <w:color w:val="auto"/>
        </w:rPr>
        <w:t>$541,342</w:t>
      </w:r>
    </w:p>
    <w:p>
      <w:pPr>
        <w:ind w:left="68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1 of 2</w:t>
      </w:r>
    </w:p>
    <w:p>
      <w:pPr>
        <w:sectPr>
          <w:pgSz w:w="11900" w:h="16838" w:orient="portrait"/>
          <w:cols w:equalWidth="0" w:num="1">
            <w:col w:w="10219"/>
          </w:cols>
          <w:pgMar w:left="240" w:top="514"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4"/>
        </w:trPr>
        <w:tc>
          <w:tcPr>
            <w:tcW w:w="670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LIABILITIES</w:t>
            </w:r>
          </w:p>
        </w:tc>
        <w:tc>
          <w:tcPr>
            <w:tcW w:w="1200" w:type="dxa"/>
            <w:vAlign w:val="bottom"/>
          </w:tcPr>
          <w:p>
            <w:pPr>
              <w:spacing w:after="0"/>
              <w:rPr>
                <w:sz w:val="17"/>
                <w:szCs w:val="17"/>
                <w:color w:val="auto"/>
              </w:rPr>
            </w:pP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Deposits</w:t>
            </w:r>
          </w:p>
        </w:tc>
        <w:tc>
          <w:tcPr>
            <w:tcW w:w="1200" w:type="dxa"/>
            <w:vAlign w:val="bottom"/>
          </w:tcPr>
          <w:p>
            <w:pPr>
              <w:spacing w:after="0"/>
              <w:rPr>
                <w:sz w:val="17"/>
                <w:szCs w:val="17"/>
                <w:color w:val="auto"/>
              </w:rPr>
            </w:pP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 domestic offices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$151,985</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Noninterest-bearing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$ 66,567</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Interest-bearing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85,418</w:t>
            </w:r>
          </w:p>
        </w:tc>
      </w:tr>
      <w:tr>
        <w:trPr>
          <w:trHeight w:val="203"/>
        </w:trPr>
        <w:tc>
          <w:tcPr>
            <w:tcW w:w="670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In foreign offices, Edge and Agreement</w:t>
            </w:r>
          </w:p>
        </w:tc>
        <w:tc>
          <w:tcPr>
            <w:tcW w:w="1200" w:type="dxa"/>
            <w:vAlign w:val="bottom"/>
          </w:tcPr>
          <w:p>
            <w:pPr>
              <w:spacing w:after="0"/>
              <w:rPr>
                <w:sz w:val="17"/>
                <w:szCs w:val="17"/>
                <w:color w:val="auto"/>
              </w:rPr>
            </w:pP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subsidiaries and IBF's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119,955</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Noninterest-bearing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6,741</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Interest-bearing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113,214</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funds purchased and securities sold under</w:t>
            </w:r>
          </w:p>
        </w:tc>
        <w:tc>
          <w:tcPr>
            <w:tcW w:w="1200" w:type="dxa"/>
            <w:vAlign w:val="bottom"/>
          </w:tcPr>
          <w:p>
            <w:pPr>
              <w:spacing w:after="0"/>
              <w:rPr>
                <w:sz w:val="17"/>
                <w:szCs w:val="17"/>
                <w:color w:val="auto"/>
              </w:rPr>
            </w:pPr>
          </w:p>
        </w:tc>
      </w:tr>
      <w:tr>
        <w:trPr>
          <w:trHeight w:val="203"/>
        </w:trPr>
        <w:tc>
          <w:tcPr>
            <w:tcW w:w="6700" w:type="dxa"/>
            <w:vAlign w:val="bottom"/>
          </w:tcPr>
          <w:p>
            <w:pPr>
              <w:jc w:val="right"/>
              <w:ind w:right="3752"/>
              <w:spacing w:after="0" w:line="203" w:lineRule="exact"/>
              <w:rPr>
                <w:sz w:val="20"/>
                <w:szCs w:val="20"/>
                <w:color w:val="auto"/>
              </w:rPr>
            </w:pPr>
            <w:r>
              <w:rPr>
                <w:rFonts w:ascii="Courier New" w:cs="Courier New" w:eastAsia="Courier New" w:hAnsi="Courier New"/>
                <w:sz w:val="18"/>
                <w:szCs w:val="18"/>
                <w:color w:val="auto"/>
              </w:rPr>
              <w:t>agreements to repurchase:</w:t>
            </w:r>
          </w:p>
        </w:tc>
        <w:tc>
          <w:tcPr>
            <w:tcW w:w="1200" w:type="dxa"/>
            <w:vAlign w:val="bottom"/>
          </w:tcPr>
          <w:p>
            <w:pPr>
              <w:spacing w:after="0"/>
              <w:rPr>
                <w:sz w:val="17"/>
                <w:szCs w:val="17"/>
                <w:color w:val="auto"/>
              </w:rPr>
            </w:pP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Federal funds purchased in domestic offices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12,983</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Securities sold under agreements to repurchase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82,618</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Trading liabilities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94,099</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borrowed money (includes mortgage indebtedness</w:t>
            </w:r>
          </w:p>
        </w:tc>
        <w:tc>
          <w:tcPr>
            <w:tcW w:w="1200" w:type="dxa"/>
            <w:vAlign w:val="bottom"/>
          </w:tcPr>
          <w:p>
            <w:pPr>
              <w:spacing w:after="0"/>
              <w:rPr>
                <w:sz w:val="17"/>
                <w:szCs w:val="17"/>
                <w:color w:val="auto"/>
              </w:rPr>
            </w:pP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and obligations under capitalized leases)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10,234</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Bank's liability on acceptances executed and outstanding.....</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311</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Subordinated notes and debentures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9,679</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Other liabilities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25,609</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TOTAL LIABILITIES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507,473</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Minority Interest in consolidated subsidiaries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w:t>
            </w:r>
          </w:p>
        </w:tc>
      </w:tr>
      <w:tr>
        <w:trPr>
          <w:trHeight w:val="405"/>
        </w:trPr>
        <w:tc>
          <w:tcPr>
            <w:tcW w:w="6700" w:type="dxa"/>
            <w:vAlign w:val="bottom"/>
          </w:tcPr>
          <w:p>
            <w:pPr>
              <w:jc w:val="right"/>
              <w:ind w:right="1652"/>
              <w:spacing w:after="0"/>
              <w:rPr>
                <w:sz w:val="20"/>
                <w:szCs w:val="20"/>
                <w:color w:val="auto"/>
              </w:rPr>
            </w:pPr>
            <w:r>
              <w:rPr>
                <w:rFonts w:ascii="Courier New" w:cs="Courier New" w:eastAsia="Courier New" w:hAnsi="Courier New"/>
                <w:sz w:val="18"/>
                <w:szCs w:val="18"/>
                <w:color w:val="auto"/>
              </w:rPr>
              <w:t>EQUITY CAPITAL</w:t>
            </w:r>
          </w:p>
        </w:tc>
        <w:tc>
          <w:tcPr>
            <w:tcW w:w="1200" w:type="dxa"/>
            <w:vAlign w:val="bottom"/>
          </w:tcPr>
          <w:p>
            <w:pPr>
              <w:spacing w:after="0"/>
              <w:rPr>
                <w:sz w:val="24"/>
                <w:szCs w:val="24"/>
                <w:color w:val="auto"/>
              </w:rPr>
            </w:pPr>
          </w:p>
        </w:tc>
      </w:tr>
      <w:tr>
        <w:trPr>
          <w:trHeight w:val="405"/>
        </w:trPr>
        <w:tc>
          <w:tcPr>
            <w:tcW w:w="67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Perpetual preferred stock and related surplus ...............</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Common stock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1,785</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Surplus (exclude all surplus related to preferred stock)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16,304</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Retained earnings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16,548</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Accumulated other comprehensive income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(877)</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Other equity capital components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TOTAL EQUITY CAPITAL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33,760</w:t>
            </w:r>
          </w:p>
        </w:tc>
      </w:tr>
      <w:tr>
        <w:trPr>
          <w:trHeight w:val="203"/>
        </w:trPr>
        <w:tc>
          <w:tcPr>
            <w:tcW w:w="670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TOTAL LIABILITIES, MINORITY INTEREST, AND EQUITY CAPITAL.....</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$541,342</w:t>
            </w:r>
          </w:p>
        </w:tc>
      </w:tr>
      <w:tr>
        <w:trPr>
          <w:trHeight w:val="203"/>
        </w:trPr>
        <w:tc>
          <w:tcPr>
            <w:tcW w:w="670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Joseph L. Sclafani, E.V.P. &amp; Controller of the above-named bank, do hereby declare that this Report of Condition has been prepared in conformance with the instructions issued by the appropriate Federal regulatory authority and is true to the best of my knowledge and belief.</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JOSEPH L. SCLAFANI</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pacing w:after="0" w:line="17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WILLIAM B. HARRISON, JR. )</w:t>
      </w:r>
    </w:p>
    <w:p>
      <w:pPr>
        <w:ind w:left="5060"/>
        <w:spacing w:after="0"/>
        <w:tabs>
          <w:tab w:leader="none" w:pos="7680" w:val="left"/>
        </w:tabs>
        <w:rPr>
          <w:sz w:val="20"/>
          <w:szCs w:val="20"/>
          <w:color w:val="auto"/>
        </w:rPr>
      </w:pPr>
      <w:r>
        <w:rPr>
          <w:rFonts w:ascii="Courier New" w:cs="Courier New" w:eastAsia="Courier New" w:hAnsi="Courier New"/>
          <w:sz w:val="18"/>
          <w:szCs w:val="18"/>
          <w:color w:val="auto"/>
        </w:rPr>
        <w:t>ELLEN V. FUTTER</w:t>
      </w:r>
      <w:r>
        <w:rPr>
          <w:sz w:val="20"/>
          <w:szCs w:val="20"/>
          <w:color w:val="auto"/>
        </w:rPr>
        <w:tab/>
      </w:r>
      <w:r>
        <w:rPr>
          <w:rFonts w:ascii="Courier New" w:cs="Courier New" w:eastAsia="Courier New" w:hAnsi="Courier New"/>
          <w:sz w:val="16"/>
          <w:szCs w:val="16"/>
          <w:color w:val="auto"/>
        </w:rPr>
        <w:t>)</w:t>
      </w:r>
    </w:p>
    <w:p>
      <w:pPr>
        <w:ind w:left="5060"/>
        <w:spacing w:after="0"/>
        <w:tabs>
          <w:tab w:leader="none" w:pos="7680" w:val="left"/>
        </w:tabs>
        <w:rPr>
          <w:sz w:val="20"/>
          <w:szCs w:val="20"/>
          <w:color w:val="auto"/>
        </w:rPr>
      </w:pPr>
      <w:r>
        <w:rPr>
          <w:rFonts w:ascii="Courier New" w:cs="Courier New" w:eastAsia="Courier New" w:hAnsi="Courier New"/>
          <w:sz w:val="18"/>
          <w:szCs w:val="18"/>
          <w:color w:val="auto"/>
        </w:rPr>
        <w:t>LAWRENCE A. BOSSIDY</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 of 2</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1)"/>
      <w:numFmt w:val="decimal"/>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lvl w:ilvl="1">
      <w:lvlJc w:val="left"/>
      <w:lvlText w:val="-"/>
      <w:numFmt w:val="bullet"/>
      <w:start w:val="1"/>
    </w:lvl>
  </w:abstractNum>
  <w:abstractNum w:abstractNumId="8">
    <w:nsid w:val="47398C89"/>
    <w:multiLevelType w:val="hybridMultilevel"/>
    <w:lvl w:ilvl="0">
      <w:lvlJc w:val="left"/>
      <w:lvlText w:val="(%1)"/>
      <w:numFmt w:val="decimal"/>
      <w:start w:val="713"/>
    </w:lvl>
  </w:abstractNum>
  <w:abstractNum w:abstractNumId="9">
    <w:nsid w:val="354FE9F9"/>
    <w:multiLevelType w:val="hybridMultilevel"/>
    <w:lvl w:ilvl="0">
      <w:lvlJc w:val="left"/>
      <w:lvlText w:val="-"/>
      <w:numFmt w:val="bullet"/>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lvl w:ilvl="1">
      <w:lvlJc w:val="left"/>
      <w:lvlText w:val="-"/>
      <w:numFmt w:val="bullet"/>
      <w:start w:val="1"/>
    </w:lvl>
  </w:abstractNum>
  <w:abstractNum w:abstractNumId="12">
    <w:nsid w:val="D34B6A8"/>
    <w:multiLevelType w:val="hybridMultilevel"/>
    <w:lvl w:ilvl="0">
      <w:lvlJc w:val="left"/>
      <w:lvlText w:val="(%1)"/>
      <w:numFmt w:val="decimal"/>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lvl w:ilvl="1">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1)"/>
      <w:numFmt w:val="lowerRoman"/>
      <w:start w:val="2"/>
    </w:lvl>
  </w:abstractNum>
  <w:abstractNum w:abstractNumId="22">
    <w:nsid w:val="25A70BF7"/>
    <w:multiLevelType w:val="hybridMultilevel"/>
    <w:lvl w:ilvl="0">
      <w:lvlJc w:val="left"/>
      <w:lvlText w:val="(%1)"/>
      <w:numFmt w:val="lowerLetter"/>
      <w:start w:val="1"/>
    </w:lvl>
    <w:lvl w:ilvl="1">
      <w:lvlJc w:val="left"/>
      <w:lvlText w:val="(%2)"/>
      <w:numFmt w:val="lowerRoman"/>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1)"/>
      <w:numFmt w:val="decimal"/>
      <w:start w:val="1"/>
    </w:lvl>
    <w:lvl w:ilvl="1">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
      <w:numFmt w:val="bullet"/>
      <w:start w:val="1"/>
    </w:lvl>
    <w:lvl w:ilvl="1">
      <w:lvlJc w:val="left"/>
      <w:lvlText w:val="(%2)"/>
      <w:numFmt w:val="upperLetter"/>
      <w:start w:val="1"/>
    </w:lvl>
  </w:abstractNum>
  <w:abstractNum w:abstractNumId="36">
    <w:nsid w:val="168E121F"/>
    <w:multiLevelType w:val="hybridMultilevel"/>
    <w:lvl w:ilvl="0">
      <w:lvlJc w:val="left"/>
      <w:lvlText w:val="-"/>
      <w:numFmt w:val="bullet"/>
      <w:start w:val="1"/>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1)"/>
      <w:numFmt w:val="lowerRoman"/>
      <w:start w:val="2"/>
    </w:lvl>
  </w:abstractNum>
  <w:abstractNum w:abstractNumId="41">
    <w:nsid w:val="7BD3EE7B"/>
    <w:multiLevelType w:val="hybridMultilevel"/>
    <w:lvl w:ilvl="0">
      <w:lvlJc w:val="left"/>
      <w:lvlText w:val="(%1)"/>
      <w:numFmt w:val="lowerLetter"/>
      <w:start w:val="2"/>
    </w:lvl>
  </w:abstractNum>
  <w:abstractNum w:abstractNumId="42">
    <w:nsid w:val="51D9C564"/>
    <w:multiLevelType w:val="hybridMultilevel"/>
    <w:lvl w:ilvl="0">
      <w:lvlJc w:val="left"/>
      <w:lvlText w:val="(%1)"/>
      <w:numFmt w:val="upperLetter"/>
      <w:start w:val="3"/>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2">
    <w:nsid w:val="4962813B"/>
    <w:multiLevelType w:val="hybridMultilevel"/>
    <w:lvl w:ilvl="0">
      <w:lvlJc w:val="left"/>
      <w:lvlText w:val="(%1)"/>
      <w:numFmt w:val="lowerRoman"/>
      <w:start w:val="3"/>
    </w:lvl>
  </w:abstractNum>
  <w:abstractNum w:abstractNumId="53">
    <w:nsid w:val="60B6DF70"/>
    <w:multiLevelType w:val="hybridMultilevel"/>
    <w:lvl w:ilvl="0">
      <w:lvlJc w:val="left"/>
      <w:lvlText w:val="%1"/>
      <w:numFmt w:val="lowerLetter"/>
      <w:start w:val="1"/>
    </w:lvl>
    <w:lvl w:ilvl="1">
      <w:lvlJc w:val="left"/>
      <w:lvlText w:val="(%2)"/>
      <w:numFmt w:val="decimal"/>
      <w:start w:val="2"/>
    </w:lvl>
  </w:abstractNum>
  <w:abstractNum w:abstractNumId="54">
    <w:nsid w:val="6A5EE64"/>
    <w:multiLevelType w:val="hybridMultilevel"/>
    <w:lvl w:ilvl="0">
      <w:lvlJc w:val="left"/>
      <w:lvlText w:val="(%1)"/>
      <w:numFmt w:val="lowerLetter"/>
      <w:start w:val="2"/>
    </w:lvl>
    <w:lvl w:ilvl="1">
      <w:lvlJc w:val="left"/>
      <w:lvlText w:val="(%2)"/>
      <w:numFmt w:val="decimal"/>
      <w:start w:val="1"/>
    </w:lvl>
  </w:abstractNum>
  <w:abstractNum w:abstractNumId="55">
    <w:nsid w:val="14330624"/>
    <w:multiLevelType w:val="hybridMultilevel"/>
    <w:lvl w:ilvl="0">
      <w:lvlJc w:val="left"/>
      <w:lvlText w:val="--"/>
      <w:numFmt w:val="bullet"/>
      <w:start w:val="1"/>
    </w:lvl>
    <w:lvl w:ilvl="1">
      <w:lvlJc w:val="left"/>
      <w:lvlText w:val="%2"/>
      <w:numFmt w:val="upperLetter"/>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1."/>
      <w:numFmt w:val="upperLetter"/>
      <w:start w:val="12"/>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1."/>
      <w:numFmt w:val="upperLetter"/>
      <w:start w:val="8"/>
    </w:lvl>
  </w:abstractNum>
  <w:abstractNum w:abstractNumId="60">
    <w:nsid w:val="7FB7E0AA"/>
    <w:multiLevelType w:val="hybridMultilevel"/>
    <w:lvl w:ilvl="0">
      <w:lvlJc w:val="left"/>
      <w:lvlText w:val="-"/>
      <w:numFmt w:val="bullet"/>
      <w:start w:val="1"/>
    </w:lvl>
    <w:lvl w:ilvl="1">
      <w:lvlJc w:val="left"/>
      <w:lvlText w:val="%2."/>
      <w:numFmt w:val="upperLetter"/>
      <w:start w:val="3"/>
    </w:lvl>
  </w:abstractNum>
  <w:abstractNum w:abstractNumId="61">
    <w:nsid w:val="6EB5BD4"/>
    <w:multiLevelType w:val="hybridMultilevel"/>
    <w:lvl w:ilvl="0">
      <w:lvlJc w:val="left"/>
      <w:lvlText w:val="-"/>
      <w:numFmt w:val="bullet"/>
      <w:start w:val="1"/>
    </w:lvl>
    <w:lvl w:ilvl="1">
      <w:lvlJc w:val="left"/>
      <w:lvlText w:val="%2."/>
      <w:numFmt w:val="upperLetter"/>
      <w:start w:val="23"/>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1"/>
      <w:numFmt w:val="lowerRoman"/>
      <w:start w:val="1"/>
    </w:lvl>
    <w:lvl w:ilvl="1">
      <w:lvlJc w:val="left"/>
      <w:lvlText w:val="(%2)"/>
      <w:numFmt w:val="decimal"/>
      <w:start w:val="1"/>
    </w:lvl>
  </w:abstractNum>
  <w:abstractNum w:abstractNumId="69">
    <w:nsid w:val="3222E7CD"/>
    <w:multiLevelType w:val="hybridMultilevel"/>
    <w:lvl w:ilvl="0">
      <w:lvlJc w:val="left"/>
      <w:lvlText w:val="(%1)"/>
      <w:numFmt w:val="lowerRoman"/>
      <w:start w:val="2"/>
    </w:lvl>
    <w:lvl w:ilvl="1">
      <w:lvlJc w:val="left"/>
      <w:lvlText w:val="%2"/>
      <w:numFmt w:val="decimal"/>
      <w:start w:val="1"/>
    </w:lvl>
  </w:abstractNum>
  <w:abstractNum w:abstractNumId="70">
    <w:nsid w:val="74DE0EE3"/>
    <w:multiLevelType w:val="hybridMultilevel"/>
    <w:lvl w:ilvl="0">
      <w:lvlJc w:val="left"/>
      <w:lvlText w:val="(%1)"/>
      <w:numFmt w:val="decimal"/>
      <w:start w:val="2"/>
    </w:lvl>
  </w:abstractNum>
  <w:abstractNum w:abstractNumId="71">
    <w:nsid w:val="68EBC550"/>
    <w:multiLevelType w:val="hybridMultilevel"/>
    <w:lvl w:ilvl="0">
      <w:lvlJc w:val="left"/>
      <w:lvlText w:val="(%1)"/>
      <w:numFmt w:val="decimal"/>
      <w:start w:val="7"/>
    </w:lvl>
  </w:abstractNum>
  <w:abstractNum w:abstractNumId="72">
    <w:nsid w:val="2DF6D648"/>
    <w:multiLevelType w:val="hybridMultilevel"/>
    <w:lvl w:ilvl="0">
      <w:lvlJc w:val="left"/>
      <w:lvlText w:val="%1."/>
      <w:numFmt w:val="decimal"/>
      <w:start w:val="1"/>
    </w:lvl>
  </w:abstractNum>
  <w:abstractNum w:abstractNumId="73">
    <w:nsid w:val="46B7D447"/>
    <w:multiLevelType w:val="hybridMultilevel"/>
    <w:lvl w:ilvl="0">
      <w:lvlJc w:val="left"/>
      <w:lvlText w:val="%1."/>
      <w:numFmt w:val="decimal"/>
      <w:start w:val="2"/>
    </w:lvl>
  </w:abstractNum>
  <w:abstractNum w:abstractNumId="74">
    <w:nsid w:val="4A2AC315"/>
    <w:multiLevelType w:val="hybridMultilevel"/>
    <w:lvl w:ilvl="0">
      <w:lvlJc w:val="left"/>
      <w:lvlText w:val="%1."/>
      <w:numFmt w:val="decimal"/>
      <w:start w:val="1"/>
    </w:lvl>
    <w:lvl w:ilvl="1">
      <w:lvlJc w:val="left"/>
      <w:lvlText w:val="(%2)"/>
      <w:numFmt w:val="lowerLetter"/>
      <w:start w:val="1"/>
    </w:lvl>
  </w:abstractNum>
  <w:abstractNum w:abstractNumId="75">
    <w:nsid w:val="39EE015C"/>
    <w:multiLevelType w:val="hybridMultilevel"/>
    <w:lvl w:ilvl="0">
      <w:lvlJc w:val="left"/>
      <w:lvlText w:val="%1."/>
      <w:numFmt w:val="decimal"/>
      <w:start w:val="2"/>
    </w:lvl>
  </w:abstractNum>
  <w:abstractNum w:abstractNumId="76">
    <w:nsid w:val="57FC4FBB"/>
    <w:multiLevelType w:val="hybridMultilevel"/>
    <w:lvl w:ilvl="0">
      <w:lvlJc w:val="left"/>
      <w:lvlText w:val="-"/>
      <w:numFmt w:val="bullet"/>
      <w:start w:val="1"/>
    </w:lvl>
  </w:abstractNum>
  <w:abstractNum w:abstractNumId="77">
    <w:nsid w:val="CC1016F"/>
    <w:multiLevelType w:val="hybridMultilevel"/>
    <w:lvl w:ilvl="0">
      <w:lvlJc w:val="left"/>
      <w:lvlText w:val="(%1)"/>
      <w:numFmt w:val="decimal"/>
      <w:start w:val="30"/>
    </w:lvl>
  </w:abstractNum>
  <w:abstractNum w:abstractNumId="78">
    <w:nsid w:val="43F18422"/>
    <w:multiLevelType w:val="hybridMultilevel"/>
    <w:lvl w:ilvl="0">
      <w:lvlJc w:val="left"/>
      <w:lvlText w:val="(%1)"/>
      <w:numFmt w:val="lowerRoman"/>
      <w:start w:val="1"/>
    </w:lvl>
  </w:abstractNum>
  <w:abstractNum w:abstractNumId="79">
    <w:nsid w:val="60EF0119"/>
    <w:multiLevelType w:val="hybridMultilevel"/>
    <w:lvl w:ilvl="0">
      <w:lvlJc w:val="left"/>
      <w:lvlText w:val="(%1)"/>
      <w:numFmt w:val="decimal"/>
      <w:start w:val="60"/>
    </w:lvl>
  </w:abstractNum>
  <w:abstractNum w:abstractNumId="80">
    <w:nsid w:val="26F324BA"/>
    <w:multiLevelType w:val="hybridMultilevel"/>
    <w:lvl w:ilvl="0">
      <w:lvlJc w:val="left"/>
      <w:lvlText w:val="(%1)"/>
      <w:numFmt w:val="lowerLetter"/>
      <w:start w:val="2"/>
    </w:lvl>
  </w:abstractNum>
  <w:abstractNum w:abstractNumId="81">
    <w:nsid w:val="7F01579B"/>
    <w:multiLevelType w:val="hybridMultilevel"/>
    <w:lvl w:ilvl="0">
      <w:lvlJc w:val="left"/>
      <w:lvlText w:val="(%1)"/>
      <w:numFmt w:val="lowerRoman"/>
      <w:start w:val="1"/>
    </w:lvl>
  </w:abstractNum>
  <w:abstractNum w:abstractNumId="82">
    <w:nsid w:val="49DA307D"/>
    <w:multiLevelType w:val="hybridMultilevel"/>
    <w:lvl w:ilvl="0">
      <w:lvlJc w:val="left"/>
      <w:lvlText w:val="(%1)"/>
      <w:numFmt w:val="lowerLetter"/>
      <w:start w:val="2"/>
    </w:lvl>
  </w:abstractNum>
  <w:abstractNum w:abstractNumId="83">
    <w:nsid w:val="7055A5F5"/>
    <w:multiLevelType w:val="hybridMultilevel"/>
    <w:lvl w:ilvl="0">
      <w:lvlJc w:val="left"/>
      <w:lvlText w:val="(%1)"/>
      <w:numFmt w:val="lowerRoman"/>
      <w:start w:val="1"/>
    </w:lvl>
  </w:abstractNum>
  <w:abstractNum w:abstractNumId="84">
    <w:nsid w:val="5FB8370B"/>
    <w:multiLevelType w:val="hybridMultilevel"/>
    <w:lvl w:ilvl="0">
      <w:lvlJc w:val="left"/>
      <w:lvlText w:val="(%1)"/>
      <w:numFmt w:val="lowerRoman"/>
      <w:start w:val="3"/>
    </w:lvl>
    <w:lvl w:ilvl="1">
      <w:lvlJc w:val="left"/>
      <w:lvlText w:val="(%2)"/>
      <w:numFmt w:val="lowerLetter"/>
      <w:start w:val="1"/>
    </w:lvl>
  </w:abstractNum>
  <w:abstractNum w:abstractNumId="85">
    <w:nsid w:val="50801EE1"/>
    <w:multiLevelType w:val="hybridMultilevel"/>
    <w:lvl w:ilvl="0">
      <w:lvlJc w:val="left"/>
      <w:lvlText w:val="%1."/>
      <w:numFmt w:val="upperLetter"/>
      <w:start w:val="9"/>
    </w:lvl>
  </w:abstractNum>
  <w:abstractNum w:abstractNumId="86">
    <w:nsid w:val="488AC1A"/>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35"/>
    </w:lvl>
  </w:abstractNum>
  <w:abstractNum w:abstractNumId="87">
    <w:nsid w:val="5FB8011C"/>
    <w:multiLevelType w:val="hybridMultilevel"/>
    <w:lvl w:ilvl="0">
      <w:lvlJc w:val="left"/>
      <w:lvlText w:val="(%1)"/>
      <w:numFmt w:val="lowerRoman"/>
      <w:start w:val="7"/>
    </w:lvl>
    <w:lvl w:ilvl="1">
      <w:lvlJc w:val="left"/>
      <w:lvlText w:val="(%2)"/>
      <w:numFmt w:val="lowerLetter"/>
      <w:start w:val="1"/>
    </w:lvl>
    <w:lvl w:ilvl="2">
      <w:lvlJc w:val="left"/>
      <w:lvlText w:val="%3"/>
      <w:numFmt w:val="upperLetter"/>
      <w:start w:val="1"/>
    </w:lvl>
  </w:abstractNum>
  <w:abstractNum w:abstractNumId="88">
    <w:nsid w:val="6AA78F7F"/>
    <w:multiLevelType w:val="hybridMultilevel"/>
    <w:lvl w:ilvl="0">
      <w:lvlJc w:val="left"/>
      <w:lvlText w:val="%1."/>
      <w:numFmt w:val="decimal"/>
      <w:start w:val="1"/>
    </w:lvl>
  </w:abstractNum>
  <w:abstractNum w:abstractNumId="89">
    <w:nsid w:val="7672BD23"/>
    <w:multiLevelType w:val="hybridMultilevel"/>
    <w:lvl w:ilvl="0">
      <w:lvlJc w:val="left"/>
      <w:lvlText w:val="(%1)"/>
      <w:numFmt w:val="lowerLetter"/>
      <w:start w:val="3"/>
    </w:lvl>
    <w:lvl w:ilvl="1">
      <w:lvlJc w:val="left"/>
      <w:lvlText w:val="%2."/>
      <w:numFmt w:val="decimal"/>
      <w:start w:val="4"/>
    </w:lvl>
  </w:abstractNum>
  <w:abstractNum w:abstractNumId="90">
    <w:nsid w:val="6FC75AF8"/>
    <w:multiLevelType w:val="hybridMultilevel"/>
    <w:lvl w:ilvl="0">
      <w:lvlJc w:val="left"/>
      <w:lvlText w:val="--"/>
      <w:numFmt w:val="bullet"/>
      <w:start w:val="1"/>
    </w:lvl>
    <w:lvl w:ilvl="1">
      <w:lvlJc w:val="left"/>
      <w:lvlText w:val="----"/>
      <w:numFmt w:val="bullet"/>
      <w:start w:val="1"/>
    </w:lvl>
  </w:abstractNum>
  <w:abstractNum w:abstractNumId="91">
    <w:nsid w:val="6A5F7029"/>
    <w:multiLevelType w:val="hybridMultilevel"/>
    <w:lvl w:ilvl="0">
      <w:lvlJc w:val="left"/>
      <w:lvlText w:val="%1"/>
      <w:numFmt w:val="decimal"/>
      <w:start w:val="1"/>
    </w:lvl>
    <w:lvl w:ilvl="1">
      <w:lvlJc w:val="left"/>
      <w:lvlText w:val="(%2)"/>
      <w:numFmt w:val="decimal"/>
      <w:start w:val="609"/>
    </w:lvl>
  </w:abstractNum>
  <w:abstractNum w:abstractNumId="92">
    <w:nsid w:val="7D5E18F8"/>
    <w:multiLevelType w:val="hybridMultilevel"/>
    <w:lvl w:ilvl="0">
      <w:lvlJc w:val="left"/>
      <w:lvlText w:val="%1"/>
      <w:numFmt w:val="decimal"/>
      <w:start w:val="1"/>
    </w:lvl>
    <w:lvl w:ilvl="1">
      <w:lvlJc w:val="left"/>
      <w:lvlText w:val="(%2)"/>
      <w:numFmt w:val="decimal"/>
      <w:start w:val="679"/>
    </w:lvl>
  </w:abstractNum>
  <w:abstractNum w:abstractNumId="93">
    <w:nsid w:val="5F3534A4"/>
    <w:multiLevelType w:val="hybridMultilevel"/>
    <w:lvl w:ilvl="0">
      <w:lvlJc w:val="left"/>
      <w:lvlText w:val="(%1)"/>
      <w:numFmt w:val="decimal"/>
      <w:start w:val="139"/>
    </w:lvl>
    <w:lvl w:ilvl="1">
      <w:lvlJc w:val="left"/>
      <w:lvlText w:val="%2"/>
      <w:numFmt w:val="decimal"/>
      <w:start w:val="1"/>
    </w:lvl>
  </w:abstractNum>
  <w:abstractNum w:abstractNumId="94">
    <w:nsid w:val="73A1821B"/>
    <w:multiLevelType w:val="hybridMultilevel"/>
    <w:lvl w:ilvl="0">
      <w:lvlJc w:val="left"/>
      <w:lvlText w:val="-"/>
      <w:numFmt w:val="bullet"/>
      <w:start w:val="1"/>
    </w:lvl>
    <w:lvl w:ilvl="1">
      <w:lvlJc w:val="left"/>
      <w:lvlText w:val="-----"/>
      <w:numFmt w:val="bullet"/>
      <w:start w:val="1"/>
    </w:lvl>
  </w:abstractNum>
  <w:abstractNum w:abstractNumId="95">
    <w:nsid w:val="7DE67713"/>
    <w:multiLevelType w:val="hybridMultilevel"/>
    <w:lvl w:ilvl="0">
      <w:lvlJc w:val="left"/>
      <w:lvlText w:val="%1"/>
      <w:numFmt w:val="decimal"/>
      <w:start w:val="541"/>
    </w:lvl>
  </w:abstractNum>
  <w:abstractNum w:abstractNumId="96">
    <w:nsid w:val="555C55B5"/>
    <w:multiLevelType w:val="hybridMultilevel"/>
    <w:lvl w:ilvl="0">
      <w:lvlJc w:val="left"/>
      <w:lvlText w:val="-"/>
      <w:numFmt w:val="bullet"/>
      <w:start w:val="1"/>
    </w:lvl>
    <w:lvl w:ilvl="1">
      <w:lvlJc w:val="left"/>
      <w:lvlText w:val="-----"/>
      <w:numFmt w:val="bullet"/>
      <w:start w:val="1"/>
    </w:lvl>
  </w:abstractNum>
  <w:abstractNum w:abstractNumId="97">
    <w:nsid w:val="3FA62ACA"/>
    <w:multiLevelType w:val="hybridMultilevel"/>
    <w:lvl w:ilvl="0">
      <w:lvlJc w:val="left"/>
      <w:lvlText w:val="----"/>
      <w:numFmt w:val="bullet"/>
      <w:start w:val="1"/>
    </w:lvl>
  </w:abstractNum>
  <w:abstractNum w:abstractNumId="98">
    <w:nsid w:val="14FCE74E"/>
    <w:multiLevelType w:val="hybridMultilevel"/>
    <w:lvl w:ilvl="0">
      <w:lvlJc w:val="left"/>
      <w:lvlText w:val="-"/>
      <w:numFmt w:val="bullet"/>
      <w:start w:val="1"/>
    </w:lvl>
    <w:lvl w:ilvl="1">
      <w:lvlJc w:val="left"/>
      <w:lvlText w:val="9"/>
      <w:numFmt w:val="bullet"/>
      <w:start w:val="1"/>
    </w:lvl>
  </w:abstractNum>
  <w:abstractNum w:abstractNumId="99">
    <w:nsid w:val="6A3DD3E8"/>
    <w:multiLevelType w:val="hybridMultilevel"/>
    <w:lvl w:ilvl="0">
      <w:lvlJc w:val="left"/>
      <w:lvlText w:val="(%1)"/>
      <w:numFmt w:val="decimal"/>
      <w:start w:val="1"/>
    </w:lvl>
  </w:abstractNum>
  <w:abstractNum w:abstractNumId="100">
    <w:nsid w:val="71C91298"/>
    <w:multiLevelType w:val="hybridMultilevel"/>
    <w:lvl w:ilvl="0">
      <w:lvlJc w:val="left"/>
      <w:lvlText w:val="(%1)"/>
      <w:numFmt w:val="lowerLetter"/>
      <w:start w:val="1"/>
    </w:lvl>
  </w:abstractNum>
  <w:abstractNum w:abstractNumId="101">
    <w:nsid w:val="9DAF632"/>
    <w:multiLevelType w:val="hybridMultilevel"/>
    <w:lvl w:ilvl="0">
      <w:lvlJc w:val="left"/>
      <w:lvlText w:val="(%1)"/>
      <w:numFmt w:val="lowerLetter"/>
      <w:start w:val="2"/>
    </w:lvl>
  </w:abstractNum>
  <w:abstractNum w:abstractNumId="102">
    <w:nsid w:val="53299938"/>
    <w:multiLevelType w:val="hybridMultilevel"/>
    <w:lvl w:ilvl="0">
      <w:lvlJc w:val="left"/>
      <w:lvlText w:val="%1."/>
      <w:numFmt w:val="decimal"/>
      <w:start w:val="1"/>
    </w:lvl>
  </w:abstractNum>
  <w:abstractNum w:abstractNumId="103">
    <w:nsid w:val="1FBFE8E0"/>
    <w:multiLevelType w:val="hybridMultilevel"/>
    <w:lvl w:ilvl="0">
      <w:lvlJc w:val="left"/>
      <w:lvlText w:val="%1."/>
      <w:numFmt w:val="decimal"/>
      <w:start w:val="3"/>
    </w:lvl>
  </w:abstractNum>
  <w:abstractNum w:abstractNumId="104">
    <w:nsid w:val="5092CA79"/>
    <w:multiLevelType w:val="hybridMultilevel"/>
    <w:lvl w:ilvl="0">
      <w:lvlJc w:val="left"/>
      <w:lvlText w:val="(%1)"/>
      <w:numFmt w:val="lowerLetter"/>
      <w:start w:val="1"/>
    </w:lvl>
  </w:abstractNum>
  <w:abstractNum w:abstractNumId="105">
    <w:nsid w:val="1D545C4D"/>
    <w:multiLevelType w:val="hybridMultilevel"/>
    <w:lvl w:ilvl="0">
      <w:lvlJc w:val="left"/>
      <w:lvlText w:val="(%1)"/>
      <w:numFmt w:val="lowerLetter"/>
      <w:start w:val="2"/>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2019-12-12T11:13:23Z</dcterms:created>
  <dcterms:modified xsi:type="dcterms:W3CDTF">2019-12-12T11:13:23Z</dcterms:modified>
</cp:coreProperties>
</file>