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6" w:right="33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this morning announcing its financial results for the third quarter of 2022, a copy of which is attached hereto as Exhibit 99.1. The Company is conducting an audio webcast to discuss these results beginning at 9:00 a.m. Central Time this morning. </w:t>
      </w:r>
      <w:r>
        <w:rPr>
          <w:rFonts w:ascii="Times New Roman" w:cs="Times New Roman" w:eastAsia="Times New Roman" w:hAnsi="Times New Roman"/>
          <w:sz w:val="18"/>
          <w:szCs w:val="18"/>
          <w:color w:val="0A0A0A"/>
        </w:rPr>
        <w:t>Listeners can access the live audio webcast by visiting investors.wm.com and selecting “Events &amp; Presentations” from the website menu.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26, 2022</w:t>
      </w:r>
    </w:p>
    <w:p>
      <w:pPr>
        <w:spacing w:after="0" w:line="225" w:lineRule="exact"/>
        <w:rPr>
          <w:sz w:val="20"/>
          <w:szCs w:val="20"/>
          <w:color w:val="auto"/>
        </w:rPr>
      </w:pPr>
    </w:p>
    <w:p>
      <w:pPr>
        <w:ind w:left="5560" w:right="3700" w:hanging="5552"/>
        <w:spacing w:after="0" w:line="783" w:lineRule="auto"/>
        <w:tabs>
          <w:tab w:leader="none" w:pos="10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40"/>
          <w:szCs w:val="40"/>
          <w:color w:val="7AB800"/>
        </w:rPr>
        <w:t>WM Announces Third Quarter Earnings</w:t>
      </w:r>
    </w:p>
    <w:p>
      <w:pPr>
        <w:spacing w:after="0" w:line="382"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color w:val="auto"/>
        </w:rPr>
        <w:t>Strong Organic Revenue Growth and Operating Efficiencies Drive Double-Digit Growth in Income from Operations and Diluted Earnings Per Share</w:t>
      </w:r>
    </w:p>
    <w:p>
      <w:pPr>
        <w:spacing w:after="0" w:line="15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Oct. 26</w:t>
      </w:r>
      <w:r>
        <w:rPr>
          <w:rFonts w:ascii="Arial" w:cs="Arial" w:eastAsia="Arial" w:hAnsi="Arial"/>
          <w:sz w:val="16"/>
          <w:szCs w:val="16"/>
          <w:b w:val="1"/>
          <w:bCs w:val="1"/>
          <w:color w:val="auto"/>
        </w:rPr>
        <w:t xml:space="preserve">, 2022 </w:t>
      </w:r>
      <w:r>
        <w:rPr>
          <w:rFonts w:ascii="Arial" w:cs="Arial" w:eastAsia="Arial" w:hAnsi="Arial"/>
          <w:sz w:val="17"/>
          <w:szCs w:val="17"/>
          <w:color w:val="auto"/>
        </w:rPr>
        <w:t>— WM (NYSE: WM) today announced financial results for the quarter ended</w:t>
      </w:r>
      <w:r>
        <w:rPr>
          <w:rFonts w:ascii="Arial" w:cs="Arial" w:eastAsia="Arial" w:hAnsi="Arial"/>
          <w:sz w:val="16"/>
          <w:szCs w:val="16"/>
          <w:b w:val="1"/>
          <w:bCs w:val="1"/>
          <w:color w:val="auto"/>
        </w:rPr>
        <w:t xml:space="preserve"> </w:t>
      </w:r>
      <w:r>
        <w:rPr>
          <w:rFonts w:ascii="Arial" w:cs="Arial" w:eastAsia="Arial" w:hAnsi="Arial"/>
          <w:sz w:val="17"/>
          <w:szCs w:val="17"/>
          <w:color w:val="auto"/>
        </w:rPr>
        <w:t>September 30, 2022.</w:t>
      </w:r>
    </w:p>
    <w:p>
      <w:pPr>
        <w:spacing w:after="0" w:line="200" w:lineRule="exact"/>
        <w:rPr>
          <w:sz w:val="20"/>
          <w:szCs w:val="20"/>
          <w:color w:val="auto"/>
        </w:rPr>
      </w:pP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6"/>
                <w:szCs w:val="16"/>
                <w:color w:val="auto"/>
              </w:rPr>
              <w:t>Three Months Ended</w:t>
            </w:r>
          </w:p>
        </w:tc>
        <w:tc>
          <w:tcPr>
            <w:tcW w:w="340" w:type="dxa"/>
            <w:vAlign w:val="bottom"/>
          </w:tcPr>
          <w:p>
            <w:pPr>
              <w:spacing w:after="0"/>
              <w:rPr>
                <w:sz w:val="17"/>
                <w:szCs w:val="17"/>
                <w:color w:val="auto"/>
              </w:rPr>
            </w:pPr>
          </w:p>
        </w:tc>
        <w:tc>
          <w:tcPr>
            <w:tcW w:w="2480" w:type="dxa"/>
            <w:vAlign w:val="bottom"/>
            <w:gridSpan w:val="5"/>
          </w:tcPr>
          <w:p>
            <w:pPr>
              <w:jc w:val="center"/>
              <w:spacing w:after="0"/>
              <w:rPr>
                <w:sz w:val="20"/>
                <w:szCs w:val="20"/>
                <w:color w:val="auto"/>
              </w:rPr>
            </w:pPr>
            <w:r>
              <w:rPr>
                <w:rFonts w:ascii="Arial" w:cs="Arial" w:eastAsia="Arial" w:hAnsi="Arial"/>
                <w:sz w:val="16"/>
                <w:szCs w:val="16"/>
                <w:color w:val="auto"/>
              </w:rPr>
              <w:t>Three Months Ended</w:t>
            </w:r>
          </w:p>
        </w:tc>
      </w:tr>
      <w:tr>
        <w:trPr>
          <w:trHeight w:val="176"/>
        </w:trPr>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gridSpan w:val="4"/>
          </w:tcPr>
          <w:p>
            <w:pPr>
              <w:jc w:val="center"/>
              <w:ind w:right="840"/>
              <w:spacing w:after="0" w:line="176" w:lineRule="exact"/>
              <w:rPr>
                <w:sz w:val="20"/>
                <w:szCs w:val="20"/>
                <w:color w:val="auto"/>
              </w:rPr>
            </w:pPr>
            <w:r>
              <w:rPr>
                <w:rFonts w:ascii="Arial" w:cs="Arial" w:eastAsia="Arial" w:hAnsi="Arial"/>
                <w:sz w:val="16"/>
                <w:szCs w:val="16"/>
                <w:color w:val="auto"/>
              </w:rPr>
              <w:t>September 30, 2022</w:t>
            </w:r>
          </w:p>
        </w:tc>
        <w:tc>
          <w:tcPr>
            <w:tcW w:w="340" w:type="dxa"/>
            <w:vAlign w:val="bottom"/>
          </w:tcPr>
          <w:p>
            <w:pPr>
              <w:spacing w:after="0"/>
              <w:rPr>
                <w:sz w:val="15"/>
                <w:szCs w:val="15"/>
                <w:color w:val="auto"/>
              </w:rPr>
            </w:pPr>
          </w:p>
        </w:tc>
        <w:tc>
          <w:tcPr>
            <w:tcW w:w="2480" w:type="dxa"/>
            <w:vAlign w:val="bottom"/>
            <w:gridSpan w:val="5"/>
          </w:tcPr>
          <w:p>
            <w:pPr>
              <w:jc w:val="center"/>
              <w:ind w:right="20"/>
              <w:spacing w:after="0" w:line="176" w:lineRule="exact"/>
              <w:rPr>
                <w:sz w:val="20"/>
                <w:szCs w:val="20"/>
                <w:color w:val="auto"/>
              </w:rPr>
            </w:pPr>
            <w:r>
              <w:rPr>
                <w:rFonts w:ascii="Arial" w:cs="Arial" w:eastAsia="Arial" w:hAnsi="Arial"/>
                <w:sz w:val="16"/>
                <w:szCs w:val="16"/>
                <w:color w:val="auto"/>
              </w:rPr>
              <w:t>September 30, 2021</w:t>
            </w:r>
          </w:p>
        </w:tc>
      </w:tr>
      <w:tr>
        <w:trPr>
          <w:trHeight w:val="20"/>
        </w:trPr>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3080" w:type="dxa"/>
            <w:vAlign w:val="bottom"/>
          </w:tcPr>
          <w:p>
            <w:pPr>
              <w:spacing w:after="0"/>
              <w:rPr>
                <w:sz w:val="13"/>
                <w:szCs w:val="13"/>
                <w:color w:val="auto"/>
              </w:rPr>
            </w:pPr>
          </w:p>
        </w:tc>
        <w:tc>
          <w:tcPr>
            <w:tcW w:w="2800" w:type="dxa"/>
            <w:vAlign w:val="bottom"/>
            <w:gridSpan w:val="5"/>
          </w:tcPr>
          <w:p>
            <w:pPr>
              <w:jc w:val="center"/>
              <w:ind w:right="340"/>
              <w:spacing w:after="0" w:line="155" w:lineRule="exact"/>
              <w:rPr>
                <w:sz w:val="20"/>
                <w:szCs w:val="20"/>
                <w:color w:val="auto"/>
              </w:rPr>
            </w:pPr>
            <w:r>
              <w:rPr>
                <w:rFonts w:ascii="Arial" w:cs="Arial" w:eastAsia="Arial" w:hAnsi="Arial"/>
                <w:sz w:val="14"/>
                <w:szCs w:val="14"/>
                <w:color w:val="auto"/>
              </w:rPr>
              <w:t>(in millions, except per share amounts)</w:t>
            </w:r>
          </w:p>
        </w:tc>
        <w:tc>
          <w:tcPr>
            <w:tcW w:w="2820" w:type="dxa"/>
            <w:vAlign w:val="bottom"/>
            <w:gridSpan w:val="6"/>
          </w:tcPr>
          <w:p>
            <w:pPr>
              <w:jc w:val="center"/>
              <w:ind w:left="240"/>
              <w:spacing w:after="0" w:line="155" w:lineRule="exact"/>
              <w:rPr>
                <w:sz w:val="20"/>
                <w:szCs w:val="20"/>
                <w:color w:val="auto"/>
              </w:rPr>
            </w:pPr>
            <w:r>
              <w:rPr>
                <w:rFonts w:ascii="Arial" w:cs="Arial" w:eastAsia="Arial" w:hAnsi="Arial"/>
                <w:sz w:val="14"/>
                <w:szCs w:val="14"/>
                <w:color w:val="auto"/>
              </w:rPr>
              <w:t>(in millions, except per share amounts)</w:t>
            </w:r>
          </w:p>
        </w:tc>
      </w:tr>
      <w:tr>
        <w:trPr>
          <w:trHeight w:val="20"/>
        </w:trPr>
        <w:tc>
          <w:tcPr>
            <w:tcW w:w="30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3"/>
        </w:trPr>
        <w:tc>
          <w:tcPr>
            <w:tcW w:w="30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As Reported</w:t>
            </w:r>
          </w:p>
        </w:tc>
        <w:tc>
          <w:tcPr>
            <w:tcW w:w="1600" w:type="dxa"/>
            <w:vAlign w:val="bottom"/>
            <w:gridSpan w:val="3"/>
          </w:tcPr>
          <w:p>
            <w:pPr>
              <w:ind w:left="24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3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As Reported</w:t>
            </w:r>
          </w:p>
        </w:tc>
        <w:tc>
          <w:tcPr>
            <w:tcW w:w="1280" w:type="dxa"/>
            <w:vAlign w:val="bottom"/>
            <w:gridSpan w:val="3"/>
          </w:tcPr>
          <w:p>
            <w:pPr>
              <w:ind w:left="240"/>
              <w:spacing w:after="0"/>
              <w:rPr>
                <w:sz w:val="20"/>
                <w:szCs w:val="20"/>
                <w:color w:val="auto"/>
              </w:rPr>
            </w:pPr>
            <w:r>
              <w:rPr>
                <w:rFonts w:ascii="Arial" w:cs="Arial" w:eastAsia="Arial" w:hAnsi="Arial"/>
                <w:sz w:val="16"/>
                <w:szCs w:val="16"/>
                <w:color w:val="auto"/>
                <w:w w:val="95"/>
              </w:rPr>
              <w:t>As Adjusted</w:t>
            </w:r>
            <w:r>
              <w:rPr>
                <w:rFonts w:ascii="Arial" w:cs="Arial" w:eastAsia="Arial" w:hAnsi="Arial"/>
                <w:sz w:val="26"/>
                <w:szCs w:val="26"/>
                <w:color w:val="auto"/>
                <w:w w:val="95"/>
                <w:vertAlign w:val="superscript"/>
              </w:rPr>
              <w:t>(a)</w:t>
            </w:r>
          </w:p>
        </w:tc>
      </w:tr>
      <w:tr>
        <w:trPr>
          <w:trHeight w:val="286"/>
        </w:trPr>
        <w:tc>
          <w:tcPr>
            <w:tcW w:w="3080" w:type="dxa"/>
            <w:vAlign w:val="bottom"/>
          </w:tcPr>
          <w:p>
            <w:pPr>
              <w:spacing w:after="0"/>
              <w:rPr>
                <w:sz w:val="20"/>
                <w:szCs w:val="20"/>
                <w:color w:val="auto"/>
              </w:rPr>
            </w:pPr>
            <w:r>
              <w:rPr>
                <w:rFonts w:ascii="Arial" w:cs="Arial" w:eastAsia="Arial" w:hAnsi="Arial"/>
                <w:sz w:val="16"/>
                <w:szCs w:val="16"/>
                <w:color w:val="auto"/>
              </w:rPr>
              <w:t>Revenue</w:t>
            </w:r>
          </w:p>
        </w:tc>
        <w:tc>
          <w:tcPr>
            <w:tcW w:w="1200" w:type="dxa"/>
            <w:vAlign w:val="bottom"/>
            <w:gridSpan w:val="2"/>
          </w:tcPr>
          <w:p>
            <w:pPr>
              <w:jc w:val="center"/>
              <w:ind w:right="99"/>
              <w:spacing w:after="0"/>
              <w:rPr>
                <w:sz w:val="20"/>
                <w:szCs w:val="20"/>
                <w:color w:val="auto"/>
              </w:rPr>
            </w:pPr>
            <w:r>
              <w:rPr>
                <w:rFonts w:ascii="Arial" w:cs="Arial" w:eastAsia="Arial" w:hAnsi="Arial"/>
                <w:sz w:val="16"/>
                <w:szCs w:val="16"/>
                <w:color w:val="auto"/>
              </w:rPr>
              <w:t>$5,075</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$5,075</w:t>
            </w:r>
          </w:p>
        </w:tc>
        <w:tc>
          <w:tcPr>
            <w:tcW w:w="340" w:type="dxa"/>
            <w:vAlign w:val="bottom"/>
          </w:tcPr>
          <w:p>
            <w:pPr>
              <w:spacing w:after="0"/>
              <w:rPr>
                <w:sz w:val="24"/>
                <w:szCs w:val="24"/>
                <w:color w:val="auto"/>
              </w:rPr>
            </w:pPr>
          </w:p>
        </w:tc>
        <w:tc>
          <w:tcPr>
            <w:tcW w:w="1540" w:type="dxa"/>
            <w:vAlign w:val="bottom"/>
            <w:gridSpan w:val="3"/>
          </w:tcPr>
          <w:p>
            <w:pPr>
              <w:jc w:val="center"/>
              <w:ind w:left="80"/>
              <w:spacing w:after="0"/>
              <w:rPr>
                <w:sz w:val="20"/>
                <w:szCs w:val="20"/>
                <w:color w:val="auto"/>
              </w:rPr>
            </w:pPr>
            <w:r>
              <w:rPr>
                <w:rFonts w:ascii="Arial" w:cs="Arial" w:eastAsia="Arial" w:hAnsi="Arial"/>
                <w:sz w:val="16"/>
                <w:szCs w:val="16"/>
                <w:color w:val="auto"/>
              </w:rPr>
              <w:t>$4,665</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$4,665</w:t>
            </w:r>
          </w:p>
        </w:tc>
        <w:tc>
          <w:tcPr>
            <w:tcW w:w="20" w:type="dxa"/>
            <w:vAlign w:val="bottom"/>
          </w:tcPr>
          <w:p>
            <w:pPr>
              <w:spacing w:after="0"/>
              <w:rPr>
                <w:sz w:val="24"/>
                <w:szCs w:val="24"/>
                <w:color w:val="auto"/>
              </w:rPr>
            </w:pPr>
          </w:p>
        </w:tc>
      </w:tr>
      <w:tr>
        <w:trPr>
          <w:trHeight w:val="405"/>
        </w:trPr>
        <w:tc>
          <w:tcPr>
            <w:tcW w:w="308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00" w:type="dxa"/>
            <w:vAlign w:val="bottom"/>
            <w:gridSpan w:val="2"/>
          </w:tcPr>
          <w:p>
            <w:pPr>
              <w:jc w:val="center"/>
              <w:ind w:right="119"/>
              <w:spacing w:after="0"/>
              <w:rPr>
                <w:sz w:val="20"/>
                <w:szCs w:val="20"/>
                <w:color w:val="auto"/>
              </w:rPr>
            </w:pPr>
            <w:r>
              <w:rPr>
                <w:rFonts w:ascii="Arial" w:cs="Arial" w:eastAsia="Arial" w:hAnsi="Arial"/>
                <w:sz w:val="16"/>
                <w:szCs w:val="16"/>
                <w:color w:val="auto"/>
              </w:rPr>
              <w:t>$942</w:t>
            </w:r>
          </w:p>
        </w:tc>
        <w:tc>
          <w:tcPr>
            <w:tcW w:w="1260" w:type="dxa"/>
            <w:vAlign w:val="bottom"/>
            <w:gridSpan w:val="2"/>
          </w:tcPr>
          <w:p>
            <w:pPr>
              <w:jc w:val="center"/>
              <w:ind w:left="179"/>
              <w:spacing w:after="0"/>
              <w:rPr>
                <w:sz w:val="20"/>
                <w:szCs w:val="20"/>
                <w:color w:val="auto"/>
              </w:rPr>
            </w:pPr>
            <w:r>
              <w:rPr>
                <w:rFonts w:ascii="Arial" w:cs="Arial" w:eastAsia="Arial" w:hAnsi="Arial"/>
                <w:sz w:val="16"/>
                <w:szCs w:val="16"/>
                <w:color w:val="auto"/>
              </w:rPr>
              <w:t>$950</w:t>
            </w:r>
          </w:p>
        </w:tc>
        <w:tc>
          <w:tcPr>
            <w:tcW w:w="340" w:type="dxa"/>
            <w:vAlign w:val="bottom"/>
          </w:tcPr>
          <w:p>
            <w:pPr>
              <w:spacing w:after="0"/>
              <w:rPr>
                <w:sz w:val="24"/>
                <w:szCs w:val="24"/>
                <w:color w:val="auto"/>
              </w:rPr>
            </w:pPr>
          </w:p>
        </w:tc>
        <w:tc>
          <w:tcPr>
            <w:tcW w:w="1540" w:type="dxa"/>
            <w:vAlign w:val="bottom"/>
            <w:gridSpan w:val="3"/>
          </w:tcPr>
          <w:p>
            <w:pPr>
              <w:jc w:val="center"/>
              <w:ind w:left="100"/>
              <w:spacing w:after="0"/>
              <w:rPr>
                <w:sz w:val="20"/>
                <w:szCs w:val="20"/>
                <w:color w:val="auto"/>
              </w:rPr>
            </w:pPr>
            <w:r>
              <w:rPr>
                <w:rFonts w:ascii="Arial" w:cs="Arial" w:eastAsia="Arial" w:hAnsi="Arial"/>
                <w:sz w:val="16"/>
                <w:szCs w:val="16"/>
                <w:color w:val="auto"/>
              </w:rPr>
              <w:t>$806</w:t>
            </w:r>
          </w:p>
        </w:tc>
        <w:tc>
          <w:tcPr>
            <w:tcW w:w="1260" w:type="dxa"/>
            <w:vAlign w:val="bottom"/>
            <w:gridSpan w:val="2"/>
          </w:tcPr>
          <w:p>
            <w:pPr>
              <w:jc w:val="center"/>
              <w:ind w:left="179"/>
              <w:spacing w:after="0"/>
              <w:rPr>
                <w:sz w:val="20"/>
                <w:szCs w:val="20"/>
                <w:color w:val="auto"/>
              </w:rPr>
            </w:pPr>
            <w:r>
              <w:rPr>
                <w:rFonts w:ascii="Arial" w:cs="Arial" w:eastAsia="Arial" w:hAnsi="Arial"/>
                <w:sz w:val="16"/>
                <w:szCs w:val="16"/>
                <w:color w:val="auto"/>
              </w:rPr>
              <w:t>$792</w:t>
            </w:r>
          </w:p>
        </w:tc>
        <w:tc>
          <w:tcPr>
            <w:tcW w:w="20" w:type="dxa"/>
            <w:vAlign w:val="bottom"/>
          </w:tcPr>
          <w:p>
            <w:pPr>
              <w:spacing w:after="0"/>
              <w:rPr>
                <w:sz w:val="24"/>
                <w:szCs w:val="24"/>
                <w:color w:val="auto"/>
              </w:rPr>
            </w:pPr>
          </w:p>
        </w:tc>
      </w:tr>
      <w:tr>
        <w:trPr>
          <w:trHeight w:val="551"/>
        </w:trPr>
        <w:tc>
          <w:tcPr>
            <w:tcW w:w="308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200" w:type="dxa"/>
            <w:vAlign w:val="bottom"/>
            <w:gridSpan w:val="2"/>
          </w:tcPr>
          <w:p>
            <w:pPr>
              <w:jc w:val="center"/>
              <w:ind w:right="99"/>
              <w:spacing w:after="0"/>
              <w:rPr>
                <w:sz w:val="20"/>
                <w:szCs w:val="20"/>
                <w:color w:val="auto"/>
              </w:rPr>
            </w:pPr>
            <w:r>
              <w:rPr>
                <w:rFonts w:ascii="Arial" w:cs="Arial" w:eastAsia="Arial" w:hAnsi="Arial"/>
                <w:sz w:val="16"/>
                <w:szCs w:val="16"/>
                <w:color w:val="auto"/>
              </w:rPr>
              <w:t>$1,445</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$1,453</w:t>
            </w:r>
          </w:p>
        </w:tc>
        <w:tc>
          <w:tcPr>
            <w:tcW w:w="340" w:type="dxa"/>
            <w:vAlign w:val="bottom"/>
          </w:tcPr>
          <w:p>
            <w:pPr>
              <w:spacing w:after="0"/>
              <w:rPr>
                <w:sz w:val="24"/>
                <w:szCs w:val="24"/>
                <w:color w:val="auto"/>
              </w:rPr>
            </w:pPr>
          </w:p>
        </w:tc>
        <w:tc>
          <w:tcPr>
            <w:tcW w:w="1540" w:type="dxa"/>
            <w:vAlign w:val="bottom"/>
            <w:gridSpan w:val="3"/>
          </w:tcPr>
          <w:p>
            <w:pPr>
              <w:jc w:val="center"/>
              <w:ind w:left="80"/>
              <w:spacing w:after="0"/>
              <w:rPr>
                <w:sz w:val="20"/>
                <w:szCs w:val="20"/>
                <w:color w:val="auto"/>
              </w:rPr>
            </w:pPr>
            <w:r>
              <w:rPr>
                <w:rFonts w:ascii="Arial" w:cs="Arial" w:eastAsia="Arial" w:hAnsi="Arial"/>
                <w:sz w:val="16"/>
                <w:szCs w:val="16"/>
                <w:color w:val="auto"/>
              </w:rPr>
              <w:t>$1,323</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$1,309</w:t>
            </w:r>
          </w:p>
        </w:tc>
        <w:tc>
          <w:tcPr>
            <w:tcW w:w="20" w:type="dxa"/>
            <w:vAlign w:val="bottom"/>
          </w:tcPr>
          <w:p>
            <w:pPr>
              <w:spacing w:after="0"/>
              <w:rPr>
                <w:sz w:val="24"/>
                <w:szCs w:val="24"/>
                <w:color w:val="auto"/>
              </w:rPr>
            </w:pPr>
          </w:p>
        </w:tc>
      </w:tr>
      <w:tr>
        <w:trPr>
          <w:trHeight w:val="286"/>
        </w:trPr>
        <w:tc>
          <w:tcPr>
            <w:tcW w:w="308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200" w:type="dxa"/>
            <w:vAlign w:val="bottom"/>
            <w:gridSpan w:val="2"/>
          </w:tcPr>
          <w:p>
            <w:pPr>
              <w:jc w:val="center"/>
              <w:ind w:right="99"/>
              <w:spacing w:after="0"/>
              <w:rPr>
                <w:sz w:val="20"/>
                <w:szCs w:val="20"/>
                <w:color w:val="auto"/>
              </w:rPr>
            </w:pPr>
            <w:r>
              <w:rPr>
                <w:rFonts w:ascii="Arial" w:cs="Arial" w:eastAsia="Arial" w:hAnsi="Arial"/>
                <w:sz w:val="16"/>
                <w:szCs w:val="16"/>
                <w:color w:val="auto"/>
              </w:rPr>
              <w:t>28.5%</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28.6%</w:t>
            </w:r>
          </w:p>
        </w:tc>
        <w:tc>
          <w:tcPr>
            <w:tcW w:w="340" w:type="dxa"/>
            <w:vAlign w:val="bottom"/>
          </w:tcPr>
          <w:p>
            <w:pPr>
              <w:spacing w:after="0"/>
              <w:rPr>
                <w:sz w:val="24"/>
                <w:szCs w:val="24"/>
                <w:color w:val="auto"/>
              </w:rPr>
            </w:pPr>
          </w:p>
        </w:tc>
        <w:tc>
          <w:tcPr>
            <w:tcW w:w="1540" w:type="dxa"/>
            <w:vAlign w:val="bottom"/>
            <w:gridSpan w:val="3"/>
          </w:tcPr>
          <w:p>
            <w:pPr>
              <w:jc w:val="center"/>
              <w:ind w:left="80"/>
              <w:spacing w:after="0"/>
              <w:rPr>
                <w:sz w:val="20"/>
                <w:szCs w:val="20"/>
                <w:color w:val="auto"/>
              </w:rPr>
            </w:pPr>
            <w:r>
              <w:rPr>
                <w:rFonts w:ascii="Arial" w:cs="Arial" w:eastAsia="Arial" w:hAnsi="Arial"/>
                <w:sz w:val="16"/>
                <w:szCs w:val="16"/>
                <w:color w:val="auto"/>
              </w:rPr>
              <w:t>28.4%</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24"/>
                <w:szCs w:val="24"/>
                <w:color w:val="auto"/>
              </w:rPr>
            </w:pPr>
          </w:p>
        </w:tc>
      </w:tr>
      <w:tr>
        <w:trPr>
          <w:trHeight w:val="551"/>
        </w:trPr>
        <w:tc>
          <w:tcPr>
            <w:tcW w:w="308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200" w:type="dxa"/>
            <w:vAlign w:val="bottom"/>
            <w:gridSpan w:val="2"/>
          </w:tcPr>
          <w:p>
            <w:pPr>
              <w:jc w:val="center"/>
              <w:ind w:right="119"/>
              <w:spacing w:after="0"/>
              <w:rPr>
                <w:sz w:val="20"/>
                <w:szCs w:val="20"/>
                <w:color w:val="auto"/>
              </w:rPr>
            </w:pPr>
            <w:r>
              <w:rPr>
                <w:rFonts w:ascii="Arial" w:cs="Arial" w:eastAsia="Arial" w:hAnsi="Arial"/>
                <w:sz w:val="16"/>
                <w:szCs w:val="16"/>
                <w:color w:val="auto"/>
              </w:rPr>
              <w:t>$639</w:t>
            </w:r>
          </w:p>
        </w:tc>
        <w:tc>
          <w:tcPr>
            <w:tcW w:w="1260" w:type="dxa"/>
            <w:vAlign w:val="bottom"/>
            <w:gridSpan w:val="2"/>
          </w:tcPr>
          <w:p>
            <w:pPr>
              <w:jc w:val="center"/>
              <w:ind w:left="179"/>
              <w:spacing w:after="0"/>
              <w:rPr>
                <w:sz w:val="20"/>
                <w:szCs w:val="20"/>
                <w:color w:val="auto"/>
              </w:rPr>
            </w:pPr>
            <w:r>
              <w:rPr>
                <w:rFonts w:ascii="Arial" w:cs="Arial" w:eastAsia="Arial" w:hAnsi="Arial"/>
                <w:sz w:val="16"/>
                <w:szCs w:val="16"/>
                <w:color w:val="auto"/>
              </w:rPr>
              <w:t>$645</w:t>
            </w:r>
          </w:p>
        </w:tc>
        <w:tc>
          <w:tcPr>
            <w:tcW w:w="340" w:type="dxa"/>
            <w:vAlign w:val="bottom"/>
          </w:tcPr>
          <w:p>
            <w:pPr>
              <w:spacing w:after="0"/>
              <w:rPr>
                <w:sz w:val="24"/>
                <w:szCs w:val="24"/>
                <w:color w:val="auto"/>
              </w:rPr>
            </w:pPr>
          </w:p>
        </w:tc>
        <w:tc>
          <w:tcPr>
            <w:tcW w:w="1540" w:type="dxa"/>
            <w:vAlign w:val="bottom"/>
            <w:gridSpan w:val="3"/>
          </w:tcPr>
          <w:p>
            <w:pPr>
              <w:jc w:val="center"/>
              <w:ind w:left="100"/>
              <w:spacing w:after="0"/>
              <w:rPr>
                <w:sz w:val="20"/>
                <w:szCs w:val="20"/>
                <w:color w:val="auto"/>
              </w:rPr>
            </w:pPr>
            <w:r>
              <w:rPr>
                <w:rFonts w:ascii="Arial" w:cs="Arial" w:eastAsia="Arial" w:hAnsi="Arial"/>
                <w:sz w:val="16"/>
                <w:szCs w:val="16"/>
                <w:color w:val="auto"/>
              </w:rPr>
              <w:t>$538</w:t>
            </w:r>
          </w:p>
        </w:tc>
        <w:tc>
          <w:tcPr>
            <w:tcW w:w="1260" w:type="dxa"/>
            <w:vAlign w:val="bottom"/>
            <w:gridSpan w:val="2"/>
          </w:tcPr>
          <w:p>
            <w:pPr>
              <w:jc w:val="center"/>
              <w:ind w:left="179"/>
              <w:spacing w:after="0"/>
              <w:rPr>
                <w:sz w:val="20"/>
                <w:szCs w:val="20"/>
                <w:color w:val="auto"/>
              </w:rPr>
            </w:pPr>
            <w:r>
              <w:rPr>
                <w:rFonts w:ascii="Arial" w:cs="Arial" w:eastAsia="Arial" w:hAnsi="Arial"/>
                <w:sz w:val="16"/>
                <w:szCs w:val="16"/>
                <w:color w:val="auto"/>
              </w:rPr>
              <w:t>$530</w:t>
            </w:r>
          </w:p>
        </w:tc>
        <w:tc>
          <w:tcPr>
            <w:tcW w:w="20" w:type="dxa"/>
            <w:vAlign w:val="bottom"/>
          </w:tcPr>
          <w:p>
            <w:pPr>
              <w:spacing w:after="0"/>
              <w:rPr>
                <w:sz w:val="24"/>
                <w:szCs w:val="24"/>
                <w:color w:val="auto"/>
              </w:rPr>
            </w:pPr>
          </w:p>
        </w:tc>
      </w:tr>
      <w:tr>
        <w:trPr>
          <w:trHeight w:val="286"/>
        </w:trPr>
        <w:tc>
          <w:tcPr>
            <w:tcW w:w="3080" w:type="dxa"/>
            <w:vAlign w:val="bottom"/>
          </w:tcPr>
          <w:p>
            <w:pPr>
              <w:spacing w:after="0"/>
              <w:rPr>
                <w:sz w:val="20"/>
                <w:szCs w:val="20"/>
                <w:color w:val="auto"/>
              </w:rPr>
            </w:pPr>
            <w:r>
              <w:rPr>
                <w:rFonts w:ascii="Arial" w:cs="Arial" w:eastAsia="Arial" w:hAnsi="Arial"/>
                <w:sz w:val="16"/>
                <w:szCs w:val="16"/>
                <w:color w:val="auto"/>
              </w:rPr>
              <w:t>Diluted EPS</w:t>
            </w:r>
          </w:p>
        </w:tc>
        <w:tc>
          <w:tcPr>
            <w:tcW w:w="1200" w:type="dxa"/>
            <w:vAlign w:val="bottom"/>
            <w:gridSpan w:val="2"/>
          </w:tcPr>
          <w:p>
            <w:pPr>
              <w:jc w:val="center"/>
              <w:ind w:right="119"/>
              <w:spacing w:after="0"/>
              <w:rPr>
                <w:sz w:val="20"/>
                <w:szCs w:val="20"/>
                <w:color w:val="auto"/>
              </w:rPr>
            </w:pPr>
            <w:r>
              <w:rPr>
                <w:rFonts w:ascii="Arial" w:cs="Arial" w:eastAsia="Arial" w:hAnsi="Arial"/>
                <w:sz w:val="16"/>
                <w:szCs w:val="16"/>
                <w:color w:val="auto"/>
                <w:w w:val="99"/>
              </w:rPr>
              <w:t>$1.54</w:t>
            </w:r>
          </w:p>
        </w:tc>
        <w:tc>
          <w:tcPr>
            <w:tcW w:w="1260" w:type="dxa"/>
            <w:vAlign w:val="bottom"/>
            <w:gridSpan w:val="2"/>
          </w:tcPr>
          <w:p>
            <w:pPr>
              <w:jc w:val="center"/>
              <w:ind w:left="159"/>
              <w:spacing w:after="0"/>
              <w:rPr>
                <w:sz w:val="20"/>
                <w:szCs w:val="20"/>
                <w:color w:val="auto"/>
              </w:rPr>
            </w:pPr>
            <w:r>
              <w:rPr>
                <w:rFonts w:ascii="Arial" w:cs="Arial" w:eastAsia="Arial" w:hAnsi="Arial"/>
                <w:sz w:val="16"/>
                <w:szCs w:val="16"/>
                <w:color w:val="auto"/>
              </w:rPr>
              <w:t>$1.56</w:t>
            </w:r>
          </w:p>
        </w:tc>
        <w:tc>
          <w:tcPr>
            <w:tcW w:w="340" w:type="dxa"/>
            <w:vAlign w:val="bottom"/>
          </w:tcPr>
          <w:p>
            <w:pPr>
              <w:spacing w:after="0"/>
              <w:rPr>
                <w:sz w:val="24"/>
                <w:szCs w:val="24"/>
                <w:color w:val="auto"/>
              </w:rPr>
            </w:pPr>
          </w:p>
        </w:tc>
        <w:tc>
          <w:tcPr>
            <w:tcW w:w="1540" w:type="dxa"/>
            <w:vAlign w:val="bottom"/>
            <w:gridSpan w:val="3"/>
          </w:tcPr>
          <w:p>
            <w:pPr>
              <w:jc w:val="center"/>
              <w:ind w:left="80"/>
              <w:spacing w:after="0"/>
              <w:rPr>
                <w:sz w:val="20"/>
                <w:szCs w:val="20"/>
                <w:color w:val="auto"/>
              </w:rPr>
            </w:pPr>
            <w:r>
              <w:rPr>
                <w:rFonts w:ascii="Arial" w:cs="Arial" w:eastAsia="Arial" w:hAnsi="Arial"/>
                <w:sz w:val="16"/>
                <w:szCs w:val="16"/>
                <w:color w:val="auto"/>
              </w:rPr>
              <w:t>$1.28</w:t>
            </w:r>
          </w:p>
        </w:tc>
        <w:tc>
          <w:tcPr>
            <w:tcW w:w="126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$1.26</w:t>
            </w:r>
          </w:p>
        </w:tc>
        <w:tc>
          <w:tcPr>
            <w:tcW w:w="20" w:type="dxa"/>
            <w:vAlign w:val="bottom"/>
          </w:tcPr>
          <w:p>
            <w:pPr>
              <w:spacing w:after="0"/>
              <w:rPr>
                <w:sz w:val="24"/>
                <w:szCs w:val="24"/>
                <w:color w:val="auto"/>
              </w:rPr>
            </w:pPr>
          </w:p>
        </w:tc>
      </w:tr>
    </w:tbl>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have seen all year, our team delivered strong results in the third quarter, driven by the strength and resiliency of our collection and disposal business,” said Jim Fish, WM’s President and Chief Executive Officer. “Organic revenue growth, diligent management of controllable costs, and proactive steps to automate the business translated into an 11% increase in adjusted operating EBITDA.”</w:t>
      </w:r>
      <w:r>
        <w:rPr>
          <w:rFonts w:ascii="Arial" w:cs="Arial" w:eastAsia="Arial" w:hAnsi="Arial"/>
          <w:sz w:val="26"/>
          <w:szCs w:val="26"/>
          <w:color w:val="auto"/>
          <w:vertAlign w:val="superscript"/>
        </w:rPr>
        <w:t>(a)</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Fish continued, “I am proud of the dedication of our entire team, particularly our team members in Florida who are rising to the challenges from Hurricane Ian to support cleanup efforts for affected communities. The team continues to maintain focus on meeting the service needs of our customers and executing on pricing and cost management plans, and they do all of this while advancing our long-term strategic priorities.”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THIRD QUARTER OF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Revenue</w:t>
      </w:r>
    </w:p>
    <w:p>
      <w:pPr>
        <w:spacing w:after="0" w:line="45" w:lineRule="exact"/>
        <w:rPr>
          <w:sz w:val="20"/>
          <w:szCs w:val="20"/>
          <w:color w:val="auto"/>
        </w:rPr>
      </w:pPr>
    </w:p>
    <w:p>
      <w:pPr>
        <w:ind w:left="680" w:hanging="335"/>
        <w:spacing w:after="0"/>
        <w:tabs>
          <w:tab w:leader="none" w:pos="680" w:val="left"/>
        </w:tabs>
        <w:numPr>
          <w:ilvl w:val="0"/>
          <w:numId w:val="3"/>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Core price for the third quarter of 2022 was 8.2% compared to 4.6% in the third quarter of 2021.</w:t>
      </w:r>
      <w:r>
        <w:rPr>
          <w:rFonts w:ascii="Arial" w:cs="Arial" w:eastAsia="Arial" w:hAnsi="Arial"/>
          <w:sz w:val="29"/>
          <w:szCs w:val="29"/>
          <w:color w:val="auto"/>
          <w:vertAlign w:val="superscript"/>
        </w:rPr>
        <w:t>(d)</w:t>
      </w:r>
    </w:p>
    <w:p>
      <w:pPr>
        <w:ind w:left="680" w:hanging="335"/>
        <w:spacing w:after="0" w:line="197"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Collection and disposal yield was 7.1% in the third quarter of 2022 compared to 3.6% in the third quarter of 2021.</w:t>
      </w:r>
      <w:r>
        <w:rPr>
          <w:rFonts w:ascii="Arial" w:cs="Arial" w:eastAsia="Arial" w:hAnsi="Arial"/>
          <w:sz w:val="29"/>
          <w:szCs w:val="29"/>
          <w:color w:val="auto"/>
          <w:vertAlign w:val="superscript"/>
        </w:rPr>
        <w:t>(e)</w:t>
      </w:r>
    </w:p>
    <w:p>
      <w:pPr>
        <w:spacing w:after="0" w:line="1" w:lineRule="exact"/>
        <w:rPr>
          <w:rFonts w:ascii="Times New Roman" w:cs="Times New Roman" w:eastAsia="Times New Roman" w:hAnsi="Times New Roman"/>
          <w:sz w:val="18"/>
          <w:szCs w:val="18"/>
          <w:color w:val="auto"/>
        </w:rPr>
      </w:pPr>
    </w:p>
    <w:p>
      <w:pPr>
        <w:jc w:val="both"/>
        <w:ind w:left="680" w:hanging="335"/>
        <w:spacing w:after="0" w:line="248"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Total Company volumes increased 1.0%, or 1.3% on a workday adjusted basis, in the third quarter of 2022 and collection and disposal volumes increased 1.4%, or 1.7% on a workday adjusted basis. Total Company volumes improved 3.2% in the third quarter of 2021, or 3.0% on a workday adjusted basis, and collection and disposal volumes increased 3.4%, or 3.2% on a workday adjusted basis, in the third quarter of 2021.</w:t>
      </w:r>
      <w:r>
        <w:rPr>
          <w:rFonts w:ascii="Arial" w:cs="Arial" w:eastAsia="Arial" w:hAnsi="Arial"/>
          <w:sz w:val="29"/>
          <w:szCs w:val="29"/>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20"/>
        <w:spacing w:after="0" w:line="296" w:lineRule="auto"/>
        <w:rPr>
          <w:sz w:val="20"/>
          <w:szCs w:val="20"/>
          <w:color w:val="auto"/>
        </w:rPr>
      </w:pPr>
      <w:r>
        <w:rPr>
          <w:rFonts w:ascii="Arial" w:cs="Arial" w:eastAsia="Arial" w:hAnsi="Arial"/>
          <w:sz w:val="16"/>
          <w:szCs w:val="16"/>
          <w:b w:val="1"/>
          <w:bCs w:val="1"/>
          <w:color w:val="00693A"/>
        </w:rPr>
        <w:t>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www.wm.com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713.265.1656 eegl@wm.com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4"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Toni Werner media@wm.com</w:t>
      </w:r>
    </w:p>
    <w:p>
      <w:pPr>
        <w:sectPr>
          <w:pgSz w:w="11900" w:h="16838" w:orient="portrait"/>
          <w:cols w:equalWidth="0" w:num="2">
            <w:col w:w="9000" w:space="380"/>
            <w:col w:w="1860"/>
          </w:cols>
          <w:pgMar w:left="320" w:top="337" w:right="339" w:bottom="1440" w:gutter="0" w:footer="0" w:header="0"/>
        </w:sectPr>
      </w:pPr>
    </w:p>
    <w:bookmarkStart w:id="4" w:name="page5"/>
    <w:bookmarkEnd w:id="4"/>
    <w:p>
      <w:pPr>
        <w:ind w:left="680"/>
        <w:spacing w:after="0"/>
        <w:rPr>
          <w:sz w:val="20"/>
          <w:szCs w:val="20"/>
          <w:color w:val="auto"/>
        </w:rPr>
      </w:pPr>
      <w:r>
        <w:rPr>
          <w:rFonts w:ascii="Arial" w:cs="Arial" w:eastAsia="Arial" w:hAnsi="Arial"/>
          <w:sz w:val="18"/>
          <w:szCs w:val="18"/>
          <w:b w:val="1"/>
          <w:bCs w:val="1"/>
          <w:u w:val="single" w:color="auto"/>
          <w:color w:val="auto"/>
        </w:rPr>
        <w:t>Cost Management</w:t>
      </w:r>
    </w:p>
    <w:p>
      <w:pPr>
        <w:spacing w:after="0" w:line="198" w:lineRule="exact"/>
        <w:rPr>
          <w:sz w:val="20"/>
          <w:szCs w:val="20"/>
          <w:color w:val="auto"/>
        </w:rPr>
      </w:pPr>
    </w:p>
    <w:p>
      <w:pPr>
        <w:jc w:val="both"/>
        <w:ind w:left="680" w:right="1139" w:hanging="335"/>
        <w:spacing w:after="0" w:line="238"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as a percentage of revenue were 62.2% in the third quarter of 2022 compared to 62.3% in the third quarter of 2021. The measure improved 70 basis points in the collection and disposal business as pricing and operating efficiencies worked to overcome inflationary cost pressures. This improvement was largely offset by the impacts of a sharp decline in market prices for recycled commodities.</w:t>
      </w:r>
    </w:p>
    <w:p>
      <w:pPr>
        <w:spacing w:after="0" w:line="3" w:lineRule="exact"/>
        <w:rPr>
          <w:rFonts w:ascii="Times New Roman" w:cs="Times New Roman" w:eastAsia="Times New Roman" w:hAnsi="Times New Roman"/>
          <w:sz w:val="18"/>
          <w:szCs w:val="18"/>
          <w:color w:val="auto"/>
        </w:rPr>
      </w:pPr>
    </w:p>
    <w:p>
      <w:pPr>
        <w:jc w:val="both"/>
        <w:ind w:left="680" w:right="1139" w:hanging="335"/>
        <w:spacing w:after="0" w:line="259"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SG&amp;A expenses were 9.3% of revenue in the third quarter of 2022 compared to 10.1% in the third quarter of 2021. On an adjusted basis, SG&amp;A expenses were 9.2% of revenue in the third quarter of 2022 compared to 9.7% in the third quarter of 2021.</w:t>
      </w:r>
      <w:r>
        <w:rPr>
          <w:rFonts w:ascii="Arial" w:cs="Arial" w:eastAsia="Arial" w:hAnsi="Arial"/>
          <w:sz w:val="29"/>
          <w:szCs w:val="29"/>
          <w:color w:val="auto"/>
          <w:vertAlign w:val="superscript"/>
        </w:rPr>
        <w:t>(a)</w:t>
      </w:r>
    </w:p>
    <w:p>
      <w:pPr>
        <w:spacing w:after="0" w:line="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Arial" w:cs="Arial" w:eastAsia="Arial" w:hAnsi="Arial"/>
          <w:sz w:val="18"/>
          <w:szCs w:val="18"/>
          <w:b w:val="1"/>
          <w:bCs w:val="1"/>
          <w:u w:val="single" w:color="auto"/>
          <w:color w:val="auto"/>
        </w:rPr>
        <w:t>Profitability</w:t>
      </w:r>
    </w:p>
    <w:p>
      <w:pPr>
        <w:spacing w:after="0" w:line="198" w:lineRule="exact"/>
        <w:rPr>
          <w:rFonts w:ascii="Times New Roman" w:cs="Times New Roman" w:eastAsia="Times New Roman" w:hAnsi="Times New Roman"/>
          <w:sz w:val="18"/>
          <w:szCs w:val="18"/>
          <w:color w:val="auto"/>
        </w:rPr>
      </w:pPr>
    </w:p>
    <w:p>
      <w:pPr>
        <w:jc w:val="both"/>
        <w:ind w:left="680" w:right="1139" w:hanging="335"/>
        <w:spacing w:after="0" w:line="221"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increased by approximately $174 million to $1.59 billion for the third quarter of 2022. Operating EBITDA as a percentage of revenue in the Company’s collection and disposal business was 31.8% for the third quarter of 2022 compared to 31.2% for the third quarter of 2021.</w:t>
      </w:r>
      <w:r>
        <w:rPr>
          <w:rFonts w:ascii="Arial" w:cs="Arial" w:eastAsia="Arial" w:hAnsi="Arial"/>
          <w:sz w:val="29"/>
          <w:szCs w:val="29"/>
          <w:color w:val="auto"/>
          <w:vertAlign w:val="superscript"/>
        </w:rPr>
        <w:t>(f)</w:t>
      </w:r>
    </w:p>
    <w:p>
      <w:pPr>
        <w:jc w:val="both"/>
        <w:ind w:left="680" w:right="1139" w:hanging="335"/>
        <w:spacing w:after="0" w:line="23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EBITDA in the Company’s recycling line of business decreased by $36 million compared to the third quarter of 2021 primarily driven by a 32% decline in recycled commodity prices and persistent inflationary cost pressures on operating costs.</w:t>
      </w:r>
    </w:p>
    <w:p>
      <w:pPr>
        <w:spacing w:after="0" w:line="1" w:lineRule="exact"/>
        <w:rPr>
          <w:rFonts w:ascii="Times New Roman" w:cs="Times New Roman" w:eastAsia="Times New Roman" w:hAnsi="Times New Roman"/>
          <w:sz w:val="18"/>
          <w:szCs w:val="18"/>
          <w:color w:val="auto"/>
        </w:rPr>
      </w:pPr>
    </w:p>
    <w:p>
      <w:pPr>
        <w:jc w:val="both"/>
        <w:ind w:left="680" w:right="1139" w:hanging="335"/>
        <w:spacing w:after="0" w:line="239"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EBITDA in the Company’s renewable energy business was relatively flat compared to the third quarter of 2021. Results were generally in line with expectations as the Company sold about 30% of its renewable natural gas (RNG) under long-term contracts, which moderated the average price per MMBtu.</w:t>
      </w:r>
    </w:p>
    <w:p>
      <w:pPr>
        <w:spacing w:after="0" w:line="169"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198" w:lineRule="exact"/>
        <w:rPr>
          <w:rFonts w:ascii="Times New Roman" w:cs="Times New Roman" w:eastAsia="Times New Roman" w:hAnsi="Times New Roman"/>
          <w:sz w:val="18"/>
          <w:szCs w:val="18"/>
          <w:color w:val="auto"/>
        </w:rPr>
      </w:pPr>
    </w:p>
    <w:p>
      <w:pPr>
        <w:ind w:left="680" w:right="1139" w:hanging="335"/>
        <w:spacing w:after="0" w:line="24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the third quarter of 2022, net cash provided by operating activities was $1.18 billion, in line with the third quarter of 2021.</w:t>
      </w:r>
    </w:p>
    <w:p>
      <w:pPr>
        <w:spacing w:after="0" w:line="1" w:lineRule="exact"/>
        <w:rPr>
          <w:rFonts w:ascii="Times New Roman" w:cs="Times New Roman" w:eastAsia="Times New Roman" w:hAnsi="Times New Roman"/>
          <w:sz w:val="18"/>
          <w:szCs w:val="18"/>
          <w:color w:val="auto"/>
        </w:rPr>
      </w:pPr>
    </w:p>
    <w:p>
      <w:pPr>
        <w:jc w:val="both"/>
        <w:ind w:left="680" w:right="1139" w:hanging="335"/>
        <w:spacing w:after="0" w:line="23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the third quarter of 2022, capital expenditures to support the business were $547 million compared to $448 million in the third quarter of 2021. In addition, capital expenditures for sustainability growth investments were $210 million compared to $16 million in the third quarter of 2021.</w:t>
      </w:r>
    </w:p>
    <w:p>
      <w:pPr>
        <w:spacing w:after="0" w:line="1" w:lineRule="exact"/>
        <w:rPr>
          <w:rFonts w:ascii="Times New Roman" w:cs="Times New Roman" w:eastAsia="Times New Roman" w:hAnsi="Times New Roman"/>
          <w:sz w:val="18"/>
          <w:szCs w:val="18"/>
          <w:color w:val="auto"/>
        </w:rPr>
      </w:pPr>
    </w:p>
    <w:p>
      <w:pPr>
        <w:jc w:val="both"/>
        <w:ind w:left="680" w:right="1139" w:hanging="335"/>
        <w:spacing w:after="0" w:line="203"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the third quarter of 2022, free cash flow was $432 million compared to $773 million in the third quarter of 2021.</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Free cash flow without sustainability growth investments was $642 million compared to $789 million in the third quarter of 2021.</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The year-over-year decline in free cash flow was primarily driven by the planned increase in sustainability growth investments and accelerated capital spending to support the business.</w:t>
      </w:r>
    </w:p>
    <w:p>
      <w:pPr>
        <w:spacing w:after="0" w:line="3" w:lineRule="exact"/>
        <w:rPr>
          <w:rFonts w:ascii="Times New Roman" w:cs="Times New Roman" w:eastAsia="Times New Roman" w:hAnsi="Times New Roman"/>
          <w:sz w:val="18"/>
          <w:szCs w:val="18"/>
          <w:color w:val="auto"/>
        </w:rPr>
      </w:pPr>
    </w:p>
    <w:p>
      <w:pPr>
        <w:ind w:left="680" w:right="1139" w:hanging="335"/>
        <w:spacing w:after="0" w:line="249"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third quarter of 2022, $808 million was returned to shareholders, including $541 million allocated to share repurchases and $267 million of cash dividends.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 UPDATE</w:t>
      </w:r>
    </w:p>
    <w:p>
      <w:pPr>
        <w:spacing w:after="0" w:line="189" w:lineRule="exact"/>
        <w:rPr>
          <w:sz w:val="20"/>
          <w:szCs w:val="20"/>
          <w:color w:val="auto"/>
        </w:rPr>
      </w:pPr>
    </w:p>
    <w:p>
      <w:pPr>
        <w:jc w:val="both"/>
        <w:ind w:left="680" w:right="1139" w:hanging="335"/>
        <w:spacing w:after="0" w:line="238"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released its 2022 Sustainability Report earlier this month, providing details on its Environmental Social and Governance (ESG) performance and outlining new 2030 priorities. The Sustainability Report conveys the strong linkage between the Company’s ESG goals and its growth strategy, inclusive of the planned expansion of the Company’s recycling and renewable energy businesses.</w:t>
      </w:r>
    </w:p>
    <w:p>
      <w:pPr>
        <w:spacing w:after="0" w:line="3" w:lineRule="exact"/>
        <w:rPr>
          <w:rFonts w:ascii="Times New Roman" w:cs="Times New Roman" w:eastAsia="Times New Roman" w:hAnsi="Times New Roman"/>
          <w:sz w:val="18"/>
          <w:szCs w:val="18"/>
          <w:color w:val="auto"/>
        </w:rPr>
      </w:pPr>
    </w:p>
    <w:p>
      <w:pPr>
        <w:jc w:val="both"/>
        <w:ind w:left="680" w:right="1139" w:hanging="335"/>
        <w:spacing w:after="0" w:line="238"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continues to progress its $1.625 billion sustainability growth investment program and remains on track to invest $550 million in 2022. These growth investments are intended to further WM’s sustainability leadership by increasing recycling volumes and growing RNG generation. Two of the 17 new RNG projects and five new or automated material recovery facilities (MRFs) are expected to be complete in 2022. The Company expects to provide updates on the timing of future capital investments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5" w:name="page6"/>
    <w:bookmarkEnd w:id="5"/>
    <w:p>
      <w:pPr>
        <w:ind w:left="680"/>
        <w:spacing w:after="0"/>
        <w:rPr>
          <w:sz w:val="20"/>
          <w:szCs w:val="20"/>
          <w:color w:val="auto"/>
        </w:rPr>
      </w:pPr>
      <w:r>
        <w:rPr>
          <w:rFonts w:ascii="Arial" w:cs="Arial" w:eastAsia="Arial" w:hAnsi="Arial"/>
          <w:sz w:val="18"/>
          <w:szCs w:val="18"/>
          <w:color w:val="auto"/>
        </w:rPr>
        <w:t>contributions associated with this program by its fourth quarter earnings announcement in February.</w:t>
      </w:r>
    </w:p>
    <w:p>
      <w:pPr>
        <w:spacing w:after="0" w:line="14" w:lineRule="exact"/>
        <w:rPr>
          <w:sz w:val="20"/>
          <w:szCs w:val="20"/>
          <w:color w:val="auto"/>
        </w:rPr>
      </w:pPr>
    </w:p>
    <w:p>
      <w:pPr>
        <w:jc w:val="both"/>
        <w:ind w:left="680" w:right="1139" w:hanging="335"/>
        <w:spacing w:after="0" w:line="237"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response to the recently approved civil rights audit stockholder proposal, the Company has engaged a team led by former U.S. Attorney General Loretta Lynch, now a partner at Paul, Weiss, Rifkind, Wharton &amp; Garrison, to perform an independent assessment of the impact of WM policies and practices on the civil rights of Company stakeholders, and to provide recommendations for further improvement. The assessment will include a broad review and analysis in the areas of environmental justice and inclusion, equity, and diversity of employees and suppliers, with input from internal and external stakeholders. WM expects to publish results of the assessment before its 2024 Annual Meeting of Stockholders.</w:t>
      </w:r>
    </w:p>
    <w:p>
      <w:pPr>
        <w:spacing w:after="0" w:line="169" w:lineRule="exact"/>
        <w:rPr>
          <w:sz w:val="20"/>
          <w:szCs w:val="20"/>
          <w:color w:val="auto"/>
        </w:rPr>
      </w:pPr>
    </w:p>
    <w:p>
      <w:pPr>
        <w:jc w:val="both"/>
        <w:ind w:right="1139"/>
        <w:spacing w:after="0" w:line="247" w:lineRule="auto"/>
        <w:rPr>
          <w:sz w:val="20"/>
          <w:szCs w:val="20"/>
          <w:color w:val="auto"/>
        </w:rPr>
      </w:pPr>
      <w:r>
        <w:rPr>
          <w:rFonts w:ascii="Arial" w:cs="Arial" w:eastAsia="Arial" w:hAnsi="Arial"/>
          <w:sz w:val="18"/>
          <w:szCs w:val="18"/>
          <w:color w:val="auto"/>
        </w:rPr>
        <w:t>Fish concluded, “WM continues to demonstrate the strength and reliability of our business model. Our operational performance puts us on track to achieve the higher full-year outlook we provided last quarter as the solid waste business delivers strong results that will work to overcome the headwind we now expect from lower market prices for recycled commodities.”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ind w:left="680" w:right="1139" w:hanging="335"/>
        <w:spacing w:after="0" w:line="264"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17" w:lineRule="exact"/>
        <w:rPr>
          <w:rFonts w:ascii="Arial" w:cs="Arial" w:eastAsia="Arial" w:hAnsi="Arial"/>
          <w:sz w:val="14"/>
          <w:szCs w:val="14"/>
          <w:color w:val="auto"/>
        </w:rPr>
      </w:pPr>
    </w:p>
    <w:p>
      <w:pPr>
        <w:ind w:left="680" w:right="1139" w:hanging="335"/>
        <w:spacing w:after="0" w:line="285"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 titled measures reported by other companies.</w:t>
      </w:r>
    </w:p>
    <w:p>
      <w:pPr>
        <w:spacing w:after="0" w:line="103" w:lineRule="exact"/>
        <w:rPr>
          <w:rFonts w:ascii="Arial" w:cs="Arial" w:eastAsia="Arial" w:hAnsi="Arial"/>
          <w:sz w:val="14"/>
          <w:szCs w:val="14"/>
          <w:color w:val="auto"/>
        </w:rPr>
      </w:pPr>
    </w:p>
    <w:p>
      <w:pPr>
        <w:ind w:left="680" w:right="1139" w:hanging="335"/>
        <w:spacing w:after="0" w:line="285"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03" w:lineRule="exact"/>
        <w:rPr>
          <w:rFonts w:ascii="Arial" w:cs="Arial" w:eastAsia="Arial" w:hAnsi="Arial"/>
          <w:sz w:val="14"/>
          <w:szCs w:val="14"/>
          <w:color w:val="auto"/>
        </w:rPr>
      </w:pPr>
    </w:p>
    <w:p>
      <w:pPr>
        <w:jc w:val="both"/>
        <w:ind w:left="680" w:right="1139" w:hanging="335"/>
        <w:spacing w:after="0" w:line="256"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23" w:lineRule="exact"/>
        <w:rPr>
          <w:rFonts w:ascii="Arial" w:cs="Arial" w:eastAsia="Arial" w:hAnsi="Arial"/>
          <w:sz w:val="14"/>
          <w:szCs w:val="14"/>
          <w:color w:val="auto"/>
        </w:rPr>
      </w:pPr>
    </w:p>
    <w:p>
      <w:pPr>
        <w:jc w:val="both"/>
        <w:ind w:left="680" w:right="1139" w:hanging="335"/>
        <w:spacing w:after="0" w:line="263"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Beginning in the fourth quarter of 2021, changes in the Company’s renewable energy revenue are reflected as components of the changes in revenue attributable to yield (included in “Fuel &amp; Other”) and volume. The Company has restated the prior periods to be consistent with the current year presentation.</w:t>
      </w:r>
    </w:p>
    <w:p>
      <w:pPr>
        <w:spacing w:after="0" w:line="118" w:lineRule="exact"/>
        <w:rPr>
          <w:rFonts w:ascii="Arial" w:cs="Arial" w:eastAsia="Arial" w:hAnsi="Arial"/>
          <w:sz w:val="14"/>
          <w:szCs w:val="14"/>
          <w:color w:val="auto"/>
        </w:rPr>
      </w:pPr>
    </w:p>
    <w:p>
      <w:pPr>
        <w:jc w:val="both"/>
        <w:ind w:left="680" w:right="1139" w:hanging="335"/>
        <w:spacing w:after="0" w:line="263"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fourth quarter of 2021, the Company updated its collection and disposal operating EBITDA calculation with a more accurate allocation of costs to this line of business. The Company has restated the prior periods to be consistent with the current year presentation.</w:t>
      </w:r>
    </w:p>
    <w:p>
      <w:pPr>
        <w:spacing w:after="0" w:line="150" w:lineRule="exact"/>
        <w:rPr>
          <w:sz w:val="20"/>
          <w:szCs w:val="20"/>
          <w:color w:val="auto"/>
        </w:rPr>
      </w:pPr>
    </w:p>
    <w:p>
      <w:pPr>
        <w:jc w:val="both"/>
        <w:ind w:right="1159"/>
        <w:spacing w:after="0" w:line="271" w:lineRule="auto"/>
        <w:rPr>
          <w:sz w:val="20"/>
          <w:szCs w:val="20"/>
          <w:color w:val="auto"/>
        </w:rPr>
      </w:pPr>
      <w:r>
        <w:rPr>
          <w:rFonts w:ascii="Arial" w:cs="Arial" w:eastAsia="Arial" w:hAnsi="Arial"/>
          <w:sz w:val="18"/>
          <w:szCs w:val="18"/>
          <w:color w:val="auto"/>
        </w:rPr>
        <w:t>The Company will host a conference call at 10 a.m. ET today to discuss the third quarter results. Information contained within this press release will be referenced and should be considered in conjunction with the call.</w:t>
      </w:r>
    </w:p>
    <w:p>
      <w:pPr>
        <w:spacing w:after="0" w:line="140" w:lineRule="exact"/>
        <w:rPr>
          <w:sz w:val="20"/>
          <w:szCs w:val="20"/>
          <w:color w:val="auto"/>
        </w:rPr>
      </w:pPr>
    </w:p>
    <w:p>
      <w:pPr>
        <w:jc w:val="both"/>
        <w:ind w:right="1139"/>
        <w:spacing w:after="0" w:line="253" w:lineRule="auto"/>
        <w:rPr>
          <w:sz w:val="20"/>
          <w:szCs w:val="20"/>
          <w:color w:val="auto"/>
        </w:rPr>
      </w:pPr>
      <w:r>
        <w:rPr>
          <w:rFonts w:ascii="Arial" w:cs="Arial" w:eastAsia="Arial" w:hAnsi="Arial"/>
          <w:sz w:val="18"/>
          <w:szCs w:val="18"/>
          <w:color w:val="auto"/>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spacing w:after="0" w:line="155" w:lineRule="exact"/>
        <w:rPr>
          <w:sz w:val="20"/>
          <w:szCs w:val="20"/>
          <w:color w:val="auto"/>
        </w:rPr>
      </w:pPr>
    </w:p>
    <w:p>
      <w:pPr>
        <w:jc w:val="both"/>
        <w:ind w:right="1139"/>
        <w:spacing w:after="0" w:line="271" w:lineRule="auto"/>
        <w:rPr>
          <w:sz w:val="20"/>
          <w:szCs w:val="20"/>
          <w:color w:val="auto"/>
        </w:rPr>
      </w:pPr>
      <w:r>
        <w:rPr>
          <w:rFonts w:ascii="Arial" w:cs="Arial" w:eastAsia="Arial" w:hAnsi="Arial"/>
          <w:sz w:val="18"/>
          <w:szCs w:val="18"/>
          <w:color w:val="auto"/>
        </w:rPr>
        <w:t xml:space="preserve">Conference call participants must </w:t>
      </w:r>
      <w:r>
        <w:rPr>
          <w:rFonts w:ascii="Arial" w:cs="Arial" w:eastAsia="Arial" w:hAnsi="Arial"/>
          <w:sz w:val="18"/>
          <w:szCs w:val="18"/>
          <w:color w:val="57584F"/>
        </w:rPr>
        <w:t>register</w:t>
      </w:r>
      <w:r>
        <w:rPr>
          <w:rFonts w:ascii="Arial" w:cs="Arial" w:eastAsia="Arial" w:hAnsi="Arial"/>
          <w:sz w:val="18"/>
          <w:szCs w:val="18"/>
          <w:color w:val="auto"/>
        </w:rPr>
        <w:t xml:space="preserve"> to obtain their dial in and passcode details. This new, streamlined process improves security and eliminates wait times when joining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WASTE MANAGEMENT</w:t>
      </w:r>
    </w:p>
    <w:p>
      <w:pPr>
        <w:spacing w:after="0" w:line="14" w:lineRule="exact"/>
        <w:rPr>
          <w:sz w:val="20"/>
          <w:szCs w:val="20"/>
          <w:color w:val="auto"/>
        </w:rPr>
      </w:pPr>
    </w:p>
    <w:p>
      <w:pPr>
        <w:jc w:val="both"/>
        <w:ind w:right="1139"/>
        <w:spacing w:after="0" w:line="236" w:lineRule="auto"/>
        <w:rPr>
          <w:sz w:val="20"/>
          <w:szCs w:val="20"/>
          <w:color w:val="auto"/>
        </w:rPr>
      </w:pPr>
      <w:r>
        <w:rPr>
          <w:rFonts w:ascii="Arial" w:cs="Arial" w:eastAsia="Arial" w:hAnsi="Arial"/>
          <w:sz w:val="18"/>
          <w:szCs w:val="18"/>
          <w:color w:val="auto"/>
        </w:rPr>
        <w:t>WM (WM.com) is North America's largest comprehensive waste management environmental solutions provider.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reuse of landfill gas, with a growing network of renewable natural gas plants and the most gas-to-electricity plants in North America. WM's fleet includes nearly 11,000 natural gas trucks – the largest heavy-duty natural gas truck fleet of its kind in North America – where more than half are fueled by renewable natural gas. To learn more about WM and the company's sustainability progress and solutions, visit Sustainability.WM.com.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jc w:val="both"/>
        <w:ind w:right="1139"/>
        <w:spacing w:after="0" w:line="235"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regarding future performance or financial results of our business; achievement of financial outlook and guidance; future commodity prices and ability to overcome lower commodity prices; the amount, timing and results of future sustainability growth investments and RNG projects; general economic activity; timing and results from the civil rights assessment; and future execution of strategic priorities, including pricing, cost management, and results.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 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impacts from Russia’s invasion of Ukraine and the resulting geopolitical conflict and international response, including increased risk of cyber incidents and exacerbation of market disruption, inflationary cost pressure and changes in commodity prices, fuel and other energy costs; international trade restrictions; disposal alternatives, waste diversion and diminishing disposal capacity;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 w:lineRule="exact"/>
        <w:rPr>
          <w:sz w:val="20"/>
          <w:szCs w:val="20"/>
          <w:color w:val="auto"/>
        </w:rPr>
      </w:pPr>
    </w:p>
    <w:p>
      <w:pPr>
        <w:jc w:val="both"/>
        <w:ind w:right="1139"/>
        <w:spacing w:after="0" w:line="237"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operating EBITDA, adjusted operating EBITDA margin, adjusted SG&amp;A expenses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7" w:name="page8"/>
    <w:bookmarkEnd w:id="7"/>
    <w:p>
      <w:pPr>
        <w:jc w:val="both"/>
        <w:ind w:right="1159"/>
        <w:spacing w:after="0" w:line="271" w:lineRule="auto"/>
        <w:rPr>
          <w:sz w:val="20"/>
          <w:szCs w:val="20"/>
          <w:color w:val="auto"/>
        </w:rPr>
      </w:pPr>
      <w:r>
        <w:rPr>
          <w:rFonts w:ascii="Arial" w:cs="Arial" w:eastAsia="Arial" w:hAnsi="Arial"/>
          <w:sz w:val="18"/>
          <w:szCs w:val="18"/>
          <w:color w:val="auto"/>
        </w:rPr>
        <w:t>results by excluding items that the Company does not believe reflect its fundamental business performance and are not representative or indicative of its results of operations.</w:t>
      </w:r>
    </w:p>
    <w:p>
      <w:pPr>
        <w:spacing w:after="0" w:line="127" w:lineRule="exact"/>
        <w:rPr>
          <w:sz w:val="20"/>
          <w:szCs w:val="20"/>
          <w:color w:val="auto"/>
        </w:rPr>
      </w:pPr>
    </w:p>
    <w:p>
      <w:pPr>
        <w:jc w:val="both"/>
        <w:ind w:right="1139"/>
        <w:spacing w:after="0" w:line="239" w:lineRule="auto"/>
        <w:rPr>
          <w:sz w:val="20"/>
          <w:szCs w:val="20"/>
          <w:color w:val="auto"/>
        </w:rPr>
      </w:pPr>
      <w:r>
        <w:rPr>
          <w:rFonts w:ascii="Arial" w:cs="Arial" w:eastAsia="Arial" w:hAnsi="Arial"/>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53" w:lineRule="exact"/>
        <w:rPr>
          <w:sz w:val="20"/>
          <w:szCs w:val="20"/>
          <w:color w:val="auto"/>
        </w:rPr>
      </w:pPr>
    </w:p>
    <w:p>
      <w:pPr>
        <w:jc w:val="both"/>
        <w:ind w:right="1139"/>
        <w:spacing w:after="0" w:line="253"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Non-GAAP measures should not be considered a substitute for financial measures presented in accordance with GAAP.</w:t>
      </w:r>
    </w:p>
    <w:p>
      <w:pPr>
        <w:spacing w:after="0" w:line="15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4,665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2,906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3,859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4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412.0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419.5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414.0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421.3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414.3</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422.0</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416.2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216"/>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8"/>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9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-1562735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-1279525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-1005205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-713740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-439420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-156845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-125095</wp:posOffset>
            </wp:positionV>
            <wp:extent cx="170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18"/>
                <w:szCs w:val="18"/>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r>
      <w:tr>
        <w:trPr>
          <w:trHeight w:val="21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7,124</w:t>
            </w:r>
          </w:p>
        </w:tc>
        <w:tc>
          <w:tcPr>
            <w:tcW w:w="80" w:type="dxa"/>
            <w:vAlign w:val="bottom"/>
            <w:shd w:val="clear" w:color="auto" w:fill="CCEEFF"/>
          </w:tcPr>
          <w:p>
            <w:pPr>
              <w:spacing w:after="0"/>
              <w:rPr>
                <w:sz w:val="18"/>
                <w:szCs w:val="18"/>
                <w:color w:val="auto"/>
              </w:rPr>
            </w:pPr>
          </w:p>
        </w:tc>
      </w:tr>
      <w:tr>
        <w:trPr>
          <w:trHeight w:val="229"/>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1,740</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r>
      <w:tr>
        <w:trPr>
          <w:trHeight w:val="20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5,916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(7,237)</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Premiums and other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r>
      <w:tr>
        <w:trPr>
          <w:trHeight w:val="20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13"/>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gridSpan w:val="12"/>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6"/>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6"/>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0"/>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1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gridSpan w:val="9"/>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gridSpan w:val="5"/>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2,978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1,100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70"/>
        </w:trPr>
        <w:tc>
          <w:tcPr>
            <w:tcW w:w="23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Intercompany </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(978)</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gridSpan w:val="3"/>
          </w:tcPr>
          <w:p>
            <w:pPr>
              <w:jc w:val="right"/>
              <w:ind w:right="86"/>
              <w:spacing w:after="0"/>
              <w:rPr>
                <w:sz w:val="20"/>
                <w:szCs w:val="20"/>
                <w:color w:val="auto"/>
              </w:rPr>
            </w:pPr>
            <w:r>
              <w:rPr>
                <w:rFonts w:ascii="Times New Roman" w:cs="Times New Roman" w:eastAsia="Times New Roman" w:hAnsi="Times New Roman"/>
                <w:sz w:val="18"/>
                <w:szCs w:val="18"/>
                <w:color w:val="auto"/>
                <w:w w:val="98"/>
              </w:rPr>
              <w:t>(3,189)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14,763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gridSpan w:val="1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1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4"/>
          </w:tcPr>
          <w:p>
            <w:pPr>
              <w:jc w:val="center"/>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6"/>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448"/>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5"/>
          </w:tcPr>
          <w:p>
            <w:pPr>
              <w:jc w:val="center"/>
              <w:ind w:right="263"/>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6"/>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4"/>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4"/>
              </w:rPr>
              <w:t>Business</w:t>
            </w:r>
            <w:r>
              <w:rPr>
                <w:rFonts w:ascii="Times New Roman" w:cs="Times New Roman" w:eastAsia="Times New Roman" w:hAnsi="Times New Roman"/>
                <w:sz w:val="23"/>
                <w:szCs w:val="23"/>
                <w:b w:val="1"/>
                <w:bCs w:val="1"/>
                <w:color w:val="auto"/>
                <w:w w:val="94"/>
                <w:vertAlign w:val="superscript"/>
              </w:rPr>
              <w:t>(b)</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gridSpan w:val="2"/>
          </w:tcPr>
          <w:p>
            <w:pPr>
              <w:spacing w:after="0"/>
              <w:rPr>
                <w:sz w:val="17"/>
                <w:szCs w:val="17"/>
                <w:color w:val="auto"/>
              </w:rPr>
            </w:pPr>
          </w:p>
        </w:tc>
        <w:tc>
          <w:tcPr>
            <w:tcW w:w="880" w:type="dxa"/>
            <w:vAlign w:val="bottom"/>
            <w:tcBorders>
              <w:bottom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Company</w:t>
            </w:r>
            <w:r>
              <w:rPr>
                <w:rFonts w:ascii="Times New Roman" w:cs="Times New Roman" w:eastAsia="Times New Roman" w:hAnsi="Times New Roman"/>
                <w:sz w:val="23"/>
                <w:szCs w:val="23"/>
                <w:b w:val="1"/>
                <w:bCs w:val="1"/>
                <w:color w:val="auto"/>
                <w:w w:val="95"/>
                <w:vertAlign w:val="superscript"/>
              </w:rPr>
              <w:t>(c)</w:t>
            </w:r>
          </w:p>
        </w:tc>
        <w:tc>
          <w:tcPr>
            <w:tcW w:w="240" w:type="dxa"/>
            <w:vAlign w:val="bottom"/>
            <w:tcBorders>
              <w:bottom w:val="single" w:sz="8" w:color="CCEEFF"/>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3"/>
          </w:tcPr>
          <w:p>
            <w:pPr>
              <w:jc w:val="right"/>
              <w:ind w:right="36"/>
              <w:spacing w:after="0" w:line="203" w:lineRule="exact"/>
              <w:rPr>
                <w:sz w:val="20"/>
                <w:szCs w:val="20"/>
                <w:color w:val="auto"/>
              </w:rPr>
            </w:pPr>
            <w:r>
              <w:rPr>
                <w:rFonts w:ascii="Times New Roman" w:cs="Times New Roman" w:eastAsia="Times New Roman" w:hAnsi="Times New Roman"/>
                <w:sz w:val="14"/>
                <w:szCs w:val="14"/>
                <w:b w:val="1"/>
                <w:bCs w:val="1"/>
                <w:color w:val="auto"/>
              </w:rPr>
              <w:t>Business</w:t>
            </w:r>
            <w:r>
              <w:rPr>
                <w:rFonts w:ascii="Times New Roman" w:cs="Times New Roman" w:eastAsia="Times New Roman" w:hAnsi="Times New Roman"/>
                <w:sz w:val="23"/>
                <w:szCs w:val="23"/>
                <w:b w:val="1"/>
                <w:bCs w:val="1"/>
                <w:color w:val="auto"/>
                <w:vertAlign w:val="superscript"/>
              </w:rPr>
              <w:t>(b)</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gridSpan w:val="2"/>
          </w:tcPr>
          <w:p>
            <w:pPr>
              <w:spacing w:after="0"/>
              <w:rPr>
                <w:sz w:val="17"/>
                <w:szCs w:val="17"/>
                <w:color w:val="auto"/>
              </w:rPr>
            </w:pPr>
          </w:p>
        </w:tc>
        <w:tc>
          <w:tcPr>
            <w:tcW w:w="8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8"/>
              </w:rPr>
              <w:t>Company</w:t>
            </w:r>
            <w:r>
              <w:rPr>
                <w:rFonts w:ascii="Times New Roman" w:cs="Times New Roman" w:eastAsia="Times New Roman" w:hAnsi="Times New Roman"/>
                <w:sz w:val="23"/>
                <w:szCs w:val="23"/>
                <w:b w:val="1"/>
                <w:bCs w:val="1"/>
                <w:color w:val="auto"/>
                <w:w w:val="98"/>
                <w:vertAlign w:val="superscript"/>
              </w:rPr>
              <w:t>(c)</w:t>
            </w:r>
          </w:p>
        </w:tc>
        <w:tc>
          <w:tcPr>
            <w:tcW w:w="12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Collection and disposal</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Recycling </w:t>
            </w:r>
            <w:r>
              <w:rPr>
                <w:rFonts w:ascii="Times New Roman" w:cs="Times New Roman" w:eastAsia="Times New Roman" w:hAnsi="Times New Roman"/>
                <w:sz w:val="21"/>
                <w:szCs w:val="21"/>
                <w:color w:val="auto"/>
                <w:vertAlign w:val="superscript"/>
              </w:rPr>
              <w:t>(d)</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12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158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Fuel surcharges and other </w:t>
            </w:r>
            <w:r>
              <w:rPr>
                <w:rFonts w:ascii="Times New Roman" w:cs="Times New Roman" w:eastAsia="Times New Roman" w:hAnsi="Times New Roman"/>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w:t>
            </w:r>
          </w:p>
        </w:tc>
        <w:tc>
          <w:tcPr>
            <w:tcW w:w="126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54.0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57.1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20"/>
              <w:spacing w:after="0" w:line="169" w:lineRule="exact"/>
              <w:rPr>
                <w:sz w:val="20"/>
                <w:szCs w:val="20"/>
                <w:color w:val="auto"/>
              </w:rPr>
            </w:pPr>
            <w:r>
              <w:rPr>
                <w:rFonts w:ascii="Times New Roman" w:cs="Times New Roman" w:eastAsia="Times New Roman" w:hAnsi="Times New Roman"/>
                <w:sz w:val="12"/>
                <w:szCs w:val="12"/>
                <w:color w:val="auto"/>
              </w:rPr>
              <w:t xml:space="preserve">Total average yield </w:t>
            </w:r>
            <w:r>
              <w:rPr>
                <w:rFonts w:ascii="Times New Roman" w:cs="Times New Roman" w:eastAsia="Times New Roman" w:hAnsi="Times New Roman"/>
                <w:sz w:val="19"/>
                <w:szCs w:val="19"/>
                <w:color w:val="auto"/>
                <w:vertAlign w:val="superscript"/>
              </w:rPr>
              <w:t>(f)</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1,255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Volume </w:t>
            </w:r>
            <w:r>
              <w:rPr>
                <w:rFonts w:ascii="Times New Roman" w:cs="Times New Roman" w:eastAsia="Times New Roman" w:hAnsi="Times New Roman"/>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3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Internal revenue growth</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w:t>
            </w: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Divestitures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jc w:val="right"/>
              <w:ind w:right="2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55"/>
        </w:trPr>
        <w:tc>
          <w:tcPr>
            <w:tcW w:w="238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1,510</w:t>
            </w: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40" w:type="dxa"/>
            <w:vAlign w:val="bottom"/>
            <w:gridSpan w:val="3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Period-to-Period Change for the Three Months   Period-to-Period Change for the Nine Months</w:t>
            </w: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13"/>
          </w:tcPr>
          <w:p>
            <w:pPr>
              <w:jc w:val="center"/>
              <w:ind w:left="293"/>
              <w:spacing w:after="0"/>
              <w:rPr>
                <w:sz w:val="20"/>
                <w:szCs w:val="20"/>
                <w:color w:val="auto"/>
              </w:rPr>
            </w:pPr>
            <w:r>
              <w:rPr>
                <w:rFonts w:ascii="Times New Roman" w:cs="Times New Roman" w:eastAsia="Times New Roman" w:hAnsi="Times New Roman"/>
                <w:sz w:val="18"/>
                <w:szCs w:val="18"/>
                <w:b w:val="1"/>
                <w:bCs w:val="1"/>
                <w:color w:val="auto"/>
                <w:w w:val="99"/>
              </w:rPr>
              <w:t>Ended September 30, 2022 vs. 2021</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20" w:type="dxa"/>
            <w:vAlign w:val="bottom"/>
            <w:gridSpan w:val="1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Ended September 30, 2022 vs. 2021</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80" w:type="dxa"/>
            <w:vAlign w:val="bottom"/>
            <w:tcBorders>
              <w:top w:val="single" w:sz="8" w:color="auto"/>
              <w:bottom w:val="single" w:sz="8" w:color="auto"/>
            </w:tcBorders>
            <w:gridSpan w:val="13"/>
          </w:tcPr>
          <w:p>
            <w:pPr>
              <w:jc w:val="center"/>
              <w:ind w:left="273"/>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(b)</w:t>
            </w:r>
          </w:p>
        </w:tc>
        <w:tc>
          <w:tcPr>
            <w:tcW w:w="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12"/>
          </w:tcPr>
          <w:p>
            <w:pPr>
              <w:ind w:left="200"/>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(b)</w:t>
            </w:r>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Yield</w:t>
            </w:r>
          </w:p>
        </w:tc>
        <w:tc>
          <w:tcPr>
            <w:tcW w:w="5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5"/>
          </w:tcPr>
          <w:p>
            <w:pPr>
              <w:jc w:val="right"/>
              <w:ind w:right="43"/>
              <w:spacing w:after="0" w:line="250" w:lineRule="exact"/>
              <w:rPr>
                <w:sz w:val="20"/>
                <w:szCs w:val="20"/>
                <w:color w:val="auto"/>
              </w:rPr>
            </w:pPr>
            <w:r>
              <w:rPr>
                <w:rFonts w:ascii="Times New Roman" w:cs="Times New Roman" w:eastAsia="Times New Roman" w:hAnsi="Times New Roman"/>
                <w:sz w:val="17"/>
                <w:szCs w:val="17"/>
                <w:b w:val="1"/>
                <w:bCs w:val="1"/>
                <w:color w:val="auto"/>
              </w:rPr>
              <w:t>Volume</w:t>
            </w:r>
            <w:r>
              <w:rPr>
                <w:rFonts w:ascii="Times New Roman" w:cs="Times New Roman" w:eastAsia="Times New Roman" w:hAnsi="Times New Roman"/>
                <w:sz w:val="28"/>
                <w:szCs w:val="28"/>
                <w:b w:val="1"/>
                <w:bCs w:val="1"/>
                <w:color w:val="auto"/>
                <w:vertAlign w:val="superscript"/>
              </w:rPr>
              <w:t>(g)</w:t>
            </w: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336"/>
              <w:spacing w:after="0" w:line="250" w:lineRule="exact"/>
              <w:rPr>
                <w:sz w:val="20"/>
                <w:szCs w:val="20"/>
                <w:color w:val="auto"/>
              </w:rPr>
            </w:pPr>
            <w:r>
              <w:rPr>
                <w:rFonts w:ascii="Times New Roman" w:cs="Times New Roman" w:eastAsia="Times New Roman" w:hAnsi="Times New Roman"/>
                <w:sz w:val="17"/>
                <w:szCs w:val="17"/>
                <w:b w:val="1"/>
                <w:bCs w:val="1"/>
                <w:color w:val="auto"/>
              </w:rPr>
              <w:t>Volume</w:t>
            </w:r>
            <w:r>
              <w:rPr>
                <w:rFonts w:ascii="Times New Roman" w:cs="Times New Roman" w:eastAsia="Times New Roman" w:hAnsi="Times New Roman"/>
                <w:sz w:val="28"/>
                <w:szCs w:val="28"/>
                <w:b w:val="1"/>
                <w:bCs w:val="1"/>
                <w:color w:val="auto"/>
                <w:vertAlign w:val="superscript"/>
              </w:rPr>
              <w:t>(g)</w:t>
            </w:r>
          </w:p>
        </w:tc>
        <w:tc>
          <w:tcPr>
            <w:tcW w:w="160" w:type="dxa"/>
            <w:vAlign w:val="bottom"/>
            <w:tcBorders>
              <w:bottom w:val="single" w:sz="8" w:color="CCEEFF"/>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herein.</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and changes in fees.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includes changes in our revenue attributable to our WM Renewable Energy business. We have revised our prior year results to conform with the current year presentation.</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6900" w:type="dxa"/>
            <w:vAlign w:val="bottom"/>
            <w:gridSpan w:val="7"/>
          </w:tcPr>
          <w:p>
            <w:pPr>
              <w:jc w:val="center"/>
              <w:ind w:left="425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00" w:type="dxa"/>
            <w:vAlign w:val="bottom"/>
            <w:gridSpan w:val="7"/>
          </w:tcPr>
          <w:p>
            <w:pPr>
              <w:jc w:val="center"/>
              <w:ind w:left="425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78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178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sustainability growth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amortizable tons (in millions)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items from prior periods, net of cash 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Amortization and Accretion Expenses: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6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435</w:t>
            </w:r>
          </w:p>
        </w:tc>
        <w:tc>
          <w:tcPr>
            <w:tcW w:w="4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20"/>
              <w:spacing w:after="0" w:line="256" w:lineRule="exact"/>
              <w:rPr>
                <w:sz w:val="20"/>
                <w:szCs w:val="20"/>
                <w:color w:val="auto"/>
              </w:rPr>
            </w:pPr>
            <w:r>
              <w:rPr>
                <w:rFonts w:ascii="Times New Roman" w:cs="Times New Roman" w:eastAsia="Times New Roman" w:hAnsi="Times New Roman"/>
                <w:sz w:val="18"/>
                <w:szCs w:val="18"/>
                <w:color w:val="auto"/>
              </w:rPr>
              <w:t>Total landfill amortization expense</w:t>
            </w:r>
            <w:r>
              <w:rPr>
                <w:rFonts w:ascii="Times New Roman" w:cs="Times New Roman" w:eastAsia="Times New Roman" w:hAnsi="Times New Roman"/>
                <w:sz w:val="29"/>
                <w:szCs w:val="29"/>
                <w:color w:val="auto"/>
                <w:vertAlign w:val="superscript"/>
              </w:rPr>
              <w:t>(c)</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amortization and accretion expense</w:t>
            </w:r>
          </w:p>
        </w:tc>
        <w:tc>
          <w:tcPr>
            <w:tcW w:w="40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of 2022, the decrease in landfill amortization was primarily driven by a prior year charge of $15 million due to management’s decision to close a landfill earlier than expected, resulting in acceleration of the timing of capping, closure and post-closure activities during the third quarter of 2021. For the nine months of 2022, the decrease in landfill amortization was somewhat offset by landfill volume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9"/>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21"/>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220" w:type="dxa"/>
            <w:vAlign w:val="bottom"/>
          </w:tcPr>
          <w:p>
            <w:pPr>
              <w:spacing w:after="0"/>
              <w:rPr>
                <w:sz w:val="16"/>
                <w:szCs w:val="16"/>
                <w:color w:val="auto"/>
              </w:rPr>
            </w:pPr>
          </w:p>
        </w:tc>
        <w:tc>
          <w:tcPr>
            <w:tcW w:w="1160" w:type="dxa"/>
            <w:vAlign w:val="bottom"/>
            <w:gridSpan w:val="2"/>
          </w:tcPr>
          <w:p>
            <w:pPr>
              <w:jc w:val="right"/>
              <w:ind w:right="401"/>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200" w:type="dxa"/>
            <w:vAlign w:val="bottom"/>
            <w:gridSpan w:val="2"/>
          </w:tcPr>
          <w:p>
            <w:pPr>
              <w:jc w:val="center"/>
              <w:ind w:right="221"/>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3"/>
                <w:szCs w:val="23"/>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200" w:type="dxa"/>
            <w:vAlign w:val="bottom"/>
            <w:gridSpan w:val="2"/>
          </w:tcPr>
          <w:p>
            <w:pPr>
              <w:jc w:val="center"/>
              <w:ind w:right="221"/>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80" w:type="dxa"/>
            <w:vAlign w:val="bottom"/>
          </w:tcPr>
          <w:p>
            <w:pPr>
              <w:spacing w:after="0"/>
              <w:rPr>
                <w:sz w:val="23"/>
                <w:szCs w:val="23"/>
                <w:color w:val="auto"/>
              </w:rPr>
            </w:pPr>
          </w:p>
        </w:tc>
        <w:tc>
          <w:tcPr>
            <w:tcW w:w="13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3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(b)</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8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9"/>
            <w:vMerge w:val="restart"/>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9"/>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21"/>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220" w:type="dxa"/>
            <w:vAlign w:val="bottom"/>
          </w:tcPr>
          <w:p>
            <w:pPr>
              <w:spacing w:after="0"/>
              <w:rPr>
                <w:sz w:val="16"/>
                <w:szCs w:val="16"/>
                <w:color w:val="auto"/>
              </w:rPr>
            </w:pPr>
          </w:p>
        </w:tc>
        <w:tc>
          <w:tcPr>
            <w:tcW w:w="1160" w:type="dxa"/>
            <w:vAlign w:val="bottom"/>
            <w:gridSpan w:val="2"/>
          </w:tcPr>
          <w:p>
            <w:pPr>
              <w:jc w:val="right"/>
              <w:ind w:right="401"/>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200" w:type="dxa"/>
            <w:vAlign w:val="bottom"/>
            <w:gridSpan w:val="2"/>
          </w:tcPr>
          <w:p>
            <w:pPr>
              <w:jc w:val="center"/>
              <w:ind w:right="221"/>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3"/>
                <w:szCs w:val="23"/>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200" w:type="dxa"/>
            <w:vAlign w:val="bottom"/>
            <w:gridSpan w:val="2"/>
          </w:tcPr>
          <w:p>
            <w:pPr>
              <w:jc w:val="center"/>
              <w:ind w:right="221"/>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80" w:type="dxa"/>
            <w:vAlign w:val="bottom"/>
          </w:tcPr>
          <w:p>
            <w:pPr>
              <w:spacing w:after="0"/>
              <w:rPr>
                <w:sz w:val="23"/>
                <w:szCs w:val="23"/>
                <w:color w:val="auto"/>
              </w:rPr>
            </w:pPr>
          </w:p>
        </w:tc>
        <w:tc>
          <w:tcPr>
            <w:tcW w:w="13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from divestitures and other, net</w:t>
            </w:r>
            <w:r>
              <w:rPr>
                <w:rFonts w:ascii="Times New Roman" w:cs="Times New Roman" w:eastAsia="Times New Roman" w:hAnsi="Times New Roman"/>
                <w:sz w:val="29"/>
                <w:szCs w:val="29"/>
                <w:color w:val="auto"/>
                <w:vertAlign w:val="superscript"/>
              </w:rPr>
              <w:t>(c)</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517</w:t>
            </w:r>
          </w:p>
        </w:tc>
        <w:tc>
          <w:tcPr>
            <w:tcW w:w="2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third quarter 2022 and 2021 adjusted effective tax rates were 22.8% and 23.3%,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driven by (i) a pre-tax gain from the recognition of cumulative translation adjustments on the divestiture of certain non-strategic Canadian operations in 2021 which was not taxable and (ii) a change from our initial expectations of the tax effects of the Advanced Disposal acquisition and related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174"/>
        </w:trPr>
        <w:tc>
          <w:tcPr>
            <w:tcW w:w="54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4,665</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Multiemployer pension plan withdrawal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4"/>
                <w:szCs w:val="14"/>
                <w:b w:val="1"/>
                <w:bCs w:val="1"/>
                <w:color w:val="auto"/>
              </w:rPr>
              <w:t>62.2</w:t>
            </w:r>
            <w:r>
              <w:rPr>
                <w:rFonts w:ascii="Times New Roman" w:cs="Times New Roman" w:eastAsia="Times New Roman" w:hAnsi="Times New Roman"/>
                <w:sz w:val="25"/>
                <w:szCs w:val="25"/>
                <w:b w:val="1"/>
                <w:bCs w:val="1"/>
                <w:color w:val="auto"/>
                <w:vertAlign w:val="superscript"/>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4,665</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resource planning system implementation-related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9.2%</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sustainability growth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(2,050)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-1199515</wp:posOffset>
            </wp:positionV>
            <wp:extent cx="183451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30861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-753745</wp:posOffset>
            </wp:positionV>
            <wp:extent cx="183451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4515" cy="28257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-325120</wp:posOffset>
            </wp:positionV>
            <wp:extent cx="183451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2022.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19"/>
                <w:szCs w:val="19"/>
                <w:color w:val="auto"/>
              </w:rPr>
            </w:pPr>
          </w:p>
        </w:tc>
        <w:tc>
          <w:tcPr>
            <w:tcW w:w="25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454"/>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19"/>
                <w:szCs w:val="19"/>
                <w:color w:val="auto"/>
              </w:rPr>
            </w:pPr>
          </w:p>
        </w:tc>
        <w:tc>
          <w:tcPr>
            <w:tcW w:w="25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657"/>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2022-10-26T06:58:46Z</dcterms:created>
  <dcterms:modified xsi:type="dcterms:W3CDTF">2022-10-26T06:58:46Z</dcterms:modified>
</cp:coreProperties>
</file>