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83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SEC Form 3</w:t>
            </w: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9"/>
        </w:trPr>
        <w:tc>
          <w:tcPr>
            <w:tcW w:w="2080" w:type="dxa"/>
            <w:vAlign w:val="bottom"/>
          </w:tcPr>
          <w:p>
            <w:pPr>
              <w:ind w:left="700"/>
              <w:spacing w:after="0" w:line="26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</w:rPr>
              <w:t>FORM 3</w:t>
            </w:r>
          </w:p>
        </w:tc>
        <w:tc>
          <w:tcPr>
            <w:tcW w:w="7120" w:type="dxa"/>
            <w:vAlign w:val="bottom"/>
          </w:tcPr>
          <w:p>
            <w:pPr>
              <w:jc w:val="center"/>
              <w:ind w:left="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120" w:type="dxa"/>
            <w:vAlign w:val="bottom"/>
            <w:vMerge w:val="restart"/>
          </w:tcPr>
          <w:p>
            <w:pPr>
              <w:jc w:val="center"/>
              <w:ind w:left="42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1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120" w:type="dxa"/>
            <w:vAlign w:val="bottom"/>
            <w:vMerge w:val="restart"/>
          </w:tcPr>
          <w:p>
            <w:pPr>
              <w:jc w:val="center"/>
              <w:ind w:left="42"/>
              <w:spacing w:after="0" w:line="19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INITIAL STATEMENT OF BENEFICIAL OWNERSHIP OF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1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3235-0104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120" w:type="dxa"/>
            <w:vAlign w:val="bottom"/>
            <w:vMerge w:val="restart"/>
          </w:tcPr>
          <w:p>
            <w:pPr>
              <w:jc w:val="center"/>
              <w:ind w:left="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8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1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8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7170420</wp:posOffset>
            </wp:positionH>
            <wp:positionV relativeFrom="paragraph">
              <wp:posOffset>-655320</wp:posOffset>
            </wp:positionV>
            <wp:extent cx="59690" cy="6686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5824220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Filed pursuant to Section 16(a) of the Securities Exchange Act of 1934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-6985</wp:posOffset>
            </wp:positionH>
            <wp:positionV relativeFrom="paragraph">
              <wp:posOffset>13970</wp:posOffset>
            </wp:positionV>
            <wp:extent cx="7272020" cy="584009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8400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420"/>
          </w:cols>
          <w:pgMar w:left="240" w:top="220" w:right="239" w:bottom="1440" w:gutter="0" w:footer="0" w:header="0"/>
        </w:sectPr>
      </w:pPr>
    </w:p>
    <w:p>
      <w:pPr>
        <w:spacing w:after="0" w:line="32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2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2. Date of Event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2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2"/>
                <w:szCs w:val="22"/>
                <w:color w:val="0000EE"/>
              </w:rPr>
            </w:pPr>
            <w:hyperlink r:id="rId11">
              <w:r>
                <w:rPr>
                  <w:rFonts w:ascii="Times New Roman" w:cs="Times New Roman" w:eastAsia="Times New Roman" w:hAnsi="Times New Roman"/>
                  <w:sz w:val="22"/>
                  <w:szCs w:val="22"/>
                  <w:color w:val="0000EE"/>
                </w:rPr>
                <w:t>RICE CHERIE C</w:t>
              </w:r>
            </w:hyperlink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 w:line="11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Requiring Statement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 w:line="15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 w:line="17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01/21/2004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3.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WASTE MANAGEMENT INC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WMI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4720" w:space="480"/>
            <w:col w:w="6220"/>
          </w:cols>
          <w:pgMar w:left="240" w:top="220" w:right="239" w:bottom="1440" w:gutter="0" w:footer="0" w:header="0"/>
          <w:type w:val="continuous"/>
        </w:sectPr>
      </w:pPr>
    </w:p>
    <w:p>
      <w:pPr>
        <w:spacing w:after="0" w:line="68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4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</w:tr>
      <w:tr>
        <w:trPr>
          <w:trHeight w:val="2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7"/>
              </w:rPr>
              <w:t>1001 FANNIN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SUITE 4000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72"/>
        </w:trPr>
        <w:tc>
          <w:tcPr>
            <w:tcW w:w="1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HOUSTON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TX</w:t>
            </w:r>
          </w:p>
        </w:tc>
        <w:tc>
          <w:tcPr>
            <w:tcW w:w="14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77002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6" w:right="160" w:hanging="6"/>
        <w:spacing w:after="0" w:line="250" w:lineRule="auto"/>
        <w:tabs>
          <w:tab w:leader="none" w:pos="156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" w:lineRule="exact"/>
        <w:rPr>
          <w:sz w:val="24"/>
          <w:szCs w:val="24"/>
          <w:color w:val="auto"/>
        </w:rPr>
      </w:pP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0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626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Vice President and Treasurer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480" w:hanging="3"/>
        <w:spacing w:after="0" w:line="250" w:lineRule="auto"/>
        <w:tabs>
          <w:tab w:leader="none" w:pos="153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If Amendment, Date of Original Filed (Month/Day/Year)</w:t>
      </w:r>
    </w:p>
    <w:p>
      <w:pPr>
        <w:spacing w:after="0" w:line="272" w:lineRule="exact"/>
        <w:rPr>
          <w:rFonts w:ascii="Arial" w:cs="Arial" w:eastAsia="Arial" w:hAnsi="Arial"/>
          <w:sz w:val="14"/>
          <w:szCs w:val="14"/>
          <w:color w:val="auto"/>
        </w:rPr>
      </w:pPr>
    </w:p>
    <w:p>
      <w:pPr>
        <w:ind w:left="3" w:right="380" w:hanging="3"/>
        <w:spacing w:after="0" w:line="250" w:lineRule="auto"/>
        <w:tabs>
          <w:tab w:leader="none" w:pos="153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Individual or Joint/Group Filing (Check Applicable Line)</w:t>
      </w:r>
    </w:p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83" w:hanging="316"/>
        <w:spacing w:after="0"/>
        <w:tabs>
          <w:tab w:leader="none" w:pos="483" w:val="left"/>
        </w:tabs>
        <w:numPr>
          <w:ilvl w:val="0"/>
          <w:numId w:val="3"/>
        </w:numPr>
        <w:rPr>
          <w:rFonts w:ascii="Times New Roman" w:cs="Times New Roman" w:eastAsia="Times New Roman" w:hAnsi="Times New Roman"/>
          <w:sz w:val="16"/>
          <w:szCs w:val="16"/>
          <w:color w:val="0000FF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62" w:lineRule="exact"/>
        <w:rPr>
          <w:rFonts w:ascii="Times New Roman" w:cs="Times New Roman" w:eastAsia="Times New Roman" w:hAnsi="Times New Roman"/>
          <w:sz w:val="16"/>
          <w:szCs w:val="16"/>
          <w:color w:val="0000FF"/>
        </w:rPr>
      </w:pPr>
    </w:p>
    <w:p>
      <w:pPr>
        <w:ind w:left="483" w:right="640"/>
        <w:spacing w:after="0" w:line="250" w:lineRule="auto"/>
        <w:rPr>
          <w:rFonts w:ascii="Times New Roman" w:cs="Times New Roman" w:eastAsia="Times New Roman" w:hAnsi="Times New Roman"/>
          <w:sz w:val="16"/>
          <w:szCs w:val="16"/>
          <w:color w:val="0000FF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 Person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4474" w:space="720"/>
            <w:col w:w="3006" w:space="397"/>
            <w:col w:w="2823"/>
          </w:cols>
          <w:pgMar w:left="240" w:top="220" w:right="239" w:bottom="1440" w:gutter="0" w:footer="0" w:header="0"/>
          <w:type w:val="continuous"/>
        </w:sectPr>
      </w:pP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200" w:val="left"/>
          <w:tab w:leader="none" w:pos="22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(Zip)</w:t>
      </w:r>
    </w:p>
    <w:p>
      <w:pPr>
        <w:spacing w:after="0" w:line="186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Beneficially Owned</w:t>
      </w:r>
    </w:p>
    <w:p>
      <w:pPr>
        <w:spacing w:after="0" w:line="120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3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4)</w:t>
            </w:r>
          </w:p>
        </w:tc>
        <w:tc>
          <w:tcPr>
            <w:tcW w:w="3620" w:type="dxa"/>
            <w:vAlign w:val="bottom"/>
          </w:tcPr>
          <w:p>
            <w:pPr>
              <w:ind w:left="1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2. Amount of Securities</w:t>
            </w: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3. Ownership</w:t>
            </w:r>
          </w:p>
        </w:tc>
        <w:tc>
          <w:tcPr>
            <w:tcW w:w="30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4. Nature of Indirect Beneficial Ownership</w:t>
            </w:r>
          </w:p>
        </w:tc>
      </w:tr>
      <w:tr>
        <w:trPr>
          <w:trHeight w:val="149"/>
        </w:trPr>
        <w:tc>
          <w:tcPr>
            <w:tcW w:w="3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ind w:left="16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Beneficially Owned (Instr. 4)</w:t>
            </w: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Form: Direct (D)</w:t>
            </w:r>
          </w:p>
        </w:tc>
        <w:tc>
          <w:tcPr>
            <w:tcW w:w="3000" w:type="dxa"/>
            <w:vAlign w:val="bottom"/>
          </w:tcPr>
          <w:p>
            <w:pPr>
              <w:ind w:left="1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(Instr. 5)</w:t>
            </w:r>
          </w:p>
        </w:tc>
      </w:tr>
      <w:tr>
        <w:trPr>
          <w:trHeight w:val="149"/>
        </w:trPr>
        <w:tc>
          <w:tcPr>
            <w:tcW w:w="3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 Indirect (I)</w:t>
            </w:r>
          </w:p>
        </w:tc>
        <w:tc>
          <w:tcPr>
            <w:tcW w:w="30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190"/>
        </w:trPr>
        <w:tc>
          <w:tcPr>
            <w:tcW w:w="3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30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</w:tr>
      <w:tr>
        <w:trPr>
          <w:trHeight w:val="38"/>
        </w:trPr>
        <w:tc>
          <w:tcPr>
            <w:tcW w:w="3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4,166.0431</w:t>
            </w:r>
          </w:p>
        </w:tc>
        <w:tc>
          <w:tcPr>
            <w:tcW w:w="900" w:type="dxa"/>
            <w:vAlign w:val="bottom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40" w:type="dxa"/>
            <w:vAlign w:val="bottom"/>
            <w:tcBorders>
              <w:top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Beneficially Owned</w:t>
            </w: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0" w:type="dxa"/>
            <w:vAlign w:val="bottom"/>
            <w:gridSpan w:val="6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Derivative Security (Instr. 4)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2. Date Exercisable and</w:t>
            </w:r>
          </w:p>
        </w:tc>
        <w:tc>
          <w:tcPr>
            <w:tcW w:w="2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3. Title and Amount of Securities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4.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5.</w:t>
            </w:r>
          </w:p>
        </w:tc>
        <w:tc>
          <w:tcPr>
            <w:tcW w:w="16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6. Nature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276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Underlying Derivative Security (Instr. 4)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640" w:type="dxa"/>
            <w:vAlign w:val="bottom"/>
            <w:gridSpan w:val="2"/>
          </w:tcPr>
          <w:p>
            <w:pPr>
              <w:ind w:left="1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Beneficial 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Form:</w:t>
            </w:r>
          </w:p>
        </w:tc>
        <w:tc>
          <w:tcPr>
            <w:tcW w:w="1640" w:type="dxa"/>
            <w:vAlign w:val="bottom"/>
            <w:gridSpan w:val="2"/>
          </w:tcPr>
          <w:p>
            <w:pPr>
              <w:ind w:left="1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vMerge w:val="restart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Amount</w:t>
            </w: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2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Date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  <w:w w:val="96"/>
              </w:rPr>
              <w:t>Expiration</w:t>
            </w: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2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Number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Title</w:t>
            </w:r>
          </w:p>
        </w:tc>
        <w:tc>
          <w:tcPr>
            <w:tcW w:w="900" w:type="dxa"/>
            <w:vAlign w:val="bottom"/>
          </w:tcPr>
          <w:p>
            <w:pPr>
              <w:ind w:left="2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of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Date</w:t>
            </w: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Shares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Stock Option (Right to Buy)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6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03/10/1999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  <w:w w:val="97"/>
              </w:rPr>
              <w:t>03/10/2008</w:t>
            </w: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8"/>
              </w:rPr>
              <w:t>6,763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8"/>
              </w:rPr>
              <w:t>33.64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Stock Option (Right to Buy)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6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09/13/2000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  <w:w w:val="97"/>
              </w:rPr>
              <w:t>09/13/2009</w:t>
            </w: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6"/>
              </w:rPr>
              <w:t>15,000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20.5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Stock Option (Right to Buy)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6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05/09/1998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  <w:w w:val="97"/>
              </w:rPr>
              <w:t>05/09/2007</w:t>
            </w: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8"/>
              </w:rPr>
              <w:t>3,920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8"/>
              </w:rPr>
              <w:t>41.45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Stock Option (Right to Buy)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6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07/15/1999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  <w:w w:val="97"/>
              </w:rPr>
              <w:t>07/15/2008</w:t>
            </w: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6"/>
              </w:rPr>
              <w:t>15,000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5"/>
              </w:rPr>
              <w:t>53.9375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Stock Option (Right to Buy)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(4)</w:t>
            </w: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6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02/28/2001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  <w:w w:val="97"/>
              </w:rPr>
              <w:t>02/28/2010</w:t>
            </w: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6"/>
              </w:rPr>
              <w:t>15,000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5"/>
              </w:rPr>
              <w:t>14.8125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Stock Option (Right to Buy)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(5)</w:t>
            </w: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6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03/01/2002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  <w:w w:val="93"/>
              </w:rPr>
              <w:t>03/01/2011</w:t>
            </w: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6"/>
              </w:rPr>
              <w:t>25,000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8"/>
              </w:rPr>
              <w:t>24.01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Stock Option (right to buy)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(5)</w:t>
            </w: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6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03/07/2003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  <w:w w:val="97"/>
              </w:rPr>
              <w:t>03/07/2012</w:t>
            </w: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6"/>
              </w:rPr>
              <w:t>20,000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8"/>
              </w:rPr>
              <w:t>27.88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Stock Option (right to buy)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(5)</w:t>
            </w: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6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03/06/2004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  <w:w w:val="97"/>
              </w:rPr>
              <w:t>03/06/2013</w:t>
            </w: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6"/>
              </w:rPr>
              <w:t>24,000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8"/>
              </w:rPr>
              <w:t>19.61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8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4"/>
        </w:numPr>
        <w:rPr>
          <w:rFonts w:ascii="Times New Roman" w:cs="Times New Roman" w:eastAsia="Times New Roman" w:hAnsi="Times New Roman"/>
          <w:sz w:val="14"/>
          <w:szCs w:val="14"/>
          <w:color w:val="008000"/>
        </w:rPr>
      </w:pPr>
      <w:r>
        <w:rPr>
          <w:rFonts w:ascii="Times New Roman" w:cs="Times New Roman" w:eastAsia="Times New Roman" w:hAnsi="Times New Roman"/>
          <w:sz w:val="14"/>
          <w:szCs w:val="14"/>
          <w:color w:val="008000"/>
        </w:rPr>
        <w:t>Stock option granted pursuant to Waste Management, Inc. 1997 Equity Incentive Plan. Stock option vests in increments of one-thir d, commencing on the first anniversary of the date of grant.</w:t>
      </w:r>
    </w:p>
    <w:p>
      <w:pPr>
        <w:spacing w:after="0" w:line="41" w:lineRule="exact"/>
        <w:rPr>
          <w:rFonts w:ascii="Times New Roman" w:cs="Times New Roman" w:eastAsia="Times New Roman" w:hAnsi="Times New Roman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4"/>
        </w:numPr>
        <w:rPr>
          <w:rFonts w:ascii="Times New Roman" w:cs="Times New Roman" w:eastAsia="Times New Roman" w:hAnsi="Times New Roman"/>
          <w:sz w:val="14"/>
          <w:szCs w:val="14"/>
          <w:color w:val="008000"/>
        </w:rPr>
      </w:pPr>
      <w:r>
        <w:rPr>
          <w:rFonts w:ascii="Times New Roman" w:cs="Times New Roman" w:eastAsia="Times New Roman" w:hAnsi="Times New Roman"/>
          <w:sz w:val="14"/>
          <w:szCs w:val="14"/>
          <w:color w:val="008000"/>
        </w:rPr>
        <w:t>Stock option granted pursuant to Waste Management, Inc. 1993 Stock Incentive Plan. Stock option vests in 20% annual increments, commencing on the first anniversary date of the date of grant.</w:t>
      </w:r>
    </w:p>
    <w:p>
      <w:pPr>
        <w:spacing w:after="0" w:line="41" w:lineRule="exact"/>
        <w:rPr>
          <w:rFonts w:ascii="Times New Roman" w:cs="Times New Roman" w:eastAsia="Times New Roman" w:hAnsi="Times New Roman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4"/>
        </w:numPr>
        <w:rPr>
          <w:rFonts w:ascii="Times New Roman" w:cs="Times New Roman" w:eastAsia="Times New Roman" w:hAnsi="Times New Roman"/>
          <w:sz w:val="14"/>
          <w:szCs w:val="14"/>
          <w:color w:val="008000"/>
        </w:rPr>
      </w:pPr>
      <w:r>
        <w:rPr>
          <w:rFonts w:ascii="Times New Roman" w:cs="Times New Roman" w:eastAsia="Times New Roman" w:hAnsi="Times New Roman"/>
          <w:sz w:val="14"/>
          <w:szCs w:val="14"/>
          <w:color w:val="008000"/>
        </w:rPr>
        <w:t>Stock option granted pursuant to Waste Management, Inc. 1997 Equity Incentive Plan.</w:t>
      </w:r>
    </w:p>
    <w:p>
      <w:pPr>
        <w:spacing w:after="0" w:line="41" w:lineRule="exact"/>
        <w:rPr>
          <w:rFonts w:ascii="Times New Roman" w:cs="Times New Roman" w:eastAsia="Times New Roman" w:hAnsi="Times New Roman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4"/>
        </w:numPr>
        <w:rPr>
          <w:rFonts w:ascii="Times New Roman" w:cs="Times New Roman" w:eastAsia="Times New Roman" w:hAnsi="Times New Roman"/>
          <w:sz w:val="14"/>
          <w:szCs w:val="14"/>
          <w:color w:val="008000"/>
        </w:rPr>
      </w:pPr>
      <w:r>
        <w:rPr>
          <w:rFonts w:ascii="Times New Roman" w:cs="Times New Roman" w:eastAsia="Times New Roman" w:hAnsi="Times New Roman"/>
          <w:sz w:val="14"/>
          <w:szCs w:val="14"/>
          <w:color w:val="008000"/>
        </w:rPr>
        <w:t>Stock option granted pursuant to Waste Management, Inc. 1993 Stock Incentive Plan. Stock option vests in 25% annual increments, commencing on the first anniversary of the date of grant.</w:t>
      </w:r>
    </w:p>
    <w:p>
      <w:pPr>
        <w:spacing w:after="0" w:line="41" w:lineRule="exact"/>
        <w:rPr>
          <w:rFonts w:ascii="Times New Roman" w:cs="Times New Roman" w:eastAsia="Times New Roman" w:hAnsi="Times New Roman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4"/>
        </w:numPr>
        <w:rPr>
          <w:rFonts w:ascii="Times New Roman" w:cs="Times New Roman" w:eastAsia="Times New Roman" w:hAnsi="Times New Roman"/>
          <w:sz w:val="14"/>
          <w:szCs w:val="14"/>
          <w:color w:val="008000"/>
        </w:rPr>
      </w:pPr>
      <w:r>
        <w:rPr>
          <w:rFonts w:ascii="Times New Roman" w:cs="Times New Roman" w:eastAsia="Times New Roman" w:hAnsi="Times New Roman"/>
          <w:sz w:val="14"/>
          <w:szCs w:val="14"/>
          <w:color w:val="008000"/>
        </w:rPr>
        <w:t>Stock option granted pursuant to Waste Management, Inc. 2000 Stock Incentive Plan. Stock option vests in 25% annual increments, commencing on the first anniversary of the date of grant.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20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Cherie C. Rice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5"/>
              </w:rPr>
              <w:t>01/26/2004</w:t>
            </w:r>
          </w:p>
        </w:tc>
      </w:tr>
      <w:tr>
        <w:trPr>
          <w:trHeight w:val="20"/>
        </w:trPr>
        <w:tc>
          <w:tcPr>
            <w:tcW w:w="10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8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2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5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5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0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19495CFF"/>
    <w:multiLevelType w:val="hybridMultilevel"/>
    <w:lvl w:ilvl="0">
      <w:lvlJc w:val="left"/>
      <w:lvlText w:val="%1."/>
      <w:numFmt w:val="decimal"/>
      <w:start w:val="4"/>
    </w:lvl>
  </w:abstractNum>
  <w:abstractNum w:abstractNumId="1">
    <w:nsid w:val="2AE8944A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625558EC"/>
    <w:multiLevelType w:val="hybridMultilevel"/>
    <w:lvl w:ilvl="0">
      <w:lvlJc w:val="left"/>
      <w:lvlText w:val="X"/>
      <w:numFmt w:val="bullet"/>
      <w:start w:val="1"/>
    </w:lvl>
  </w:abstractNum>
  <w:abstractNum w:abstractNumId="3">
    <w:nsid w:val="238E1F29"/>
    <w:multiLevelType w:val="hybridMultilevel"/>
    <w:lvl w:ilvl="0">
      <w:lvlJc w:val="left"/>
      <w:lvlText w:val="%1."/>
      <w:numFmt w:val="decimal"/>
      <w:start w:val="1"/>
    </w:lvl>
  </w:abstractNum>
  <w:abstractNum w:abstractNumId="4">
    <w:nsid w:val="46E87CCD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hyperlink" Target="http://www.sec.gov/cgi-bin/browse-edgar?action=getcompany&amp;CIK=0001277428" TargetMode="External"/><Relationship Id="rId12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2019-12-16T05:26:34Z</dcterms:created>
  <dcterms:modified xsi:type="dcterms:W3CDTF">2019-12-16T05:26:34Z</dcterms:modified>
</cp:coreProperties>
</file>