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TREVATHAN JAMES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09/01/2009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06"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9"/>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ind w:left="680"/>
              <w:spacing w:after="0"/>
              <w:rPr>
                <w:sz w:val="20"/>
                <w:szCs w:val="20"/>
                <w:color w:val="auto"/>
              </w:rPr>
            </w:pPr>
            <w:r>
              <w:rPr>
                <w:rFonts w:ascii="Arial" w:cs="Arial" w:eastAsia="Arial" w:hAnsi="Arial"/>
                <w:sz w:val="18"/>
                <w:szCs w:val="18"/>
                <w:color w:val="0000FF"/>
              </w:rPr>
              <w:t>09/01/2009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200"/>
              <w:spacing w:after="0"/>
              <w:rPr>
                <w:sz w:val="20"/>
                <w:szCs w:val="20"/>
                <w:color w:val="auto"/>
              </w:rPr>
            </w:pPr>
            <w:r>
              <w:rPr>
                <w:rFonts w:ascii="Arial" w:cs="Arial" w:eastAsia="Arial" w:hAnsi="Arial"/>
                <w:sz w:val="14"/>
                <w:szCs w:val="14"/>
                <w:color w:val="0000FF"/>
              </w:rPr>
              <w:t>I</w:t>
            </w:r>
          </w:p>
        </w:tc>
        <w:tc>
          <w:tcPr>
            <w:tcW w:w="1120" w:type="dxa"/>
            <w:vAlign w:val="bottom"/>
            <w:gridSpan w:val="2"/>
          </w:tcPr>
          <w:p>
            <w:pPr>
              <w:ind w:left="40"/>
              <w:spacing w:after="0"/>
              <w:rPr>
                <w:sz w:val="20"/>
                <w:szCs w:val="20"/>
                <w:color w:val="auto"/>
              </w:rPr>
            </w:pPr>
            <w:r>
              <w:rPr>
                <w:rFonts w:ascii="Arial" w:cs="Arial" w:eastAsia="Arial" w:hAnsi="Arial"/>
                <w:sz w:val="18"/>
                <w:szCs w:val="18"/>
                <w:color w:val="0000FF"/>
              </w:rPr>
              <w:t>15,111.9333</w:t>
            </w:r>
          </w:p>
        </w:tc>
        <w:tc>
          <w:tcPr>
            <w:tcW w:w="400" w:type="dxa"/>
            <w:vAlign w:val="bottom"/>
          </w:tcPr>
          <w:p>
            <w:pPr>
              <w:ind w:left="4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right"/>
              <w:ind w:right="3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29.86</w:t>
            </w:r>
          </w:p>
        </w:tc>
        <w:tc>
          <w:tcPr>
            <w:tcW w:w="460" w:type="dxa"/>
            <w:vAlign w:val="bottom"/>
          </w:tcPr>
          <w:p>
            <w:pPr>
              <w:spacing w:after="0"/>
              <w:rPr>
                <w:sz w:val="18"/>
                <w:szCs w:val="18"/>
                <w:color w:val="auto"/>
              </w:rPr>
            </w:pPr>
          </w:p>
        </w:tc>
        <w:tc>
          <w:tcPr>
            <w:tcW w:w="820" w:type="dxa"/>
            <w:vAlign w:val="bottom"/>
          </w:tcPr>
          <w:p>
            <w:pPr>
              <w:jc w:val="center"/>
              <w:ind w:right="480"/>
              <w:spacing w:after="0" w:line="216"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0"/>
                <w:szCs w:val="10"/>
                <w:color w:val="008000"/>
              </w:rPr>
              <w:t>(1)</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8"/>
                <w:szCs w:val="18"/>
                <w:color w:val="0000FF"/>
                <w:w w:val="93"/>
              </w:rPr>
              <w:t>82,082.0983</w:t>
            </w:r>
            <w:r>
              <w:rPr>
                <w:rFonts w:ascii="Arial" w:cs="Arial" w:eastAsia="Arial" w:hAnsi="Arial"/>
                <w:sz w:val="22"/>
                <w:szCs w:val="22"/>
                <w:color w:val="008000"/>
                <w:w w:val="93"/>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transfer of funds out of the Common Stock fund of the Waste Management, Inc. 401(k) Plan. Includes 1,524.6696 shares acquired under the 401(k) Plan since December 31, 2008.</w:t>
      </w:r>
    </w:p>
    <w:p>
      <w:pPr>
        <w:spacing w:after="0" w:line="64" w:lineRule="exact"/>
        <w:rPr>
          <w:rFonts w:ascii="Arial" w:cs="Arial" w:eastAsia="Arial" w:hAnsi="Arial"/>
          <w:sz w:val="12"/>
          <w:szCs w:val="12"/>
          <w:color w:val="008000"/>
        </w:rPr>
      </w:pPr>
    </w:p>
    <w:p>
      <w:pPr>
        <w:ind w:left="40" w:right="2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total number of shares of Common Stock held directly by Mr. Trevathan, which is 13,587.2637 fewer shares than previously reported based on prior Forms 4 incorrectly reporting those shares, which were held indirectly through the Waste Management, Inc 401(k) Plan prior to the transaction being reported on this Form 4, as directly owned by Mr. Trevathan.</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Amanda K. Maki, Attorney-in- </w:t>
      </w:r>
      <w:r>
        <w:rPr>
          <w:rFonts w:ascii="Arial" w:cs="Arial" w:eastAsia="Arial" w:hAnsi="Arial"/>
          <w:sz w:val="35"/>
          <w:szCs w:val="35"/>
          <w:color w:val="0000FF"/>
          <w:vertAlign w:val="subscript"/>
        </w:rPr>
        <w:t>09/03/2009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2019-12-18T06:52:16Z</dcterms:created>
  <dcterms:modified xsi:type="dcterms:W3CDTF">2019-12-18T06:52:16Z</dcterms:modified>
</cp:coreProperties>
</file>