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19,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420"/>
          </w:cols>
          <w:pgMar w:left="240" w:top="741" w:right="2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41" w:right="239" w:bottom="1440" w:gutter="0" w:footer="0" w:header="0"/>
          <w:type w:val="continuous"/>
        </w:sectPr>
      </w:pPr>
    </w:p>
    <w:p>
      <w:pPr>
        <w:spacing w:after="0" w:line="246"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1001 Fannin, Houston, Texas</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1"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511" w:lineRule="auto"/>
        <w:tabs>
          <w:tab w:leader="none" w:pos="65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65"/>
        </w:trPr>
        <w:tc>
          <w:tcPr>
            <w:tcW w:w="4000" w:type="dxa"/>
            <w:vAlign w:val="bottom"/>
            <w:tcBorders>
              <w:top w:val="single" w:sz="8" w:color="auto"/>
              <w:left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20" w:type="dxa"/>
            <w:vAlign w:val="bottom"/>
            <w:tcBorders>
              <w:top w:val="single" w:sz="8" w:color="auto"/>
            </w:tcBorders>
          </w:tcPr>
          <w:p>
            <w:pPr>
              <w:spacing w:after="0"/>
              <w:rPr>
                <w:sz w:val="23"/>
                <w:szCs w:val="23"/>
                <w:color w:val="auto"/>
              </w:rPr>
            </w:pPr>
          </w:p>
        </w:tc>
        <w:tc>
          <w:tcPr>
            <w:tcW w:w="30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6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64"/>
        </w:trPr>
        <w:tc>
          <w:tcPr>
            <w:tcW w:w="4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WM</w:t>
            </w:r>
          </w:p>
        </w:tc>
        <w:tc>
          <w:tcPr>
            <w:tcW w:w="3060" w:type="dxa"/>
            <w:vAlign w:val="bottom"/>
            <w:tcBorders>
              <w:right w:val="single" w:sz="8" w:color="auto"/>
            </w:tcBorders>
          </w:tcPr>
          <w:p>
            <w:pPr>
              <w:spacing w:after="0"/>
              <w:rPr>
                <w:sz w:val="22"/>
                <w:szCs w:val="22"/>
                <w:color w:val="auto"/>
              </w:rPr>
            </w:pPr>
          </w:p>
        </w:tc>
        <w:tc>
          <w:tcPr>
            <w:tcW w:w="3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19, 2019, the Board of Directors of Waste Management, Inc. (the “Company”) amended and restated the Company’s by-laws (the “Amended and Restated By-laws”) to include a new Section 2.16 that implements proxy access. Section 2.16 permits a shareholder or group of up to 20 shareholders owning 3% or more of the Company’s outstanding common stock continuously for at least three years to nominate and include in the Company’s proxy materials director nominees constituting up to the greater of 20% of the Board of Directors or two individuals, provided the shareholder(s) and the nominee(s) satisfy the requirements specified in the Amended and Restated By-Laws. The Amended and Restated By-laws also include conforming changes to reflect the adoption of the proxy access provision, as well as other changes intended to clarify and conform certain provisions of the Amended and Restated By-laws to the Delaware General Corporation Law.</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is qualified in its entirety by reference to the Amended and Restated By-Laws, a copy of which is filed as Exhibit 3.2 to this report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4"/>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8"/>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Borders>
              <w:bottom w:val="single" w:sz="8" w:color="0000EE"/>
            </w:tcBorders>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Borders>
              <w:top w:val="single" w:sz="8" w:color="auto"/>
              <w:bottom w:val="single" w:sz="8" w:color="0000EE"/>
            </w:tcBorders>
            <w:gridSpan w:val="3"/>
          </w:tcPr>
          <w:p>
            <w:pPr>
              <w:spacing w:after="0" w:line="170"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Amended and Restated By-Laws of Waste Management, Inc. as of November 19, 2019</w:t>
              </w:r>
            </w:hyperlink>
          </w:p>
        </w:tc>
        <w:tc>
          <w:tcPr>
            <w:tcW w:w="4040" w:type="dxa"/>
            <w:vAlign w:val="bottom"/>
            <w:tcBorders>
              <w:top w:val="single" w:sz="8" w:color="auto"/>
            </w:tcBorders>
          </w:tcPr>
          <w:p>
            <w:pPr>
              <w:spacing w:after="0"/>
              <w:rPr>
                <w:sz w:val="14"/>
                <w:szCs w:val="14"/>
                <w:color w:val="auto"/>
              </w:rPr>
            </w:pPr>
          </w:p>
        </w:tc>
      </w:tr>
    </w:tbl>
    <w:p>
      <w:pPr>
        <w:spacing w:after="0" w:line="225" w:lineRule="exact"/>
        <w:rPr>
          <w:sz w:val="20"/>
          <w:szCs w:val="20"/>
          <w:color w:val="auto"/>
        </w:rPr>
      </w:pPr>
    </w:p>
    <w:p>
      <w:pPr>
        <w:ind w:left="5660" w:right="4540" w:hanging="5652"/>
        <w:spacing w:after="0" w:line="783" w:lineRule="auto"/>
        <w:tabs>
          <w:tab w:leader="none" w:pos="10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2019</w:t>
            </w: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Corporate Development and Chief Legal Officer</w:t>
            </w:r>
          </w:p>
        </w:tc>
      </w:tr>
      <w:tr>
        <w:trPr>
          <w:trHeight w:val="648"/>
        </w:trPr>
        <w:tc>
          <w:tcPr>
            <w:tcW w:w="3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4</w:t>
            </w: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19, 2019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4"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7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Corporation shall prepare,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the list shall also be produced and kept at the time and place of the meeting during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84"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2" w:lineRule="auto"/>
        <w:tabs>
          <w:tab w:leader="none" w:pos="17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Special meetings of the stockholders, for any purpose or purposes, unless otherwise prescribed by the General Corporation Law of the State of Delaware, shall be called by the Secretary at the written request of the Chairman of the Board (if any) or the Chief Executive Officer, or may be called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194" w:lineRule="exact"/>
        <w:rPr>
          <w:rFonts w:ascii="Times New Roman" w:cs="Times New Roman" w:eastAsia="Times New Roman" w:hAnsi="Times New Roman"/>
          <w:sz w:val="18"/>
          <w:szCs w:val="18"/>
          <w:color w:val="auto"/>
        </w:rPr>
      </w:pPr>
    </w:p>
    <w:p>
      <w:pPr>
        <w:ind w:firstLine="1305"/>
        <w:spacing w:after="0" w:line="282" w:lineRule="auto"/>
        <w:tabs>
          <w:tab w:leader="none" w:pos="17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Requested Special Meetings. In order for a Stockholder Requested Special Meeting to be called, one or more requests for a special meeting (each, a “Stockholder Special Meeting Request,” and collectively, the “Stockholder Special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w:t>
      </w:r>
    </w:p>
    <w:p>
      <w:pPr>
        <w:spacing w:after="0" w:line="3" w:lineRule="exact"/>
        <w:rPr>
          <w:sz w:val="20"/>
          <w:szCs w:val="20"/>
          <w:color w:val="auto"/>
        </w:rPr>
      </w:pPr>
    </w:p>
    <w:p>
      <w:pPr>
        <w:jc w:val="both"/>
        <w:ind w:firstLine="8"/>
        <w:spacing w:after="0" w:line="25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92" w:lineRule="exact"/>
        <w:rPr>
          <w:rFonts w:ascii="Times New Roman" w:cs="Times New Roman" w:eastAsia="Times New Roman" w:hAnsi="Times New Roman"/>
          <w:sz w:val="18"/>
          <w:szCs w:val="18"/>
          <w:color w:val="auto"/>
        </w:rPr>
      </w:pPr>
    </w:p>
    <w:p>
      <w:pPr>
        <w:jc w:val="both"/>
        <w:ind w:firstLine="1305"/>
        <w:spacing w:after="0" w:line="252" w:lineRule="auto"/>
        <w:tabs>
          <w:tab w:leader="none" w:pos="188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does not comply with the provisions of this Section 2.4.</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7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a Special Meeting. Except as provided in the next sentence, any special meeting shall be held at such date and time as may be fixed by the Board of Directors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86" w:lineRule="exact"/>
        <w:rPr>
          <w:sz w:val="20"/>
          <w:szCs w:val="20"/>
          <w:color w:val="auto"/>
        </w:rPr>
      </w:pPr>
    </w:p>
    <w:p>
      <w:pPr>
        <w:jc w:val="both"/>
        <w:ind w:firstLine="1305"/>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 such request(s) have been dated and delivered to the Secretary within sixty (60) days of the earliest dated Special Meeting Request.</w:t>
      </w:r>
    </w:p>
    <w:p>
      <w:pPr>
        <w:spacing w:after="0" w:line="188"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4"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 Adjournment</w:t>
      </w:r>
      <w:r>
        <w:rPr>
          <w:rFonts w:ascii="Times New Roman" w:cs="Times New Roman" w:eastAsia="Times New Roman" w:hAnsi="Times New Roman"/>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8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the meeting from time to time, without notice other than announcement at the meeting of the time and place of the adjourned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9"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in writing without a meeting shall be entitled to vote in person, or may authorize another person to act for such stockholder by proxy, bearing a date not more than three years prior to voting, unless such proxy provides for a longer period, and filed with the Secretary of the Corporation, or such other officer as the Board of Directors may from time to time determine by resolution, before, or at the time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the meeting. A stockholder may revoke a proxy that is not irrevocable by attending the meeting and voting in person or by delivering to the Secretary of the Corporation a revocation of the proxy or a new proxy bearing a later date.</w:t>
      </w:r>
    </w:p>
    <w:p>
      <w:pPr>
        <w:spacing w:after="0" w:line="162"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188"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Voting of Stock of Certain Holders; Elections; Inspectors</w:t>
      </w:r>
      <w:r>
        <w:rPr>
          <w:rFonts w:ascii="Times New Roman" w:cs="Times New Roman" w:eastAsia="Times New Roman" w:hAnsi="Times New Roman"/>
          <w:sz w:val="18"/>
          <w:szCs w:val="18"/>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85"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80" w:lineRule="exact"/>
        <w:rPr>
          <w:sz w:val="20"/>
          <w:szCs w:val="20"/>
          <w:color w:val="auto"/>
        </w:rPr>
      </w:pPr>
    </w:p>
    <w:p>
      <w:pPr>
        <w:ind w:left="2600" w:hanging="647"/>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votes, his act binds all;</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 the act of the majority so voting binds all; or</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7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a majority or even-split for the purpose of this subsection shall be a majority or even-split in interest.</w:t>
      </w:r>
    </w:p>
    <w:p>
      <w:pPr>
        <w:spacing w:after="0" w:line="225"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All voting of stockholders shall be conducted as may be required under any procedures established for the meeting. All proxies submitted to the Corporation may be voted by a master ballot.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cumulative voting for the election of directors shall be prohibited.</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Inspector of Elections</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9"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meetings of the stockholders shall be presided over by the Chairman of the Board (if any), or if he is not present, by the Chairman of the Nominating and Governance Committee of the Board, or if neither the Chairman of the Board (if any) nor the Chairman of the Nominating and Governance Committee is present, by the Chief Executive Officer, or if neither the Chairman of the Board (if any), the Chairman of the Nominating and Governance Committee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unless otherwise determined by the Board of Directors, the order of business and the procedure at the meeting, including such regulation of the manner of voting and the conduct of discussion as seem to him in order. Unless the Board of Directors or the chairman of the meeting of stockholders shall otherwise determine, the order of business shall be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of meeting to order.</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secretary if necessary.</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proof of the due calling of the meeting.</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and examination of proxies and determination of a quorum.</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settlement of the minutes of the previous meeting.</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officers and committees.</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if an annual meeting, or a meeting called for that purpose.</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Unfinished business.</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w:t>
      </w:r>
    </w:p>
    <w:p>
      <w:pPr>
        <w:spacing w:after="0" w:line="225"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Without limiting the foregoing, except to the extent inconsistent with any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9"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Treasury Stock</w:t>
      </w:r>
      <w:r>
        <w:rPr>
          <w:rFonts w:ascii="Times New Roman" w:cs="Times New Roman" w:eastAsia="Times New Roman" w:hAnsi="Times New Roman"/>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Fixing Record Date; Action by Written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1"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186" w:lineRule="exact"/>
        <w:rPr>
          <w:sz w:val="20"/>
          <w:szCs w:val="20"/>
          <w:color w:val="auto"/>
        </w:rPr>
      </w:pPr>
    </w:p>
    <w:p>
      <w:pPr>
        <w:jc w:val="both"/>
        <w:ind w:firstLine="1305"/>
        <w:spacing w:after="0" w:line="252" w:lineRule="auto"/>
        <w:tabs>
          <w:tab w:leader="none" w:pos="15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9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89" w:lineRule="exact"/>
        <w:rPr>
          <w:sz w:val="20"/>
          <w:szCs w:val="20"/>
          <w:color w:val="auto"/>
        </w:rPr>
      </w:pPr>
    </w:p>
    <w:p>
      <w:pPr>
        <w:jc w:val="both"/>
        <w:ind w:firstLine="1305"/>
        <w:spacing w:after="0" w:line="266" w:lineRule="auto"/>
        <w:tabs>
          <w:tab w:leader="none" w:pos="15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consent shall be effective to take the corporate action referred to therein unless a valid written consent or valid written consents signed by a sufficient number of stockholders to take such action are delivered to the Corporation in the manner prescribed in this Section 2.12 and applicable law, and not revoked, within 60 days of the first date on which a written consent is so delivered to the Corporation.</w:t>
      </w:r>
    </w:p>
    <w:p>
      <w:pPr>
        <w:spacing w:after="0" w:line="17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Stockholder Proposals</w:t>
      </w:r>
      <w:r>
        <w:rPr>
          <w:rFonts w:ascii="Times New Roman" w:cs="Times New Roman" w:eastAsia="Times New Roman" w:hAnsi="Times New Roman"/>
          <w:sz w:val="18"/>
          <w:szCs w:val="18"/>
          <w:color w:val="auto"/>
        </w:rPr>
        <w:t>. At an annual meeting of the stockholders, only such business (other than nominations of persons for election to the Board of Directors) shall be conducted as shall have been properly brought before the meeting. To be properly brought before an annual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meeting of stockholders pursuant to clause (c) above of this paragraph, the proposed business must constitute a proper matter for stockholder action.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proposal (other than nominations of persons for election to the Board of Directors) by a stockholder shall be presented at an annual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7"/>
          <w:szCs w:val="17"/>
          <w:color w:val="auto"/>
        </w:rPr>
        <w:t>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or the beneficial owner, if any,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not later than the close of business on the later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w:t>
      </w:r>
    </w:p>
    <w:p>
      <w:pPr>
        <w:spacing w:after="0" w:line="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provision shall not prevent the presentation at a meeting of stockholders of reports of officers, directors, and committees; but in connection with such reports, no new business shall be acted upon at such meeting unless properly brought before the meeting in accordance with this Section 2.13 with respect to annual meetings or Section 2.4 of these by-laws with respect to special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meetings. Notwithstanding anything in these by-laws to the contrary, no business (other than nominations of persons for election to the Board of Directors) shall be conducted at any annual meeting of stockholders except in accordance with the procedures set forth in this Section 2.13 and no nominations shall be considered at an annual or special meeting of stockholders except in accordance with Section 2.14 or Section 2.16, as applicable, below. The chairman of the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these by-laws, the Corporation shall be under no obligation to include any stockholder proposal in its proxy statement materials or otherwise present any such proposal to stockholders at a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at an annual meeting of stockholders. Nothing in this Section 2.13 shall be deemed to affect any rights of stockholders to request inclusion of proposals in the Corporation’s proxy statement pursuant to applicable rules and regulations promulgated under the Exchange Act. Only such business shall be conducted at a special meeting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stockholders as shall have been brought before the meeting pursuant to the Corporation’s notice of meeting in accordance with Section 2.4 of these by-laws.</w:t>
      </w:r>
    </w:p>
    <w:p>
      <w:pPr>
        <w:spacing w:after="0" w:line="225"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Only persons who are nominated in accordance with the procedures of this Section 2.14 or Section 2.16, as applicable,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or (d) with respect to annual meetings, by any Eligible Stockholder who complies with the requirements of Section 2.16 of these by-laws. Such stockholder may nominate one or more persons for election as a director at an annual or special meeting of stockholders pursuant to clause (c) of this Section 2.14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8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To be timely, a stockholder’s notice pursuant to clause (c) of this Section 2.14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prior to such annual</w:t>
      </w:r>
    </w:p>
    <w:p>
      <w:pPr>
        <w:spacing w:after="0" w:line="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meeting or not later than the close of business on the later of 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Corporation’s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 (ii) 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8"/>
          <w:szCs w:val="18"/>
          <w:color w:val="auto"/>
        </w:rPr>
        <w:t>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With respect to each person whom the stockholder proposes to nominate for election to the Board of Directors, a stockholder’s notice must, in addition to the matters set forth above, also include the completed and signed questionnaire, representations and agreements required by Section 2.15 of these by-laws. The Corporation may also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at the annual meeting is increased effective after the time period for which nominations would otherwise be due under this Section 2.14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w:t>
      </w:r>
    </w:p>
    <w:p>
      <w:pPr>
        <w:spacing w:after="0" w:line="1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close of business on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24" w:lineRule="auto"/>
        <w:rPr>
          <w:sz w:val="20"/>
          <w:szCs w:val="20"/>
          <w:color w:val="auto"/>
        </w:rPr>
      </w:pPr>
      <w:r>
        <w:rPr>
          <w:rFonts w:ascii="Times New Roman" w:cs="Times New Roman" w:eastAsia="Times New Roman" w:hAnsi="Times New Roman"/>
          <w:sz w:val="18"/>
          <w:szCs w:val="18"/>
          <w:color w:val="auto"/>
        </w:rPr>
        <w:t>as specified in the Corporation’s notice of meeting, if the stockholder’s notice required by this Section 2.14 (including, but not limited to, the completed and signed questionnaire, representations and agreements required by Section 2.15 of these by-laws) shall be delivered to the Secretary at the principal executive offices of the Corporation not earlier than the close of business on the one hundred fiftieth (150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prior to such special meeting and not later than the</w:t>
      </w:r>
    </w:p>
    <w:p>
      <w:pPr>
        <w:jc w:val="both"/>
        <w:spacing w:after="0" w:line="224" w:lineRule="auto"/>
        <w:rPr>
          <w:sz w:val="20"/>
          <w:szCs w:val="20"/>
          <w:color w:val="auto"/>
        </w:rPr>
      </w:pPr>
      <w:r>
        <w:rPr>
          <w:rFonts w:ascii="Times New Roman" w:cs="Times New Roman" w:eastAsia="Times New Roman" w:hAnsi="Times New Roman"/>
          <w:sz w:val="18"/>
          <w:szCs w:val="18"/>
          <w:color w:val="auto"/>
        </w:rPr>
        <w:t>close of business on the later of the one hundred twentieth (120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day on which public announcement is first made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such persons who are nominated in accordance with the procedures set forth in this Section 2.14 or Section 2.16 shall be eligible to be elected at an annual meeting of stockholders of the Corporation to serve as directors and only such persons who are nominated in accordance with the procedures set forth in this Section 2.14 shall be eligible to be elected at a special meeting of the stockholders of the Corporation to serve as directors.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chairman of the meeting shall have the power and duty (a) to determine whether a nomination brought before the meeting pursuant to this Section 2.14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w:t>
      </w:r>
    </w:p>
    <w:p>
      <w:pPr>
        <w:spacing w:after="0" w:line="3" w:lineRule="exact"/>
        <w:rPr>
          <w:sz w:val="20"/>
          <w:szCs w:val="20"/>
          <w:color w:val="auto"/>
        </w:rPr>
      </w:pPr>
    </w:p>
    <w:p>
      <w:pPr>
        <w:jc w:val="both"/>
        <w:ind w:firstLine="8"/>
        <w:spacing w:after="0" w:line="252"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proposed nomination pursuant to this Section 2.14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firstLine="1297"/>
        <w:spacing w:after="0" w:line="25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Submission of Questionnaire, Representations and Agreements</w:t>
      </w:r>
      <w:r>
        <w:rPr>
          <w:rFonts w:ascii="Times New Roman" w:cs="Times New Roman" w:eastAsia="Times New Roman" w:hAnsi="Times New Roman"/>
          <w:sz w:val="18"/>
          <w:szCs w:val="18"/>
          <w:color w:val="auto"/>
        </w:rPr>
        <w:t>. To be eligible to be a nominee for election or reelection as a director of the Corporation, a person must deliver (with respect to any person nominated by a stockholder in accordance with clause (c) of the first paragraph of Section 2.14 or the third paragraph of Section 2.14, in accordance with the time periods prescribed for delivery of notice under Section 2.14) to the Secretary at the principal executive offices of the Corporation a written questionnaire with respect to the background, and qualification and potential conflicts of interest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Proxy Access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of Directors solicits proxies with respect to the election of directors at an annual meeting of stockholders (commencing with the 2020 annual meeting of stockholders), subject to the provisions of this Section 2.16, the Corporation shall include in its proxy statement, on its form of proxy card, voting instruction form and on any ballot distributed at such annual meeting, in addition to any persons nominated for election by the Board of Directors or any committee thereof, the name, together, in the case of the proxy statement, with the Required Information (defined below), of any person nominated for election (the “Stockholder Nominee”) to the Board of Directors by a stockholder or group of no more than 20 stockholders that satisfies the requirements of this Section 2.16 (such stockholder or stockholder group, including each member thereof to the extent the context requires, the “Eligible Stockholder”), and who expressly elects at the time of providing the notice required by this Section 2.16 (the “Notice of Proxy Access Nomination”) to have its nominee included in the Corporation’s proxy materials pursuant to this Section 2.16. For purposes of this Section 2.16, in calculating the number of stockholders in a group seeking to qualify as an Eligible Stockholder, two or more funds that are (i) under common management and investment control, (ii) under common management and funded primarily by the same employer, or (iii) a “group of investment companies” as such term is defined in Section 12(d)</w:t>
      </w:r>
    </w:p>
    <w:p>
      <w:pPr>
        <w:spacing w:after="0" w:line="5"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(1)(G)(ii) of the Investment Company Act of 1940, as amended, shall be counted as one stockholder. In the event that the Eligible Stockholder consists of a group of stockholders, any and all requirements and obligations for an individual Eligible Stockholder that are set forth in these by-laws, including the Minimum Holding Period (defined below), shall apply to each member of such group; provided, however, that the Required Ownership Percentage (defined below) shall apply to the ownership of the group in the aggregate. For purposes of this Section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2.16, the “Required Information” that the Corporation will include in its proxy statement is the information provided to the Secretary of the 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each Stockholder Nominee’s candidacy (the “Statement”). Notwithstanding anything to the contrary contained in this Section 2.16, the Corporation may omit from its proxy materials any information or Statement (or portion thereof) that it, in good faith, believes is untrue in any material respect (or omits to state a material fact necessary in order to make the statements made, in light of the circumstances under which they are made, not misleading) or would violate any applicable law or regulation, and the Corporation may solicit against, and include in the proxy statement its own statement relating to, any Stockholder Nominee.</w:t>
      </w:r>
    </w:p>
    <w:p>
      <w:pPr>
        <w:spacing w:after="0" w:line="185" w:lineRule="exact"/>
        <w:rPr>
          <w:sz w:val="20"/>
          <w:szCs w:val="20"/>
          <w:color w:val="auto"/>
        </w:rPr>
      </w:pPr>
    </w:p>
    <w:p>
      <w:pPr>
        <w:jc w:val="both"/>
        <w:ind w:firstLine="656"/>
        <w:spacing w:after="0" w:line="254" w:lineRule="auto"/>
        <w:tabs>
          <w:tab w:leader="none" w:pos="9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the Notice of Proxy Access Nomination must be addressed to the Secretary of the Corporation and received at the principal executive offices of the Corporation no earlier than one hundred fifty (150) days and no later than one hundred twenty (120) days before the anniversary of the date that the Corporation commenced mailing of its definitive proxy statement for the previous year’s annual meeting of stockholders; provided, however, that in the event the annual meeting is more than thirty (30) days before or after the anniversary date of the prior year’s annual meeting, or if no annual meeting was held in the preceding year, to be timely, the Notice of Proxy Access Nomination must be received at the principal executive offices of the Corporation no earlier than one hundred fifty (150) days before such annual meeting and no later than the later of one hundred twenty (120) days before such annual meeting or the tenth (10th) day following the day on which public announcement of the date of such meeting is first made by the Corporation. In no event shall an adjournment or postponement of an annual meeting commence a new time period (or extend any time period) for the giving of the Notice of Proxy Access Nomination as described above.</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Stockholder Nominees nominated by all Eligible Stockholders that will be included in the Corporation’s proxy materials with respect to an annual meeting of stockholders shall not exceed the greater of (i) two and (ii) 20% of the total number of directors in office (rounded down to the nearest whole number) as of the last day on which a Notice of Proxy Access Nomination may be delivered pursuant to and in accordance with this Section 2.16 (the “Final Proxy Access Nomination Date”). In the event that one or more vacancies for any reason occurs after the Final Proxy Access Nomination Date but before the date of the annual meeting and the Board of Directors resolves to reduce the size of the Board of Directors in connection therewith, the maximum number of Stockholder Nominees included in the Corporation’s proxy materials shall be calculated based on the number of directors in office as so reduced. The following individuals shall be counted as one of the Stockholder Nominees for purposes of determining when the maximum number of Stockholder Nominees provided for in this Section 2.16 has been reached: (i) any individual nominated by an Eligible Stockholder for inclusion in the Corporation’s proxy materials pursuant to this Section 2.16 whom the Board of Directors decides to nominate as a nominee of the Board of Directors, (ii) any individual nominated by an Eligible Stockholder for inclusion in the Corporation’s proxy materials pursuant to this Section 2.16 but whose nomination is subsequently withdrawn, (iii) any individual who was previously elected to the Board of Directors as a Stockholder Nominee at any of the preceding two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t>annual meetings and who is nominated for election at such annual meeting by the Board of Directors as a nominee of the Board of Directors and (iv) any director in office or director candidate who, in each case, will be included in the Corporation’s proxy materials with respect to such annual meeting as an unopposed (by the Corporation) nominee pursuant to an agreement, arrangement or understanding between the Corporation and a stockholder or group of stockholders (other than such agreement, arrangement or understanding entered into in connection with an acquisition of stock by such stockholder, or group of stockholders, from the Corporation). Any Eligible Stockholder submitting more than one Stockholder Nominee for inclusion in the Corporation’s proxy materials pursuant to this Section 2.16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2.16 exceeds the maximum number of nominees provided for in this Section 2.16. In the event that the number of Stockholder Nominees submitted by Eligible Stockholders pursuant to this Section 2.16 exceeds the maximum number of nominees provided for in this Section 2.16, the highest ranking Stockholder Nominee who meets the requirements of this Section 2.16 from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Notice of Proxy Access Nomination submitted to the Corporation. If the maximum number is not reached after the highest ranking Stockholder Nominee who meets the requirements of this Section 2.16 from each Eligible Stockholder has been selected, this process will continue as many times as necessary, following the same order each time, until the maximum number is reached. Following such determination, if any Stockholder Nominee who satisfies the eligibility requirements of this Section 2.16 (y) thereafter is nominated by the Board of Directors or (z) thereafter is not included in the Corporation’s proxy materials or is not submitted for election as a director, in either case, as a result of the Nominating Stockholder becoming ineligible or withdrawing its nomination, the Stockholder Nominee becoming unwilling or unable to serve on the Board of Directors or the Eligible Stockholder or the Stockholder Nominee failing to comply with the provisions of this Section 2.16, no other nominee or nominees shall be included in the Corporation’s proxy materials or otherwise submitted for director election in substitution thereof.</w:t>
      </w:r>
    </w:p>
    <w:p>
      <w:pPr>
        <w:spacing w:after="0" w:line="200" w:lineRule="exact"/>
        <w:rPr>
          <w:sz w:val="20"/>
          <w:szCs w:val="20"/>
          <w:color w:val="auto"/>
        </w:rPr>
      </w:pPr>
    </w:p>
    <w:p>
      <w:pPr>
        <w:spacing w:after="0" w:line="208" w:lineRule="exact"/>
        <w:rPr>
          <w:sz w:val="20"/>
          <w:szCs w:val="20"/>
          <w:color w:val="auto"/>
        </w:rPr>
      </w:pPr>
    </w:p>
    <w:p>
      <w:pPr>
        <w:ind w:right="20" w:firstLine="656"/>
        <w:spacing w:after="0" w:line="282" w:lineRule="auto"/>
        <w:tabs>
          <w:tab w:leader="none" w:pos="9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2.16, an Eligible Stockholder shall be deemed to “own” only those outstanding shares of common stock of the Corporation as to which the stockholder possesses both:</w:t>
      </w:r>
    </w:p>
    <w:p>
      <w:pPr>
        <w:spacing w:after="0" w:line="16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voting and investment rights pertaining to the shares; and</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economic interest in (including the opportunity for profit from and risk of loss on) such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provided that the number of shares calculated in accordance with clauses (i) and (ii) shall not include any shares:</w:t>
      </w:r>
    </w:p>
    <w:p>
      <w:pPr>
        <w:spacing w:after="0" w:line="225" w:lineRule="exact"/>
        <w:rPr>
          <w:sz w:val="20"/>
          <w:szCs w:val="20"/>
          <w:color w:val="auto"/>
        </w:rPr>
      </w:pPr>
    </w:p>
    <w:p>
      <w:pPr>
        <w:ind w:left="5620" w:right="840" w:hanging="4315"/>
        <w:spacing w:after="0" w:line="783" w:lineRule="auto"/>
        <w:tabs>
          <w:tab w:leader="none" w:pos="15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by such stockholder or any of its affiliates in any transaction that has not been settled or closed, including any short sale;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right="20" w:firstLine="1305"/>
        <w:spacing w:after="0" w:line="282" w:lineRule="auto"/>
        <w:tabs>
          <w:tab w:leader="none" w:pos="15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by such stockholder or any of its affiliates for any purposes or purchased by such stockholder or any of its affiliates pursuant to an agreement to resell; or</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or if exercised by either party would have, the purpose or effect of:</w:t>
      </w:r>
    </w:p>
    <w:p>
      <w:pPr>
        <w:spacing w:after="0" w:line="180" w:lineRule="exact"/>
        <w:rPr>
          <w:rFonts w:ascii="Times New Roman" w:cs="Times New Roman" w:eastAsia="Times New Roman" w:hAnsi="Times New Roman"/>
          <w:sz w:val="18"/>
          <w:szCs w:val="18"/>
          <w:color w:val="auto"/>
        </w:rPr>
      </w:pPr>
    </w:p>
    <w:p>
      <w:pPr>
        <w:ind w:firstLine="1953"/>
        <w:spacing w:after="0" w:line="282" w:lineRule="auto"/>
        <w:tabs>
          <w:tab w:leader="none" w:pos="22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in any manner, to any extent or at any time in the future, such stockholder’s or its affiliates’ full right to vote or direct the voting of any such shares; and/or</w:t>
      </w:r>
    </w:p>
    <w:p>
      <w:pPr>
        <w:spacing w:after="0" w:line="161" w:lineRule="exact"/>
        <w:rPr>
          <w:rFonts w:ascii="Times New Roman" w:cs="Times New Roman" w:eastAsia="Times New Roman" w:hAnsi="Times New Roman"/>
          <w:sz w:val="18"/>
          <w:szCs w:val="18"/>
          <w:color w:val="auto"/>
        </w:rPr>
      </w:pPr>
    </w:p>
    <w:p>
      <w:pPr>
        <w:ind w:right="20" w:firstLine="1953"/>
        <w:spacing w:after="0" w:line="282" w:lineRule="auto"/>
        <w:tabs>
          <w:tab w:leader="none" w:pos="22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offsetting or altering to any degree any gain or loss realized or realizable from maintaining the full economic ownership of such shares by such stockholder or its affiliates.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which is revocable at any time by the stockholder. A stockholder’s ownership of shares shall be deemed to continue during any period in which the stockholder has loaned such shares provided that the stockholder has the power to recall such loaned shares on five (5) business days’ notice and recalls such loaned shares within five (5) business days of being notified that its Stockholder Nominee will be included in the Corporation’s proxy materials for the applicable annual meeting and holds such shares through such annual meeting. The terms “owned,” “owning” and other variations of the word “own” shall have correlative meanings. Whether outstanding shares of the common stock of the Corporation are “owned” for these purposes shall be determined by the Board of Directors or any committee thereof, in each case, in its sole discretion. For purposes of this Section 2.16, the term “affiliate” or “affiliates” shall have the meaning ascribed thereto under the rules and regulations of the Exchange Act. An Eligible Stockholder shall include in its Notice of Proxy Access Nomination the number of shares it is deemed to own for the purposes of this Section 2.16.</w:t>
      </w:r>
    </w:p>
    <w:p>
      <w:pPr>
        <w:spacing w:after="0" w:line="193" w:lineRule="exact"/>
        <w:rPr>
          <w:sz w:val="20"/>
          <w:szCs w:val="20"/>
          <w:color w:val="auto"/>
        </w:rPr>
      </w:pPr>
    </w:p>
    <w:p>
      <w:pPr>
        <w:jc w:val="both"/>
        <w:ind w:firstLine="656"/>
        <w:spacing w:after="0" w:line="255" w:lineRule="auto"/>
        <w:tabs>
          <w:tab w:leader="none" w:pos="9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make a nomination pursuant to this Section 2.16, an Eligible Stockholder must have owned (as defined above) the Required Ownership Percentage of the Corporation’s shares of common stock outstanding and entitled to vote in the election of directors as of the date of the Notice of Proxy Access Nomination (the “Required Shares”) continuously for the Minimum Holding Period as of both the date the Notice of Proxy Access Nomination is received by the Secretary of the Corporation in accordance with this Section 2.16 and the record date for determining the stockholders entitled to vote at the annual meeting and must continue to own the Required Shares through the meeting date. For purposes of this Section 2.16, the “Required Ownership Percentage” shall be 3% or more. For purposes of this Section 2.16, the “Minimum Holding Period” is 3 years. Within the time period specified in this Section 2.16 for delivering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Notice of Proxy Access Nomination, an Eligible Stockholder must provide the following information in writing to the Secretary of the Corporation:</w:t>
      </w:r>
    </w:p>
    <w:p>
      <w:pPr>
        <w:spacing w:after="0" w:line="225" w:lineRule="exact"/>
        <w:rPr>
          <w:sz w:val="20"/>
          <w:szCs w:val="20"/>
          <w:color w:val="auto"/>
        </w:rPr>
      </w:pPr>
    </w:p>
    <w:p>
      <w:pPr>
        <w:jc w:val="both"/>
        <w:ind w:firstLine="1305"/>
        <w:spacing w:after="0" w:line="256" w:lineRule="auto"/>
        <w:tabs>
          <w:tab w:leader="none" w:pos="15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Minimum Holding Period) verifying that, as of a date within seven calendar days prior to the date the Notice of Proxy Access Nomination is received by the Secretary of the Corporation, the Eligible Stockholder owns, and has owned continuously for the Minimum Holding Period, the Required Shares, and the Eligible Stockholder’s agreement to provide, within five business days after the record date for the annual meeting, written statements from the record holder and intermediaries verifying the Eligible Stockholder’s continuous ownership of the Required Shares through the record date;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that has been filed with the Securities and Exchange Commission as required by Rule 14a-18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6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representations and agreements that are the same as those that would be required to be set forth in a stockholder’s notice of nomination pursuant to Article II, Section 2.14 of these by-laws;</w:t>
      </w:r>
    </w:p>
    <w:p>
      <w:pPr>
        <w:spacing w:after="0" w:line="161" w:lineRule="exact"/>
        <w:rPr>
          <w:rFonts w:ascii="Times New Roman" w:cs="Times New Roman" w:eastAsia="Times New Roman" w:hAnsi="Times New Roman"/>
          <w:sz w:val="18"/>
          <w:szCs w:val="18"/>
          <w:color w:val="auto"/>
        </w:rPr>
      </w:pPr>
    </w:p>
    <w:p>
      <w:pPr>
        <w:ind w:left="1640" w:hanging="335"/>
        <w:spacing w:after="0"/>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Stockholder Nominee to being named in the Corporation’s proxy statement as a nominee and to serving 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if elected;</w:t>
      </w:r>
    </w:p>
    <w:p>
      <w:pPr>
        <w:spacing w:after="0" w:line="206"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Stockholder:</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2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Required Shares in the ordinary course of business and not with the intent to change or influence control at the Corporation, and does not presently have such intent,</w:t>
      </w:r>
    </w:p>
    <w:p>
      <w:pPr>
        <w:spacing w:after="0" w:line="161" w:lineRule="exact"/>
        <w:rPr>
          <w:rFonts w:ascii="Times New Roman" w:cs="Times New Roman" w:eastAsia="Times New Roman" w:hAnsi="Times New Roman"/>
          <w:sz w:val="18"/>
          <w:szCs w:val="18"/>
          <w:color w:val="auto"/>
        </w:rPr>
      </w:pPr>
    </w:p>
    <w:p>
      <w:pPr>
        <w:ind w:left="2240" w:hanging="287"/>
        <w:spacing w:after="0"/>
        <w:tabs>
          <w:tab w:leader="none" w:pos="2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presently intends to maintain qualifying ownership of the Required Shares through the date of the annual meeting,</w:t>
      </w:r>
    </w:p>
    <w:p>
      <w:pPr>
        <w:spacing w:after="0" w:line="225" w:lineRule="exact"/>
        <w:rPr>
          <w:rFonts w:ascii="Times New Roman" w:cs="Times New Roman" w:eastAsia="Times New Roman" w:hAnsi="Times New Roman"/>
          <w:sz w:val="18"/>
          <w:szCs w:val="18"/>
          <w:color w:val="auto"/>
        </w:rPr>
      </w:pPr>
    </w:p>
    <w:p>
      <w:pPr>
        <w:ind w:left="2280" w:hanging="327"/>
        <w:spacing w:after="0"/>
        <w:tabs>
          <w:tab w:leader="none" w:pos="2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nominated and will not nominate for election any individual as a director at the annual meeting, other than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Nominee(s),</w:t>
      </w:r>
    </w:p>
    <w:p>
      <w:pPr>
        <w:spacing w:after="0" w:line="206"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176" w:lineRule="exact"/>
        <w:rPr>
          <w:rFonts w:ascii="Times New Roman" w:cs="Times New Roman" w:eastAsia="Times New Roman" w:hAnsi="Times New Roman"/>
          <w:sz w:val="18"/>
          <w:szCs w:val="18"/>
          <w:color w:val="auto"/>
        </w:rPr>
      </w:pPr>
    </w:p>
    <w:p>
      <w:pPr>
        <w:ind w:firstLine="1953"/>
        <w:spacing w:after="0" w:line="282" w:lineRule="auto"/>
        <w:tabs>
          <w:tab w:leader="none" w:pos="22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comply with all applicable laws and regulations with respect to any solicitation in connection with the meeting or applicable to the filing and use, if any, of soliciting material,</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ind w:firstLine="1953"/>
        <w:spacing w:after="0" w:line="261" w:lineRule="auto"/>
        <w:tabs>
          <w:tab w:leader="none" w:pos="2267"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two or more funds whose shares are aggregated to count as one stockholder for the purpose of constituting an Eligible Stockholder, within five business days after the date of the Notice of Proxy Access Nomination, will provide to the Corporation documentation reasonably satisfactory to the Corporation that demonstrates that the funds satisfy the requirements of the second sentence of subsection (a) of this Section 2.16;</w:t>
      </w:r>
    </w:p>
    <w:p>
      <w:pPr>
        <w:spacing w:after="0" w:line="396" w:lineRule="exact"/>
        <w:rPr>
          <w:rFonts w:ascii="Times New Roman" w:cs="Times New Roman" w:eastAsia="Times New Roman" w:hAnsi="Times New Roman"/>
          <w:sz w:val="18"/>
          <w:szCs w:val="18"/>
          <w:color w:val="auto"/>
        </w:rPr>
      </w:pPr>
    </w:p>
    <w:p>
      <w:pPr>
        <w:ind w:left="1600" w:hanging="295"/>
        <w:spacing w:after="0"/>
        <w:tabs>
          <w:tab w:leader="none" w:pos="16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Stockholder agrees to:</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248"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61" w:lineRule="exact"/>
        <w:rPr>
          <w:rFonts w:ascii="Times New Roman" w:cs="Times New Roman" w:eastAsia="Times New Roman" w:hAnsi="Times New Roman"/>
          <w:sz w:val="18"/>
          <w:szCs w:val="18"/>
          <w:color w:val="auto"/>
        </w:rPr>
      </w:pPr>
    </w:p>
    <w:p>
      <w:pPr>
        <w:jc w:val="both"/>
        <w:ind w:firstLine="1953"/>
        <w:spacing w:after="0" w:line="261" w:lineRule="auto"/>
        <w:tabs>
          <w:tab w:leader="none" w:pos="2265"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2.16; and</w:t>
      </w:r>
    </w:p>
    <w:p>
      <w:pPr>
        <w:spacing w:after="0" w:line="180"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93"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Securities and Exchange Commission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 and</w:t>
      </w:r>
    </w:p>
    <w:p>
      <w:pPr>
        <w:spacing w:after="0" w:line="176" w:lineRule="exact"/>
        <w:rPr>
          <w:rFonts w:ascii="Times New Roman" w:cs="Times New Roman" w:eastAsia="Times New Roman" w:hAnsi="Times New Roman"/>
          <w:sz w:val="18"/>
          <w:szCs w:val="18"/>
          <w:color w:val="auto"/>
        </w:rPr>
      </w:pPr>
    </w:p>
    <w:p>
      <w:pPr>
        <w:jc w:val="both"/>
        <w:ind w:firstLine="1386"/>
        <w:spacing w:after="0" w:line="266" w:lineRule="auto"/>
        <w:tabs>
          <w:tab w:leader="none" w:pos="173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withdrawal of the nomination.</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8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this Section 2.16 for delivering the Notice of Proxy Access Nomination, a Stockholder Nominee must deliver to the Secretary of the Corporation (which shall be deemed to be part of the Stockholder Notice for purposes of this Section 2.16):</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52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with respect to persons whom a stockholder proposes to nominate for election or reelection as a director by Article II, Section 2.14 of these by-laws;</w:t>
      </w:r>
    </w:p>
    <w:p>
      <w:pPr>
        <w:spacing w:after="0" w:line="16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that such person:</w:t>
      </w:r>
    </w:p>
    <w:p>
      <w:pPr>
        <w:spacing w:after="0" w:line="225" w:lineRule="exact"/>
        <w:rPr>
          <w:rFonts w:ascii="Times New Roman" w:cs="Times New Roman" w:eastAsia="Times New Roman" w:hAnsi="Times New Roman"/>
          <w:sz w:val="18"/>
          <w:szCs w:val="18"/>
          <w:color w:val="auto"/>
        </w:rPr>
      </w:pPr>
    </w:p>
    <w:p>
      <w:pPr>
        <w:ind w:left="2240" w:hanging="287"/>
        <w:spacing w:after="0"/>
        <w:tabs>
          <w:tab w:leader="none" w:pos="224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act as a representative of all of the stockholders of the Corporation while serving as a director;</w:t>
      </w:r>
    </w:p>
    <w:p>
      <w:pPr>
        <w:spacing w:after="0" w:line="225"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32"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(I) a Voting Commitment (as defined in Article II, Section 2.15 of these by-laws) that has not been disclosed to the Corporation or (II) any Voting Commitment that could limit or interfere with such Stockholder Nominee’s ability to comply, if elected as a director of the Corporation, with such Stockholder Nominee’s fiduciary duties under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firstLine="1953"/>
        <w:spacing w:after="0" w:line="266" w:lineRule="auto"/>
        <w:tabs>
          <w:tab w:leader="none" w:pos="2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or will not become a party to any agreement, arrangement or understanding with any person or entity other than the Corporation with respect to direct or indirect compensation, reimbursement or indemnification in connection with service or action as a director that has not been disclosed to the Corporation;</w:t>
      </w:r>
    </w:p>
    <w:p>
      <w:pPr>
        <w:spacing w:after="0" w:line="176"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comply with all applicable publicly disclosed corporate governance, conflict of interest, confidentiality and stock ownership and trading policies and guidelines of the Corporation, as well as the applicable provisions of these by-laws and the rules and regulations of the Securities and Exchange Commission and any stock exchange applicable to the Corporation; and</w:t>
      </w:r>
    </w:p>
    <w:p>
      <w:pPr>
        <w:spacing w:after="0" w:line="176"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provide facts, statements and other information in all communications with the Corporation and its stockholders that are or will be true and correct in all material respects (and shall not omit to state a material fact necessary in order to make the statements made, in light of the circumstances under which they were made, not misleading).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request of the Corporation, the Stockholder Nominee(s) must submit all completed and signed questionnaires required of directors and officers of the Corporation, including, but not limited to, the questionnaire referenced in Article II, Section 2.15 of the by-laws. The Corporation may request such additional information as necessary to permit the Board of Directors to determine if each Stockholder Nominee satisfies the requirements of this Section 2.16 or if each Stockholder Nominee is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188" w:lineRule="exact"/>
        <w:rPr>
          <w:sz w:val="20"/>
          <w:szCs w:val="20"/>
          <w:color w:val="auto"/>
        </w:rPr>
      </w:pPr>
    </w:p>
    <w:p>
      <w:pPr>
        <w:jc w:val="both"/>
        <w:ind w:firstLine="656"/>
        <w:spacing w:after="0" w:line="256" w:lineRule="auto"/>
        <w:tabs>
          <w:tab w:leader="none" w:pos="9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the Corporation of any defect in such previously provided information and of the information that is required to correct any such defect it being understood that providing any such notification shall not be deemed to cure any defect or limit the Corporation’s rights to omit a Stockholder Nominee from its proxy materials as provided in this Section 2.16.</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include, pursuant to this Section 2.16, a Stockholder Nominee in its proxy materials for any meeting of stockholders (any such nomination shall be disregarded and no vote on such Stockholder Nominee will occur, notwithstanding that proxies in respect of such vote may have been received by the Corporation):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52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has submitted (and the Secretary of the Corporation has received) a notice of nomination (whether or not subsequently withdrawn) pursuant to the advance notice requirements for stockholder nominees for director set forth in clause (c) of the first sentence of Article II, Section 2.14 of these by-laws;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1305"/>
        <w:spacing w:after="0" w:line="266" w:lineRule="auto"/>
        <w:tabs>
          <w:tab w:leader="none" w:pos="156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in its sole discretion;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1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as a member of the Board of Directors would cause the Corporation to be in violation of these by-laws, the certificate of incorporation, the rules and listing standards of the principal U.S. exchanges upon which the common stock of the Corporation is traded, or any applicable state or federal law, rule or regulation;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6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or has been, within the past three (3) years, an officer or director of a competitor, as defined for purposes of Section 8 of the Clayton Antitrust Act of 1914;</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named subject of a pending criminal proceeding (excluding traffic violations and other minor offenses) or has been convicted in such a criminal proceeding within the past ten (10) years;</w:t>
      </w:r>
    </w:p>
    <w:p>
      <w:pPr>
        <w:spacing w:after="0" w:line="16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subject to any order of the type specified in Rule 506(d) of Regulation D promulgated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 in each case, in its sole discretion; or</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170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or applicable Stockholder Nominee breaches or fails to comply with its obligations pursuant to these by-laws, including, but not limited to, this Section 2.16 and any agreement, representation or undertaking required by this Section 2.16.</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Board of Directors or the chairman of the meeting of stockholders shall declare a nomination by an Eligible Stockholder to be invalid, and such nomination shall be disregarded notwithstanding that proxies in respect of such vote may have been received by the Corporation, if:</w:t>
      </w:r>
    </w:p>
    <w:p>
      <w:pPr>
        <w:spacing w:after="0" w:line="176" w:lineRule="exact"/>
        <w:rPr>
          <w:rFonts w:ascii="Times New Roman" w:cs="Times New Roman" w:eastAsia="Times New Roman" w:hAnsi="Times New Roman"/>
          <w:sz w:val="18"/>
          <w:szCs w:val="18"/>
          <w:color w:val="auto"/>
        </w:rPr>
      </w:pPr>
    </w:p>
    <w:p>
      <w:pPr>
        <w:ind w:right="20" w:firstLine="1305"/>
        <w:spacing w:after="0" w:line="282" w:lineRule="auto"/>
        <w:tabs>
          <w:tab w:leader="none" w:pos="15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Nominee(s) and/or the applicable Eligible Stockholder shall have breached its or their obligations under this Section 2.16, as determined by the Board of Directors or the chairman of the meeting of stockholders, in each case, in its or his sole discretion; or</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56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(or a qualified representative thereof (as such term is defined in Section 2.14 of these by-laws)) does not appear at the meeting of stockholders to present any nomination pursuant to this Section 2.16.</w:t>
      </w:r>
    </w:p>
    <w:p>
      <w:pPr>
        <w:spacing w:after="0" w:line="162" w:lineRule="exact"/>
        <w:rPr>
          <w:sz w:val="20"/>
          <w:szCs w:val="20"/>
          <w:color w:val="auto"/>
        </w:rPr>
      </w:pPr>
    </w:p>
    <w:p>
      <w:pPr>
        <w:jc w:val="center"/>
        <w:ind w:left="5620" w:right="580" w:hanging="4964"/>
        <w:spacing w:after="0" w:line="783" w:lineRule="auto"/>
        <w:tabs>
          <w:tab w:leader="none" w:pos="8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Nominee who is included in the Corporation’s proxy materials for a particular annual meeting of stockholders but either: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1520" w:hanging="215"/>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receive at least 25% of the votes cast in favor of such Stockholder Nominee’s election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 be ineligible to be a Stockholder Nominee pursuant to this Section 2.16 for the next two annual meetings. For the avoidance of doubt, this Section 2.16(j) shall not prevent any stockholder from nominating any person to the Board of Directors pursuant to and in accordance with clause (c) of the first sentence of Article II, Section 2.14 of these by-laws.</w:t>
      </w:r>
    </w:p>
    <w:p>
      <w:pPr>
        <w:spacing w:after="0" w:line="176" w:lineRule="exact"/>
        <w:rPr>
          <w:sz w:val="20"/>
          <w:szCs w:val="20"/>
          <w:color w:val="auto"/>
        </w:rPr>
      </w:pPr>
    </w:p>
    <w:p>
      <w:pPr>
        <w:jc w:val="both"/>
        <w:ind w:firstLine="656"/>
        <w:spacing w:after="0" w:line="261" w:lineRule="auto"/>
        <w:tabs>
          <w:tab w:leader="none" w:pos="9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any other person or body authorized by the Board of Directors) shall have the exclusive power and authority to interpret the provisions of this Section 2.16 of these by-laws and make all determinations deemed necessary or advisable in connection with this Section 2.16 to any person, facts or circumstances. All such actions, interpretations and determinations that are done or made by the Board of Directors (or any other person or body authorized by the Board of Directors) shall be final, conclusive and binding on the Corporation, the stockholders and all other parties.</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8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shall be permitted to join more than one group of stockholders to become an Eligible Stockholder for purposes of nominations pursuant to this Section 2.16 per each annual meeting of stockholders.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2.16 shall be the exclusive method for stockholders to include nominees for director in the Corporation’s proxy materials.</w:t>
      </w:r>
    </w:p>
    <w:p>
      <w:pPr>
        <w:spacing w:after="0" w:line="225"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76"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1297"/>
        <w:spacing w:after="0" w:line="252" w:lineRule="auto"/>
        <w:rPr>
          <w:sz w:val="20"/>
          <w:szCs w:val="20"/>
          <w:color w:val="auto"/>
        </w:rPr>
      </w:pPr>
      <w:r>
        <w:rPr>
          <w:rFonts w:ascii="Times New Roman" w:cs="Times New Roman" w:eastAsia="Times New Roman" w:hAnsi="Times New Roman"/>
          <w:sz w:val="18"/>
          <w:szCs w:val="18"/>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 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99"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Vacancies, Additional Directors and Removal From Office</w:t>
      </w:r>
      <w:r>
        <w:rPr>
          <w:rFonts w:ascii="Times New Roman" w:cs="Times New Roman" w:eastAsia="Times New Roman" w:hAnsi="Times New Roman"/>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88"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88"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Regular Meeting</w:t>
      </w:r>
      <w:r>
        <w:rPr>
          <w:rFonts w:ascii="Times New Roman" w:cs="Times New Roman" w:eastAsia="Times New Roman" w:hAnsi="Times New Roman"/>
          <w:sz w:val="18"/>
          <w:szCs w:val="18"/>
          <w:color w:val="auto"/>
        </w:rPr>
        <w:t>. A regular meeting of the Board of Directors shall be held each year, without notice other than this by-law, at the place of, and on the day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62" w:lineRule="exact"/>
        <w:rPr>
          <w:sz w:val="20"/>
          <w:szCs w:val="20"/>
          <w:color w:val="auto"/>
        </w:rPr>
      </w:pPr>
    </w:p>
    <w:p>
      <w:pPr>
        <w:jc w:val="both"/>
        <w:ind w:right="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76"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Notice of special meetings of the Board of Directors shall be given to each director at least 24 hours prior to the time of such meeting by mail, personal delivery, facsimile, telephone or other means of electronic transmission.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88"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Place of Meetings; Order of Business</w:t>
      </w:r>
      <w:r>
        <w:rPr>
          <w:rFonts w:ascii="Times New Roman" w:cs="Times New Roman" w:eastAsia="Times New Roman" w:hAnsi="Times New Roman"/>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of the meeting may appoint any person to act as secretary of the meeting. At all meetings of the Board of Directors business shall be transacted in such order as shall from time to time be determined by the chairman of the meeting.</w:t>
      </w:r>
    </w:p>
    <w:p>
      <w:pPr>
        <w:spacing w:after="0" w:line="185"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Quorum and Participation; Telephonic Meeting</w:t>
      </w:r>
      <w:r>
        <w:rPr>
          <w:rFonts w:ascii="Times New Roman" w:cs="Times New Roman" w:eastAsia="Times New Roman" w:hAnsi="Times New Roman"/>
          <w:sz w:val="18"/>
          <w:szCs w:val="18"/>
          <w:color w:val="auto"/>
        </w:rPr>
        <w:t>. A majority of the whole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4" w:lineRule="exact"/>
        <w:rPr>
          <w:sz w:val="20"/>
          <w:szCs w:val="20"/>
          <w:color w:val="auto"/>
        </w:rPr>
      </w:pPr>
    </w:p>
    <w:p>
      <w:pPr>
        <w:jc w:val="both"/>
        <w:ind w:right="20" w:firstLine="1297"/>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62"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 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84"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After an action is taken, the consent or consents relating thereto shall be filed with the minutes of proceedings of the Board or committee in the same paper or electronic form as the minutes are maintained. Such consent shall have the same force and effect as a unanimous vote at a meeting, and may be stated as such in any document or instrument filed with the Secretary of State of the State of Delaware.</w:t>
      </w:r>
    </w:p>
    <w:p>
      <w:pPr>
        <w:spacing w:after="0" w:line="188"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7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Approval, Adoption or Ratification of Acts or Agreements by Stockholders</w:t>
      </w:r>
      <w:r>
        <w:rPr>
          <w:rFonts w:ascii="Times New Roman" w:cs="Times New Roman" w:eastAsia="Times New Roman" w:hAnsi="Times New Roman"/>
          <w:sz w:val="18"/>
          <w:szCs w:val="18"/>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to the fullest extent permitted by law,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to the fullest extent permitted by law,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Designation, Powers and Name</w:t>
      </w:r>
      <w:r>
        <w:rPr>
          <w:rFonts w:ascii="Times New Roman" w:cs="Times New Roman" w:eastAsia="Times New Roman" w:hAnsi="Times New Roman"/>
          <w:sz w:val="18"/>
          <w:szCs w:val="18"/>
          <w:color w:val="auto"/>
        </w:rPr>
        <w:t>. The Corporation elects to be governed by Section 141(c)(2) of the General Corporation Law of the State of Delaware. The Board of Directors shall designate a Nominating and Governance Committee, a Management Development and Compensation Committee, and an Audit Committee and may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91"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Procedure; Meetings; Quorum</w:t>
      </w:r>
      <w:r>
        <w:rPr>
          <w:rFonts w:ascii="Times New Roman" w:cs="Times New Roman" w:eastAsia="Times New Roman" w:hAnsi="Times New Roman"/>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at a meeting where a quorum is present, the affirmative vote of a majority of the members present shall be necessary for the adoption by it of any resolution.</w:t>
      </w:r>
    </w:p>
    <w:p>
      <w:pPr>
        <w:spacing w:after="0" w:line="189"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WAIVER OF NOTICE</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Methods of Giving Notice</w:t>
      </w:r>
      <w:r>
        <w:rPr>
          <w:rFonts w:ascii="Times New Roman" w:cs="Times New Roman" w:eastAsia="Times New Roman" w:hAnsi="Times New Roman"/>
          <w:sz w:val="18"/>
          <w:szCs w:val="18"/>
          <w:color w:val="auto"/>
        </w:rPr>
        <w:t>. Without limiting the manner by which notice otherwise may be given effectively to stockholders, any notice to stockholders given by the Corporation under any provision of the General Corporation Law of the State of Delaware,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at to such stockholder’s electronic mail address (unless the stockholder has notified the Corporation in writing or by electronic transmission of an objection to receiving notice by electronic mail or such notice is prohibited by the General Corporation Law of the State of Delaware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under any provision of the General Corporation Law of the State of Delaware, the Certificate of Incorporation or these by-laws provided by electronic transmission (other than any such notice given by electronic mail) may only be given in a form consented to by such stockholder, and any such notice by electronic transmission shall be deemed to be given as provided by the General Corporation Law of the State of Delaware.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0"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 Chief Legal Officer,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91"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shall hold office until his successor shall have been chosen and shall have qualified or until his death or the effective date of his resignation or removal.</w:t>
      </w:r>
    </w:p>
    <w:p>
      <w:pPr>
        <w:spacing w:after="0" w:line="162"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88"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the Chief Executive Officer, President, General Counsel / Chief Legal Officer, Chief Financial Officer, Chief Accounting Officer or the most senior representative of Internal Audit shall die, resign, or otherwise be removed from such officer position, such vacancy may be filled solely by the Board of Directors. Any vacancy occurring with respect to any other officer due to death, resignation, removal or otherwise, may be filled by the Board of Directors or by the Chief Executive Officer or the President in accordance with these by-laws.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Corporation’s executive officers (as determined in accordance with the Securities Exchange Act of 1934, as amended), and any other group of officers elected or appointed by the Board of Directors and set forth in the charter of the Management Development and Compensation Committee,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84"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88"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Substitute for Chairman of the Board</w:t>
      </w:r>
      <w:r>
        <w:rPr>
          <w:rFonts w:ascii="Times New Roman" w:cs="Times New Roman" w:eastAsia="Times New Roman" w:hAnsi="Times New Roman"/>
          <w:sz w:val="18"/>
          <w:szCs w:val="18"/>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84"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the Chairman of the Nominating and Governance Committee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or to fill a vacancy in the office of the President, General Counsel / Chief Legal Officer, Chief Financial Officer, Chief Accounting Officer or the most senior representative of Internal Audit without the approval of the Board of Directors.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76"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or to fill a vacancy in the office of the General Counsel / Chief Legal Officer,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97"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89"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Board of Directors may appoint such Vice Presidents, including Executive or Senior Vice Presidents, as it may determine to be in the best interests of the Corporation. Any Vice President may sign certificates representing shares of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76"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191"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General Counsel / Chief Legal Officer</w:t>
      </w:r>
      <w:r>
        <w:rPr>
          <w:rFonts w:ascii="Times New Roman" w:cs="Times New Roman" w:eastAsia="Times New Roman" w:hAnsi="Times New Roman"/>
          <w:sz w:val="18"/>
          <w:szCs w:val="18"/>
          <w:color w:val="auto"/>
        </w:rPr>
        <w:t>. The General Counsel, who may also, or in the alternative, have the title Chief Legal Officer, shall be the chief legal advisor of the Corporation and shall have responsibility for the management of the legal affairs and litigation of the Corporation; and, in general, he shall perform the duties incident to the office of general counsel or chief legal officer of a corporation and such other duties as may be assigned to him by these by-laws or by the Chief Executive Officer, the President, the Board of Directors, or the Executive Committee (if any).</w:t>
      </w:r>
    </w:p>
    <w:p>
      <w:pPr>
        <w:spacing w:after="0" w:line="180"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if required by law,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certificates representing shares of the Corporation, the issue of which shall have been authorized by resolution of the Board of Directors; (f) have general charge of the stock transfer books of the Corporation; and (g) in general, shall have such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62"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Chief Accounting Officer</w:t>
      </w:r>
      <w:r>
        <w:rPr>
          <w:rFonts w:ascii="Times New Roman" w:cs="Times New Roman" w:eastAsia="Times New Roman" w:hAnsi="Times New Roman"/>
          <w:sz w:val="18"/>
          <w:szCs w:val="18"/>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88"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189"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Assistant Secretary, Assistant Treasurer or Assistant Controller</w:t>
      </w:r>
      <w:r>
        <w:rPr>
          <w:rFonts w:ascii="Times New Roman" w:cs="Times New Roman" w:eastAsia="Times New Roman" w:hAnsi="Times New Roman"/>
          <w:sz w:val="18"/>
          <w:szCs w:val="18"/>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and Assistant Treasurers may sign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CONTRACTS, CHECKS AND DEPOSITS</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loans,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93"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Checks, Etc.</w:t>
      </w:r>
      <w:r>
        <w:rPr>
          <w:rFonts w:ascii="Times New Roman" w:cs="Times New Roman" w:eastAsia="Times New Roman" w:hAnsi="Times New Roman"/>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76"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CERTIFICATES OF STOCK</w:t>
      </w:r>
    </w:p>
    <w:p>
      <w:pPr>
        <w:spacing w:after="0" w:line="225" w:lineRule="exact"/>
        <w:rPr>
          <w:sz w:val="20"/>
          <w:szCs w:val="20"/>
          <w:color w:val="auto"/>
        </w:rPr>
      </w:pPr>
    </w:p>
    <w:p>
      <w:pPr>
        <w:jc w:val="both"/>
        <w:ind w:firstLine="1297"/>
        <w:spacing w:after="0" w:line="289"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two authorized officers of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Corporation, including, but not limited to, the Chairman of the Board of Directors, the Vice Chairman of the Board of Directors, the President, a Vice-President, the Treasurer, an Assistant Treasurer, the Secretary or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86"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9"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Lost, Stolen or Destroyed; Issuance of New Certificates</w:t>
      </w:r>
      <w:r>
        <w:rPr>
          <w:rFonts w:ascii="Times New Roman" w:cs="Times New Roman" w:eastAsia="Times New Roman" w:hAnsi="Times New Roman"/>
          <w:sz w:val="18"/>
          <w:szCs w:val="18"/>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89"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9"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Regulations Regarding Certificates</w:t>
      </w:r>
      <w:r>
        <w:rPr>
          <w:rFonts w:ascii="Times New Roman" w:cs="Times New Roman" w:eastAsia="Times New Roman" w:hAnsi="Times New Roman"/>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Dividends upon the capital stock of the Corporation, subject to the provisions of the Certificate of Incorporation, if any, may be declared by the Board of Directors, pursuant to and in accordance with applicable law. Dividends may be paid in the form of cash, in property or in shares of capital stock, subject to the provisions of the Certificate of Incorporation.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AND ADVANCEMENT OF EXPENSES</w:t>
      </w:r>
    </w:p>
    <w:p>
      <w:pPr>
        <w:spacing w:after="0" w:line="225"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Third Party Actions</w:t>
      </w:r>
      <w:r>
        <w:rPr>
          <w:rFonts w:ascii="Times New Roman" w:cs="Times New Roman" w:eastAsia="Times New Roman" w:hAnsi="Times New Roman"/>
          <w:sz w:val="18"/>
          <w:szCs w:val="18"/>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 For purposes of this Article X, an “officer” is defined as any person elected as an officer of this Corporation by the Board of Directors or appointed as an officer of this Corporation by the Chief Executive Officer or President, in each case, in accordance with Article VI of these by-laws.</w:t>
      </w:r>
    </w:p>
    <w:p>
      <w:pPr>
        <w:spacing w:after="0" w:line="194"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Actions By or in the Right of the Corporation</w:t>
      </w:r>
      <w:r>
        <w:rPr>
          <w:rFonts w:ascii="Times New Roman" w:cs="Times New Roman" w:eastAsia="Times New Roman" w:hAnsi="Times New Roman"/>
          <w:sz w:val="18"/>
          <w:szCs w:val="18"/>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3"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Successful Defense</w:t>
      </w:r>
      <w:r>
        <w:rPr>
          <w:rFonts w:ascii="Times New Roman" w:cs="Times New Roman" w:eastAsia="Times New Roman" w:hAnsi="Times New Roman"/>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7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8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4"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8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Survival; Preservation of Other Rights</w:t>
      </w:r>
      <w:r>
        <w:rPr>
          <w:rFonts w:ascii="Times New Roman" w:cs="Times New Roman" w:eastAsia="Times New Roman" w:hAnsi="Times New Roman"/>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jc w:val="both"/>
        <w:ind w:right="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76"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Other Indemnification and Advancement of Expenses</w:t>
      </w:r>
      <w:r>
        <w:rPr>
          <w:rFonts w:ascii="Times New Roman" w:cs="Times New Roman" w:eastAsia="Times New Roman" w:hAnsi="Times New Roman"/>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62"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Books</w:t>
      </w:r>
      <w:r>
        <w:rPr>
          <w:rFonts w:ascii="Times New Roman" w:cs="Times New Roman" w:eastAsia="Times New Roman" w:hAnsi="Times New Roman"/>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such as established from time to time by the Board of Directors.</w:t>
      </w:r>
    </w:p>
    <w:p>
      <w:pPr>
        <w:spacing w:after="0" w:line="225"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or member of a committee may resign at any time. Such resignation shall be made in writing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180" w:lineRule="exact"/>
        <w:rPr>
          <w:sz w:val="20"/>
          <w:szCs w:val="20"/>
          <w:color w:val="auto"/>
        </w:rPr>
      </w:pPr>
    </w:p>
    <w:p>
      <w:pPr>
        <w:jc w:val="both"/>
        <w:ind w:right="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Facsimile and Other Electronic Signatures</w:t>
      </w:r>
      <w:r>
        <w:rPr>
          <w:rFonts w:ascii="Times New Roman" w:cs="Times New Roman" w:eastAsia="Times New Roman" w:hAnsi="Times New Roman"/>
          <w:sz w:val="18"/>
          <w:szCs w:val="18"/>
          <w:color w:val="auto"/>
        </w:rPr>
        <w:t>. In addition to the provisions for the use of facsimile or other electronic signatures elsewhere specifically authorized in these by-laws, facsimile signatures or other form of electronic signature of any officer, director, employee, agent or stockholder of the Corporation may be used as permitted by applicable law.</w:t>
      </w:r>
    </w:p>
    <w:p>
      <w:pPr>
        <w:spacing w:after="0" w:line="176"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180"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Forum for Adjudication of Certain Disputes</w:t>
      </w:r>
      <w:r>
        <w:rPr>
          <w:rFonts w:ascii="Times New Roman" w:cs="Times New Roman" w:eastAsia="Times New Roman" w:hAnsi="Times New Roman"/>
          <w:sz w:val="18"/>
          <w:szCs w:val="18"/>
          <w:color w:val="auto"/>
        </w:rPr>
        <w:t>. Unless the Corporation consents in writing to the selection of an alternative forum (an “Alternative Forum Consent”), the Delaware Court of Chancery (the “Chancery Court”) shall, to the fullest extent permitted by law,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pursuant to any provision of the General Corporation Law of the State of Delaware or the Certificate of Incorporation or these by-laws or as to which the General Corporation Law of the State of Delaware confers jurisdiction upon the Chancery Court; or (iv) any action asserting a claim governed by the internal affairs doctrine. Notwithstanding the foregoing, solely in the event that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the Chancery Court declines to accept jurisdiction over any such action or proceeding, unless there is an Alternative Forum Consent, the sole and exclusive forum for such action or proceeding shall, to the fullest extent permitted by law, be the Superior Court of the State of Delaware (Complex Commercial Division) or, if subject matter jurisdiction over the matter that is the subject of any such action or proceeding is vested exclusively in the federal courts of the United States of America, the United States District Court for the District of Delaware, and any appellate court from any thereof (the “Selected Courts”), in each such case unless any of the Selected Courts has dismissed a prior action by the same plaintiff asserting the same claims because such court lacked personal jurisdiction over an indispensable party named as a defendant therein. Any person or entity purchasing, otherwise acquiring or retaining any interest in shares of capital stock of the Corporation shall be deemed to have notice of and to have consented to the provisions of this Section 11.7. The existence of any prior Alternative Forum Consent shall not act as a waiver of the Corporation’s ongoing consent right as set forth above in this Section 11.7 with respect to any current or future actions or claims.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61"/>
    </w:lvl>
    <w:lvl w:ilvl="1">
      <w:lvlJc w:val="left"/>
      <w:lvlText w:val="(%2)"/>
      <w:numFmt w:val="lowerLetter"/>
      <w:start w:val="3"/>
    </w:lvl>
  </w:abstractNum>
  <w:abstractNum w:abstractNumId="4">
    <w:nsid w:val="4E6AFB66"/>
    <w:multiLevelType w:val="hybridMultilevel"/>
    <w:lvl w:ilvl="0">
      <w:lvlJc w:val="left"/>
      <w:lvlText w:val="(%1)"/>
      <w:numFmt w:val="lowerLetter"/>
      <w:start w:val="5"/>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2"/>
    </w:lvl>
  </w:abstractNum>
  <w:abstractNum w:abstractNumId="9">
    <w:nsid w:val="7C83E458"/>
    <w:multiLevelType w:val="hybridMultilevel"/>
    <w:lvl w:ilvl="0">
      <w:lvlJc w:val="left"/>
      <w:lvlText w:val="(%1)"/>
      <w:numFmt w:val="lowerLetter"/>
      <w:start w:val="4"/>
    </w:lvl>
  </w:abstractNum>
  <w:abstractNum w:abstractNumId="10">
    <w:nsid w:val="257130A3"/>
    <w:multiLevelType w:val="hybridMultilevel"/>
    <w:lvl w:ilvl="0">
      <w:lvlJc w:val="left"/>
      <w:lvlText w:val="(%1)"/>
      <w:numFmt w:val="lowerLetter"/>
      <w:start w:val="2"/>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1)"/>
      <w:numFmt w:val="lowerLetter"/>
      <w:start w:val="4"/>
    </w:lvl>
    <w:lvl w:ilvl="1">
      <w:lvlJc w:val="left"/>
      <w:lvlText w:val="(%2)"/>
      <w:numFmt w:val="lowerRoman"/>
      <w:start w:val="1"/>
    </w:lvl>
  </w:abstractNum>
  <w:abstractNum w:abstractNumId="14">
    <w:nsid w:val="333AB105"/>
    <w:multiLevelType w:val="hybridMultilevel"/>
    <w:lvl w:ilvl="0">
      <w:lvlJc w:val="left"/>
      <w:lvlText w:val="(%1)"/>
      <w:numFmt w:val="lowerRoman"/>
      <w:start w:val="10"/>
    </w:lvl>
  </w:abstractNum>
  <w:abstractNum w:abstractNumId="15">
    <w:nsid w:val="721DA317"/>
    <w:multiLevelType w:val="hybridMultilevel"/>
    <w:lvl w:ilvl="0">
      <w:lvlJc w:val="left"/>
      <w:lvlText w:val="(%1)"/>
      <w:numFmt w:val="lowerLetter"/>
      <w:start w:val="25"/>
    </w:lvl>
    <w:lvl w:ilvl="1">
      <w:lvlJc w:val="left"/>
      <w:lvlText w:val="(%2)"/>
      <w:numFmt w:val="decimal"/>
      <w:start w:val="1"/>
    </w:lvl>
  </w:abstractNum>
  <w:abstractNum w:abstractNumId="16">
    <w:nsid w:val="2443A858"/>
    <w:multiLevelType w:val="hybridMultilevel"/>
    <w:lvl w:ilvl="0">
      <w:lvlJc w:val="left"/>
      <w:lvlText w:val="(%1)"/>
      <w:numFmt w:val="lowerLetter"/>
      <w:start w:val="5"/>
    </w:lvl>
  </w:abstractNum>
  <w:abstractNum w:abstractNumId="17">
    <w:nsid w:val="2D1D5AE9"/>
    <w:multiLevelType w:val="hybridMultilevel"/>
    <w:lvl w:ilvl="0">
      <w:lvlJc w:val="left"/>
      <w:lvlText w:val="(%1)"/>
      <w:numFmt w:val="lowerRoman"/>
      <w:start w:val="1"/>
    </w:lvl>
    <w:lvl w:ilvl="1">
      <w:lvlJc w:val="left"/>
      <w:lvlText w:val="(%2)"/>
      <w:numFmt w:val="upperLetter"/>
      <w:start w:val="1"/>
    </w:lvl>
  </w:abstractNum>
  <w:abstractNum w:abstractNumId="18">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7"/>
    </w:lvl>
  </w:abstractNum>
  <w:abstractNum w:abstractNumId="19">
    <w:nsid w:val="75A2A8D4"/>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6"/>
    </w:lvl>
    <w:lvl w:ilvl="3">
      <w:lvlJc w:val="left"/>
      <w:lvlText w:val="(%4)"/>
      <w:numFmt w:val="upperLetter"/>
      <w:start w:val="1"/>
    </w:lvl>
  </w:abstractNum>
  <w:abstractNum w:abstractNumId="20">
    <w:nsid w:val="8EDBDAB"/>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21">
    <w:nsid w:val="79838CB2"/>
    <w:multiLevelType w:val="hybridMultilevel"/>
    <w:lvl w:ilvl="0">
      <w:lvlJc w:val="left"/>
      <w:lvlText w:val="(%1)"/>
      <w:numFmt w:val="upperLetter"/>
      <w:start w:val="3"/>
    </w:lvl>
  </w:abstractNum>
  <w:abstractNum w:abstractNumId="22">
    <w:nsid w:val="4353D0CD"/>
    <w:multiLevelType w:val="hybridMultilevel"/>
    <w:lvl w:ilvl="0">
      <w:lvlJc w:val="left"/>
      <w:lvlText w:val="(%1)"/>
      <w:numFmt w:val="lowerLetter"/>
      <w:start w:val="7"/>
    </w:lvl>
    <w:lvl w:ilvl="1">
      <w:lvlJc w:val="left"/>
      <w:lvlText w:val="(%2)"/>
      <w:numFmt w:val="lowerLetter"/>
      <w:start w:val="9"/>
    </w:lvl>
  </w:abstractNum>
  <w:abstractNum w:abstractNumId="23">
    <w:nsid w:val="B03E0C6"/>
    <w:multiLevelType w:val="hybridMultilevel"/>
    <w:lvl w:ilvl="0">
      <w:lvlJc w:val="left"/>
      <w:lvlText w:val="%1"/>
      <w:numFmt w:val="lowerRoman"/>
      <w:start w:val="1"/>
    </w:lvl>
    <w:lvl w:ilvl="1">
      <w:lvlJc w:val="left"/>
      <w:lvlText w:val="(%2)"/>
      <w:numFmt w:val="lowerRoman"/>
      <w:start w:val="2"/>
    </w:lvl>
  </w:abstractNum>
  <w:abstractNum w:abstractNumId="24">
    <w:nsid w:val="189A769B"/>
    <w:multiLevelType w:val="hybridMultilevel"/>
    <w:lvl w:ilvl="0">
      <w:lvlJc w:val="left"/>
      <w:lvlText w:val="(%1)"/>
      <w:numFmt w:val="lowerRoman"/>
      <w:start w:val="1"/>
    </w:lvl>
    <w:lvl w:ilvl="1">
      <w:lvlJc w:val="left"/>
      <w:lvlText w:val="(%2)"/>
      <w:numFmt w:val="lowerRoman"/>
      <w:start w:val="1"/>
    </w:lvl>
  </w:abstractNum>
  <w:abstractNum w:abstractNumId="25">
    <w:nsid w:val="54E49EB4"/>
    <w:multiLevelType w:val="hybridMultilevel"/>
    <w:lvl w:ilvl="0">
      <w:lvlJc w:val="left"/>
      <w:lvlText w:val="(%1)"/>
      <w:numFmt w:val="lowerLetter"/>
      <w:start w:val="10"/>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2019-12-28T01:24:44Z</dcterms:created>
  <dcterms:modified xsi:type="dcterms:W3CDTF">2019-12-28T01:24:44Z</dcterms:modified>
</cp:coreProperties>
</file>