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7884d1_8k.htm"/>
      <w:bookmarkStart w:id="1" w:name="kstm2427884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0_edei--DocumentType_c202411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41108"/>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B_edei--EntityAddressAddressLine1_"/>
            <w:bookmarkEnd w:id="8"/>
            <w:r>
              <w:rPr>
                <w:rFonts w:ascii="Times New Roman;Times;Serif" w:hAnsi="Times New Roman;Times;Serif"/>
                <w:b/>
                <w:sz w:val="20"/>
              </w:rPr>
              <w:t xml:space="preserve">800 Capitol Street, </w:t>
            </w:r>
            <w:bookmarkStart w:id="9" w:name="xdx_90B_edei--EntityAddressAddressLine2_"/>
            <w:bookmarkEnd w:id="9"/>
            <w:r>
              <w:rPr>
                <w:rFonts w:ascii="Times New Roman;Times;Serif" w:hAnsi="Times New Roman;Times;Serif"/>
                <w:b/>
                <w:sz w:val="20"/>
              </w:rPr>
              <w:t xml:space="preserve">Suite 3000, </w:t>
            </w:r>
            <w:bookmarkStart w:id="10" w:name="xdx_901_edei--EntityAddressCityOrTown_c2"/>
            <w:bookmarkEnd w:id="10"/>
            <w:r>
              <w:rPr>
                <w:rFonts w:ascii="Times New Roman;Times;Serif" w:hAnsi="Times New Roman;Times;Serif"/>
                <w:b/>
                <w:sz w:val="20"/>
              </w:rPr>
              <w:t xml:space="preserve">Houston, </w:t>
            </w:r>
            <w:bookmarkStart w:id="11" w:name="xdx_907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D_edei--CityAreaCode_c20241108__20"/>
      <w:bookmarkEnd w:id="13"/>
      <w:r>
        <w:rPr>
          <w:rFonts w:ascii="Times New Roman;Times;Serif" w:hAnsi="Times New Roman;Times;Serif"/>
          <w:b/>
          <w:i w:val="false"/>
          <w:caps w:val="false"/>
          <w:smallCaps w:val="false"/>
          <w:sz w:val="20"/>
        </w:rPr>
        <w:t xml:space="preserve">713) </w:t>
      </w:r>
      <w:bookmarkStart w:id="14" w:name="xdx_909_edei--LocalPhoneNumber_c20241108"/>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C_edei--SolicitingMaterial_c202411"/>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B_edei--Security12bTitle_c20241108"/>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2_edei--TradingSymbol_c20241108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8_edei--SecurityExchangeName_c2024"/>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D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Offer and Consent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announced, on November 4, 2024, Stag Merger Sub Inc. (“Merger Sub”), a Delaware corporation and wholly owned indirect subsidiary of Waste Management, Inc. (the “Company”), a Delaware corporation, merged with and into Stericycle, Inc. (“Stericycle”), a Delaware corporation, with Stericycle continuing as the surviving corporation (the “Merger”) pursuant to the previously announced Agreement and Plan of Merger, dated as of June 3, 2024, by and among the Company, Merger Sub and Stericycle. As a result of the Merger, Stericycle became a wholly owned indirect subsidiary of the Company. Stericycle is a party to that certain Indenture, dated as of November 24, 2020 (the “Stericycle Base Indenture”), by and among Stericycle, the guarantors party thereto and U.S. Bank Trust Company, National Association, which governs the $500 million aggregate principal amount of 3.875% Senior Notes due 2029 (the “Stericycle Notes”) issued by Stericycle on November 24, 2020. On November 8, 2024 (the “Settlement Date”), the Company completed its previously announced private offer to eligible holders to exchange (the “Exchange Offer”) any and all outstanding Stericycle Notes for new notes issued by the Company and cash. </w:t>
      </w:r>
      <w:r>
        <w:rPr>
          <w:rFonts w:ascii="Times New Roman;Times;Serif" w:hAnsi="Times New Roman;Times;Serif"/>
          <w:b w:val="false"/>
          <w:i w:val="false"/>
          <w:caps w:val="false"/>
          <w:smallCaps w:val="false"/>
          <w:sz w:val="20"/>
          <w:shd w:fill="FFFFFF" w:val="clear"/>
        </w:rPr>
        <w:t>The Exchange Offer was not registered under the Securities Act of 1933, as amended (the “Securities Act”), or any state or foreign securities laws.</w:t>
      </w:r>
      <w:r>
        <w:rPr>
          <w:rFonts w:ascii="Times New Roman;Times;Serif" w:hAnsi="Times New Roman;Times;Serif"/>
          <w:b w:val="false"/>
          <w:i w:val="false"/>
          <w:caps w:val="false"/>
          <w:smallCaps w:val="false"/>
          <w:sz w:val="20"/>
        </w:rPr>
        <w:t xml:space="preserve"> In conjunction with the Exchange Offer, the Company solicited consents, on behalf of Stericycle (the “Consent Solicitation”), to amend the Stericycle Notes and the Stericycle Base Indenture to eliminate substantially all of the restrictive covenants, restrictive provisions and events of default, other than payment-related, guarantee-related and bankruptcy-related events of default (the “Amendments”). Pursuant to the Exchange Offer and Consent Solicitation, $485,416,000 aggregate principal amount of the Stericycle Notes were validly tendered and subsequently accepted. Such accepted Stericycle Notes have been retired and canceled and will not be reissued. Following such cancellation, $14,584,000 aggregate principal amount of the Stericycle Notes remain outstanding. The Exchange Offer has expired, and is no longer open to participation by any eligible holders of the Stericycle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receipt of the requisite number of consents to adopt the Amendments with respect to the Stericycle Notes and the Stericycle Base Indenture, Stericycle entered into a supplemental indenture with the trustee and the guarantor party thereto for the Stericycle Notes to effect the Amendments. The Amendments became operative upon the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settlement of the Exchange Offer and Consent Solicitation, on November 8, 2024, the Company issued $485,084,000 aggregate principal amount of 3.875% Senior Notes due 2029 (the “WM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WM Notes are governed by an indenture, dated as of September 10, 1997, between the Company and The Bank of New York Mellon Trust Company, N.A. (the current successor to Texas Commerce Bank National Association), as trustee (the “WM Indenture”), and are fully and unconditionally guaranteed by the Company’s wholly-owned subsidiary Waste Management Holdings, Inc. (“WM Holdings”). The terms of the WM Notes and the guarantee by WM Holdings are set forth in an officers’ certificate (the “Officers’ Certificate”) of the Company, delivered pursuant to the WM Indenture on the Settlement Date, and a guarantee agreement (the “Guarantee Agreement”) by WM Holdings delivered on the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WM Indenture and the Officers’ Certificate and the Guarantee Agreement are being filed as Exhibits 4.1, 4.2 and 4.4,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Settlement Date, in connection with the completion of the Exchange Offer, the Company, WM Holdings, Barclays Capital Inc., Deutsche Bank Securities Inc. and Goldman Sachs &amp; Co. LLC, as dealer managers, entered into a registration rights agreement with respect to the WM Notes (the “Registration Rights Agreement”). The Company agreed under the Registration Rights Agreement to, among other things, use its commercially reasonable efforts to file or cause to be filed a registration statement on an appropriate registration form with respect to a registered offer to exchange the WM Notes for new notes issued by the Company and guaranteed by WM Holdings, in each case under the WM Indenture containing terms identical to the WM Notes and the Guarantee Agreement (except that the new notes will be registered under the Securities Act and the transfer restrictions, registration rights and any increase in annual interest rate for failure to comply with the Registration Rights Agreement will not apply to such notes). If, among other things, the registered exchange offer is not completed prior to November 9, 2025, or a shelf registration statement is required and is not declared effective on or prior to the 60th day after the later of (i) November 9, 2025 and (ii) the date on which the Company receives a duly executed request by a dealer manager or certain holders for the filing of a shelf registration (each, a “Registration Default”), the Company shall pay additional interest on the WM Notes of 0.25% per annum beginning on the day immediately following such Registration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Registration Rights Agreement does not purport to be complete and is qualified in its entirety by reference to the full text of the Registration Rights Agreement attached as Exhibit 4.5 hereto, the terms of which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2.03</w:t>
            </w:r>
          </w:p>
        </w:tc>
        <w:tc>
          <w:tcPr>
            <w:tcW w:w="939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Indenture, dated September 10, 1997, by and between the Company and The Bank of New York Mellon Trust Company, N.A. (the current successor to Texas Commerce Bank National Association), as trustee, relating to senior debt securities of the Company (incorporated by reference to Exhibit 4.1 to Current Report on Form 8-K filed September 24, 1997).</w:t>
              </w:r>
            </w:hyperlink>
          </w:p>
        </w:tc>
      </w:tr>
      <w:tr>
        <w:trPr/>
        <w:tc>
          <w:tcPr>
            <w:tcW w:w="725" w:type="dxa"/>
            <w:tcBorders/>
            <w:tcMar>
              <w:bottom w:w="0" w:type="dxa"/>
            </w:tcMar>
            <w:vAlign w:val="center"/>
          </w:tcPr>
          <w:p>
            <w:pPr>
              <w:pStyle w:val="TableContents"/>
              <w:bidi w:val="0"/>
              <w:spacing w:before="0" w:after="283"/>
              <w:jc w:val="both"/>
              <w:rPr/>
            </w:pPr>
            <w:hyperlink w:anchor="tm2427884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hyperlink w:anchor="tm2427884d1_ex4-2.htm">
              <w:r>
                <w:rPr>
                  <w:rStyle w:val="InternetLink"/>
                  <w:rFonts w:ascii="Times New Roman;Times;Serif" w:hAnsi="Times New Roman;Times;Serif"/>
                  <w:sz w:val="20"/>
                </w:rPr>
                <w:t>Officers’ Certificate, dated as of November 8, 2024, delivered pursuant to Section 3.01 of the Indenture establishing the terms and form of the 3.875% Senior Notes due 2029.</w:t>
              </w:r>
            </w:hyperlink>
          </w:p>
        </w:tc>
      </w:tr>
      <w:tr>
        <w:trPr/>
        <w:tc>
          <w:tcPr>
            <w:tcW w:w="725" w:type="dxa"/>
            <w:tcBorders/>
            <w:tcMar>
              <w:bottom w:w="0" w:type="dxa"/>
            </w:tcMar>
            <w:vAlign w:val="center"/>
          </w:tcPr>
          <w:p>
            <w:pPr>
              <w:pStyle w:val="TableContents"/>
              <w:bidi w:val="0"/>
              <w:spacing w:before="0" w:after="283"/>
              <w:jc w:val="both"/>
              <w:rPr/>
            </w:pPr>
            <w:hyperlink w:anchor="tm2427884d1_ex4-2.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hyperlink w:anchor="tm2427884d1_ex4-2.htm">
              <w:r>
                <w:rPr>
                  <w:rStyle w:val="InternetLink"/>
                  <w:rFonts w:ascii="Times New Roman;Times;Serif" w:hAnsi="Times New Roman;Times;Serif"/>
                  <w:sz w:val="20"/>
                </w:rPr>
                <w:t>Form of 3.875% Senior Note due 2029 (included in Exhibit 4.2 above).</w:t>
              </w:r>
            </w:hyperlink>
          </w:p>
        </w:tc>
      </w:tr>
      <w:tr>
        <w:trPr/>
        <w:tc>
          <w:tcPr>
            <w:tcW w:w="725" w:type="dxa"/>
            <w:tcBorders/>
            <w:tcMar>
              <w:bottom w:w="0" w:type="dxa"/>
            </w:tcMar>
            <w:vAlign w:val="center"/>
          </w:tcPr>
          <w:p>
            <w:pPr>
              <w:pStyle w:val="TableContents"/>
              <w:bidi w:val="0"/>
              <w:spacing w:before="0" w:after="283"/>
              <w:jc w:val="both"/>
              <w:rPr/>
            </w:pPr>
            <w:hyperlink w:anchor="tm2427884d1_ex4-4.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hyperlink w:anchor="tm2427884d1_ex4-4.htm">
              <w:r>
                <w:rPr>
                  <w:rStyle w:val="InternetLink"/>
                  <w:rFonts w:ascii="Times New Roman;Times;Serif" w:hAnsi="Times New Roman;Times;Serif"/>
                  <w:sz w:val="20"/>
                </w:rPr>
                <w:t>Guarantee Agreement, dated as of November 8, 2024, by WM Holdings in favor of the holders of the Company’s 3.875% Senior Notes due 2029.</w:t>
              </w:r>
            </w:hyperlink>
          </w:p>
        </w:tc>
      </w:tr>
      <w:tr>
        <w:trPr/>
        <w:tc>
          <w:tcPr>
            <w:tcW w:w="725" w:type="dxa"/>
            <w:tcBorders/>
            <w:tcMar>
              <w:bottom w:w="0" w:type="dxa"/>
            </w:tcMar>
            <w:vAlign w:val="center"/>
          </w:tcPr>
          <w:p>
            <w:pPr>
              <w:pStyle w:val="TableContents"/>
              <w:bidi w:val="0"/>
              <w:spacing w:before="0" w:after="283"/>
              <w:jc w:val="both"/>
              <w:rPr/>
            </w:pPr>
            <w:hyperlink w:anchor="tm2427884d1_ex4-5.htm">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hyperlink w:anchor="tm2427884d1_ex4-5.htm">
              <w:r>
                <w:rPr>
                  <w:rStyle w:val="InternetLink"/>
                  <w:rFonts w:ascii="Times New Roman;Times;Serif" w:hAnsi="Times New Roman;Times;Serif"/>
                  <w:sz w:val="20"/>
                </w:rPr>
                <w:t>Registration Rights Agreement, dated as of November 8, 2024, by and among the Company, Barclays Capital Inc., Deutsche Bank Securities Inc. and Goldman Sachs &amp; Co. LLC.</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w:t>
            </w:r>
            <w:r>
              <w:rPr>
                <w:rFonts w:ascii="Times New Roman;Times;Serif" w:hAnsi="Times New Roman;Times;Serif"/>
                <w:sz w:val="20"/>
                <w:shd w:fill="FFFFFF" w:val="clear"/>
              </w:rPr>
              <w:t>embedded within the Inline XBRL document</w:t>
            </w: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015"/>
        <w:gridCol w:w="60"/>
        <w:gridCol w:w="365"/>
        <w:gridCol w:w="4025"/>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WASTE MANAGEMENT, INC.</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November 8, 2024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0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Charles C. Boettcher</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C. Boettcher</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427884d1_ex4-2.htm"/>
      <w:bookmarkStart w:id="24" w:name="kstm2427884d1_ex42"/>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br/>
        <w:t>Officers’ Certificate Delivered Pursuant to</w:t>
        <w:br/>
        <w:t>Section 301 of the Indenture dated as of September 10, 1997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Vice President and Treasurer, and the Vice President and Corporate Secretary of Waste Management, Inc. (the “Company”), hereby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November 8, 2024 (the “Order”) for the authentication and delivery by the Trustee of $485,084,000 aggregate principal amount of 3.875% Senior Notes due 2029 (the “Initial Notes” and, together with any Additional Notes (as defined herein) issued pursuant to this Certificate and any Exchange Notes (as defined in Exhibit A to this Certificate),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undersigned have read Sections 102, 103, 301 and 303 of the Indenture and the definitions in the Indenture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have examined the Order, and they have read the covenants, conditions and provisions of the Indenture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covenants and conditions (including all conditions precedent) provided in the Indenture to the authentication and delivery by the Trustee of $485,084,000 aggregate principal amount of the Notes have been complied with, and such Notes may be delivered in accordance with the Order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The terms of the Notes (including the Form of Note) as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Certificate have been approved by officers of the Company as authorized by resolutions duly adopted on August 26, 2024 and October 3, 2024 by the Board of Directors of the Company, which are in full force and effect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hereunto executed this Certificate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75"/>
        <w:gridCol w:w="3200"/>
      </w:tblGrid>
      <w:tr>
        <w:trPr/>
        <w:tc>
          <w:tcPr>
            <w:tcW w:w="75" w:type="dxa"/>
            <w:tcBorders/>
            <w:vAlign w:val="center"/>
          </w:tcPr>
          <w:p>
            <w:pPr>
              <w:pStyle w:val="TableContents"/>
              <w:bidi w:val="0"/>
              <w:spacing w:before="0" w:after="283"/>
              <w:jc w:val="left"/>
              <w:rPr/>
            </w:pPr>
            <w:r>
              <w:rPr/>
              <w:t> </w:t>
            </w:r>
          </w:p>
        </w:tc>
        <w:tc>
          <w:tcPr>
            <w:tcW w:w="3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Leslie K. Nagy</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K. Nagy</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Courtney A. Tippy</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Courtney A. Tippy</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Corporate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 Delivered 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of the Indenture dated as of September 10, 1997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Annex A</w:t>
        <w:br/>
      </w:r>
      <w:r>
        <w:rPr>
          <w:rFonts w:ascii="Times New Roman;Times;Serif" w:hAnsi="Times New Roman;Times;Serif"/>
          <w:b/>
          <w:i w:val="false"/>
          <w:caps w:val="false"/>
          <w:smallCaps w:val="false"/>
          <w:sz w:val="20"/>
        </w:rPr>
        <w:t>Terms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authority granted by the Board of Directors of the Company on August 26, 2024 and October 3, 2024 and the Sole Director of Waste Management Holdings, Inc. on September 5,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80"/>
        <w:gridCol w:w="9882"/>
      </w:tblGrid>
      <w:tr>
        <w:trPr/>
        <w:tc>
          <w:tcPr>
            <w:tcW w:w="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both"/>
              <w:rPr/>
            </w:pPr>
            <w:r>
              <w:rPr/>
              <w:t>The title of the series of Securities shall be “3.875% Senior Notes due 2029” (the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2"/>
        <w:gridCol w:w="9810"/>
      </w:tblGrid>
      <w:tr>
        <w:trPr/>
        <w:tc>
          <w:tcPr>
            <w:tcW w:w="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10" w:type="dxa"/>
            <w:tcBorders/>
            <w:vAlign w:val="center"/>
          </w:tcPr>
          <w:p>
            <w:pPr>
              <w:pStyle w:val="TableContents"/>
              <w:bidi w:val="0"/>
              <w:spacing w:before="0" w:after="283"/>
              <w:jc w:val="both"/>
              <w:rPr/>
            </w:pPr>
            <w:r>
              <w:rPr/>
              <w:t>The Notes shall be general unsecured, senior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6" w:type="dxa"/>
            <w:tcBorders/>
            <w:vAlign w:val="center"/>
          </w:tcPr>
          <w:p>
            <w:pPr>
              <w:pStyle w:val="TableContents"/>
              <w:bidi w:val="0"/>
              <w:spacing w:before="0" w:after="283"/>
              <w:jc w:val="both"/>
              <w:rPr/>
            </w:pPr>
            <w:r>
              <w:rPr/>
              <w:t>The Notes issued on the date hereof shall be transferred by the Company in connection with the settlement of the Company’s private offer to exchange any and all of the $500,000,000 aggregate principal amount outstanding of the 3.875% Senior Notes due 2029 issued by Stericycle, Inc., a Delaware corporation, for the Notes (the “Stericycle Exchange Offer”) to (a) “qualified institutional buyers” (as defined in Rule 144A), in reliance on Rule 144A (“Rule 144A”) promulgated under the Securities Act of 1933, as amended (the “Securities Act”), and (b) persons other than U.S. persons in reliance on Regulation S (“Regulation S”) promulgated under the Securities Act, in each case in accordance with Exhibit A to this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3" w:type="dxa"/>
            <w:tcBorders/>
            <w:vAlign w:val="center"/>
          </w:tcPr>
          <w:p>
            <w:pPr>
              <w:pStyle w:val="TableContents"/>
              <w:bidi w:val="0"/>
              <w:spacing w:before="0" w:after="283"/>
              <w:jc w:val="both"/>
              <w:rPr/>
            </w:pPr>
            <w:r>
              <w:rPr/>
              <w:t>The initial aggregate principal amount of the Notes that may be authenticated and delivered under the Indenture shall be $485,084,000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5"/>
        <w:gridCol w:w="9807"/>
      </w:tblGrid>
      <w:tr>
        <w:trPr/>
        <w:tc>
          <w:tcPr>
            <w:tcW w:w="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07" w:type="dxa"/>
            <w:tcBorders/>
            <w:vAlign w:val="center"/>
          </w:tcPr>
          <w:p>
            <w:pPr>
              <w:pStyle w:val="TableContents"/>
              <w:bidi w:val="0"/>
              <w:spacing w:before="0" w:after="283"/>
              <w:jc w:val="both"/>
              <w:rPr/>
            </w:pPr>
            <w:r>
              <w:rPr/>
              <w:t>The principal amount of each Note shall be payable on January 15, 2029.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before="0" w:after="283"/>
              <w:jc w:val="both"/>
              <w:rPr/>
            </w:pPr>
            <w:r>
              <w:rPr/>
              <w:t>Each Note shall bear interest from July 15, 2024 at the fixed rate of 3.875% per annum and the Company shall pay Additional Interest (as defined in the Registration Rights Agreement (as defined in Exhibit A to this Certificate)), if any, payable pursuant to the Registration Rights Agreement; the Interest Payment Dates on which such interest shall be payable shall be January 15 and July 15 of each year, commencing January 15, 2025, until maturity, unless such date falls on a day that is not a Business Day, in which case, such payment shall be made on the next day that is a Business Day. The Regular Record Date for the determination of Holders to whom interest is payable shall be January 1 or July 1, respectively, immediately preceding such date,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75"/>
        <w:gridCol w:w="1100"/>
        <w:gridCol w:w="75"/>
      </w:tblGrid>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Annex 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63" w:type="dxa"/>
            <w:tcBorders/>
            <w:vAlign w:val="center"/>
          </w:tcPr>
          <w:p>
            <w:pPr>
              <w:pStyle w:val="TableContents"/>
              <w:bidi w:val="0"/>
              <w:spacing w:before="0" w:after="283"/>
              <w:jc w:val="both"/>
              <w:rPr/>
            </w:pPr>
            <w:r>
              <w:rPr/>
              <w:t>The Company may issue, from time to time subsequent to the date hereof in accordance with the provisions of the Indenture, additional notes of the Initial Notes (such notes, the “Additional Notes”) or the Exchange Notes issued in exchange for the Initial Notes of the same series as the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67" w:type="dxa"/>
            <w:tcBorders/>
            <w:vAlign w:val="center"/>
          </w:tcPr>
          <w:p>
            <w:pPr>
              <w:pStyle w:val="TableContents"/>
              <w:bidi w:val="0"/>
              <w:spacing w:before="0" w:after="283"/>
              <w:jc w:val="both"/>
              <w:rPr/>
            </w:pPr>
            <w:r>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2" w:type="dxa"/>
            <w:tcBorders/>
            <w:vAlign w:val="center"/>
          </w:tcPr>
          <w:p>
            <w:pPr>
              <w:pStyle w:val="TableContents"/>
              <w:bidi w:val="0"/>
              <w:spacing w:before="0" w:after="283"/>
              <w:jc w:val="both"/>
              <w:rPr/>
            </w:pPr>
            <w:r>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68" w:type="dxa"/>
            <w:tcBorders/>
            <w:vAlign w:val="center"/>
          </w:tcPr>
          <w:p>
            <w:pPr>
              <w:pStyle w:val="TableContents"/>
              <w:bidi w:val="0"/>
              <w:spacing w:before="0" w:after="283"/>
              <w:jc w:val="both"/>
              <w:rPr/>
            </w:pPr>
            <w:r>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56" w:type="dxa"/>
            <w:tcBorders/>
            <w:vAlign w:val="center"/>
          </w:tcPr>
          <w:p>
            <w:pPr>
              <w:pStyle w:val="TableContents"/>
              <w:bidi w:val="0"/>
              <w:spacing w:before="0" w:after="283"/>
              <w:jc w:val="both"/>
              <w:rPr/>
            </w:pPr>
            <w:r>
              <w:rPr/>
              <w:t>Prior to the Par Call Date, the Company may redeem the Notes at its option, in whole or in part, at any time and from time to time, at a Redemption Price (expressed as a percentage of principal amount and rounded to three decimal places) equal to the greater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 basis points,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(b) interest accrued to the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2028.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48" w:type="dxa"/>
            <w:tcBorders/>
            <w:vAlign w:val="center"/>
          </w:tcPr>
          <w:p>
            <w:pPr>
              <w:pStyle w:val="TableContents"/>
              <w:bidi w:val="0"/>
              <w:spacing w:before="0" w:after="283"/>
              <w:jc w:val="both"/>
              <w:rPr/>
            </w:pPr>
            <w:r>
              <w:rPr/>
              <w:t>The Company shall have no obligation to redeem, purchase or repay the Notes pursuant to any mandatory redemption, sinking fund or analogous provisions or at the option of a Holder thereof.</w:t>
            </w:r>
          </w:p>
        </w:tc>
      </w:tr>
    </w:tbl>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75"/>
        <w:gridCol w:w="1100"/>
        <w:gridCol w:w="75"/>
      </w:tblGrid>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Annex 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4"/>
        <w:gridCol w:w="9844"/>
      </w:tblGrid>
      <w:tr>
        <w:trPr/>
        <w:tc>
          <w:tcPr>
            <w:tcW w:w="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44" w:type="dxa"/>
            <w:tcBorders/>
            <w:vAlign w:val="center"/>
          </w:tcPr>
          <w:p>
            <w:pPr>
              <w:pStyle w:val="TableContents"/>
              <w:bidi w:val="0"/>
              <w:spacing w:before="0" w:after="283"/>
              <w:jc w:val="both"/>
              <w:rPr/>
            </w:pPr>
            <w:r>
              <w:rPr/>
              <w:t>The Notes will be subject to defeasance and discharge as contemplated by Section 1302 of the Indenture and to covenant defeasance under Section 1303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24" w:type="dxa"/>
            <w:tcBorders/>
            <w:vAlign w:val="center"/>
          </w:tcPr>
          <w:p>
            <w:pPr>
              <w:pStyle w:val="TableContents"/>
              <w:bidi w:val="0"/>
              <w:spacing w:before="0" w:after="283"/>
              <w:jc w:val="both"/>
              <w:rPr/>
            </w:pPr>
            <w:r>
              <w:rPr/>
              <w:t>The Notes shall be entitled to the benefit of the covenants contained in Sections 1008 and 1009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7"/>
        <w:gridCol w:w="9831"/>
      </w:tblGrid>
      <w:tr>
        <w:trPr/>
        <w:tc>
          <w:tcPr>
            <w:tcW w:w="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31" w:type="dxa"/>
            <w:tcBorders/>
            <w:vAlign w:val="center"/>
          </w:tcPr>
          <w:p>
            <w:pPr>
              <w:pStyle w:val="TableContents"/>
              <w:bidi w:val="0"/>
              <w:spacing w:before="0" w:after="283"/>
              <w:jc w:val="both"/>
              <w:rPr/>
            </w:pPr>
            <w:r>
              <w:rPr/>
              <w:t>The Bank of New York Mellon Trust Company, N.A. shall serve initially as Security Registrar and Paying Agent for the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54"/>
        <w:gridCol w:w="9592"/>
      </w:tblGrid>
      <w:tr>
        <w:trPr/>
        <w:tc>
          <w:tcPr>
            <w:tcW w:w="5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592" w:type="dxa"/>
            <w:tcBorders/>
            <w:vAlign w:val="center"/>
          </w:tcPr>
          <w:p>
            <w:pPr>
              <w:pStyle w:val="TableContents"/>
              <w:bidi w:val="0"/>
              <w:spacing w:before="0" w:after="283"/>
              <w:jc w:val="both"/>
              <w:rPr/>
            </w:pPr>
            <w:r>
              <w:rPr/>
              <w:t>The Notes shall be substantially in the form of Exhibit B 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69" w:type="dxa"/>
            <w:tcBorders/>
            <w:vAlign w:val="center"/>
          </w:tcPr>
          <w:p>
            <w:pPr>
              <w:pStyle w:val="TableContents"/>
              <w:bidi w:val="0"/>
              <w:spacing w:before="0" w:after="283"/>
              <w:jc w:val="both"/>
              <w:rPr/>
            </w:pPr>
            <w:r>
              <w:rPr/>
              <w:t>The Notes will be fully and unconditionally guaranteed on a senior basis by the Company’s wholly owned subsidiary, Waste Management Holdings, Inc., pursuant to the terms and conditions of a Guarantee Agreement dated November 8,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55" w:type="dxa"/>
            <w:tcBorders/>
            <w:vAlign w:val="center"/>
          </w:tcPr>
          <w:p>
            <w:pPr>
              <w:pStyle w:val="TableContents"/>
              <w:bidi w:val="0"/>
              <w:spacing w:before="0" w:after="283"/>
              <w:jc w:val="both"/>
              <w:rPr/>
            </w:pPr>
            <w:r>
              <w:rPr/>
              <w:t>The Notes shall be subject to the satisfaction and discharge provisions set forth in Section 401 of the Indenture, as such provisions are supplemented or modified by the terms and conditions set forth in the Notes in accordance with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66" w:type="dxa"/>
            <w:tcBorders/>
            <w:vAlign w:val="center"/>
          </w:tcPr>
          <w:p>
            <w:pPr>
              <w:pStyle w:val="TableContents"/>
              <w:bidi w:val="0"/>
              <w:spacing w:before="0" w:after="283"/>
              <w:jc w:val="both"/>
              <w:rPr/>
            </w:pPr>
            <w:r>
              <w:rPr/>
              <w:t>Additional provisions relating to the Notes are set forth in Exhibit A, which is hereby incorporated in and made a part of this Certificate. Solely with respect to the Notes but not any other series of Securities which may be issued under the Indenture, the transfer and exchange provisions of Section 305 of the Indenture, solely to the extent they conflict with the provisions of Exhibit A, are hereby superseded by the provisions of Exhibit A.</w:t>
            </w:r>
          </w:p>
        </w:tc>
      </w:tr>
    </w:tbl>
    <w:p>
      <w:pPr>
        <w:pStyle w:val="TextBody"/>
        <w:bidi w:val="0"/>
        <w:spacing w:before="0" w:after="0"/>
        <w:ind w:left="0" w:right="0" w:hanging="0"/>
        <w:jc w:val="left"/>
        <w:rPr>
          <w:caps w:val="false"/>
          <w:smallCaps w:val="false"/>
        </w:rPr>
      </w:pPr>
      <w:r>
        <w:rPr>
          <w:caps w:val="false"/>
          <w:smallCaps w:val="false"/>
        </w:rPr>
        <w:t> </w:t>
      </w:r>
    </w:p>
    <w:tbl>
      <w:tblPr>
        <w:tblW w:w="1250" w:type="dxa"/>
        <w:jc w:val="left"/>
        <w:tblInd w:w="0" w:type="dxa"/>
        <w:tblLayout w:type="fixed"/>
        <w:tblCellMar>
          <w:top w:w="0" w:type="dxa"/>
          <w:left w:w="0" w:type="dxa"/>
          <w:bottom w:w="0" w:type="dxa"/>
          <w:right w:w="0" w:type="dxa"/>
        </w:tblCellMar>
      </w:tblPr>
      <w:tblGrid>
        <w:gridCol w:w="75"/>
        <w:gridCol w:w="1100"/>
        <w:gridCol w:w="75"/>
      </w:tblGrid>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Annex 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Relating to Initial Notes, Additional Notes and Exchange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Exhibit A have the meanings given to them in the Indenture. The following capitalized terms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Procedures</w:t>
      </w:r>
      <w:r>
        <w:rPr>
          <w:rFonts w:ascii="Times New Roman;Times;Serif" w:hAnsi="Times New Roman;Times;Serif"/>
          <w:b w:val="false"/>
          <w:i w:val="false"/>
          <w:caps w:val="false"/>
          <w:smallCaps w:val="false"/>
          <w:sz w:val="20"/>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Clearstream</w:t>
      </w:r>
      <w:r>
        <w:rPr>
          <w:rFonts w:ascii="Times New Roman;Times;Serif" w:hAnsi="Times New Roman;Times;Serif"/>
          <w:b w:val="false"/>
          <w:i w:val="false"/>
          <w:caps w:val="false"/>
          <w:smallCaps w:val="false"/>
          <w:sz w:val="20"/>
        </w:rPr>
        <w:t>” means Clearstream Banking, Société Anonyme, or any successor securities clearing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means a certificated Initial Note, Additional Note or Exchange Note issued pursuant to the Indenture (bearing the Restricted Notes Legend if the transfer of such Note is restricted by applicable law) that does not include the Global Notes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 Compliance Period</w:t>
      </w:r>
      <w:r>
        <w:rPr>
          <w:rFonts w:ascii="Times New Roman;Times;Serif" w:hAnsi="Times New Roman;Times;Serif"/>
          <w:b w:val="false"/>
          <w:i w:val="false"/>
          <w:caps w:val="false"/>
          <w:smallCaps w:val="false"/>
          <w:sz w:val="20"/>
        </w:rPr>
        <w:t>,” with respect to any Note, means the period beginning on November 8, 2024 and ending 40 days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Euroclear</w:t>
      </w:r>
      <w:r>
        <w:rPr>
          <w:rFonts w:ascii="Times New Roman;Times;Serif" w:hAnsi="Times New Roman;Times;Serif"/>
          <w:b w:val="false"/>
          <w:i w:val="false"/>
          <w:caps w:val="false"/>
          <w:smallCaps w:val="false"/>
          <w:sz w:val="20"/>
        </w:rPr>
        <w:t>” means Euroclear Bank S.A./N.V., as operator of Euroclear systems Clearance System or any successor securities clearing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Note</w:t>
      </w:r>
      <w:r>
        <w:rPr>
          <w:rFonts w:ascii="Times New Roman;Times;Serif" w:hAnsi="Times New Roman;Times;Serif"/>
          <w:b w:val="false"/>
          <w:i w:val="false"/>
          <w:caps w:val="false"/>
          <w:smallCaps w:val="false"/>
          <w:sz w:val="20"/>
        </w:rPr>
        <w:t>” means notes issued in an Exchange Offer pursuant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has the meaning set forth in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 Custodian</w:t>
      </w:r>
      <w:r>
        <w:rPr>
          <w:rFonts w:ascii="Times New Roman;Times;Serif" w:hAnsi="Times New Roman;Times;Serif"/>
          <w:b w:val="false"/>
          <w:i w:val="false"/>
          <w:caps w:val="false"/>
          <w:smallCaps w:val="false"/>
          <w:sz w:val="20"/>
        </w:rPr>
        <w:t>” means the Trustee, as custodian with respect to the Notes in global form, or any successor entity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means (i) the registration rights agreement, dated as of November 8, 2024 among the Company, Waste Management Holdings, Inc., and the dealer managers party thereto and (ii) with respect to any Additional Notes, one or more substantially similar registration rights agreements among the Company, Waste Management Holdings, Inc., and the other parties thereto, as such agreements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Restricted Notes</w:t>
      </w:r>
      <w:r>
        <w:rPr>
          <w:rFonts w:ascii="Times New Roman;Times;Serif" w:hAnsi="Times New Roman;Times;Serif"/>
          <w:b w:val="false"/>
          <w:i w:val="false"/>
          <w:caps w:val="false"/>
          <w:smallCaps w:val="false"/>
          <w:sz w:val="20"/>
        </w:rPr>
        <w:t>” means Definitive Notes and any Notes in global form that bear or are required to bear the Restricted Notes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Global Note</w:t>
      </w:r>
      <w:r>
        <w:rPr>
          <w:rFonts w:ascii="Times New Roman;Times;Serif" w:hAnsi="Times New Roman;Times;Serif"/>
          <w:b w:val="false"/>
          <w:i w:val="false"/>
          <w:caps w:val="false"/>
          <w:smallCaps w:val="false"/>
          <w:sz w:val="20"/>
        </w:rPr>
        <w:t>” means any Note in global form that does not bear or is not required to bear the Restricted Notes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 “U.S. person”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45"/>
        <w:gridCol w:w="935"/>
      </w:tblGrid>
      <w:tr>
        <w:trPr/>
        <w:tc>
          <w:tcPr>
            <w:tcW w:w="2345" w:type="dxa"/>
            <w:tcBorders/>
            <w:vAlign w:val="center"/>
          </w:tcPr>
          <w:p>
            <w:pPr>
              <w:pStyle w:val="TableContents"/>
              <w:bidi w:val="0"/>
              <w:spacing w:before="0" w:after="283"/>
              <w:jc w:val="left"/>
              <w:rPr/>
            </w:pPr>
            <w:r>
              <w:rPr>
                <w:rFonts w:ascii="Times New Roman;Times;Serif" w:hAnsi="Times New Roman;Times;Serif"/>
                <w:sz w:val="20"/>
                <w:u w:val="single"/>
              </w:rPr>
              <w:t>Term</w:t>
            </w:r>
            <w:r>
              <w:rPr/>
              <w:t>:</w:t>
            </w:r>
          </w:p>
        </w:tc>
        <w:tc>
          <w:tcPr>
            <w:tcW w:w="935" w:type="dxa"/>
            <w:tcBorders/>
            <w:vAlign w:val="center"/>
          </w:tcPr>
          <w:p>
            <w:pPr>
              <w:pStyle w:val="TableContents"/>
              <w:bidi w:val="0"/>
              <w:spacing w:before="0" w:after="283"/>
              <w:jc w:val="center"/>
              <w:rPr/>
            </w:pPr>
            <w:r>
              <w:rPr>
                <w:rFonts w:ascii="Times New Roman;Times;Serif" w:hAnsi="Times New Roman;Times;Serif"/>
                <w:sz w:val="20"/>
                <w:u w:val="single"/>
              </w:rPr>
              <w:t xml:space="preserve">Defined in </w:t>
              <w:br/>
              <w:t>Section</w:t>
            </w:r>
            <w:r>
              <w:rPr/>
              <w:t>:</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Agent Members</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2.1(c)</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Definitive Notes Legend</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2.2(e)</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ERISA Legend</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2.2(b)</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Global Note</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2.1(b)</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Global Notes Legend</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2.2(e)</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OID Notes Legend</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2.2(e)</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Regulation S Global Note</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2.1(b)</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Regulation S Notes</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2.1(a)</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Restricted Notes Legend</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2.2(e)</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Rule 144A Global Note</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2.1(b)</w:t>
            </w:r>
          </w:p>
        </w:tc>
      </w:tr>
      <w:tr>
        <w:trPr/>
        <w:tc>
          <w:tcPr>
            <w:tcW w:w="2345" w:type="dxa"/>
            <w:tcBorders/>
            <w:vAlign w:val="center"/>
          </w:tcPr>
          <w:p>
            <w:pPr>
              <w:pStyle w:val="TableContents"/>
              <w:bidi w:val="0"/>
              <w:spacing w:before="0" w:after="283"/>
              <w:jc w:val="left"/>
              <w:rPr/>
            </w:pPr>
            <w:r>
              <w:rPr/>
              <w:t>“</w:t>
            </w:r>
            <w:r>
              <w:rPr>
                <w:rFonts w:ascii="Times New Roman;Times;Serif" w:hAnsi="Times New Roman;Times;Serif"/>
                <w:i/>
                <w:sz w:val="20"/>
              </w:rPr>
              <w:t>Rule 144A Notes</w:t>
            </w:r>
            <w:r>
              <w:rPr>
                <w:rFonts w:ascii="Times New Roman;Times;Serif" w:hAnsi="Times New Roman;Times;Serif"/>
                <w:sz w:val="20"/>
              </w:rPr>
              <w:t>”</w:t>
              <w:tab/>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Form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Notes issued on the date hereof shall be transferred by the Company in connection with the settlement of the Stericycle Exchange Offer to (1) “qualified institutional buyers” (as defined in Rule 144A) in reliance on Rule 144A (“</w:t>
      </w:r>
      <w:r>
        <w:rPr>
          <w:rFonts w:ascii="Times New Roman;Times;Serif" w:hAnsi="Times New Roman;Times;Serif"/>
          <w:b w:val="false"/>
          <w:i w:val="false"/>
          <w:caps w:val="false"/>
          <w:smallCaps w:val="false"/>
          <w:sz w:val="20"/>
          <w:u w:val="single"/>
        </w:rPr>
        <w:t>Rule 144A Notes</w:t>
      </w:r>
      <w:r>
        <w:rPr>
          <w:rFonts w:ascii="Times New Roman;Times;Serif" w:hAnsi="Times New Roman;Times;Serif"/>
          <w:b w:val="false"/>
          <w:i w:val="false"/>
          <w:caps w:val="false"/>
          <w:smallCaps w:val="false"/>
          <w:sz w:val="20"/>
        </w:rPr>
        <w:t>”) and (2) Persons other than U.S. persons in reliance on Regulation S (“</w:t>
      </w:r>
      <w:r>
        <w:rPr>
          <w:rFonts w:ascii="Times New Roman;Times;Serif" w:hAnsi="Times New Roman;Times;Serif"/>
          <w:b w:val="false"/>
          <w:i w:val="false"/>
          <w:caps w:val="false"/>
          <w:smallCaps w:val="false"/>
          <w:sz w:val="20"/>
          <w:u w:val="single"/>
        </w:rPr>
        <w:t>Regulation S Notes</w:t>
      </w:r>
      <w:r>
        <w:rPr>
          <w:rFonts w:ascii="Times New Roman;Times;Serif" w:hAnsi="Times New Roman;Times;Serif"/>
          <w:b w:val="false"/>
          <w:i w:val="false"/>
          <w:caps w:val="false"/>
          <w:smallCaps w:val="false"/>
          <w:sz w:val="20"/>
        </w:rPr>
        <w:t>”). Additional Notes may also be considered to be Rule 144A Notes or Regulation S Notes,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Rule 144A Notes shall be issued initially in the form of one or more permanent Global Notes in definitive, fully registered form, numbered RA-1 upward (collectively, the “</w:t>
      </w:r>
      <w:r>
        <w:rPr>
          <w:rFonts w:ascii="Times New Roman;Times;Serif" w:hAnsi="Times New Roman;Times;Serif"/>
          <w:b w:val="false"/>
          <w:i w:val="false"/>
          <w:caps w:val="false"/>
          <w:smallCaps w:val="false"/>
          <w:sz w:val="20"/>
          <w:u w:val="single"/>
        </w:rPr>
        <w:t>Rule 144A Global Note</w:t>
      </w:r>
      <w:r>
        <w:rPr>
          <w:rFonts w:ascii="Times New Roman;Times;Serif" w:hAnsi="Times New Roman;Times;Serif"/>
          <w:b w:val="false"/>
          <w:i w:val="false"/>
          <w:caps w:val="false"/>
          <w:smallCaps w:val="false"/>
          <w:sz w:val="20"/>
        </w:rPr>
        <w:t>”) and Regulation S Notes shall be issued initially in the form of one or more Global Notes, numbered RS-1 upward (collectively, the “</w:t>
      </w:r>
      <w:r>
        <w:rPr>
          <w:rFonts w:ascii="Times New Roman;Times;Serif" w:hAnsi="Times New Roman;Times;Serif"/>
          <w:b w:val="false"/>
          <w:i w:val="false"/>
          <w:caps w:val="false"/>
          <w:smallCaps w:val="false"/>
          <w:sz w:val="20"/>
          <w:u w:val="single"/>
        </w:rPr>
        <w:t>Regulation S Global Note</w:t>
      </w:r>
      <w:r>
        <w:rPr>
          <w:rFonts w:ascii="Times New Roman;Times;Serif" w:hAnsi="Times New Roman;Times;Serif"/>
          <w:b w:val="false"/>
          <w:i w:val="false"/>
          <w:caps w:val="false"/>
          <w:smallCaps w:val="false"/>
          <w:sz w:val="20"/>
        </w:rPr>
        <w:t>”), in each case without interest coupons and bearing the Global Notes Legend and Restricted Notes Legend, which shall be deposited on behalf of the purchasers of the Notes represented thereby with the Notes Custodian, and registered in the name of the Depositary or a nominee of the Depositary, duly executed by the Company and authenticated by the Trustee as provided in the Indenture. The Rule 144A Global Note, the Regulation S Global Note and any Unrestricted Global Note are each referred to herein as a “</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and are collectively referred to herein as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xml:space="preserve">.” Each Global Note shall represent such of the outstanding Notes as shall be specified in the “Schedule of Exchanges of Definitive Security”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Notes Custodian, at the direction of the Trustee, in accordance with instructions given by the Holder thereof as required by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of this Exhibit A.</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shall apply only to a Global Note deposited with or on behalf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execute and the Trustee shall, in accordance with this Section 2.1(c) and Section 303 of the Indenture and pursuant to a Company Order signed by one authorized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Notes Custodian.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participants in, the Depositary (“</w:t>
      </w:r>
      <w:r>
        <w:rPr>
          <w:rFonts w:ascii="Times New Roman;Times;Serif" w:hAnsi="Times New Roman;Times;Serif"/>
          <w:b w:val="false"/>
          <w:i w:val="false"/>
          <w:caps w:val="false"/>
          <w:smallCaps w:val="false"/>
          <w:sz w:val="20"/>
          <w:u w:val="single"/>
        </w:rPr>
        <w:t>Agent Members</w:t>
      </w:r>
      <w:r>
        <w:rPr>
          <w:rFonts w:ascii="Times New Roman;Times;Serif" w:hAnsi="Times New Roman;Times;Serif"/>
          <w:b w:val="false"/>
          <w:i w:val="false"/>
          <w:caps w:val="false"/>
          <w:smallCaps w:val="false"/>
          <w:sz w:val="20"/>
        </w:rPr>
        <w:t>”) shall have no rights under the Indenture with respect to any Global Note held on their behalf by the Depositary or by the Trustee as Notes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Definitive Notes</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this Exhibit A, owners of beneficial interests in Global Notes shall not be entitled to receive physical delivery of Definitive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and Exchange of Definitive Notes for Definitive Notes</w:t>
      </w:r>
      <w:r>
        <w:rPr>
          <w:rFonts w:ascii="Times New Roman;Times;Serif" w:hAnsi="Times New Roman;Times;Serif"/>
          <w:b w:val="false"/>
          <w:i w:val="false"/>
          <w:caps w:val="false"/>
          <w:smallCaps w:val="false"/>
          <w:sz w:val="20"/>
        </w:rPr>
        <w:t>. When Definitive Notes are presented to the Security Registrar with a Company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register the transfer of such Definitive Notes;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exchange such Definitive Notes for an equal principal amount of Definitive Notes of other authorized denominations,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Security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Definitive Notes surrendered for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shall be duly endorsed or accompanied by a written instrument of transfer in form reasonably satisfactory to the Company and the Security Registrar, duly executed by the Holder thereof or his attorney duly authorized in writing; and</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Transfer Restricted Notes, they are being transferred or exchanged pursuant to an effective registration statement under the Securities Act or pursuant to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of this Exhibit A or otherwise in accordance with the Restricted Notes Legend, and are accompanied by a certification from the transferor in the form provided on the reverse side of the Form of Note in Exhibit B to this Certificate for exchange or registration of transfers and, as applicable, delivery of such legal opinions, certifications and other information as may be requested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Restrictions on Transfer of a Definitive Note for a Beneficial Interest in a Global Note</w:t>
      </w:r>
      <w:r>
        <w:rPr>
          <w:rFonts w:ascii="Times New Roman;Times;Serif" w:hAnsi="Times New Roman;Times;Serif"/>
          <w:b w:val="false"/>
          <w:i w:val="false"/>
          <w:caps w:val="false"/>
          <w:smallCaps w:val="false"/>
          <w:sz w:val="20"/>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Security Registrar, together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certification from the transferor in the form provided on the reverse side of the Form of Note in Exhibit B to this Certificate for exchange or registration of transfers and, as applicable, delivery of such legal opinions, certifications and other information as may be requested pursuant thereto;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written instructions directing the Trustee to make, or to direct the Notes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such Definitive Note and cause, or direct the Notes Custodian to cause, in accordance with the standing instructions and procedures existing between the Depositary and the Notes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Company shall issue and the Trustee shall authenticate, upon Company Order in the form of an Officers’ Certificate, a new applicable Global Note in the appropriate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 and Exchange of 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transfer and exchange of Global Notes or beneficial interests therein shall be effected through the Depositary, in accordance with the Indenture (including applicable restrictions on transfer set forth in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of this Exhibit A, if any) and the procedures of the Depositary therefor. A transferor of a beneficial interest in a Global Note shall deliver to the Security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 other provisions of this Exhibit A (other than the provisions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this Exhibit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Restrictions on Transfer of Global Notes; Voluntary Exchange of Interests in Transfer Restricted Global Notes for Interests in Unrestricted 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Transfers by an owner of a beneficial interest in a Rule 144A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Exhibit B to this Certificate for exchange or registration of transfers and, as applicable, delivery of such legal opinions, certifications and other information as may be requested pursuant thereto. In addition, in the case of a transfer of a beneficial interest in a Rule 144A Global Note, the transferee must furnish a certification or a signed letter in the form provided on the reverse side of the Form of Note in Exhibit B to this Certificate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United States of America. Prior to the expiration of the Distribution Compliance Period, transfers by an owner of a beneficial interest in the Regulation S Global Note shall be made only in accordance with the Applicable Procedures and the Restricted Notes Legend and upon receipt by the Trustee of a written certification from the transferor of the beneficial interest in the form provided on the reverse side of the Form of Note in Exhibit B to this Certificate for exchange or registration of transfers and, in the case of a transfer to a transferee who takes delivery of such interest through a Rule 144A Global Note, the transferee must furnish a certification or a signed letter in the form provided on the reverse side of the Form of Note in Exhibit B to this Certificate to the Trustee. Such written certifications or letter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expiration of the Distribution Compliance Period, beneficial interests in the Regulation S Global Note may be exchanged for beneficial interests in an Unrestricted Global Note upon certification in the form provided on the reverse side of the Form of Note in Exhibit B to this Certificate for an exchange from a Regulation S Global Note to an Unrestricted Global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Beneficial interests in a Transfer Restricted Note that is a Rule 144A Global Note may be exchanged for beneficial interests in an Unrestricted Global Note (a) if the Holder certifies in writing to the Security Registrar that its request for such exchange is in respect of a transfer made in reliance on Rule 144 (such certification to be in the form set forth on the reverse side of the Form of Note in Exhibit B to this Certificate) and/or upon delivery of such legal opinions, certifications and other information as the Company or the Trustee may reasonably request or (b) if the Company undertakes a mandatory exchange of such Transfer Restricted Note in accordance with the Applicable Procedures, upon consummation of such mandatory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no Unrestricted Global Note is outstanding at the time of a transfer contemplated by the preceding clauses (iii) and (iv), the Company shall issue and the Trustee shall authenticate, upon Company Order in the form of an Officers’ Certificate, a new Unrestricted Global Note in the appropriate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permitted by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2.2(i)</w:t>
      </w:r>
      <w:r>
        <w:rPr>
          <w:rFonts w:ascii="Times New Roman;Times;Serif" w:hAnsi="Times New Roman;Times;Serif"/>
          <w:b w:val="false"/>
          <w:i w:val="false"/>
          <w:caps w:val="false"/>
          <w:smallCaps w:val="false"/>
          <w:sz w:val="20"/>
        </w:rPr>
        <w:t> of this Exhibit A, each Note certificate evidencing the Global Notes and the Definitive Notes (and all Notes issued in exchange therefor or in substitution thereof) sold pursuant to Rule 144A shall bear a legend in substantially the following form (each defined term in the legend being defined as such for purposes of the legend only) (“</w:t>
      </w:r>
      <w:r>
        <w:rPr>
          <w:rFonts w:ascii="Times New Roman;Times;Serif" w:hAnsi="Times New Roman;Times;Serif"/>
          <w:b w:val="false"/>
          <w:i w:val="false"/>
          <w:caps w:val="false"/>
          <w:smallCaps w:val="false"/>
          <w:sz w:val="20"/>
          <w:u w:val="single"/>
        </w:rPr>
        <w:t>Rule 144A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UNLESS SUCH TRANSACTION IS EXEMPT FROM, OR NOT SUBJECT TO, SUCH REGISTRATION.</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AGREES TO OFFER, SELL OR OTHERWISE TRANSFER SUCH SECURITY, PRIOR TO THE DATE (THE “RESALE RESTRICTION TERMINATION DATE”) THAT IS ONE YEAR AFTER THE LATER OF THE ORIGINAL ISSUE DATE HEREOF AND THE LAST DATE ON WHICH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AND IN COMPLIANCE WITH, OFFERS AND SALES THAT OCCUR OUTSIDE THE UNITED STATES TO PERSONS WHO ARE NOT U.S. PERSONS WITHIN THE MEANING OF REGULATION S UNDER THE SECURITIES ACT, (E) PURSUANT TO RULE 144 UNDER THE SECURITIES ACT, OR (F) PURSUANT TO ANY OTHER AVAILABLE EXEMPTION FROM THE REGISTRATION REQUIREMENTS OF THE SECURITIES ACT, SUBJECT TO THE ISSUER’S AND THE TRUSTEE’S RIGHT PRIOR TO ANY SUCH OFFER, SALE OR TRANSFER PURSUANT TO CLAUSE (E) OR (F) TO REQUIRE THE DELIVERY OF AN OPINION OF COUNSEL, CERTIFICATIONS AND/OR OTHER INFORMATION SATISFACTORY TO EACH OF THEM. THIS LEGEND WILL BE REMOVED UPON THE REQUEST OF THE HOLDER AFTER THE RESALE RESTRICTION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certificate evidencing the Global Notes and the Definitive Notes (and all Notes issued in exchange therefor or in substitution thereof) sold pursuant to Regulation S shall bear a legend in substantially the following form (each defined term in the legend being defined as such for purposes of the legend only) (“</w:t>
      </w:r>
      <w:r>
        <w:rPr>
          <w:rFonts w:ascii="Times New Roman;Times;Serif" w:hAnsi="Times New Roman;Times;Serif"/>
          <w:b w:val="false"/>
          <w:i w:val="false"/>
          <w:caps w:val="false"/>
          <w:smallCaps w:val="false"/>
          <w:sz w:val="20"/>
          <w:u w:val="single"/>
        </w:rPr>
        <w:t>Regulation S Legend</w:t>
      </w:r>
      <w:r>
        <w:rPr>
          <w:rFonts w:ascii="Times New Roman;Times;Serif" w:hAnsi="Times New Roman;Times;Serif"/>
          <w:b w:val="false"/>
          <w:i w:val="false"/>
          <w:caps w:val="false"/>
          <w:smallCaps w:val="false"/>
          <w:sz w:val="20"/>
        </w:rPr>
        <w:t>” and, together with the Rule 144A Legend, the “</w:t>
      </w:r>
      <w:r>
        <w:rPr>
          <w:rFonts w:ascii="Times New Roman;Times;Serif" w:hAnsi="Times New Roman;Times;Serif"/>
          <w:b w:val="false"/>
          <w:i w:val="false"/>
          <w:caps w:val="false"/>
          <w:smallCaps w:val="false"/>
          <w:sz w:val="20"/>
          <w:u w:val="single"/>
        </w:rPr>
        <w:t>Restricted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UNLESS SUCH TRANSACTION IS EXEMPT FROM, OR NOT SUBJECT TO, SUCH REGISTRATION.</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(1) REPRESENTS THAT IT IS NOT A U.S. PERSON NOR IS IT PURCHASING FOR THE ACCOUNT OR BENEFIT OF A U.S. PERSON AND IS ACQUIRING THIS SECURITY IN AN OFFSHORE TRANSACTION IN ACCORDANCE WITH REGULATION S UNDER THE SECURITIES ACT (“REGULATION S”), AND (2) AGREES TO OFFER, SELL OR OTHERWISE TRANSFER SUCH SECURITY, PRIOR TO THE DATE (THE “RESALE RESTRICTION TERMINATION DATE”) THAT IS 40 DAYS AFTER THE LATER OF THE DATE THE SECURITIES ARE OFFERED TO PERSONS OTHER THAN DISTRIBUTORS (AS DEFINED IN REGULATION S) AND THE ORIGINAL ISSUE DATE HEREOF (SUCH PERIOD, THE “40-DAY DISTRIBUTION COMPLIANCE PERIOD”),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TO PERSONS WHO ARE NOT U.S. PERSONS WITHIN THE MEANING OF, AND IN COMPLIANCE WITH, REGULATION S, (E) PURSUANT TO RULE 144 UNDER THE SECURITIES ACT, OR (F) PURSUANT TO ANY OTHER AVAILABLE EXEMPTION FROM THE REGISTRATION REQUIREMENTS OF THE SECURITIES ACT, SUBJECT TO THE ISSUER’S AND THE TRUSTEE’S RIGHT PRIOR TO ANY SUCH OFFER, SALE OR TRANSFER PURSUANT TO CLAUSE (E) OR (F) TO REQUIRE THE DELIVERY OF AN OPINION OF COUNSEL, CERTIFICATIONS AND/OR OTHER INFORMATION SATISFACTORY TO EACH OF THEM. THIS LEGEND WILL BE REMOVED FOLLOWING THE EXPIRATION OF THE 40-DAY DISTRIBUTION COMPLIANCE PERIOD AS USED HEREIN, THE TERMS “OFFSHORE TRANSACTION,” “UNITED STATES” AND “U.S. PERSON” HAVE THE MEANINGS GIVEN TO THEM BY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Definitive Note shall bear the following additional legend (“</w:t>
      </w:r>
      <w:r>
        <w:rPr>
          <w:rFonts w:ascii="Times New Roman;Times;Serif" w:hAnsi="Times New Roman;Times;Serif"/>
          <w:b w:val="false"/>
          <w:i w:val="false"/>
          <w:caps w:val="false"/>
          <w:smallCaps w:val="false"/>
          <w:sz w:val="20"/>
          <w:u w:val="single"/>
        </w:rPr>
        <w:t>Definitive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SECURITY REGISTRAR AND TRANSFER AGENT SUCH CERTIFICATES AND OTHER INFORMATION AS SUCH SECURITY REGISTRAR AND TRANSFER AGENT MAY REASONABLY REQUIRE TO CONFIRM THAT THE TRANSFER COMPLIES WITH THE FOREGOING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bear the following additional legend (“</w:t>
      </w:r>
      <w:r>
        <w:rPr>
          <w:rFonts w:ascii="Times New Roman;Times;Serif" w:hAnsi="Times New Roman;Times;Serif"/>
          <w:b w:val="false"/>
          <w:i w:val="false"/>
          <w:caps w:val="false"/>
          <w:smallCaps w:val="false"/>
          <w:sz w:val="20"/>
          <w:u w:val="single"/>
        </w:rPr>
        <w:t>Global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INTERESTS IN THIS GLOBAL SECURITY SHALL BE LIMITED TO TRANSFERS MADE IN ACCORDANCE WITH THE RESTRICTIONS SET FORTH IN THE INDENTURE REFERRED TO ON THE REVERSE HEREOF AND IN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shall bear the following additional legend (“</w:t>
      </w:r>
      <w:r>
        <w:rPr>
          <w:rFonts w:ascii="Times New Roman;Times;Serif" w:hAnsi="Times New Roman;Times;Serif"/>
          <w:b w:val="false"/>
          <w:i w:val="false"/>
          <w:caps w:val="false"/>
          <w:smallCaps w:val="false"/>
          <w:sz w:val="20"/>
          <w:u w:val="single"/>
        </w:rPr>
        <w:t>ERISA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WILL BE DEEMED TO HAVE REPRESENTED AND WARRANTED THAT EITHER (A) NO PORTION OF THE ASSETS USED BY SUCH HOLDER TO ACQUIRE AND HOLD THIS SECURITY CONSTITUTES ASSETS OF AN “EMPLOYEE BENEFIT PLAN” AS DEFINED IN SECTION 3(3) OF THE U.S. EMPLOYEE RETIREMENT INCOME SECURITY ACT OF 1974, AS AMENDED (“ERISA”) THAT IS SUBJECT TO TITLE I OF ERISA, OF ANY PLAN, ACCOUNT OR OTHER ARRANGEMENT THAT IS SUBJECT TO SECTION 4975 OF THE U.S. INTERNAL REVENUE CODE OF 1986, AS AMENDED (THE “CODE”) OR ANY PROVISIONS UNDER ANY FEDERAL, STATE, LOCAL, NON-U.S. OR OTHER LAWS OR REGULATIONS THAT ARE SIMILAR TO SUCH PROVISIONS OF ERISA OR THE CODE (“SIMILAR LAWS”), OR OF ANY ENTITY WHOSE UNDERLYING ASSETS ARE CONSIDERED TO INCLUDE “PLAN ASSETS” OF ANY SUCH PLAN, ACCOUNT OR ARRANGEMENT, OR (B) THE PURCHASE AND HOLDING OF THIS SECURITY BY SUCH HOLDER WILL NOT CONSTITUTE A NONEXEMPT PROHIBITED TRANSACTION UNDER SECTION 406 OF ERISA OR SECTION 4975 OF THE CODE OR A VIOLATION UNDER ANY APPLICABLE SIMILAR LAWS.</w:t>
      </w:r>
    </w:p>
    <w:p>
      <w:pPr>
        <w:pStyle w:val="TextBody"/>
        <w:bidi w:val="0"/>
        <w:spacing w:before="0" w:after="0"/>
        <w:ind w:left="0" w:right="0" w:hanging="0"/>
        <w:jc w:val="left"/>
        <w:rPr>
          <w:caps w:val="false"/>
          <w:smallCaps w:val="false"/>
        </w:rPr>
      </w:pPr>
      <w:r>
        <w:rPr>
          <w:caps w:val="false"/>
          <w:smallCaps w:val="false"/>
        </w:rPr>
        <w:t> </w:t>
      </w:r>
    </w:p>
    <w:tbl>
      <w:tblPr>
        <w:tblW w:w="1258" w:type="dxa"/>
        <w:jc w:val="left"/>
        <w:tblInd w:w="0" w:type="dxa"/>
        <w:tblLayout w:type="fixed"/>
        <w:tblCellMar>
          <w:top w:w="0" w:type="dxa"/>
          <w:left w:w="0" w:type="dxa"/>
          <w:bottom w:w="0" w:type="dxa"/>
          <w:right w:w="0" w:type="dxa"/>
        </w:tblCellMar>
      </w:tblPr>
      <w:tblGrid>
        <w:gridCol w:w="38"/>
        <w:gridCol w:w="11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center"/>
              <w:rPr/>
            </w:pPr>
            <w:r>
              <w:rPr/>
              <w:t>Exhibit 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issued with original issue discount will also bear the following additional legend (“</w:t>
      </w:r>
      <w:r>
        <w:rPr>
          <w:rFonts w:ascii="Times New Roman;Times;Serif" w:hAnsi="Times New Roman;Times;Serif"/>
          <w:b w:val="false"/>
          <w:i w:val="false"/>
          <w:caps w:val="false"/>
          <w:smallCaps w:val="false"/>
          <w:sz w:val="20"/>
          <w:u w:val="single"/>
        </w:rPr>
        <w:t>OID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BEEN ISSUED WITH “ORIGINAL ISSUE DISCOUNT” (WITHIN THE MEANING OF SECTION 1273 OF THE INTERNAL REVENUE CODE OF 1986, AS AMENDED) FOR U.S. FEDERAL INCOME TAX PURPOSES. UPON WRITTEN REQUEST, THE COMPANY WILL PROMPTLY MAKE AVAILABLE TO ANY HOLDER OF THIS NOTE THE FOLLOWING INFORMATION: (1) THE ISSUE PRICE AND DATE OF THE NOTE, (2) THE AMOUNT OF ORIGINAL ISSUE DISCOUNT ON THE NOTE AND (3) THE YIELD TO MATURITY OF THE NOTE. HOLDERS SHOULD CONTACT THE TREASURER OF THE COMPANY AT 800 CAPITOL STREET, SUITE 3000, HOUSTON, TEXAS 77002.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any sale or transfer of a Transfer Restricted Note that is a Definitive Note, the Security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Security Registrar that its request for such exchange is in respect of a transfer made in reliance on Rule 144 (such certification to be in the form set forth on the reverse side of the Form of Note in Exhibit B to this Certificate) and provides such legal opinions, certifications and other information as the Company or the Trustee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a transfer of any Initial Notes or Additional Notes during the period of the effectiveness of a Shelf Registration Statement (as defined in the Registration Rights Agreement) with respect to such Initial Notes or Additional Notes, as the case may be, all requirements pertaining to the Restricted Notes Legend on such Initial Notes or Additional Notes shall cease to apply and the requirements that any such Initial Notes or Additional Notes be issued in global form shall continue to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consummation of an Exchange Offer with respect to the Initial Notes or Additional Notes pursuant to which Holders of such Initial Notes or Additional Notes are offered Exchange Notes in exchange for their Initial Notes or Additional Notes, all requirements pertaining to Initial Notes or Additional Notes that Initial Notes or Additional Notes be issued in global form shall continue to apply, and Exchange Notes in global form without the Restricted Notes Legend shall be available to Holders that exchange such Initial Notes or Additional Notes in such Exchange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Additional Notes sold in a registered offering shall not be required to bear the Restricted Notes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Cancellation or Adjustment of Global Note</w:t>
      </w:r>
      <w:r>
        <w:rPr>
          <w:rFonts w:ascii="Times New Roman;Times;Serif" w:hAnsi="Times New Roman;Times;Serif"/>
          <w:b w:val="false"/>
          <w:i w:val="false"/>
          <w:caps w:val="false"/>
          <w:smallCaps w:val="false"/>
          <w:sz w:val="20"/>
        </w:rPr>
        <w:t>. 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pStyle w:val="TextBody"/>
        <w:bidi w:val="0"/>
        <w:spacing w:before="0" w:after="0"/>
        <w:ind w:left="0" w:right="0" w:hanging="0"/>
        <w:jc w:val="left"/>
        <w:rPr>
          <w:caps w:val="false"/>
          <w:smallCaps w:val="false"/>
        </w:rPr>
      </w:pPr>
      <w:r>
        <w:rPr>
          <w:caps w:val="false"/>
          <w:smallCaps w:val="false"/>
        </w:rPr>
        <w:t> </w:t>
      </w:r>
    </w:p>
    <w:tbl>
      <w:tblPr>
        <w:tblW w:w="1378" w:type="dxa"/>
        <w:jc w:val="left"/>
        <w:tblInd w:w="0" w:type="dxa"/>
        <w:tblLayout w:type="fixed"/>
        <w:tblCellMar>
          <w:top w:w="0" w:type="dxa"/>
          <w:left w:w="0" w:type="dxa"/>
          <w:bottom w:w="0" w:type="dxa"/>
          <w:right w:w="0" w:type="dxa"/>
        </w:tblCellMar>
      </w:tblPr>
      <w:tblGrid>
        <w:gridCol w:w="38"/>
        <w:gridCol w:w="12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center"/>
              <w:rPr/>
            </w:pPr>
            <w:r>
              <w:rPr/>
              <w:t>Exhibit 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Obligations with Respect to Transfers and Exchanges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Company shall execute and upon Company Order, the Trustee shall authenticate, Definitive Notes and Global Notes at the Security Registrar’s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304, 906 or 1107 of the Indenture not involving any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due presentation for registration of transfer of any Note, the Company, the Trustee, the Paying Agent or the Security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Company, the Trustee, the Paying Agent or the Security Registrar shall be affected by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Notes issued upon any transfer or exchange pursuant to the terms of the Indenture shall evidence the same debt and shall be entitled to the same benefits under the Indenture as the Notes surrendered upon such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order to effect any transfer or exchange of an interest in any Transfer Restricted Note for an interest in a Note that does not bear the Restricted Notes Legend and has not been registered under the Securities Act, if the Security Registrar so requests or if the Applicable Procedures so require, an Opinion of Counsel, in form reasonably acceptable to the Security Registrar to the effect that no registration under the Securities Act is required in respect of such exchange or transfer or the re-sale of such interest by the beneficial holder thereof, shall be required to be delivered to the Security Registrar and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No Obligation of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or compliance with restrictions on transfer imposed under the Indenture or under applicable law with respect to any transfer of any interest in any Note (including any transfers between or among Depositary participants, members or beneficial owners in any Global Security).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conclusively rely and shall be fully protected in conclusively relying upon information furnished by the Depositary with respect to its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tbl>
      <w:tblPr>
        <w:tblW w:w="1378" w:type="dxa"/>
        <w:jc w:val="left"/>
        <w:tblInd w:w="0" w:type="dxa"/>
        <w:tblLayout w:type="fixed"/>
        <w:tblCellMar>
          <w:top w:w="0" w:type="dxa"/>
          <w:left w:w="0" w:type="dxa"/>
          <w:bottom w:w="0" w:type="dxa"/>
          <w:right w:w="0" w:type="dxa"/>
        </w:tblCellMar>
      </w:tblPr>
      <w:tblGrid>
        <w:gridCol w:w="38"/>
        <w:gridCol w:w="12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center"/>
              <w:rPr/>
            </w:pPr>
            <w:r>
              <w:rPr/>
              <w:t>Exhibit 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the Trustee nor any Agent shall have any responsibility or liability for any actions taken or not taken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terms of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shall control over any terms to the contrary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Exchange Offer</w:t>
      </w:r>
      <w:r>
        <w:rPr>
          <w:rFonts w:ascii="Times New Roman;Times;Serif" w:hAnsi="Times New Roman;Times;Serif"/>
          <w:b w:val="false"/>
          <w:i w:val="false"/>
          <w:caps w:val="false"/>
          <w:smallCaps w:val="false"/>
          <w:sz w:val="20"/>
        </w:rPr>
        <w:t>. Upon the occurrence of the Exchange Offer in accordance with the Registration Rights Agreement, the Company shall issue and, upon receipt of a Company Order in accordance with Section 303 of the Indenture, the Trustee shall authenticate (i) one or more Global Notes without the Restricted Notes Legend in an aggregate principal amount equal to the principal amounts of the beneficial interests in the Global Notes tendered for acceptance by Persons that provide in the applicable letters of transmittal such certifications as are required by the Registration Rights Agreement and applicable law, and accepted for exchange in the Exchange Offer and (ii) Definitive Notes without the Restricted Notes Legend in an aggregate principal amount equal to the principal amount of the Definitive Notes tendered for acceptance by Persons that provide in the applicable letters of transmittal such certification as are required by the Registration Rights Agreement and applicable law, and accepted for exchange in the Exchange Offer. Concurrently with the issuance of such Notes, the Trustee shall cause the aggregate principal amount of the applicable Global Notes with the Restricted Notes Legend to be reduced accordingly, and the Company shall execute and the Trustee shall authenticate and mail to the Persons designated by the Holders of the Definitive Notes so accepted Definitive Notes without the Restricted Notes Legend in the applicable principal amount. Any Notes that remain outstanding after the consummation of the Exchange Offer, and Exchange Notes issued in connection with the Exchange Offer, shall be treated as a single class of securities under the Indenture.</w:t>
      </w:r>
    </w:p>
    <w:p>
      <w:pPr>
        <w:pStyle w:val="TextBody"/>
        <w:bidi w:val="0"/>
        <w:spacing w:before="0" w:after="0"/>
        <w:ind w:left="0" w:right="0" w:hanging="0"/>
        <w:jc w:val="left"/>
        <w:rPr>
          <w:caps w:val="false"/>
          <w:smallCaps w:val="false"/>
        </w:rPr>
      </w:pPr>
      <w:r>
        <w:rPr>
          <w:caps w:val="false"/>
          <w:smallCaps w:val="false"/>
        </w:rPr>
        <w:t> </w:t>
      </w:r>
    </w:p>
    <w:tbl>
      <w:tblPr>
        <w:tblW w:w="1378" w:type="dxa"/>
        <w:jc w:val="left"/>
        <w:tblInd w:w="0" w:type="dxa"/>
        <w:tblLayout w:type="fixed"/>
        <w:tblCellMar>
          <w:top w:w="0" w:type="dxa"/>
          <w:left w:w="0" w:type="dxa"/>
          <w:bottom w:w="0" w:type="dxa"/>
          <w:right w:w="0" w:type="dxa"/>
        </w:tblCellMar>
      </w:tblPr>
      <w:tblGrid>
        <w:gridCol w:w="38"/>
        <w:gridCol w:w="12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center"/>
              <w:rPr/>
            </w:pPr>
            <w:r>
              <w:rPr/>
              <w:t>Exhibit 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Global Note deposited with the Depositary or with the Trustee as Notes Custodian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Exhibit A or issued in connection with an Exchange Offer may be transferred to the beneficial owners thereof in the form of Definitive Notes in an aggregate principal amount equal to the principal amount of such Global Note, in exchange for such Global Note, only if such transfer complies with </w:t>
      </w:r>
      <w:r>
        <w:rPr>
          <w:rFonts w:ascii="Times New Roman;Times;Serif" w:hAnsi="Times New Roman;Times;Serif"/>
          <w:b w:val="false"/>
          <w:i w:val="false"/>
          <w:caps w:val="false"/>
          <w:smallCaps w:val="false"/>
          <w:sz w:val="20"/>
          <w:u w:val="single"/>
        </w:rPr>
        <w:t xml:space="preserve">Section 2.2 </w:t>
      </w:r>
      <w:r>
        <w:rPr>
          <w:rFonts w:ascii="Times New Roman;Times;Serif" w:hAnsi="Times New Roman;Times;Serif"/>
          <w:b w:val="false"/>
          <w:i w:val="false"/>
          <w:caps w:val="false"/>
          <w:smallCaps w:val="false"/>
          <w:sz w:val="20"/>
        </w:rPr>
        <w:t>of this Exhibit A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Security Registrar has received a request from the Depository.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Global Note that is transferable to the beneficial owners thereof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shall be executed, authenticated and delivered only in denominations of $2,000 and integral multiples of $1,000 in excess thereof and registered in such names as the Depositary shall direct. Any Definitive Note delivered in exchange for an interest in a Global Note that is a Transfer Restricted Note shall, except as otherwise provided by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of this Exhibit A, bear the Restricted Notes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registered Holder of a Global Note may grant proxies and otherwise authorize any Person, including Agent Members and Persons that may hold interests through Agent Members, to take any action which a Holder is entitled to take under the Indenture 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of the occurrence of any of the events specified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of this Exhibit A, the Company shall promptly make available to the Trustee a reasonable supply of Definitive Notes in fully registered form without interest coupons.</w:t>
      </w:r>
    </w:p>
    <w:p>
      <w:pPr>
        <w:pStyle w:val="TextBody"/>
        <w:bidi w:val="0"/>
        <w:spacing w:before="0" w:after="0"/>
        <w:ind w:left="0" w:right="0" w:hanging="0"/>
        <w:jc w:val="left"/>
        <w:rPr>
          <w:caps w:val="false"/>
          <w:smallCaps w:val="false"/>
        </w:rPr>
      </w:pPr>
      <w:r>
        <w:rPr>
          <w:caps w:val="false"/>
          <w:smallCaps w:val="false"/>
        </w:rPr>
        <w:t> </w:t>
      </w:r>
    </w:p>
    <w:tbl>
      <w:tblPr>
        <w:tblW w:w="1378" w:type="dxa"/>
        <w:jc w:val="left"/>
        <w:tblInd w:w="0" w:type="dxa"/>
        <w:tblLayout w:type="fixed"/>
        <w:tblCellMar>
          <w:top w:w="0" w:type="dxa"/>
          <w:left w:w="0" w:type="dxa"/>
          <w:bottom w:w="0" w:type="dxa"/>
          <w:right w:w="0" w:type="dxa"/>
        </w:tblCellMar>
      </w:tblPr>
      <w:tblGrid>
        <w:gridCol w:w="38"/>
        <w:gridCol w:w="12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center"/>
              <w:rPr/>
            </w:pPr>
            <w:r>
              <w:rPr/>
              <w:t>Exhibit 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left"/>
        <w:rPr>
          <w:caps w:val="false"/>
          <w:smallCaps w:val="false"/>
        </w:rPr>
      </w:pPr>
      <w:r>
        <w:rPr>
          <w:caps w:val="false"/>
          <w:smallCaps w:val="false"/>
        </w:rPr>
        <w:t> </w:t>
      </w:r>
    </w:p>
    <w:tbl>
      <w:tblPr>
        <w:tblW w:w="1243" w:type="dxa"/>
        <w:jc w:val="left"/>
        <w:tblInd w:w="0" w:type="dxa"/>
        <w:tblLayout w:type="fixed"/>
        <w:tblCellMar>
          <w:top w:w="0" w:type="dxa"/>
          <w:left w:w="0" w:type="dxa"/>
          <w:bottom w:w="0" w:type="dxa"/>
          <w:right w:w="0" w:type="dxa"/>
        </w:tblCellMar>
      </w:tblPr>
      <w:tblGrid>
        <w:gridCol w:w="38"/>
        <w:gridCol w:w="11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pPr>
            <w:r>
              <w:rPr/>
              <w:t>Exhibit B-1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INTERESTS IN THIS GLOBAL SECURITY SHALL BE LIMITED TO TRANSFERS MADE IN ACCORDANCE WITH THE RESTRICTIONS SET FORTH IN THE INDENTURE REFERRED TO ON THE REVERSE HEREOF AND IN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SECURITY REGISTRAR AND TRANSFER AGENT SUCH CERTIFICATES AND OTHER INFORMATION AS SUCH SECURITY REGISTRAR AND TRANSFER AGENT MAY REASONABLY REQUIRE TO CONFIRM THAT THE TRANSFER COMPLIES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WILL BE DEEMED TO HAVE REPRESENTED AND WARRANTED THAT EITHER (A) NO PORTION OF THE ASSETS USED BY SUCH HOLDER TO ACQUIRE AND HOLD THIS SECURITY CONSTITUTES ASSETS OF AN “EMPLOYEE BENEFIT PLAN” AS DEFINED IN SECTION 3(3) OF THE U.S. EMPLOYEE RETIREMENT INCOME SECURITY ACT OF 1974, AS AMENDED (“ERISA”) THAT IS SUBJECT TO TITLE I OF ERISA, OF ANY PLAN, ACCOUNT OR OTHER ARRANGEMENT THAT IS SUBJECT TO SECTION 4975 OF THE U.S. INTERNAL REVENUE CODE OF 1986, AS AMENDED (THE “CODE”) OR ANY PROVISIONS UNDER ANY FEDERAL, STATE, LOCAL, NON-U.S. OR OTHER LAWS OR REGULATIONS THAT ARE SIMILAR TO SUCH PROVISIONS OF ERISA OR THE CODE (“SIMILAR LAWS”), OR OF ANY ENTITY WHOSE UNDERLYING ASSETS ARE CONSIDERED TO INCLUDE “PLAN ASSETS” OF ANY SUCH PLAN, ACCOUNT OR ARRANGEMENT, OR (B) THE PURCHASE AND HOLDING OF THIS SECURITY BY SUCH HOLDER WILL NOT CONSTITUTE A NONEXEMPT PROHIBITED TRANSACTION UNDER SECTION 406 OF ERISA OR SECTION 4975 OF THE CODE OR A VIOLATION UNDER ANY APPLICABLE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[OID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HAS BEEN ISSUED WITH “ORIGINAL ISSUE DISCOUNT” (WITHIN THE MEANING OF SECTION 1273 OF THE INTERNAL REVENUE CODE OF 1986, AS AMENDED) FOR U.S. FEDERAL INCOME TAX PURPOSES. UPON WRITTEN REQUEST, THE COMPANY WILL PROMPTLY MAKE AVAILABLE TO ANY HOLDER OF THIS NOTE THE FOLLOWING INFORMATION: (1) THE ISSUE PRICE AND DATE OF THE NOTE, (2) THE AMOUNT OF ORIGINAL ISSUE DISCOUNT ON THE NOTE AND (3) THE YIELD TO MATURITY OF THE NOTE. HOLDERS SHOULD CONTACT THE TREASURER OF THE COMPANY AT 800 CAPITOL STREET, SUITE 3000, 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UNLESS SUCH TRANSACTION IS EXEMPT FROM, OR NOT SUBJECT TO,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AGREES TO OFFER, SELL OR OTHERWISE TRANSFER SUCH SECURITY, PRIOR TO THE DATE (THE “RESALE RESTRICTION TERMINATION DATE”) THAT IS ONE YEAR AFTER THE LATER OF THE ORIGINAL ISSUE DATE HEREOF AND THE LAST DATE ON WHICH THE ISSUER OR ANY AFFILIATE OF THE ISSUER WAS THE OWNER OF THIS SECURITY (OR ANY PREDECESSOR OF SUCH SECURITY),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AND IN COMPLIANCE WITH, OFFERS AND SALES THAT OCCUR OUTSIDE THE UNITED STATES TO PERSONS WHO ARE NOT U.S. PERSONS WITHIN THE MEANING OF REGULATION S UNDER THE SECURITIES ACT, (E) PURSUANT TO RULE 144 UNDER THE SECURITIES ACT, OR (F) PURSUANT TO ANY OTHER AVAILABLE EXEMPTION FROM THE REGISTRATION REQUIREMENTS OF THE SECURITIES ACT, SUBJECT TO THE ISSUER’S AND THE TRUSTEE’S RIGHT PRIOR TO ANY SUCH OFFER, SALE OR TRANSFER PURSUANT TO CLAUSE (E) OR (F) TO REQUIRE THE DELIVERY OF AN OPINION OF COUNSEL, CERTIFICATIONS AND/OR OTHER INFORMATION SATISFACTORY TO EACH OF THEM. THIS LEGEND WILL BE REMOVED UPON THE REQUEST OF THE HOLDER AFTER THE RESALE RESTRICTION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U.S.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UNLESS SUCH TRANSACTION IS EXEMPT FROM, OR NOT SUBJECT TO,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ACQUISITION HEREOF, THE HOLDER (1) REPRESENTS THAT IT IS NOT A U.S. PERSON NOR IS IT PURCHASING FOR THE ACCOUNT OR BENEFIT OF A U.S. PERSON AND IS ACQUIRING THIS SECURITY IN AN OFFSHORE TRANSACTION IN ACCORDANCE WITH REGULATION S UNDER THE SECURITIES ACT (“REGULATION S”), AND (2) AGREES TO OFFER, SELL OR OTHERWISE TRANSFER SUCH SECURITY, PRIOR TO THE DATE (THE “RESALE RESTRICTION TERMINATION DATE”) THAT IS 40 DAYS AFTER THE LATER OF THE DATE THE SECURITIES ARE OFFERED TO PERSONS OTHER THAN DISTRIBUTORS (AS DEFINED IN REGULATION S) AND THE ORIGINAL ISSUE DATE HEREOF (SUCH PERIOD, THE “40-DAY DISTRIBUTION COMPLIANCE PERIOD”), ONLY (A) TO THE ISSUER,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TO PERSONS WHO ARE NOT U.S. PERSONS WITHIN THE MEANING OF, AND IN COMPLIANCE WITH, REGULATION S, (E) PURSUANT TO RULE 144 UNDER THE SECURITIES ACT, OR (F) PURSUANT TO ANY OTHER AVAILABLE EXEMPTION FROM THE REGISTRATION REQUIREMENTS OF THE SECURITIES ACT, SUBJECT TO THE ISSUER’S AND THE TRUSTEE’S RIGHT PRIOR TO ANY SUCH OFFER, SALE OR TRANSFER PURSUANT TO CLAUSE (E) OR (F) TO REQUIRE THE DELIVERY OF AN OPINION OF COUNSEL, CERTIFICATIONS AND/OR OTHER INFORMATION SATISFACTORY TO EACH OF THEM. THIS LEGEND WILL BE REMOVED FOLLOWING THE EXPIRATION OF THE 40-DAY DISTRIBUTION COMPLIANCE PERIOD AS USED HEREIN, THE TERMS “OFFSHORE TRANSACTION,” “UNITED STATES” AND “U.S. PERSON” HAVE THE MEANINGS GIVEN TO THEM BY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2740"/>
        <w:gridCol w:w="7145"/>
      </w:tblGrid>
      <w:tr>
        <w:trPr/>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w:t>
            </w:r>
          </w:p>
        </w:tc>
        <w:tc>
          <w:tcPr>
            <w:tcW w:w="2740" w:type="dxa"/>
            <w:tcBorders/>
            <w:vAlign w:val="center"/>
          </w:tcPr>
          <w:p>
            <w:pPr>
              <w:pStyle w:val="TableContents"/>
              <w:bidi w:val="0"/>
              <w:spacing w:before="0" w:after="283"/>
              <w:jc w:val="both"/>
              <w:rPr/>
            </w:pPr>
            <w:r>
              <w:rPr/>
              <w:t> </w:t>
            </w:r>
          </w:p>
        </w:tc>
        <w:tc>
          <w:tcPr>
            <w:tcW w:w="7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Principal Amount</w:t>
            </w:r>
          </w:p>
        </w:tc>
      </w:tr>
      <w:tr>
        <w:trPr/>
        <w:tc>
          <w:tcPr>
            <w:tcW w:w="320" w:type="dxa"/>
            <w:tcBorders/>
            <w:vAlign w:val="center"/>
          </w:tcPr>
          <w:p>
            <w:pPr>
              <w:pStyle w:val="TableContents"/>
              <w:bidi w:val="0"/>
              <w:spacing w:before="0" w:after="283"/>
              <w:jc w:val="both"/>
              <w:rPr/>
            </w:pPr>
            <w:r>
              <w:rPr/>
              <w:t> </w:t>
            </w:r>
          </w:p>
        </w:tc>
        <w:tc>
          <w:tcPr>
            <w:tcW w:w="274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c>
          <w:tcPr>
            <w:tcW w:w="7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 which may be decreased by the Schedule of Exchanges of Definitive Security attached hereto</w:t>
            </w:r>
          </w:p>
        </w:tc>
      </w:tr>
      <w:tr>
        <w:trPr/>
        <w:tc>
          <w:tcPr>
            <w:tcW w:w="320" w:type="dxa"/>
            <w:tcBorders/>
            <w:vAlign w:val="center"/>
          </w:tcPr>
          <w:p>
            <w:pPr>
              <w:pStyle w:val="TableContents"/>
              <w:bidi w:val="0"/>
              <w:spacing w:before="0" w:after="283"/>
              <w:jc w:val="both"/>
              <w:rPr/>
            </w:pPr>
            <w:r>
              <w:rPr/>
              <w:t> </w:t>
            </w:r>
          </w:p>
        </w:tc>
        <w:tc>
          <w:tcPr>
            <w:tcW w:w="274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283"/>
              <w:jc w:val="right"/>
              <w:rPr/>
            </w:pPr>
            <w:r>
              <w:rPr/>
              <w:t> </w:t>
            </w:r>
          </w:p>
        </w:tc>
      </w:tr>
      <w:tr>
        <w:trPr/>
        <w:tc>
          <w:tcPr>
            <w:tcW w:w="320" w:type="dxa"/>
            <w:tcBorders/>
            <w:vAlign w:val="center"/>
          </w:tcPr>
          <w:p>
            <w:pPr>
              <w:pStyle w:val="TableContents"/>
              <w:bidi w:val="0"/>
              <w:spacing w:before="0" w:after="283"/>
              <w:jc w:val="both"/>
              <w:rPr/>
            </w:pPr>
            <w:r>
              <w:rPr/>
              <w:t> </w:t>
            </w:r>
          </w:p>
        </w:tc>
        <w:tc>
          <w:tcPr>
            <w:tcW w:w="2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3.875% SENIOR NOTES DUE 2029</w:t>
            </w:r>
          </w:p>
        </w:tc>
        <w:tc>
          <w:tcPr>
            <w:tcW w:w="7145" w:type="dxa"/>
            <w:tcBorders/>
            <w:vAlign w:val="center"/>
          </w:tcPr>
          <w:p>
            <w:pPr>
              <w:pStyle w:val="TableContents"/>
              <w:bidi w:val="0"/>
              <w:spacing w:before="0" w:after="283"/>
              <w:jc w:val="both"/>
              <w:rPr/>
            </w:pPr>
            <w:r>
              <w:rPr/>
              <w:t> </w:t>
            </w:r>
          </w:p>
        </w:tc>
      </w:tr>
      <w:tr>
        <w:trPr/>
        <w:tc>
          <w:tcPr>
            <w:tcW w:w="320" w:type="dxa"/>
            <w:tcBorders/>
            <w:vAlign w:val="center"/>
          </w:tcPr>
          <w:p>
            <w:pPr>
              <w:pStyle w:val="TableContents"/>
              <w:bidi w:val="0"/>
              <w:spacing w:before="0" w:after="283"/>
              <w:jc w:val="both"/>
              <w:rPr/>
            </w:pPr>
            <w:r>
              <w:rPr/>
              <w:t> </w:t>
            </w:r>
          </w:p>
        </w:tc>
        <w:tc>
          <w:tcPr>
            <w:tcW w:w="2740" w:type="dxa"/>
            <w:tcBorders/>
            <w:vAlign w:val="center"/>
          </w:tcPr>
          <w:p>
            <w:pPr>
              <w:pStyle w:val="TableContents"/>
              <w:bidi w:val="0"/>
              <w:spacing w:before="0" w:after="283"/>
              <w:jc w:val="center"/>
              <w:rPr/>
            </w:pPr>
            <w:r>
              <w:rPr/>
              <w:t> </w:t>
            </w:r>
          </w:p>
        </w:tc>
        <w:tc>
          <w:tcPr>
            <w:tcW w:w="7145" w:type="dxa"/>
            <w:tcBorders/>
            <w:vAlign w:val="center"/>
          </w:tcPr>
          <w:p>
            <w:pPr>
              <w:pStyle w:val="TableContents"/>
              <w:bidi w:val="0"/>
              <w:spacing w:before="0" w:after="283"/>
              <w:jc w:val="right"/>
              <w:rPr/>
            </w:pPr>
            <w:r>
              <w:rPr/>
              <w:t>      </w:t>
            </w:r>
            <w:r>
              <w:rPr>
                <w:rFonts w:ascii="Times New Roman;Times;Serif" w:hAnsi="Times New Roman;Times;Serif"/>
                <w:sz w:val="20"/>
              </w:rPr>
              <w:t>CUSIP</w:t>
            </w:r>
            <w:r>
              <w:rPr>
                <w:rFonts w:ascii="Times New Roman;Times;Serif" w:hAnsi="Times New Roman;Times;Serif"/>
                <w:color w:val="FFFFFF"/>
                <w:sz w:val="20"/>
              </w:rPr>
              <w:t>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January 15, 2029 in such coin or currency of the United States of America as at the time of payment shall be legal tender for the payment of public and private debts, and to pay interest at an annual rate of 3.875% payable on January 15 and July 15 of each year, to the person in whose name this Security is registered at the close of business on the record date for such interest, which shall be the preceding January 1 or July 1, respectively, payable commencing January 15, 2025, with interest accruing from July 15, 2024, or the most recent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set forth on the reverse hereof.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the legends set forth above are an integral part of the terms of this Security and by acceptance hereof the Holder of this Security agrees to be subject to, and bound by, the terms and provisions set forth in each such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issued in respect of a series of Securities of an initial aggregate of $485,084,000 in principal amount designated as the 3.875%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irrevocably undertakes to the Holder hereof to exchange this Security in accordance with the terms of the Indenture without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or become obligatory for any purpose until the Certificate of Authentication hereon shall have been manually signed by the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under its corporate seal.</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620"/>
        <w:gridCol w:w="60"/>
        <w:gridCol w:w="320"/>
        <w:gridCol w:w="3200"/>
      </w:tblGrid>
      <w:tr>
        <w:trPr/>
        <w:tc>
          <w:tcPr>
            <w:tcW w:w="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Dated: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WASTE MANAGEMENT, INC.,</w:t>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Delaware corporation</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both"/>
              <w:rPr/>
            </w:pPr>
            <w:r>
              <w:rPr/>
              <w:t> </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K. Nagy</w:t>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both"/>
              <w:rPr/>
            </w:pPr>
            <w:r>
              <w:rPr/>
              <w:t> </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Attest:</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both"/>
              <w:rPr/>
            </w:pPr>
            <w:r>
              <w:rPr/>
              <w:t> </w:t>
            </w:r>
          </w:p>
        </w:tc>
      </w:tr>
      <w:tr>
        <w:trPr/>
        <w:tc>
          <w:tcPr>
            <w:tcW w:w="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0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Courtney A. Tippy</w:t>
            </w:r>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Corporate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7254" w:type="dxa"/>
        <w:jc w:val="left"/>
        <w:tblInd w:w="0" w:type="dxa"/>
        <w:tblLayout w:type="fixed"/>
        <w:tblCellMar>
          <w:top w:w="0" w:type="dxa"/>
          <w:left w:w="0" w:type="dxa"/>
          <w:bottom w:w="0" w:type="dxa"/>
          <w:right w:w="0" w:type="dxa"/>
        </w:tblCellMar>
      </w:tblPr>
      <w:tblGrid>
        <w:gridCol w:w="2000"/>
        <w:gridCol w:w="60"/>
        <w:gridCol w:w="888"/>
        <w:gridCol w:w="4306"/>
      </w:tblGrid>
      <w:tr>
        <w:trPr/>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of Authentication: </w:t>
            </w:r>
          </w:p>
        </w:tc>
        <w:tc>
          <w:tcPr>
            <w:tcW w:w="60"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 as Trustee</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94" w:type="dxa"/>
            <w:gridSpan w:val="2"/>
            <w:tcBorders/>
            <w:vAlign w:val="center"/>
          </w:tcPr>
          <w:p>
            <w:pPr>
              <w:pStyle w:val="TableContents"/>
              <w:bidi w:val="0"/>
              <w:spacing w:before="0" w:after="283"/>
              <w:jc w:val="both"/>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06"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both"/>
              <w:rPr/>
            </w:pPr>
            <w:r>
              <w:rPr/>
              <w:t> </w:t>
            </w:r>
          </w:p>
        </w:tc>
        <w:tc>
          <w:tcPr>
            <w:tcW w:w="4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BOOK-ENTRY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3.875% Senior Notes due 2029 of the Company, in initial aggregate principal amount of $485,084,000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promises to pay interest on the principal amount of this Security at the rate of 3.875% per annum and Additional Interest (as defined in the Registration Rights Agreement), if any, payable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interest semi-annually on January 15 and July 15 of each year (each an “Interest Payment Date”), commencing January 15, 2025. Interest on the Securities will accrue from the most recent date to which interest has been paid or, if no interest has been paid on the Securities, from July 15,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3.875% per annum, in each case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Paying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Debt Securities of the Company issued and to be issued in one or more series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26, 2024 and October 3, 2024 (the “Resolutions”) and the written consent of the Sole Director of Waste Management Holdings, Inc. on September 5,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$485,084,000.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 basis points,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(b) interest accrued to the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December 15,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Company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the Securities will not be redeemable prior to their Stated Maturity and will not be entitled to the benefit of any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redeemed in part in a minimum principal amount of $2,000,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redemption will also comply with Article Eleven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Change of Control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Change of Control Payment Date, the Company shall, to the extent lawful: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accept for payment all Securities or portions of Securities properly tendered and not withdrawn pursuant to the Change of Control Offer;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deposit with the Paying Agent an amount equal to the Change of Control Payment in respect of all Securities or portions of Securities properly tendered;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deliver or cause to be delivered to the Trustee the Securities properly accepted together with an Officers’ Certificate stating the aggregate principal amount of Securities or portions of Securities being repurchased.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Change of Control Offer provisions of the Securities, the following terms are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the occurrence of both a Change of Control and a Rating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S&amp;P Global Ratings, a division of S&amp;P Global Inc.,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Denominations; Transfer;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issued in registered form, without coupons, in a minimum denomination of $2,000 and integral multiples of $1,000 in excess thereof. A Holder may register the transfer of, or exchange, Securities in accordance with the Indenture and the Officers’ Certificate. The Securities Registrar may require a Holder, among other things, to furnish appropriate endorsements and transfer documents and to pay any taxes and fees required by law or permitted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Person Deemed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may be treated as the owner of it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Amendment; Supplement;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Trustee Dealings with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or authenticating agent signs the certificate of authentication on the other side of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Abbreviations and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Absolute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No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Additional Rights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rights provided to Holders under the Indenture, Holders shall have all the rights set forth in a Registration Rights Agreement, including the right to receive Additional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construed in accordance with and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fully and unconditionally guaranteed on a senior basis by the Company’s wholly owned subsidiary, Waste Management Holdings, Inc., pursuant to the terms and conditions of a Guarantee, dated as of November 8,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subject to Section 401 of the Indenture; provided, however, that solely with respect to the Securities, Section 401(1)(B) of the Indenture shall be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all such Securities and, in the case of (i) or (ii) below, any coupons appertaining thereto not theretofore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38"/>
        <w:gridCol w:w="1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DEFINITIVE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of a part of this Book-Entry Security for definitive Securities have been made:</w:t>
      </w:r>
    </w:p>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28" w:type="dxa"/>
          <w:right w:w="0" w:type="dxa"/>
        </w:tblCellMar>
      </w:tblPr>
      <w:tblGrid>
        <w:gridCol w:w="1520"/>
        <w:gridCol w:w="60"/>
        <w:gridCol w:w="60"/>
        <w:gridCol w:w="1580"/>
        <w:gridCol w:w="60"/>
        <w:gridCol w:w="60"/>
        <w:gridCol w:w="60"/>
        <w:gridCol w:w="1580"/>
        <w:gridCol w:w="60"/>
        <w:gridCol w:w="60"/>
        <w:gridCol w:w="60"/>
        <w:gridCol w:w="1610"/>
        <w:gridCol w:w="60"/>
        <w:gridCol w:w="60"/>
        <w:gridCol w:w="60"/>
        <w:gridCol w:w="1625"/>
        <w:gridCol w:w="75"/>
      </w:tblGrid>
      <w:tr>
        <w:trPr/>
        <w:tc>
          <w:tcPr>
            <w:tcW w:w="15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Exchange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FFFFFF" w:val="clear"/>
            <w:tcMar>
              <w:bottom w:w="0" w:type="dxa"/>
            </w:tcMar>
            <w:vAlign w:val="center"/>
          </w:tcPr>
          <w:p>
            <w:pPr>
              <w:pStyle w:val="TableContents"/>
              <w:bidi w:val="0"/>
              <w:spacing w:before="0" w:after="0"/>
              <w:ind w:left="0" w:right="0" w:hanging="0"/>
              <w:jc w:val="center"/>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Amount of</w:t>
              <w:br/>
              <w:t>decrease in</w:t>
              <w:br/>
              <w:t xml:space="preserve">Principal Amount </w:t>
              <w:br/>
              <w:t>of this Book-Entry</w:t>
              <w:br/>
              <w:t>Security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shd w:fill="FFFFFF" w:val="clear"/>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Book-Entry</w:t>
              <w:br/>
              <w:t>Security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w:t>
              <w:br/>
              <w:t>of this Book-Entry</w:t>
              <w:br/>
              <w:t xml:space="preserve">Security following </w:t>
              <w:br/>
              <w:t xml:space="preserve">such decrease (or </w:t>
              <w:br/>
              <w:t>increase)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tcMar>
              <w:bottom w:w="0" w:type="dxa"/>
            </w:tcMar>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 officer</w:t>
              <w:br/>
              <w:t>of Trustee or</w:t>
              <w:br/>
              <w:t>Security Custodian</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38"/>
        <w:gridCol w:w="2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jc w:val="left"/>
        <w:rPr/>
      </w:pPr>
      <w:bookmarkStart w:id="25" w:name="tm2427884d1_ex4-4.htm"/>
      <w:bookmarkStart w:id="26" w:name="kstm2427884d1_ex44"/>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WASTE MANAGEMENT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Favor of The Bank of New York Mellon Trust Company, N.A., as Trustee for the Holders</w:t>
        <w:br/>
        <w:t>of Certain Debt Securities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$485,084,000</w:t>
        <w:br/>
        <w:t>3.875%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dated as of November 8, 2024 (as amended from time to time, this “Guarantee”), made by Waste Management Holdings, Inc. (formerly known as Waste Management, Inc.), a Delaware corporation (the “Guarantor”), in favor of The Bank of New York Mellon Trust Company, N.A., as trustee for the holders of the $485,084,000 aggregate principal amount of 3.875% Senior Notes due 2029 (the “Debt Securities”) of Waste Management, Inc. (formerly known as USA Waste Services, Inc.), a Delaware corporation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 </w:t>
      </w:r>
      <w:r>
        <w:rPr>
          <w:rFonts w:ascii="Times New Roman;Times;Serif" w:hAnsi="Times New Roman;Times;Serif"/>
          <w:b w:val="false"/>
          <w:i w:val="false"/>
          <w:caps w:val="false"/>
          <w:smallCaps w:val="false"/>
          <w:sz w:val="20"/>
          <w:u w:val="single"/>
        </w:rPr>
        <w:t>Guarantee Absolute</w:t>
      </w:r>
      <w:r>
        <w:rPr>
          <w:rFonts w:ascii="Times New Roman;Times;Serif" w:hAnsi="Times New Roman;Times;Serif"/>
          <w:b w:val="false"/>
          <w:i w:val="false"/>
          <w:caps w:val="false"/>
          <w:smallCaps w:val="false"/>
          <w:sz w:val="20"/>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the Indenture, the Debt Securities or any other agreement or instrument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change in the time, manner or place of payment of, or in any other term of, all or any of the Obligations, or any other amendment or waiver of or any consent to departure from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exchange, release or non-perfection of any collateral, or any release or amendment or waiver of or consent to departure from any other guaranty, for all or any of the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circumstance which might otherwise constitute a defense available to, or a discharge of, the Issuer or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The Guarantor covenants and agrees that its obligation to make payments of the Obligations hereunder constitutes an unsecured obligation of the Guarantor ranking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existing and future senior indebtedness of the Guarantor and (b) senior in right of payment to all existing and future subordinated indebtedness of the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 </w:t>
      </w:r>
      <w:r>
        <w:rPr>
          <w:rFonts w:ascii="Times New Roman;Times;Serif" w:hAnsi="Times New Roman;Times;Serif"/>
          <w:b w:val="false"/>
          <w:i w:val="false"/>
          <w:caps w:val="false"/>
          <w:smallCaps w:val="false"/>
          <w:sz w:val="20"/>
          <w:u w:val="single"/>
        </w:rPr>
        <w:t>Waiver; Subrogation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 </w:t>
      </w:r>
      <w:r>
        <w:rPr>
          <w:rFonts w:ascii="Times New Roman;Times;Serif" w:hAnsi="Times New Roman;Times;Serif"/>
          <w:b w:val="false"/>
          <w:i w:val="false"/>
          <w:caps w:val="false"/>
          <w:smallCaps w:val="false"/>
          <w:sz w:val="20"/>
          <w:u w:val="single"/>
        </w:rPr>
        <w:t>No Waiver, Remedies</w:t>
      </w:r>
      <w:r>
        <w:rPr>
          <w:rFonts w:ascii="Times New Roman;Times;Serif" w:hAnsi="Times New Roman;Times;Serif"/>
          <w:b w:val="false"/>
          <w:i w:val="false"/>
          <w:caps w:val="false"/>
          <w:smallCaps w:val="false"/>
          <w:sz w:val="20"/>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 </w:t>
      </w:r>
      <w:r>
        <w:rPr>
          <w:rFonts w:ascii="Times New Roman;Times;Serif" w:hAnsi="Times New Roman;Times;Serif"/>
          <w:b w:val="false"/>
          <w:i w:val="false"/>
          <w:caps w:val="false"/>
          <w:smallCaps w:val="false"/>
          <w:sz w:val="20"/>
          <w:u w:val="single"/>
        </w:rPr>
        <w:t>Continuing Guarantee; Transfer of Interest</w:t>
      </w:r>
      <w:r>
        <w:rPr>
          <w:rFonts w:ascii="Times New Roman;Times;Serif" w:hAnsi="Times New Roman;Times;Serif"/>
          <w:b w:val="false"/>
          <w:i w:val="false"/>
          <w:caps w:val="false"/>
          <w:smallCaps w:val="false"/>
          <w:sz w:val="20"/>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of the guarantees of the Guarantor thereunder, (ii) be binding upon the Guarantor, its successors and assigns, and (iii) inure to the benefit of and be enforceable by any holder of Debt Securities, the Trustee, and by their respective successors, transferees,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GUARANTEE SHALL BE GOVERNED BY, AND CONSTRUED IN ACCORDANCE WITH, THE LAWS OF THE STATE OF NEW YORK, WITHOUT REGARD TO THE PROVISIONS THEREOF RELATING TO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Guarantee to be duly executed and delivered by its officer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432"/>
        <w:gridCol w:w="3172"/>
      </w:tblGrid>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WASTE MANAGEMENT HOLDINGS, INC.</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7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Leslie K. Nagy</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both"/>
              <w:rPr/>
            </w:pPr>
            <w:r>
              <w:rPr/>
              <w:t> </w:t>
            </w:r>
          </w:p>
        </w:tc>
        <w:tc>
          <w:tcPr>
            <w:tcW w:w="31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Leslie K. Nagy</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both"/>
              <w:rPr/>
            </w:pPr>
            <w:r>
              <w:rPr/>
              <w:t> </w:t>
            </w:r>
          </w:p>
        </w:tc>
        <w:tc>
          <w:tcPr>
            <w:tcW w:w="31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 and Treasurer</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7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Courtney A. Tippy</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Courtney A. Tippy</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both"/>
              <w:rPr/>
            </w:pPr>
            <w:r>
              <w:rPr/>
              <w:t> </w:t>
            </w:r>
          </w:p>
        </w:tc>
        <w:tc>
          <w:tcPr>
            <w:tcW w:w="31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Guarantee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(3.875%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427884d1_ex4-5.htm"/>
      <w:bookmarkStart w:id="28" w:name="kstm2427884d1_ex45"/>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dated as of November 8, 2024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Waste Management,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Waste Management Holdings, Inc., a Delaware corporation and wholly owned subsidiary of the Company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Barclays Capital Inc., Deutsche Bank Securities Inc. and Goldman Sachs &amp; Co. LLC, as dealer managers (the “</w:t>
      </w:r>
      <w:r>
        <w:rPr>
          <w:rFonts w:ascii="Times New Roman;Times;Serif" w:hAnsi="Times New Roman;Times;Serif"/>
          <w:b w:val="false"/>
          <w:i w:val="false"/>
          <w:caps w:val="false"/>
          <w:smallCaps w:val="false"/>
          <w:sz w:val="20"/>
          <w:u w:val="single"/>
        </w:rPr>
        <w:t>Dealer Managers</w:t>
      </w:r>
      <w:r>
        <w:rPr>
          <w:rFonts w:ascii="Times New Roman;Times;Serif" w:hAnsi="Times New Roman;Times;Serif"/>
          <w:b w:val="false"/>
          <w:i w:val="false"/>
          <w:caps w:val="false"/>
          <w:smallCaps w:val="false"/>
          <w:sz w:val="20"/>
        </w:rPr>
        <w:t>”), in connection with the Stericycle Notes Exchange Offer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Dealer Managers are parties to the Dealer Manager Agreement, dated September 10, 2024 (the “</w:t>
      </w:r>
      <w:r>
        <w:rPr>
          <w:rFonts w:ascii="Times New Roman;Times;Serif" w:hAnsi="Times New Roman;Times;Serif"/>
          <w:b w:val="false"/>
          <w:i w:val="false"/>
          <w:caps w:val="false"/>
          <w:smallCaps w:val="false"/>
          <w:sz w:val="20"/>
          <w:u w:val="single"/>
        </w:rPr>
        <w:t>Dealer Manager Agreement</w:t>
      </w:r>
      <w:r>
        <w:rPr>
          <w:rFonts w:ascii="Times New Roman;Times;Serif" w:hAnsi="Times New Roman;Times;Serif"/>
          <w:b w:val="false"/>
          <w:i w:val="false"/>
          <w:caps w:val="false"/>
          <w:smallCaps w:val="false"/>
          <w:sz w:val="20"/>
        </w:rPr>
        <w:t>”), in connection with the Company’s offer to exchange (the “</w:t>
      </w:r>
      <w:r>
        <w:rPr>
          <w:rFonts w:ascii="Times New Roman;Times;Serif" w:hAnsi="Times New Roman;Times;Serif"/>
          <w:b w:val="false"/>
          <w:i w:val="false"/>
          <w:caps w:val="false"/>
          <w:smallCaps w:val="false"/>
          <w:sz w:val="20"/>
          <w:u w:val="single"/>
        </w:rPr>
        <w:t>Stericycle Notes Exchange Offer</w:t>
      </w:r>
      <w:r>
        <w:rPr>
          <w:rFonts w:ascii="Times New Roman;Times;Serif" w:hAnsi="Times New Roman;Times;Serif"/>
          <w:b w:val="false"/>
          <w:i w:val="false"/>
          <w:caps w:val="false"/>
          <w:smallCaps w:val="false"/>
          <w:sz w:val="20"/>
        </w:rPr>
        <w:t>”) any and all outstanding Stericycle Notes (as defined herein) for up to $500,000,000 aggregate principal amount of new notes to be issued by the Company (the “</w:t>
      </w:r>
      <w:r>
        <w:rPr>
          <w:rFonts w:ascii="Times New Roman;Times;Serif" w:hAnsi="Times New Roman;Times;Serif"/>
          <w:b w:val="false"/>
          <w:i w:val="false"/>
          <w:caps w:val="false"/>
          <w:smallCaps w:val="false"/>
          <w:sz w:val="20"/>
          <w:u w:val="single"/>
        </w:rPr>
        <w:t>WM Notes</w:t>
      </w:r>
      <w:r>
        <w:rPr>
          <w:rFonts w:ascii="Times New Roman;Times;Serif" w:hAnsi="Times New Roman;Times;Serif"/>
          <w:b w:val="false"/>
          <w:i w:val="false"/>
          <w:caps w:val="false"/>
          <w:smallCaps w:val="false"/>
          <w:sz w:val="20"/>
        </w:rPr>
        <w:t>”). The WM Notes will be issued by the Company under an indenture, dated as of September 10, 1997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The Bank of New York Mellon Trust Company, N.A., as the current successor to the initial trustee, Texas Commerce Bank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the terms of the WM Notes will be set forth in and the WM Notes will be issued pursuant to a resolution of the Company’s board of directors and an accompanying officers’ certificate, dated as of the date hereof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WM Notes will be unconditionally guaranteed by the Guarantor (the “</w:t>
      </w:r>
      <w:r>
        <w:rPr>
          <w:rFonts w:ascii="Times New Roman;Times;Serif" w:hAnsi="Times New Roman;Times;Serif"/>
          <w:b w:val="false"/>
          <w:i w:val="false"/>
          <w:caps w:val="false"/>
          <w:smallCaps w:val="false"/>
          <w:sz w:val="20"/>
          <w:u w:val="single"/>
        </w:rPr>
        <w:t>WM Guarantees</w:t>
      </w:r>
      <w:r>
        <w:rPr>
          <w:rFonts w:ascii="Times New Roman;Times;Serif" w:hAnsi="Times New Roman;Times;Serif"/>
          <w:b w:val="false"/>
          <w:i w:val="false"/>
          <w:caps w:val="false"/>
          <w:smallCaps w:val="false"/>
          <w:sz w:val="20"/>
        </w:rPr>
        <w:t>”). The WM Notes and the WM Guarantees are herein collectively referred to as the “</w:t>
      </w:r>
      <w:r>
        <w:rPr>
          <w:rFonts w:ascii="Times New Roman;Times;Serif" w:hAnsi="Times New Roman;Times;Serif"/>
          <w:b w:val="false"/>
          <w:i w:val="false"/>
          <w:caps w:val="false"/>
          <w:smallCaps w:val="false"/>
          <w:sz w:val="20"/>
          <w:u w:val="single"/>
        </w:rPr>
        <w:t>WM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capitalized defined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Interest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‎2(e)(iii)</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that is not a Saturday, Sunday or other day on which commercial banks in New York City, New York are authorized or required by law to remain closed. For purposes of this Agreement, if the day on which any deadline specified in this Agreement expires is not a Business Day, such deadline shall be deemed to expire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mean the settlement date of the Stericycle Notes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 Manager Agreement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Dealer Managers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Dates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‎2(a)(iii)(B)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w:t>
      </w:r>
      <w:r>
        <w:rPr>
          <w:rFonts w:ascii="Times New Roman;Times;Serif" w:hAnsi="Times New Roman;Times;Serif"/>
          <w:b w:val="false"/>
          <w:i w:val="false"/>
          <w:caps w:val="false"/>
          <w:smallCaps w:val="false"/>
          <w:sz w:val="20"/>
        </w:rPr>
        <w:t xml:space="preserve">” shall mean the exchange offer of Exchange Securities for Registrable Securities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w:t>
      </w:r>
      <w:r>
        <w:rPr>
          <w:rFonts w:ascii="Times New Roman;Times;Serif" w:hAnsi="Times New Roman;Times;Serif"/>
          <w:b w:val="false"/>
          <w:i w:val="false"/>
          <w:caps w:val="false"/>
          <w:smallCaps w:val="false"/>
          <w:sz w:val="20"/>
        </w:rPr>
        <w:t xml:space="preserve">” shall mean a registration under the Securities Act effected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Offer Registration Statement</w:t>
      </w:r>
      <w:r>
        <w:rPr>
          <w:rFonts w:ascii="Times New Roman;Times;Serif" w:hAnsi="Times New Roman;Times;Serif"/>
          <w:b w:val="false"/>
          <w:i w:val="false"/>
          <w:caps w:val="false"/>
          <w:smallCaps w:val="false"/>
          <w:sz w:val="20"/>
        </w:rPr>
        <w:t>” shall mean an exchange offer registration statement on Form S-4 (or, if applicable, on another appropriate form as selected by the Company) and all amendments and supplements to such registration statement,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Securities</w:t>
      </w:r>
      <w:r>
        <w:rPr>
          <w:rFonts w:ascii="Times New Roman;Times;Serif" w:hAnsi="Times New Roman;Times;Serif"/>
          <w:b w:val="false"/>
          <w:i w:val="false"/>
          <w:caps w:val="false"/>
          <w:smallCaps w:val="false"/>
          <w:sz w:val="20"/>
        </w:rPr>
        <w:t>” shall mean senior unsecured notes issued by the Company and guaranteed by the Guarantor, in each case under the Indenture containing and terms identical to the Registrable Securities (except that such notes will be registered under the Securities Act and the transfer restrictions, registration rights and any Additional Interest for failure to comply with this Agreement applicable to the Registrable Securities will not apply to such notes) and to be offered to Holders of Registrable Securities in exchange for the WM Securities pursuant to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shall mean the Financial Industry Regulatory Authority,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shall mean each free writing prospectus (as defined in Rule 405 under the Securities Act) prepared by or on behalf of the Company or used or referred to by the Company in connection with the offer and sale of the WM Securities or the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xml:space="preserve">” shall mean the holders of the Registrable Securities, and each of their successors, assigns and direct and indirect transferees who become owners of Registrable Securities under the Indenture;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the term “Holders” shall include Participating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‎3(a)(xiv)</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Information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Holders</w:t>
      </w:r>
      <w:r>
        <w:rPr>
          <w:rFonts w:ascii="Times New Roman;Times;Serif" w:hAnsi="Times New Roman;Times;Serif"/>
          <w:b w:val="false"/>
          <w:i w:val="false"/>
          <w:caps w:val="false"/>
          <w:smallCaps w:val="false"/>
          <w:sz w:val="20"/>
        </w:rPr>
        <w:t xml:space="preserve">” shall mean the Holders of a majority of the aggregate principal amount of the outstanding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whenever the consent or approval of Holders of a specified percentage of Registrable Securities is required hereunder, any Registrable Securities owned directly or indirectly by the Company or any of its “affiliates” (as such term is defined in Rule 405 under the Securities Act) shall not be counted in determining whether such consent or approval was given by the Holders of such required percentage or amount;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Company shall issue any additional WM Securities under the Indenture prior to consummation of the Exchange Offer or, if applicable, the effectiveness of any Shelf Registration Statement, such additional WM Securities and the Registrable Securities to which this Agreement relates shall be treated together as one class for purposes of determining whether the consent or approval of Holders of a specified percentage of Registrable Securities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Participating Broker-Dealers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‎4(a)</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partnership, limited liability company, corporation, trust or unincorporated organization, or a government or agency or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prospectus included in, or, pursuant to the rules and regulations of the Securities Act, deemed a part of, a Registration Statement, including: (i) any preliminary prospectus, and (ii)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shall mean the WM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WM Securities shall cease to be Registrable Securities: (i) when a Registration Statement with respect to such WM Securities has become effective under the Securities Act and such WM Securities have been exchanged, disposed of or distributed pursuant to such Registration Statement, (ii) when such WM Securities cease to be outstanding, or (iii) when the Exchange Offer is consummated, except in the case of WM Securities that otherwise remain Registrable Securities that are held by a Holder that was ineligible to participate in the Exchange Offer or participated in the Exchange Offer and did not receive fully tradable Exchange Securities pursuant to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Default</w:t>
      </w:r>
      <w:r>
        <w:rPr>
          <w:rFonts w:ascii="Times New Roman;Times;Serif" w:hAnsi="Times New Roman;Times;Serif"/>
          <w:b w:val="false"/>
          <w:i w:val="false"/>
          <w:caps w:val="false"/>
          <w:smallCaps w:val="false"/>
          <w:sz w:val="20"/>
        </w:rPr>
        <w:t>” shall mean the occurrence of any of the following: (i) the Exchange Offer of the Exchange Securities for all WM Securities validly tendered in accordance with the terms of the Exchange Offer is not completed on or prior to the Target Registration Date or, if a Shelf Registration Statement is required, such Shelf Registration Statement is not declared effective on or prior to the 60th day after the later of (a) the Target Registration Date and (b) the date on which the Company receives a duly executed Holder Notice or Shelf Request or (ii) if applicable, a Shelf Registration Statement covering resales of the WM Securities has been declared effective and such Shelf Registration Statement ceases to be effective or the prospectus contained therein ceases to be usable for resales of Registrable Securities at any time during the Shelf Effectiveness Period, and such failure to remain effective or be so usable exists for more than 90 days (whether or not consecutive) in any 12-month period.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shall mean any and all expenses incident to performance of or compliance by the Company with this Agreement, including without limitation: (i) all SEC, stock exchange or FINRA registration and filing fees, (ii) all fees and expenses incurred by the Company in connection with compliance with state securities or blue sky laws (including reasonable and documented fees and disbursements of one firm of counsel for any Underwriters or Holders in connection with blue sky qualification of any Exchange Securities or Registrable Securities, which firm shall be selected by the Underwriters or the Majority Holders), (iii) all expenses of the Company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incurred by the Company (including with respect to maintaining ratings of the WM Securities), (v) all fees and disbursements relating to the qualification of the Indenture under applicable securities laws, (vi) the reasonable fees and disbursements of the Trustee, (vii) the reasonable and documented fees and disbursements of counsel for the Company and, in the case of a Shelf Registration Statement, the reasonable and documented fees (not to exceed $50,000) and disbursements of one counsel for the Holders (which counsel shall be Gibson, Dunn &amp; Crutcher LLP) and (viii) the fees and disbursements of the independent public accountants of the Company, including the expenses of any “comfort” letters required by or incident to the performance of and compliance with this Agreement, but excluding any or all fees and expenses of advisors or counsel to any Underwriters (other than fees and expenses set forth in clause (ii) above) or the Holders, any underwriting discounts and commissions, and any brokerage commissions and transfer taxes, if any, relating to the sale or disposition of Registrable Securities by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any registration statement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Effectiveness Period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xml:space="preserve">” shall mean a registration effected pursuant to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shall mean a “shelf” registration statement of the Company that covers all or a portion of the Registrable Securities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Request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Staff</w:t>
      </w:r>
      <w:r>
        <w:rPr>
          <w:rFonts w:ascii="Times New Roman;Times;Serif" w:hAnsi="Times New Roman;Times;Serif"/>
          <w:b w:val="false"/>
          <w:i w:val="false"/>
          <w:caps w:val="false"/>
          <w:smallCaps w:val="false"/>
          <w:sz w:val="20"/>
        </w:rPr>
        <w:t>” shall mean the staff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Stericycle Notes</w:t>
      </w:r>
      <w:r>
        <w:rPr>
          <w:rFonts w:ascii="Times New Roman;Times;Serif" w:hAnsi="Times New Roman;Times;Serif"/>
          <w:b w:val="false"/>
          <w:i w:val="false"/>
          <w:caps w:val="false"/>
          <w:smallCaps w:val="false"/>
          <w:sz w:val="20"/>
        </w:rPr>
        <w:t>” shall mean the 3.875% Senior Notes due 2029 issued by Stericycle, Inc., which was acquired by the Company on November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Stericycle Notes Exchange Offer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Suspension Actions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‎2(e)(vi)</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Registration Date</w:t>
      </w:r>
      <w:r>
        <w:rPr>
          <w:rFonts w:ascii="Times New Roman;Times;Serif" w:hAnsi="Times New Roman;Times;Serif"/>
          <w:b w:val="false"/>
          <w:i w:val="false"/>
          <w:caps w:val="false"/>
          <w:smallCaps w:val="false"/>
          <w:sz w:val="20"/>
        </w:rPr>
        <w:t>” shall mean November 9, 2025, which is the date that is 366 days from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shall mean the Trust Indenture Act of 1939,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‎3(e)</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shall mean an offering in which Registrable Securities are sold to an Underwriter for reoffering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WM Guarantees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WM Notes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WM Securities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Registration under the 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To the extent not prohibited by any applicable law or regulation, or applicable interpretations of the SEC or the Staff, the Company shall use its commercially reasonable efforts to (x) file or cause to be filed an Exchange Offer Registration Statement covering an offer to the Holders to exchange all outstanding Registrable Securities for Exchange Securities and, (y) keep such Registration Statement effective until 180 days after the last Exchange Date for use by one or more Participating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commence the Exchange Offer promptly after the Exchange Offer Registration Statement is declared effective by the SEC and use commercially reasonable efforts to complete the Exchange Offer no later than the Target Registration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After the Exchange Offer Registration Statement has become effective, the Company shall commence the Exchange Offer by mailing or making available the related Prospectus and other accompanying documents to each Holder stating, in addition to such other disclosures as are required by applicable law, substantially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283"/>
              <w:jc w:val="left"/>
              <w:rPr/>
            </w:pPr>
            <w:r>
              <w:rPr/>
              <w:t>that the Exchange Offer is being made pursuant to this Agreement and that all Registrable Securities validly tendered and not properly withdrawn will be accepted for exchange, except to the extent not permitted by law, applicable interpretations of the Staff or as otherwise contemplated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283"/>
              <w:jc w:val="left"/>
              <w:rPr/>
            </w:pPr>
            <w:r>
              <w:rPr/>
              <w:t>the dates of acceptance for exchange, which shall be a period of at least 20 Business Days (in accordance with the Exchange Act) from the date such Prospectus is mailed or made available (the “</w:t>
            </w:r>
            <w:r>
              <w:rPr>
                <w:u w:val="single"/>
              </w:rPr>
              <w:t>Exchange Dates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(C)</w:t>
            </w:r>
          </w:p>
        </w:tc>
        <w:tc>
          <w:tcPr>
            <w:tcW w:w="9869" w:type="dxa"/>
            <w:tcBorders/>
            <w:vAlign w:val="center"/>
          </w:tcPr>
          <w:p>
            <w:pPr>
              <w:pStyle w:val="TableContents"/>
              <w:bidi w:val="0"/>
              <w:spacing w:before="0" w:after="283"/>
              <w:jc w:val="left"/>
              <w:rPr/>
            </w:pPr>
            <w:r>
              <w:rPr/>
              <w:t>that any Registrable Security not tendered will remain outstanding and continue to accrue interest but will not retain any rights under this Agreement, except as otherwise specified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878" w:type="dxa"/>
            <w:tcBorders/>
            <w:vAlign w:val="center"/>
          </w:tcPr>
          <w:p>
            <w:pPr>
              <w:pStyle w:val="TableContents"/>
              <w:bidi w:val="0"/>
              <w:spacing w:before="0" w:after="283"/>
              <w:jc w:val="left"/>
              <w:rPr/>
            </w:pPr>
            <w:r>
              <w:rPr/>
              <w:t>that any Holder electing to have a Registrable Security exchanged pursuant to the Exchange Offer will be required to (x) surrender such Registrable Security to the institution and at the address and in the manner specified in the Prospectus, or (y) effect such exchange otherwise in compliance with the applicable procedures of the depositary for such Registrable Security, in each case prior to the close of business on the last Exchange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(E)</w:t>
            </w:r>
          </w:p>
        </w:tc>
        <w:tc>
          <w:tcPr>
            <w:tcW w:w="9900" w:type="dxa"/>
            <w:tcBorders/>
            <w:vAlign w:val="center"/>
          </w:tcPr>
          <w:p>
            <w:pPr>
              <w:pStyle w:val="TableContents"/>
              <w:bidi w:val="0"/>
              <w:spacing w:before="0" w:after="283"/>
              <w:jc w:val="left"/>
              <w:rPr/>
            </w:pPr>
            <w:r>
              <w:rPr/>
              <w:t>that any Holder will be entitled to withdraw its election, not later than the close of business on the last Exchange Date, by effecting such withdrawal in compliance with the applicable procedures of the institution and in compliance with the applicable procedures of the depositary for the Registrable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a condition to participating in the Exchange Offer, a Holder will be required to represent to the Company that (I) any Exchange Securities to be received by it will be acquired in the ordinary course of its business, (II) at the time of the commencement of the Exchange Offer it is not engaged in, and does not intend to engage in, and it has no arrangement or understanding with any Person to participate in, the distribution (within the meaning of the Securities Act) of the Exchange Securities in violation of the Securities Act, (III) it is not an “affiliate” (as defined in Rule 405 under the Securities Act) of the Company or, if it is such an “affiliate,” such Holder will comply with the prospectus delivery requirements of the Securities Act to the extent applicable in connection with any resale of the Exchange Securities, (IV) if such Holder is a broker-dealer that will receive Exchange Securities for its own account in exchange for Registrable Securities that were acquired as a result of market making or other trading activities, then such Holder will comply with the prospectus delivery requirements of the Securities Act, to the extent applicable, in connection with any resale of the Exchange Securities, (V) it is not prohibited by any law or policy from participating in the Exchange Offer, and (VI) it shall have made such other representations as may be reasonably requested by the Company, or as may be reasonably necessary under applicable SEC rules, regulations or interpretations to render the use of Form S-4 or other appropriate form under the Securities Act available (collectively, the “</w:t>
      </w:r>
      <w:r>
        <w:rPr>
          <w:rFonts w:ascii="Times New Roman;Times;Serif" w:hAnsi="Times New Roman;Times;Serif"/>
          <w:b w:val="false"/>
          <w:i w:val="false"/>
          <w:caps w:val="false"/>
          <w:smallCaps w:val="false"/>
          <w:sz w:val="20"/>
          <w:u w:val="single"/>
        </w:rPr>
        <w:t>Holder Representations</w:t>
      </w:r>
      <w:r>
        <w:rPr>
          <w:rFonts w:ascii="Times New Roman;Times;Serif" w:hAnsi="Times New Roman;Times;Serif"/>
          <w:b w:val="false"/>
          <w:i w:val="false"/>
          <w:caps w:val="false"/>
          <w:smallCaps w:val="false"/>
          <w:sz w:val="20"/>
        </w:rPr>
        <w:t>”). Each Holder hereby acknowledges and agrees that any broker-dealer and any such Holder using the Exchange Offer to participate in a distribution of the securities to be acquired in the Exchange Offer (1) could not under SEC policy as in effect on the date of this Agreement rely on the position of the SEC enunciated in Morgan Stanley and Co., Inc. (available June 5, 1991) and Exxon Capital Holdings Corporation (available May 13, 1988), as interpreted in the SEC’s letter to Shearman &amp; Sterling dated July 2, 1993, and similar no-action letters,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Item 508, as applicable, of Regulation S-K if the resales are of Exchange Securities obtained by such Holder in exchange for Registrable Securities acquired by such Holder directly from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soon as practicable after the last Exchange Date, the Company shall: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(A)</w:t>
            </w:r>
          </w:p>
        </w:tc>
        <w:tc>
          <w:tcPr>
            <w:tcW w:w="9846" w:type="dxa"/>
            <w:tcBorders/>
            <w:vAlign w:val="center"/>
          </w:tcPr>
          <w:p>
            <w:pPr>
              <w:pStyle w:val="TableContents"/>
              <w:bidi w:val="0"/>
              <w:spacing w:before="0" w:after="283"/>
              <w:jc w:val="left"/>
              <w:rPr/>
            </w:pPr>
            <w:r>
              <w:rPr/>
              <w:t>cause the Registrable Securities or portions thereof validly tendered and not properly withdrawn pursuant to the Exchange Offer to be accepted for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(B)</w:t>
            </w:r>
          </w:p>
        </w:tc>
        <w:tc>
          <w:tcPr>
            <w:tcW w:w="9846" w:type="dxa"/>
            <w:tcBorders/>
            <w:vAlign w:val="center"/>
          </w:tcPr>
          <w:p>
            <w:pPr>
              <w:pStyle w:val="TableContents"/>
              <w:bidi w:val="0"/>
              <w:spacing w:before="0" w:after="283"/>
              <w:jc w:val="left"/>
              <w:rPr/>
            </w:pPr>
            <w:r>
              <w:rPr/>
              <w:t>cause all Registrable Securities or portions thereof so accepted for exchange to be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(C)</w:t>
            </w:r>
          </w:p>
        </w:tc>
        <w:tc>
          <w:tcPr>
            <w:tcW w:w="9889" w:type="dxa"/>
            <w:tcBorders/>
            <w:vAlign w:val="center"/>
          </w:tcPr>
          <w:p>
            <w:pPr>
              <w:pStyle w:val="TableContents"/>
              <w:bidi w:val="0"/>
              <w:spacing w:before="0" w:after="283"/>
              <w:jc w:val="left"/>
              <w:rPr/>
            </w:pPr>
            <w:r>
              <w:rPr/>
              <w:t xml:space="preserve">issue Exchange Securities equal in principal amount to the principal amount of the Registrable Securities validly tendered by such Holder; </w:t>
            </w:r>
            <w:r>
              <w:rPr>
                <w:u w:val="single"/>
              </w:rPr>
              <w:t>provided</w:t>
            </w:r>
            <w:r>
              <w:rPr/>
              <w:t xml:space="preserve"> that if any of the Registrable Securities are in book-entry form, the Company shall, in cooperation with the Trustee, effect the exchange of Registrable Securities in accordance with applicable book-entry procedures;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76"/>
        <w:gridCol w:w="9789"/>
      </w:tblGrid>
      <w:tr>
        <w:trPr/>
        <w:tc>
          <w:tcPr>
            <w:tcW w:w="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(D)</w:t>
            </w:r>
          </w:p>
        </w:tc>
        <w:tc>
          <w:tcPr>
            <w:tcW w:w="9789" w:type="dxa"/>
            <w:tcBorders/>
            <w:vAlign w:val="center"/>
          </w:tcPr>
          <w:p>
            <w:pPr>
              <w:pStyle w:val="TableContents"/>
              <w:bidi w:val="0"/>
              <w:spacing w:before="0" w:after="283"/>
              <w:jc w:val="left"/>
              <w:rPr/>
            </w:pPr>
            <w:r>
              <w:rPr/>
              <w:t>cause the Trustee to promptly authenticate and deliver to each Holder such Exchange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use its commercially reasonable efforts to complete the Exchange Offer as provided above and shall use commercially reasonable efforts to comply with the applicable requirements of the Securities Act, the Exchange Act and other applicable laws and regulations in connection with the Exchange Offer. The Exchange Offer shall not be subject to any conditions, other than that (I) the Exchange Offer does not violate any applicable law, rule, regulation or applicable interpretations of the Staff, (II) the Registrable Securities shall be validly tendered in accordance with the Exchange Offer, (III) each Holder of Registrable Securities exchanged in the Exchange Offer shall have made the Holder Representations, (IV) no action or proceeding shall have been instituted or threatened in any court or by or before any governmental agency with respect to the Exchange Offer which, in the Company’s judgment, could reasonably be expected to impair the ability of the Company to proceed with the Exchange Offer, (V) the Exchange Offer will be made to all Holders other than to any Holder of the European Economic Area or the United Kingdom to whom the Exchange Offer cannot be made without requiring the publication of a prospectus for the purposes of Regulation (EU) 2017/1129 or, as the case may be, such regulation as it forms part of United Kingdom domestic law by virtue of the European Union (Withdrawal) Act 2018 (which may be certified or validated by way of representations from Holders of Registrable Securities) and (VI) other customary conditions relating to the delivery of the WM Securities or other actions customarily taken by Holders participating in the Exchange Offer or the execution and delivery of customary documentation relating to the Exchange Offer shall have been satisfied.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(i) the Company determines that any changes in applicable law or applicable interpretations of the Staff or the SEC do not permit the Company to effect the Exchange Offer provided for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hereof, (ii) a Holder participating in the Exchange Offer does not receive Exchange Securities on the date of the exchange that may be sold without restriction under state and U.S. federal securities laws (other than due solely to the status of such Holder as an affiliate of the Company within the meaning of the Securities Act) and notifies (a “</w:t>
      </w:r>
      <w:r>
        <w:rPr>
          <w:rFonts w:ascii="Times New Roman;Times;Serif" w:hAnsi="Times New Roman;Times;Serif"/>
          <w:b w:val="false"/>
          <w:i w:val="false"/>
          <w:caps w:val="false"/>
          <w:smallCaps w:val="false"/>
          <w:sz w:val="20"/>
          <w:u w:val="single"/>
        </w:rPr>
        <w:t>Holder Notice</w:t>
      </w:r>
      <w:r>
        <w:rPr>
          <w:rFonts w:ascii="Times New Roman;Times;Serif" w:hAnsi="Times New Roman;Times;Serif"/>
          <w:b w:val="false"/>
          <w:i w:val="false"/>
          <w:caps w:val="false"/>
          <w:smallCaps w:val="false"/>
          <w:sz w:val="20"/>
        </w:rPr>
        <w:t>”) the Company within 30 days after such Holder first becomes aware of such restrictions, (iii) the Exchange Offer, for any other reason, is not completed by the Target Registration Date, or (iv) the Company receives a written request (a “</w:t>
      </w:r>
      <w:r>
        <w:rPr>
          <w:rFonts w:ascii="Times New Roman;Times;Serif" w:hAnsi="Times New Roman;Times;Serif"/>
          <w:b w:val="false"/>
          <w:i w:val="false"/>
          <w:caps w:val="false"/>
          <w:smallCaps w:val="false"/>
          <w:sz w:val="20"/>
          <w:u w:val="single"/>
        </w:rPr>
        <w:t>Shelf Request</w:t>
      </w:r>
      <w:r>
        <w:rPr>
          <w:rFonts w:ascii="Times New Roman;Times;Serif" w:hAnsi="Times New Roman;Times;Serif"/>
          <w:b w:val="false"/>
          <w:i w:val="false"/>
          <w:caps w:val="false"/>
          <w:smallCaps w:val="false"/>
          <w:sz w:val="20"/>
        </w:rPr>
        <w:t xml:space="preserve">”) from any Holder within 20 Business Days after the consummation of the Exchange Offer representing that they hold Registrable Securities that are or were ineligible to be exchanged in the Exchange Offer, the Company shall use commercially reasonable efforts to file, as promptly as practicable after the date of such determination, Holder Notice or Shelf Request, as the case may be, a Shelf Registration Statement providing for the sale of all the Registrable Securities by the Holders thereof and to have such Shelf Registration Statement become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be under no obligation to file any such Shelf Registration Statement before they are obligated to file an Exchange Offer Registration Statement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hereof and no Holder shall be entitled to have the Registrable Securities held by it covered by such Shelf Registration Statement unless such Holder agrees in writing to be bound by all of the provisions of this Agreement applicable to such Holder;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with respect to a Shelf Registration Statement required pursuant to this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the consummation of an Exchange Offer shall relieve the Company of such obligation to file a Shelf Registration Statement for the scenarios set forth in </w:t>
      </w:r>
      <w:r>
        <w:rPr>
          <w:rFonts w:ascii="Times New Roman;Times;Serif" w:hAnsi="Times New Roman;Times;Serif"/>
          <w:b w:val="false"/>
          <w:i w:val="false"/>
          <w:caps w:val="false"/>
          <w:smallCaps w:val="false"/>
          <w:sz w:val="20"/>
          <w:u w:val="single"/>
        </w:rPr>
        <w:t>Section ‎2(b)(i)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‎2(b)(iii)</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In the event that the Company is required to file a Shelf Registration Statement pursuant to </w:t>
      </w:r>
      <w:r>
        <w:rPr>
          <w:rFonts w:ascii="Times New Roman;Times;Serif" w:hAnsi="Times New Roman;Times;Serif"/>
          <w:b w:val="false"/>
          <w:i w:val="false"/>
          <w:caps w:val="false"/>
          <w:smallCaps w:val="false"/>
          <w:sz w:val="20"/>
          <w:u w:val="single"/>
        </w:rPr>
        <w:t>Section ‎2(b)(ii)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‎2(b)(iv)</w:t>
      </w:r>
      <w:r>
        <w:rPr>
          <w:rFonts w:ascii="Times New Roman;Times;Serif" w:hAnsi="Times New Roman;Times;Serif"/>
          <w:b w:val="false"/>
          <w:i w:val="false"/>
          <w:caps w:val="false"/>
          <w:smallCaps w:val="false"/>
          <w:sz w:val="20"/>
        </w:rPr>
        <w:t xml:space="preserve"> hereof, the Company shall use its commercially reasonable efforts to file and to cause to become effective both an Exchange Offer Registration Statement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hereof with respect to all Registrable Securities and, with respect to any Registrable Securities to which </w:t>
      </w:r>
      <w:r>
        <w:rPr>
          <w:rFonts w:ascii="Times New Roman;Times;Serif" w:hAnsi="Times New Roman;Times;Serif"/>
          <w:b w:val="false"/>
          <w:i w:val="false"/>
          <w:caps w:val="false"/>
          <w:smallCaps w:val="false"/>
          <w:sz w:val="20"/>
          <w:u w:val="single"/>
        </w:rPr>
        <w:t>Section ‎2(b)(ii)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‎2(b)(iv)</w:t>
      </w:r>
      <w:r>
        <w:rPr>
          <w:rFonts w:ascii="Times New Roman;Times;Serif" w:hAnsi="Times New Roman;Times;Serif"/>
          <w:b w:val="false"/>
          <w:i w:val="false"/>
          <w:caps w:val="false"/>
          <w:smallCaps w:val="false"/>
          <w:sz w:val="20"/>
        </w:rPr>
        <w:t> hereof applies, a Shelf Registration Statement (which may be a combined Registration Statement with the Exchange Offer Registration Statement) with respect to offers and sales of such Registrable Securities held by the Holders, if any, after completion of the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agrees to use its commercially reasonable efforts to keep the Shelf Registration Statement continuously effective for a period of one year from the effective date of such Shelf Registration Statement or such shorter period that will terminate when all of the WM Securities covered by the Shelf Registration Statement cease to be Registrable Securities (the “</w:t>
      </w:r>
      <w:r>
        <w:rPr>
          <w:rFonts w:ascii="Times New Roman;Times;Serif" w:hAnsi="Times New Roman;Times;Serif"/>
          <w:b w:val="false"/>
          <w:i w:val="false"/>
          <w:caps w:val="false"/>
          <w:smallCaps w:val="false"/>
          <w:sz w:val="20"/>
          <w:u w:val="single"/>
        </w:rPr>
        <w:t>Shelf 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further agrees to use its commercially reasonable efforts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Holder of Registrable Securities with respect to information relating to such Holder, and to use commercially reasonable efforts to cause any such amendment to become effective, if required, and such Shelf Registration Statement, Prospectus or Free Writing Prospectus, as the case may be, to become usable as soon as thereafter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Unless it has been filed with the SEC or is otherwise publicly available, the Company agrees to furnish to the Holders of Registrable Securities registered on such Shelf Registration Statement copies of any such supplement or amendment promptly after its being used,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Holders will be deemed to have received the documents referred to above upon delivery of such documents to the depository or depositories of the Registrable Securities for distribution to its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The Company shall pay all Registration Expenses in connection with any registration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Holder shall pay all underwriting discounts and commissions, brokerage commissions and transfer taxes, and, except as otherwise expressly set forth herein, any other expenses, if any, relating to the underwriting, offering, sale or disposition of such Holder’s Registrable Securities pursuant to any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An Exchange Offer Registration Statement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hereof will not be deemed to have become effective unless it has been declared effective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Shelf Registration Statement pursuant to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 will not be deemed to have become effective unless it has been declared effective by the SEC or is automatically effective upon filing with the SEC as provided by Rule 462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Registration Default occurs with respect to any Registrable Securities, the interest rate on such Registrable Securities (and only such Registrable Securities) will be increased by 0.25% per annum (such increased interest rate amount, the “</w:t>
      </w:r>
      <w:r>
        <w:rPr>
          <w:rFonts w:ascii="Times New Roman;Times;Serif" w:hAnsi="Times New Roman;Times;Serif"/>
          <w:b w:val="false"/>
          <w:i w:val="false"/>
          <w:caps w:val="false"/>
          <w:smallCaps w:val="false"/>
          <w:sz w:val="20"/>
          <w:u w:val="single"/>
        </w:rPr>
        <w:t>Additional Interest</w:t>
      </w:r>
      <w:r>
        <w:rPr>
          <w:rFonts w:ascii="Times New Roman;Times;Serif" w:hAnsi="Times New Roman;Times;Serif"/>
          <w:b w:val="false"/>
          <w:i w:val="false"/>
          <w:caps w:val="false"/>
          <w:smallCaps w:val="false"/>
          <w:sz w:val="20"/>
        </w:rPr>
        <w:t xml:space="preserve">”) beginning on the day immediately following such Registration Default. A Registration Default ends with respect to any WM Securities when such WM Securities cease to be Registrable Securities or, if earlier, (A) in the case of a Registration Default under clause (i) of the definition thereof, when the Exchange Offer is completed or when the Shelf Registration Statement covering such Registrable Securities becomes effective or (B) in the case of a Registration Default under clause (ii) of the definition thereof, when the Shelf Registration Statement again becomes effective or the Prospectus again becomes usable. If at any time more than one Registration Default has occurred and is continuing, then, until the next date that there is no Registration Default, the Additional Interest provided for by this paragraph shall apply as if there occurred a single Registration Default that begins on the date that the earliest such Registration Default occurred and ends on the next date that there is no Registration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Additional Interest shall be payable if the Exchange Offer Registration Statement is not filed or declared effective or the Exchange Offer is not consummated on account of the reasons set forth in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xml:space="preserve"> hereof (it being understood, however, that in any such case the Company shall be obligated to file a Shelf Registration Statement and such Additional Interest shall be payable if the Shelf Registration Statement is not declared effective in accordance with </w:t>
      </w:r>
      <w:r>
        <w:rPr>
          <w:rFonts w:ascii="Times New Roman;Times;Serif" w:hAnsi="Times New Roman;Times;Serif"/>
          <w:b w:val="false"/>
          <w:i w:val="false"/>
          <w:caps w:val="false"/>
          <w:smallCaps w:val="false"/>
          <w:sz w:val="20"/>
          <w:u w:val="single"/>
        </w:rPr>
        <w:t>Section ‎2(c)</w:t>
      </w:r>
      <w:r>
        <w:rPr>
          <w:rFonts w:ascii="Times New Roman;Times;Serif" w:hAnsi="Times New Roman;Times;Serif"/>
          <w:b w:val="false"/>
          <w:i w:val="false"/>
          <w:caps w:val="false"/>
          <w:smallCaps w:val="false"/>
          <w:sz w:val="20"/>
        </w:rPr>
        <w:t xml:space="preserve"> hereof), that no such Additional Interest shall be payable if the Shelf Registration Statement is not declared effective as set forth above because the Holder Notice or Shelf Request was not made on a timely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Additional Interest shall only be payable if the Shelf Registration Statement is not declared effective.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in this Agreement, if the Exchange Offer is consummated, any Holder who was, at the time such Exchange Offer was pending and consummated, eligible to exchange, and did not validly tender, or withdrew, its WM Securities for Exchange Securities in such Exchange Offer will not be entitled to receive any Additional Interest, and such WM Securities will no longer constitute Registrable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Additional Interest payable by the Company will be paid in accordance with and pursuant to the terms of the Indenture. The Additional Interest referenced in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shall be the sole remedy of any Holder (other than a Participating Broker-Dealer) with respect to any Exchange Offer Registration and Shelf Registration and related matters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be entitled to suspend its obligation to file any amendment to a Shelf Registration Statement, furnish any supplement or amendment to a Prospectus included in a Shelf Registration Statement or any Free Writing Prospectus, make any other filing with the SEC that would be incorporated by reference into a Shelf Registration Statement, cause a Shelf Registration Statement to remain effective or the Prospectus or any Free Writing Prospectus usable or take any similar action (collectively, “</w:t>
      </w:r>
      <w:r>
        <w:rPr>
          <w:rFonts w:ascii="Times New Roman;Times;Serif" w:hAnsi="Times New Roman;Times;Serif"/>
          <w:b w:val="false"/>
          <w:i w:val="false"/>
          <w:caps w:val="false"/>
          <w:smallCaps w:val="false"/>
          <w:sz w:val="20"/>
          <w:u w:val="single"/>
        </w:rPr>
        <w:t>Suspension Actions</w:t>
      </w:r>
      <w:r>
        <w:rPr>
          <w:rFonts w:ascii="Times New Roman;Times;Serif" w:hAnsi="Times New Roman;Times;Serif"/>
          <w:b w:val="false"/>
          <w:i w:val="false"/>
          <w:caps w:val="false"/>
          <w:smallCaps w:val="false"/>
          <w:sz w:val="20"/>
        </w:rPr>
        <w:t>”) if there is a possible acquisition, disposition or business combination or other transaction, business development or event involving the Company or any of its subsidiaries that may require disclosure in the Shelf Registration Statement or Prospectus and the Company determines that such disclosure is not in the best interest of the Company and its stockholders or obtaining any financial statements relating to any such acquisition or business combination required to be included in the Shelf Registration Statement or Prospectus would be impracticable. Upon the occurrence of any of the conditions described in the foregoing sentence, the Company shall give prompt notice of the delay or suspension (but not the basis thereof) to the Holders. Upon the termination of such condition, the Company shall promptly proceed with all Suspension Actions that were delayed or suspended and, if required, shall give prompt notice to the Holders of the cessation of the delay or suspension (but not the basis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its obligations pursuant to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‎2(b)</w:t>
      </w:r>
      <w:r>
        <w:rPr>
          <w:rFonts w:ascii="Times New Roman;Times;Serif" w:hAnsi="Times New Roman;Times;Serif"/>
          <w:b w:val="false"/>
          <w:i w:val="false"/>
          <w:caps w:val="false"/>
          <w:smallCaps w:val="false"/>
          <w:sz w:val="20"/>
        </w:rPr>
        <w:t> hereof, the Company shall use commercially reasonable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prepare and file with the SEC a Registration Statement on the appropriate form under the Securities Act, which form (x) shall be selected by the Company, (y) shall, in the case of a Shelf Registration, be available for the sale of the Registrable Securities by the Holders thereof, and (z) shall comply as to form in all material respects with the requirements of the applicable form and include or incorporate by reference all financial statements required by the SEC to be filed therewith; and use commercially reasonable efforts to cause such Registration Statement to become effective and remain effective for the applicable period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prepare and file with the SEC such amendments and post-effective amendments to each Registration Statement as may be necessary to keep such Registration Statement effective for the applicable period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and supplement each Prospectus with any required prospectus supplement and, as so supplemented, to file such Prospectus pursuant to Rule 424 under the Securities Act; and (B) keep each Prospectus current during the period described in Section 4(a)(3) of, and Rule 174 under, the Securities Act that is applicable to transactions by brokers or dealers with respect to the Registrable Securities or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any Free Writing Prospectus is used, file with the SEC any Free Writing Prospectus that is required to be filed by the Company with the SEC in accordance with the Securities Act and the retention of any Free Writing Prospectus not required to be filed to the extent required by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in the case of a Shelf Registration, use commercially reasonable efforts upon written request to furnish to each Holder of Registrable Securities included on such Shelf Registration Statement, to counsel for the Dealer Managers, to counsel for such Holders and to each Underwriter of an Underwritten Offering of Registrable Securities, if any, without charge, as many copies of each Prospectus, preliminary prospectus or Free Writing Prospectus, and any amendment or supplement thereto (other than any document that amends and supplements any Prospectus, preliminary prospectus or Free Writing Prospectus because it is incorporated by reference therein), as such Holder, counsel or Underwriter may reasonably request in writing in order to facilitate the sale or other disposition of the Registrable Securities thereunder; and, (B) subject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hereof, the Company consents to the use of such Prospectus, preliminary prospectus or such Free Writing Prospectus and any amendment or supplement thereto in accordance with applicable law by each of the Holders of Registrable Securities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in the case of an Exchange Offer Registration Statement, use commercially reasonable efforts to cause the registration and qualification of the Registrable Securities under all applicable state securities or blue sky laws, if and to the extent legally required in order to effect the Exchange Offer, and, in the case of a Shelf Registration Statement and if necessary to permit sales under the Shelf Registration Statement, cooperate with the selling Holders and their counsel to register or qualify the Registrable Securities under the applicable state securities or blue sky laws of such jurisdictions as any Holder of Registrable Securities covered by such Shelf Registration Statement shall reasonably request in writing by the time the applicable Shelf Registration Statement becomes effective; (B) cooperate with such Holders in connection with any filings required to be made with FINRA; and (C) use commercially reasonable efforts to cause any and all other acts and things within the Company’s reasonable control that may be reasonably necessary to enable each Holder to complete the disposition in each such jurisdiction of the Registrable Securities owned by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(1) qualify as a foreign corporation or other entity or as a dealer in securities in any such jurisdiction where it would not otherwise be required to so qualify, (2) file any general consent to subject itself to service of process in any such jurisdiction, or (3) subject itself to taxation in any such jurisdiction if it is not already so subject;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notify counsel for the Dealer Managers and, in the case of a Shelf Registration, notify each Holder of Registrable Securities included on such Shelf Registration Statement and counsel for such Holders promptly and, if requested by any such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Company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or any amendment or supplement thereto untrue in any material respect or that requires the making of any changes in such Registration Statement or Prospectus or any Free Writing Prospectus in order to make the statements therein not misleading (in the case of the Prospectus, in light of the circumstances under which they were made); and (6) of any determination by the Company that a post-effective amendment to a Registration Statement or any amendment or supplement to the Prospectus or any Free Writing Prospectus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Shelf Registration Statement on the proper form, as promptly as reasonably practicable and provide prompt notice to each Holder of the withdrawal of any such order or such resolution;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case of a Shelf Registration, furnish to each Holder of Registrable Securities included on such Shelf Registration Statement, without charge, upon written request, at least one conformed copy of each Registration Statement and any post-effective amendment thereto (without any documents incorporated therein by reference or exhibits thereto, unless requested in writing), if such documents are not available 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the case of a Shelf Registration, reasonably cooperate with the Holders of Registrable Securities included on such Shelf Registration Statement to facilitate the timely preparation and delivery of certificates representing Registrable Securities to be sold and not bearing any restrictive legends and enable such Registrable Securities to be issued in such denominations and, in the case of certificated securities, registered in such names (consistent with the provisions of the Indenture) as such Holders may reasonably request at least three Business Days prior to the closing of any sale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upon the occurrence of any event contemplated by </w:t>
      </w:r>
      <w:r>
        <w:rPr>
          <w:rFonts w:ascii="Times New Roman;Times;Serif" w:hAnsi="Times New Roman;Times;Serif"/>
          <w:b w:val="false"/>
          <w:i w:val="false"/>
          <w:caps w:val="false"/>
          <w:smallCaps w:val="false"/>
          <w:sz w:val="20"/>
          <w:u w:val="single"/>
        </w:rPr>
        <w:t>Section ‎3(a)(vi)(5)</w:t>
      </w:r>
      <w:r>
        <w:rPr>
          <w:rFonts w:ascii="Times New Roman;Times;Serif" w:hAnsi="Times New Roman;Times;Serif"/>
          <w:b w:val="false"/>
          <w:i w:val="false"/>
          <w:caps w:val="false"/>
          <w:smallCaps w:val="false"/>
          <w:sz w:val="20"/>
        </w:rPr>
        <w:t xml:space="preserve"> hereof, use commercially reasonable efforts to prepare and file with the SEC a supplement or post-effective amendment to such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Holders of Registrable Securities and the Dealer Managers and any Participating Broker-Dealers known to the Company (in the case of an Exchange Offer Registration Statement), as applicable, to suspend use of the Prospectus or any Free Writing Prospectus as promptly as reasonably practicable after the occurrence of such an event, and such Holders, such Participating Broker-Dealers and Dealer Managers, as applicable, hereby agree to suspend use of the Prospectus or any Free Writing Prospectus, as the case may be, until the Company has amended or supplemented the Prospectus or the Free Writing Prospectus, as the case may be, to correct such misstatement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take any action pursuant to this </w:t>
      </w:r>
      <w:r>
        <w:rPr>
          <w:rFonts w:ascii="Times New Roman;Times;Serif" w:hAnsi="Times New Roman;Times;Serif"/>
          <w:b w:val="false"/>
          <w:i w:val="false"/>
          <w:caps w:val="false"/>
          <w:smallCaps w:val="false"/>
          <w:sz w:val="20"/>
          <w:u w:val="single"/>
        </w:rPr>
        <w:t>Section ‎3(a)(x)</w:t>
      </w:r>
      <w:r>
        <w:rPr>
          <w:rFonts w:ascii="Times New Roman;Times;Serif" w:hAnsi="Times New Roman;Times;Serif"/>
          <w:b w:val="false"/>
          <w:i w:val="false"/>
          <w:caps w:val="false"/>
          <w:smallCaps w:val="false"/>
          <w:sz w:val="20"/>
        </w:rPr>
        <w:t xml:space="preserve"> during any suspension period pursuant to </w:t>
      </w:r>
      <w:r>
        <w:rPr>
          <w:rFonts w:ascii="Times New Roman;Times;Serif" w:hAnsi="Times New Roman;Times;Serif"/>
          <w:b w:val="false"/>
          <w:i w:val="false"/>
          <w:caps w:val="false"/>
          <w:smallCaps w:val="false"/>
          <w:sz w:val="20"/>
          <w:u w:val="single"/>
        </w:rPr>
        <w:t>Section ‎2(e)(vi)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within a reasonable time prior to the filing of any Registration Statement, any Prospectus, any Free Writing Prospectus, or any amendment of or supplement to a Registration Statement, a Prospectus or a Free Writing Prospectus, in each case, excluding any document that is to be incorporated by reference into such Registration Statement, Prospectus, Free Writing Prospectus or any amendment or supplement thereto after the initial filing of a Registration Statement, provide copies of such document to the Dealer Managers and their counsel (and, in the case of a Shelf Registration Statement, to the Holders of Registrable Securities included on such Shelf Registration Statement and their counsel) and make representatives of the Company, as shall be reasonably requested by the Dealer Managers or their counsel (and, in the case of a Shelf Registration Statement, the Holders of Registrable Securities included on such Shelf Registration Statement or their counsel), available for discussion of such document at reasonable times and upon reasonable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Holders will be deemed to have received the documents referred to above upon delivery of such documents to the depository or depositories of the Registrable Securities for distribution to its participants; and the Company shall not, at any time after initial filing of a Registration Statement, use or file any Prospectus, any Free Writing Prospectus, any amendment of or supplement to a Registration Statement, a Prospectus or a Free Writing Prospectus, or any document that is to be incorporated by reference into a Registration Statement, a Prospectus or a Free Writing Prospectus, of which the Dealer Managers and their counsel (and, in the case of a Shelf Registration Statement, the Holders of Registrable Securities and their counsel) shall not have previously been advised and furnished a copy or to which the Dealer Managers or their counsel (and, in the case of a Shelf Registration Statement, the Holders of Registrable Securities or their counsel) shall have previously reasonably objected in writing within two Business Days after the receipt thereof, unless the Company in good faith reasonably believes that use or filing of such Prospectus, Free Writing Prospectus, any amendment of or supplement to a Registration Statement, a Prospectus or a Free Writing Prospectus is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use commercially reasonable efforts to obtain a CUSIP number for all Exchange Securities or Registrable Securities, as the case may be, not later than the initial effective date of a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cause the Indenture to be qualified under the Trust Indenture Act in connection with the registration of the Exchange Securities or Registrable Securities that are registered on a Shelf Registration Statement, as the case may be; reasonably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 the case of a Shelf Registration, make available for inspection, solely for customary due diligence purposes to the extent appropriate, by a representative of the Holders of the Registrable Securities (an “</w:t>
      </w:r>
      <w:r>
        <w:rPr>
          <w:rFonts w:ascii="Times New Roman;Times;Serif" w:hAnsi="Times New Roman;Times;Serif"/>
          <w:b w:val="false"/>
          <w:i w:val="false"/>
          <w:caps w:val="false"/>
          <w:smallCaps w:val="false"/>
          <w:sz w:val="20"/>
          <w:u w:val="single"/>
        </w:rPr>
        <w:t>Inspector</w:t>
      </w:r>
      <w:r>
        <w:rPr>
          <w:rFonts w:ascii="Times New Roman;Times;Serif" w:hAnsi="Times New Roman;Times;Serif"/>
          <w:b w:val="false"/>
          <w:i w:val="false"/>
          <w:caps w:val="false"/>
          <w:smallCaps w:val="false"/>
          <w:sz w:val="20"/>
        </w:rPr>
        <w:t xml:space="preserve">”), any Underwriter participating in any disposition pursuant to such Shelf Registration Statement, one firm of counsel and one firm of accountants designated by a majority in aggregate principal amount of the Holders of Registrable Securities to be included in such Shelf Registration and one firm of attorneys and one firm of accountants designated by such Underwriter, at reasonable times and in a reasonable manner, such financial and other records, pertinent documents and access to properties of the Company and its subsidiaries as such Persons may reasonably request, and cause the officers, directors and employees of the Company to supply all such information and access reasonably requested by any such Inspector, Underwriter, attorney or accountant in connection with a Shelf Registration Statement;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Person receiving such information shall take such actions as are reasonably necessary to protect the confidentiality of such information (including, without limitation, entering into a confidentiality agreement in customary form if requested by the Company) and shall not disclose such records, documents or information unless (A) the disclosure of such records, documents or information is necessary to avoid or correct a misstatement or omission in a Registration Statement; (B) the release of such records, documents or information is ordered pursuant to a subpoena or other order from a court of competent jurisdiction or as part of the evidentiary procedures of a court of competent jurisdiction; or (C) such records, documents or information have previously been generally made available to the public;</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if reasonably requested by any Holder of Registrable Securities covered by a Shelf Registration Statement, promptly include or incorporate by reference in a Prospectus supplement or post-effective amendment such information with respect to such Holder as such Holder reasonably concludes is required to be included therein and make all required filings of such Prospectus supplement or such post-effective amendment as soon as reasonably practicable after the Company has received notification of the matters to be so included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 the case of a Shelf Registration, enter into such customary agreements and take all such other customary and appropriate actions in connection therewith (including those reasonably requested by the Holders of a majority in principal amount of the Registrable Securities covered by the Shelf Registration Statement) in order to expedite or facilitate the disposition of such Registrable Securities including, but not limited to, in an Underwritten Offering and in such connection, (A)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Holders’ representations and warranties are of the substance and scope as are customarily made by selling security holders to underwriters in underwritten offerings, to the extent possible, make such representations and warranties to the Holders and any Underwriters of such Registrable Securities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consistent with the applicable representations and warranties in the Dealer Manager Agreement and confirm the same if and when required by or requested by the Holder pursuant to the applicable underwriting agreement, (B) solely with respect to an Underwritten Offering, obtain opinions of counsel to the Company (which counsel and opinions, in form, scope and substance, shall be reasonably satisfactory to the Holders of a majority in principal amount of the Registrable Securities being sold and such Underwriters and their respective counsel) addressed to each selling Holder and Underwriter of such Registrable Securities, in customary form and subject to customary limitations, assumptions and exclusions and covering the matters customarily covered in opinions requested in underwritten offerings, (C) solely with respect to an Underwritten Offering, obtain “comfort” letters from the independent certified public accountants of the Company (and, if necessary, any other certified public accountant of any subsidiary of the Company, or of any business acquired by the Company for which financial statements and financial data are or are required to be included in the Registration Statement) addressed to each selling Holder (to the extent permitted by applicable professional standards) and Underwriter of such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(D)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Company made pursuant to clause ‎(A) above and to evidence compliance with any customary conditions contained in an underwriting agreement; it being agreed that the representations and warranties, opinions of counsel and comfort letters delivered in connection with the initial offering of the WM Securities are customary;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Shelf Registration Statement, the Company may require, as a condition to include such Holder’s Registrable Securities in such Shelf Registration Statement, each Holder of Registrable Securities to furnish to the Company such information regarding such Holder and the proposed disposition by such Holder of such Registrable Securities and other documentation necessary to effectuate the proposed disposition as the Company may from time to time reasonably request in writing and require such Holder to agree in writing to be bound by all provisions of this Agreement applicable to such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Holder fails to provide the requested information within 15 Business Days, including all information required to be disclosed so that the information previously furnished to the Company by such Holder is not materially misleading and does not omit to state any material fact required to be stated therein or necessary to make the statements therein not misleading in the light of the circumstances under which they were made, the Company may exclude such Holder’s Registrable Securities from such Shelf Registration Statement until such time as the information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case of a Shelf Registration Statement, each Holder of Registrable Securities covered in such Shelf Registration Statement agrees that, upon receipt of any notice from the Company of the happening of any event of the kind described in </w:t>
      </w:r>
      <w:r>
        <w:rPr>
          <w:rFonts w:ascii="Times New Roman;Times;Serif" w:hAnsi="Times New Roman;Times;Serif"/>
          <w:b w:val="false"/>
          <w:i w:val="false"/>
          <w:caps w:val="false"/>
          <w:smallCaps w:val="false"/>
          <w:sz w:val="20"/>
          <w:u w:val="single"/>
        </w:rPr>
        <w:t>Section ‎3(a)(vi)(3)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‎3(a)(vi)(5)</w:t>
      </w:r>
      <w:r>
        <w:rPr>
          <w:rFonts w:ascii="Times New Roman;Times;Serif" w:hAnsi="Times New Roman;Times;Serif"/>
          <w:b w:val="false"/>
          <w:i w:val="false"/>
          <w:caps w:val="false"/>
          <w:smallCaps w:val="false"/>
          <w:sz w:val="20"/>
        </w:rPr>
        <w:t xml:space="preserve"> hereof, such Holder will forthwith discontinue disposition of Registrable Securities pursuant to the Shelf Registration Statement until such Holder’s receipt of the copies of the supplemented or amended Prospectus and any Free Writing Prospectus contemplated by </w:t>
      </w:r>
      <w:r>
        <w:rPr>
          <w:rFonts w:ascii="Times New Roman;Times;Serif" w:hAnsi="Times New Roman;Times;Serif"/>
          <w:b w:val="false"/>
          <w:i w:val="false"/>
          <w:caps w:val="false"/>
          <w:smallCaps w:val="false"/>
          <w:sz w:val="20"/>
          <w:u w:val="single"/>
        </w:rPr>
        <w:t>Section ‎3(a)(x)</w:t>
      </w:r>
      <w:r>
        <w:rPr>
          <w:rFonts w:ascii="Times New Roman;Times;Serif" w:hAnsi="Times New Roman;Times;Serif"/>
          <w:b w:val="false"/>
          <w:i w:val="false"/>
          <w:caps w:val="false"/>
          <w:smallCaps w:val="false"/>
          <w:sz w:val="20"/>
        </w:rPr>
        <w:t> hereof and, if so directed by the Company, such Holder will deliver to the Company (at its expense) all copies in its possession, other than permanent file copies then in such Holder’s possession, of the Prospectus and any Free Writing Prospectus covering such Registrable Securities that is current at the time of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If the Company shall give any notice to suspend the disposition of Registrable Securities pursuant to a Registration Statement, the Company shall not be required to maintain the effectiveness during the period of suspension, and the Company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or notice that such amendment or supplement is not necessary;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extension shall be made in the case where such suspension is solely as a result of the Company’s compliance with this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or any other suspension at the request of a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give any such notice only twice during any 365-day period, any such suspensions shall not exceed 60 days for each suspension and there shall not be more than two suspensions in effect during any 365-day period (except for the consecutive 60-day period immediately prior to the maturity of the WM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The Holders of Registrable Securities covered by a Shelf Registration Statement who desire to do so may sell such Registrable Securities in an Underwritten Offering. In any such Underwritten Offering, the investment bank or investment banks and manager or managers (each an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that will administer the offering will be selected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lead Underwriter shall also be reasonably acceptable to Holders of a majority in principal amount of the Registrable Securities included in such offering). All fees, costs and expenses of the Underwriters, except for Registration Expenses, shall be borne by such Holders.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Holder of Registrable Securities may participate in any Underwritten Offering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an Underwritten Offering, each Holder agrees that, neither such Holder nor any Underwriter participating in any disposition pursuant to any Registration Statement on such Holder’s behalf, will make any offer relating to the Registrable Securities that would constitute an Issuer Free Writing Prospectus (as defined in Rule 433 under the Securities Act) or that would otherwise constitute a “free writing prospectus” (as defined in Rule 405 under the Securities Act) required to be filed by the Company with the SEC or retained by the Company under Rule 433 of the Securities Act, unless it has obtained the prior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Participation of Broker-Dealers in Exchange Offer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has been advised that the Staff has taken the position that any broker-dealer that receives Exchange Securities for its own account in the Exchange Offer in exchange for the WM Securities that were acquired by such broker-dealer as a result of market-making or other trading activities (a “</w:t>
      </w:r>
      <w:r>
        <w:rPr>
          <w:rFonts w:ascii="Times New Roman;Times;Serif" w:hAnsi="Times New Roman;Times;Serif"/>
          <w:b w:val="false"/>
          <w:i w:val="false"/>
          <w:caps w:val="false"/>
          <w:smallCaps w:val="false"/>
          <w:sz w:val="20"/>
          <w:u w:val="single"/>
        </w:rPr>
        <w:t>Participating Broker-Dealer</w:t>
      </w:r>
      <w:r>
        <w:rPr>
          <w:rFonts w:ascii="Times New Roman;Times;Serif" w:hAnsi="Times New Roman;Times;Serif"/>
          <w:b w:val="false"/>
          <w:i w:val="false"/>
          <w:caps w:val="false"/>
          <w:smallCaps w:val="false"/>
          <w:sz w:val="20"/>
        </w:rPr>
        <w:t>”) may be deemed to be an “underwriter” within the meaning of the Securities Act and must deliver a prospectus meeting the requirements of the Securities Act in connection with any resale of such Exchange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been advised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In light of the above, and notwithstanding the other provisions of this Agreement, the Company agrees, if so requested by one or more Holders who is a Participating Broker-Dealer, to use commercially reasonable efforts to amend or supplement the Prospectus contained in the Exchange Offer Registration Statement for a period ending on the earlier of (A) 180 days after the last Exchange Date (as such period may be extended pursuant to </w:t>
      </w:r>
      <w:r>
        <w:rPr>
          <w:rFonts w:ascii="Times New Roman;Times;Serif" w:hAnsi="Times New Roman;Times;Serif"/>
          <w:b w:val="false"/>
          <w:i w:val="false"/>
          <w:caps w:val="false"/>
          <w:smallCaps w:val="false"/>
          <w:sz w:val="20"/>
          <w:u w:val="single"/>
        </w:rPr>
        <w:t>Section ‎3(d)</w:t>
      </w:r>
      <w:r>
        <w:rPr>
          <w:rFonts w:ascii="Times New Roman;Times;Serif" w:hAnsi="Times New Roman;Times;Serif"/>
          <w:b w:val="false"/>
          <w:i w:val="false"/>
          <w:caps w:val="false"/>
          <w:smallCaps w:val="false"/>
          <w:sz w:val="20"/>
        </w:rPr>
        <w:t> hereof), and (B) the date on which each Participating Broker-Dealer is no longer required to deliver a prospectus in connection with market making or other trading activities, in each case to the extent necessary to ensure that the Exchange Offer Registration Statement is available for resale of the Registrable Securities acquired by the Participating Broker-Dealers.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further consents, subject to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hereof, to the delivery of (or, to the extent permitted by law, agree to make available) such Prospectus by Participating Broker-Dealers during such period in connection with the resales contemplated by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Dealer Managers shall have no liability to the Company or any Holder with respect to any request that a Holder may make pursuant to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agrees to indemnify and hold harmless each Dealer Manager, each Holder, their respective directors, officers and employees, each Person, if any, who controls any Dealer Manager or any Holder within the meaning of either Section 15 of the Securities Act or Section 20 of the Exchange Act, and each affiliate of any Dealer Manager within the meaning of Rule 405 under the Securities Act from and against any and all losses, claims, damages and liabilities (including, without limitation, reasonable legal fees and other expenses reasonably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or in any amendment thereof or any supplement thereto, any Free Writing Prospectus or any “issuer information” (“</w:t>
      </w:r>
      <w:r>
        <w:rPr>
          <w:rFonts w:ascii="Times New Roman;Times;Serif" w:hAnsi="Times New Roman;Times;Serif"/>
          <w:b w:val="false"/>
          <w:i w:val="false"/>
          <w:caps w:val="false"/>
          <w:smallCaps w:val="false"/>
          <w:sz w:val="20"/>
          <w:u w:val="single"/>
        </w:rPr>
        <w:t>Issuer Information</w:t>
      </w:r>
      <w:r>
        <w:rPr>
          <w:rFonts w:ascii="Times New Roman;Times;Serif" w:hAnsi="Times New Roman;Times;Serif"/>
          <w:b w:val="false"/>
          <w:i w:val="false"/>
          <w:caps w:val="false"/>
          <w:smallCaps w:val="false"/>
          <w:sz w:val="20"/>
        </w:rPr>
        <w:t>”) filed or required to be filed pursuant to Rule 433(d) under the Securities Act, or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Dealer Manager or information relating to any Holder furnished to the Company in writing by or on behalf of such parties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connection with any Underwritten Offering permitted by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 the Company agrees to also indemnify the Underwriters, if any, their respective affiliates (within the meaning of Rule 405 under the Securities Act)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Holder agrees, severally and not jointly, to indemnify and hold harmless the Company, the Dealer Managers and the other selling Holders, the directors of the Company, each officer of the Company who signed the Registration Statement and each Person, if any, who controls the Company, any Dealer Manager and any other selling Holder within the meaning of either Section 15 of the Securities Act or Section 20 of the Exchange Act, and each affiliate of any Dealer Manager within the meaning of Rule 405 under the Securities Act and such Dealer Manager’s respective directors, officers and employees, to the same extent as the indemnity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hereof, but only with respect to any losses, claims, damages or liabilities (including without limitation, legal fees and other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Holder furnished to the Company in writing by or on behalf of such Holder expressly for use in any Registration Statement, any Prospectus or any Free Writing Prospectus.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If any suit, action, proceeding (including any governmental or regulatory investigation), claim or demand shall be brought or asserted against any Person in respect of which indemnification may be sought pursuant to either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hereof,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hereof,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to an Indemnified Person otherwise than under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that the Indemnifying Person may designate in such proceeding and shall pay the reasonable fees and expenses of such proceeding and shall pay the reasonable and documented fees and expenses of such counsel related to such proceeding,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any such proceeding, any Indemnified Person shall have the right to retain its own counsel, but the fees and expenses of such counsel shall be at the expense of such Indemnified Person unless (A) the Indemnifying Person and the Indemnified Person shall have mutually agreed to the contrary; (B) the Indemnifying Person has failed within a reasonable time to retain counsel reasonably satisfactory to the Indemnified Person; (C) the Indemnified Person shall have reasonably concluded that there may be legal defenses available to it that are different from or in addition to those available to the Indemnifying Person; or (D) the named parties in any such proceeding (including any impleaded parties) include both the Indemnifying Person and the Indemnified Person and representation of both parties by the same counsel would be inappropriate due to actual or potential differing interests between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such separate firm (x) for any Dealer Manager or its affiliates, directors and officers and any control Persons of such Dealer Manager shall be designated in writing by such Dealer Managers, (y) for any Holder, its directors and officers and any control Persons of such Holder shall be designated in writing by the Majority Holders, and (z) in all other cases shall be designated in writing by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indemnification provided for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hereof is unavailable to an Indemnified Person or insufficient in respect of any losses, claims, damages or liabilities referred to therein, then each Indemnifying Person under such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from the offering of the WM Securities and the Exchange Securities, on the one hand, and by the Holders from receiving the WM Securities or Exchange Securities registered under the Securities Act, on the other hand, or (ii) if the allocation provided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but also the relative fault of the Company, on the one hand, and the Holders, on the other, in connection with the statements or omissions that resulted in such losses, claims, damages or liabilities, as well as any other relevant equitable considerations. The relative fault of the Company, on the one hand, and the Holders, on the other, shall be determined by reference to, among other things, whether the untrue or alleged untrue statement of a material fact or the omission or alleged omission to state a material fact relates to information supplied by the Company or by the Holders, as applicable,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            The Company and the Holders agree that it would not be just and equitable if contribution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Holders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amount paid or payable by an Indemnified Person as a result of the losses, claims, damages and liabilities referred to in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hereof shall be deemed to include, subject to the limitations set forth above, any legal or other expenses reasonably incurred by such Indemnified Person in connection with any such action or claim.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in no event shall a Holder be required to contribute any amount in excess of the amount by which the total price at which the WM Securities or Exchange Securities sold by such Holder exceeds the amount of any damages that such Holder has otherwise been required to pay by reason of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Holders’ obligations to contribute pursuant to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are several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remedies provided for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are not exclusive and shall not limit any rights or remedies that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indemnity and contribution provisions contained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remain operative and in full force and effect regardless of (i) any termination of this Agreement; (ii) any investigation made by or on behalf of the Dealer Managers or any Holder or any Person controlling any Dealer Manager or any Holder, or by or on behalf of the Company or the officers or directors of or any Person controlling the Company; (iii) acceptance of any of the Exchange Securities; and (iv) any sale of Registrable Securities pursuant to a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No Inconsistent Agreements. </w:t>
      </w:r>
      <w:r>
        <w:rPr>
          <w:rFonts w:ascii="Times New Roman;Times;Serif" w:hAnsi="Times New Roman;Times;Serif"/>
          <w:b w:val="false"/>
          <w:i w:val="false"/>
          <w:caps w:val="false"/>
          <w:smallCaps w:val="false"/>
          <w:sz w:val="20"/>
        </w:rPr>
        <w:t>The Company represents, warrants and agrees that (i) the rights granted to the Holders hereunder do not in any way conflict with the rights granted to the holders of any other outstanding securities issued or guaranteed by the Company under any other agreement, and (ii) the Company has not entered into, and on or after the date of this Agreement, will not enter into, any agreement that conflicts with the rights granted to the Holders of Registrable Securities in this Agreement or otherwise conflicts with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Amendments and Waivers.</w:t>
      </w:r>
      <w:r>
        <w:rPr>
          <w:rFonts w:ascii="Times New Roman;Times;Serif" w:hAnsi="Times New Roman;Times;Serif"/>
          <w:b w:val="false"/>
          <w:i w:val="false"/>
          <w:caps w:val="false"/>
          <w:smallCaps w:val="false"/>
          <w:sz w:val="20"/>
        </w:rPr>
        <w:t xml:space="preserve"> (i) The provisions of this Agreement, including the provisions of this sentence, may not be 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amendment, modification, supplement, waiver or consent to any departure from the provisions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effective as against any Holder of Registrable Securities unless consented to in writing by such Holder. (ii) Any amendments, modifications, supplements, waivers or consents pursuant to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shall be in writing and signed by the parties hereto. Each Holder of Registrable Securities outstanding at the time of such amendment, modification, supplement, waiver or consent thereafter shall be bound by and any such amendment, modification, supplement, waiver or consent effected pursuant to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whether or not any notice, writing or marking indicating such amendment, modification, supplement, waiver or consent appears on the Registrable Securities or is delivered to such Holder. Each Holder may waive compliance with respect to any obligation of the Company under this Agreement as it may apply or be enforced by such particular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 xml:space="preserve">(i) Except as otherwise specified herein, all notices and other communications provided for or permitted hereunder shall be made in writing by hand-delivery, registered first-class mail, email or any courier guaranteeing overnight delivery (A) if to a Holder, at the most current address given by such Holder to the Company by means of a notice given in accordance with the provisions of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which address initially is, with respect to the Dealer Managers, the address set forth in the Dealer Manager Agreement; (B) if to the Company, initially at the Company’s address set forth in the Dealer Manager Agreement and thereafter at such other address, notice of which is given in accordance with the provisions of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and (C) if to such other persons, at their respective addresses as provided in the Dealer Manager Agreement and thereafter at such other address, notice of which is given in accordance with the provisions of this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(ii) All such notices and communications shall be deemed to have been duly given: at the time delivered by hand, if personally delivered; three Business Days after being deposited in the mail, postage prepaid, if mailed; when receipt is acknowledged, if emailed; and on the next Business Day if timely delivered to an air courier guaranteeing overnight delivery. (iii) Copies of all such notices, demands or other communications shall be concurrently delivered by the Person giving the same to the Trustee, at the address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 xml:space="preserve"> (i) This Agreement shall inure to the benefit of and be binding upon the successors, assigns and transferees of each of the parties, including, without limitation and without the need for an express assignment, subsequent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be deemed to permit any assignment, transfer or other disposition of Registrable Securities in violation of the terms of the Dealer Manager Agreement or the Indenture. (ii)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(iii) The Dealer Managers (in their capacity as Dealer Managers) shall have no liability or obligation to the Company with respect to any failure by a Holder to comply with, or any breach by any Holder of, any of the obligations of such Holder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Third-Party Beneficiaries. </w:t>
      </w:r>
      <w:r>
        <w:rPr>
          <w:rFonts w:ascii="Times New Roman;Times;Serif" w:hAnsi="Times New Roman;Times;Serif"/>
          <w:b w:val="false"/>
          <w:i w:val="false"/>
          <w:caps w:val="false"/>
          <w:smallCaps w:val="false"/>
          <w:sz w:val="20"/>
        </w:rPr>
        <w:t>The Trustee and each Holder shall be a third-party beneficiary to the agreements made hereunder between the Company, on the one hand, and the Dealer Managers, on the other hand, and shall have the right to enforce such agreements directly to the extent it deems such enforcement necessary or advisable to protect its rights or the rights of other Holders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Counterparts. </w:t>
      </w:r>
      <w:r>
        <w:rPr>
          <w:rFonts w:ascii="Times New Roman;Times;Serif" w:hAnsi="Times New Roman;Times;Serif"/>
          <w:b w:val="false"/>
          <w:i w:val="false"/>
          <w:caps w:val="false"/>
          <w:smallCaps w:val="false"/>
          <w:sz w:val="20"/>
        </w:rPr>
        <w:t>(i) This Agreement may be signed in counterparts, each of which shall be an original and all of which together shall constitute one and the same instrument. (ii) Counterparts may be delivered via facsimile, electronic mail in “portable document format” (“.pdf”)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Headings. </w:t>
      </w:r>
      <w:r>
        <w:rPr>
          <w:rFonts w:ascii="Times New Roman;Times;Serif" w:hAnsi="Times New Roman;Times;Serif"/>
          <w:b w:val="false"/>
          <w:i w:val="false"/>
          <w:caps w:val="false"/>
          <w:smallCaps w:val="false"/>
          <w:sz w:val="20"/>
        </w:rPr>
        <w:t>The headings herein are included for convenience of reference only and are not intended to be part of, or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Governing Law; Consent to Jurisdiction; Waiver of Jury Trial.</w:t>
      </w:r>
      <w:r>
        <w:rPr>
          <w:rFonts w:ascii="Times New Roman;Times;Serif" w:hAnsi="Times New Roman;Times;Serif"/>
          <w:b w:val="false"/>
          <w:i w:val="false"/>
          <w:caps w:val="false"/>
          <w:smallCaps w:val="false"/>
          <w:sz w:val="20"/>
        </w:rPr>
        <w:t xml:space="preserve"> (i) This Agreement will be governed by and construed in accordance with the laws of the State of New York. (ii) Each of the parties hereto irrevocably consents and agrees that any legal action, suit or proceeding against it with respect to its obligations, liabilities or any other matter arising out of or based on this Agreement shall be brought in the courts of the State of New York sitting in New York County or of the United States of America for the Southern District of New York. (iii) Each of the parties hereto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Entire Agreement; Severability. </w:t>
      </w:r>
      <w:r>
        <w:rPr>
          <w:rFonts w:ascii="Times New Roman;Times;Serif" w:hAnsi="Times New Roman;Times;Serif"/>
          <w:b w:val="false"/>
          <w:i w:val="false"/>
          <w:caps w:val="false"/>
          <w:smallCaps w:val="false"/>
          <w:sz w:val="20"/>
        </w:rPr>
        <w:t>(i) This Agreement contains the entire agreement between the parties relating to the subject matter hereof and supersedes all oral statements and prior writings with respect thereto. (ii)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(iii) The Company and the Dealer Managers shall endeavor in good faith negotiations to replace the invalid, void or unenforceable provisions with valid provisions the economic effect of which comes as close as possible to that of such invalid, void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Delegation by the Company</w:t>
      </w:r>
      <w:r>
        <w:rPr>
          <w:rFonts w:ascii="Times New Roman;Times;Serif" w:hAnsi="Times New Roman;Times;Serif"/>
          <w:b w:val="false"/>
          <w:i w:val="false"/>
          <w:caps w:val="false"/>
          <w:smallCaps w:val="false"/>
          <w:sz w:val="20"/>
        </w:rPr>
        <w:t>. All references to obligations of the Company to take or not take any actions shall be satisfied so long as the Company causes such actions to be taken or not taken,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xml:space="preserve">. This Agreement and the obligations of the parties hereunder shall terminate upon the expiration of the Shelf Effectiveness Period, except for any liabilities or obligations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each of which shall remain in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on following pages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330" w:type="dxa"/>
        <w:jc w:val="left"/>
        <w:tblInd w:w="0" w:type="dxa"/>
        <w:tblLayout w:type="fixed"/>
        <w:tblCellMar>
          <w:top w:w="0" w:type="dxa"/>
          <w:left w:w="0" w:type="dxa"/>
          <w:bottom w:w="0" w:type="dxa"/>
          <w:right w:w="0" w:type="dxa"/>
        </w:tblCellMar>
      </w:tblPr>
      <w:tblGrid>
        <w:gridCol w:w="335"/>
        <w:gridCol w:w="590"/>
        <w:gridCol w:w="2330"/>
        <w:gridCol w:w="75"/>
      </w:tblGrid>
      <w:tr>
        <w:trPr/>
        <w:tc>
          <w:tcPr>
            <w:tcW w:w="325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Waste Management,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Leslie Nagy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Nagy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5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Waste Management Holdings,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Leslie Nagy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Leslie Nagy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Treasurer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t>[</w:t>
      </w:r>
      <w:r>
        <w:rPr>
          <w:i/>
        </w:rPr>
        <w:t>Signature Page to the Registration Rights Agreement</w:t>
      </w:r>
      <w:r>
        <w:rPr/>
        <w: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w:t>
        <w:br/>
        <w:t>accepted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335"/>
        <w:gridCol w:w="545"/>
        <w:gridCol w:w="1295"/>
        <w:gridCol w:w="75"/>
      </w:tblGrid>
      <w:tr>
        <w:trPr/>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Barclays Capital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Kenneth Chang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Chang</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w:t>
        <w:br/>
        <w:t>accepted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730" w:type="dxa"/>
        <w:jc w:val="left"/>
        <w:tblInd w:w="0" w:type="dxa"/>
        <w:tblLayout w:type="fixed"/>
        <w:tblCellMar>
          <w:top w:w="0" w:type="dxa"/>
          <w:left w:w="0" w:type="dxa"/>
          <w:bottom w:w="0" w:type="dxa"/>
          <w:right w:w="0" w:type="dxa"/>
        </w:tblCellMar>
      </w:tblPr>
      <w:tblGrid>
        <w:gridCol w:w="335"/>
        <w:gridCol w:w="545"/>
        <w:gridCol w:w="1775"/>
        <w:gridCol w:w="75"/>
      </w:tblGrid>
      <w:tr>
        <w:trPr/>
        <w:tc>
          <w:tcPr>
            <w:tcW w:w="265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Deutsche Bank Securities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E. Montgomery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E. Montgomery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Shamit Saha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Shamit Saha</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w:t>
        <w:br/>
        <w:t>accepted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335"/>
        <w:gridCol w:w="545"/>
        <w:gridCol w:w="1565"/>
        <w:gridCol w:w="75"/>
      </w:tblGrid>
      <w:tr>
        <w:trPr/>
        <w:tc>
          <w:tcPr>
            <w:tcW w:w="244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Goldman Sachs &amp; Co.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Rost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Rost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3768/0000950129-97-003909.txt" TargetMode="External"/><Relationship Id="rId3" Type="http://schemas.openxmlformats.org/officeDocument/2006/relationships/hyperlink" Target="https://www.sec.gov/Archives/edgar/data/823768/0000950129-97-003909.txt"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30345</Words>
  <Characters>158279</Characters>
  <CharactersWithSpaces>190392</CharactersWithSpaces>
  <Paragraphs>1655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