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April 20,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197485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On April 20, 2006, Waste Management, Inc. (the “Company”) filed a prospectus supplement pursuant to Rule 424 of the Securities Act of 1933, as amended, to its registration statement on Form S-3 (No. 333-97697) (the “Registration Statement”), to register the issuance of 50,000 shares of its common stock, par value $0.01 per share (the “Common Stock”), upon exercise of outstanding warrants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20, 2006</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1049"/>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040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2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9"/>
                <w:szCs w:val="19"/>
                <w:color w:val="auto"/>
              </w:rPr>
            </w:pPr>
          </w:p>
        </w:tc>
        <w:tc>
          <w:tcPr>
            <w:tcW w:w="9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1420"/>
          </w:cols>
          <w:pgMar w:left="240" w:top="419" w:right="2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color w:val="auto"/>
        </w:rPr>
        <w:t>[WASTE MANAGEMENT LETTERHEAD]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April 20,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 am Vice President and Assistant General Counsel – Corporate &amp; Securities of Waste Management, Inc., a Delaware corporation (the “Company”), and have acted in such capacity in connection with the sale of 50,000 shares of the Company’s common stock, par value $0.01 per share (the “Common Stock”), pursuant to the exercise of the warrants dated April 23, 1996 (the “Warrants”). The 50,000 shares of Common Stock are being issued under a registration statement on Form S-3 (No. 333-97697) filed under the Securities Act of 1933, as amended.</w:t>
      </w:r>
    </w:p>
    <w:p>
      <w:pPr>
        <w:spacing w:after="0" w:line="6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John S. Tsai</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280"/>
      </w:cols>
      <w:pgMar w:left="240" w:top="9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2019-12-20T04:04:26Z</dcterms:created>
  <dcterms:modified xsi:type="dcterms:W3CDTF">2019-12-20T04:04:26Z</dcterms:modified>
</cp:coreProperties>
</file>