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July 30, 2020</w:t>
      </w:r>
    </w:p>
    <w:p>
      <w:pPr>
        <w:spacing w:after="0" w:line="2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S-8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20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(I.R.S. Employer Identification Number)</w:t>
      </w:r>
    </w:p>
    <w:p>
      <w:pPr>
        <w:spacing w:after="0" w:line="438" w:lineRule="exact"/>
        <w:rPr>
          <w:sz w:val="24"/>
          <w:szCs w:val="24"/>
          <w:color w:val="auto"/>
        </w:rPr>
      </w:pPr>
    </w:p>
    <w:p>
      <w:pPr>
        <w:sectPr>
          <w:pgSz w:w="11900" w:h="16838" w:orient="portrait"/>
          <w:cols w:equalWidth="0" w:num="2">
            <w:col w:w="6360" w:space="720"/>
            <w:col w:w="4160"/>
          </w:cols>
          <w:pgMar w:left="320" w:top="229"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 xml:space="preserve">WASTE MANAGEMENT, INC. EMPLOYEE STOCK PURCHASE PLAN (Amendment and Restatement Effective May 12, 2020) </w:t>
      </w:r>
      <w:r>
        <w:rPr>
          <w:rFonts w:ascii="Arial" w:cs="Arial" w:eastAsia="Arial" w:hAnsi="Arial"/>
          <w:sz w:val="18"/>
          <w:szCs w:val="18"/>
          <w:color w:val="auto"/>
        </w:rPr>
        <w:t>(Full titles of the Plans)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Charles C. Boettcher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right="1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53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5660" w:type="dxa"/>
            <w:vAlign w:val="bottom"/>
          </w:tcPr>
          <w:p>
            <w:pPr>
              <w:ind w:left="352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53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5660" w:type="dxa"/>
            <w:vAlign w:val="bottom"/>
          </w:tcPr>
          <w:p>
            <w:pPr>
              <w:ind w:left="3520"/>
              <w:spacing w:after="0"/>
              <w:rPr>
                <w:sz w:val="20"/>
                <w:szCs w:val="20"/>
                <w:color w:val="auto"/>
              </w:rPr>
            </w:pPr>
            <w:r>
              <w:rPr>
                <w:rFonts w:ascii="Arial" w:cs="Arial" w:eastAsia="Arial" w:hAnsi="Arial"/>
                <w:sz w:val="18"/>
                <w:szCs w:val="18"/>
                <w:color w:val="auto"/>
                <w:w w:val="98"/>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5340" w:type="dxa"/>
            <w:vAlign w:val="bottom"/>
          </w:tcPr>
          <w:p>
            <w:pPr>
              <w:spacing w:after="0"/>
              <w:rPr>
                <w:sz w:val="24"/>
                <w:szCs w:val="24"/>
                <w:color w:val="auto"/>
              </w:rPr>
            </w:pPr>
          </w:p>
        </w:tc>
        <w:tc>
          <w:tcPr>
            <w:tcW w:w="5660" w:type="dxa"/>
            <w:vAlign w:val="bottom"/>
          </w:tcPr>
          <w:p>
            <w:pPr>
              <w:ind w:left="3520"/>
              <w:spacing w:after="0"/>
              <w:rPr>
                <w:sz w:val="20"/>
                <w:szCs w:val="20"/>
                <w:color w:val="auto"/>
              </w:rPr>
            </w:pPr>
            <w:r>
              <w:rPr>
                <w:rFonts w:ascii="Arial" w:cs="Arial" w:eastAsia="Arial" w:hAnsi="Arial"/>
                <w:sz w:val="18"/>
                <w:szCs w:val="18"/>
                <w:color w:val="auto"/>
                <w:w w:val="95"/>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040" w:type="dxa"/>
            <w:vAlign w:val="bottom"/>
            <w:tcBorders>
              <w:top w:val="single" w:sz="8" w:color="auto"/>
              <w:bottom w:val="single" w:sz="8" w:color="auto"/>
              <w:right w:val="single" w:sz="8" w:color="auto"/>
            </w:tcBorders>
          </w:tcPr>
          <w:p>
            <w:pPr>
              <w:spacing w:after="0"/>
              <w:rPr>
                <w:sz w:val="3"/>
                <w:szCs w:val="3"/>
                <w:color w:val="auto"/>
              </w:rPr>
            </w:pPr>
          </w:p>
        </w:tc>
        <w:tc>
          <w:tcPr>
            <w:tcW w:w="2000" w:type="dxa"/>
            <w:vAlign w:val="bottom"/>
            <w:tcBorders>
              <w:top w:val="single" w:sz="8" w:color="auto"/>
              <w:bottom w:val="single" w:sz="8" w:color="auto"/>
              <w:right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right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right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78"/>
        </w:trPr>
        <w:tc>
          <w:tcPr>
            <w:tcW w:w="30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Borders>
              <w:right w:val="single" w:sz="8" w:color="auto"/>
            </w:tcBorders>
          </w:tcPr>
          <w:p>
            <w:pPr>
              <w:jc w:val="center"/>
              <w:ind w:right="110"/>
              <w:spacing w:after="0" w:line="178" w:lineRule="exact"/>
              <w:rPr>
                <w:sz w:val="20"/>
                <w:szCs w:val="20"/>
                <w:color w:val="auto"/>
              </w:rPr>
            </w:pPr>
            <w:r>
              <w:rPr>
                <w:rFonts w:ascii="Arial" w:cs="Arial" w:eastAsia="Arial" w:hAnsi="Arial"/>
                <w:sz w:val="18"/>
                <w:szCs w:val="18"/>
                <w:b w:val="1"/>
                <w:bCs w:val="1"/>
                <w:color w:val="auto"/>
                <w:w w:val="89"/>
              </w:rPr>
              <w:t>Proposed maximum</w:t>
            </w:r>
          </w:p>
        </w:tc>
        <w:tc>
          <w:tcPr>
            <w:tcW w:w="320" w:type="dxa"/>
            <w:vAlign w:val="bottom"/>
          </w:tcPr>
          <w:p>
            <w:pPr>
              <w:spacing w:after="0"/>
              <w:rPr>
                <w:sz w:val="15"/>
                <w:szCs w:val="15"/>
                <w:color w:val="auto"/>
              </w:rPr>
            </w:pPr>
          </w:p>
        </w:tc>
        <w:tc>
          <w:tcPr>
            <w:tcW w:w="1780" w:type="dxa"/>
            <w:vAlign w:val="bottom"/>
            <w:tcBorders>
              <w:right w:val="single" w:sz="8" w:color="auto"/>
            </w:tcBorders>
          </w:tcPr>
          <w:p>
            <w:pPr>
              <w:jc w:val="center"/>
              <w:ind w:right="110"/>
              <w:spacing w:after="0" w:line="178" w:lineRule="exact"/>
              <w:rPr>
                <w:sz w:val="20"/>
                <w:szCs w:val="20"/>
                <w:color w:val="auto"/>
              </w:rPr>
            </w:pPr>
            <w:r>
              <w:rPr>
                <w:rFonts w:ascii="Arial" w:cs="Arial" w:eastAsia="Arial" w:hAnsi="Arial"/>
                <w:sz w:val="18"/>
                <w:szCs w:val="18"/>
                <w:b w:val="1"/>
                <w:bCs w:val="1"/>
                <w:color w:val="auto"/>
                <w:w w:val="89"/>
              </w:rPr>
              <w:t>Proposed maximum</w:t>
            </w: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16"/>
        </w:trPr>
        <w:tc>
          <w:tcPr>
            <w:tcW w:w="3040" w:type="dxa"/>
            <w:vAlign w:val="bottom"/>
            <w:tcBorders>
              <w:right w:val="single" w:sz="8" w:color="auto"/>
            </w:tcBorders>
          </w:tcPr>
          <w:p>
            <w:pPr>
              <w:ind w:left="880"/>
              <w:spacing w:after="0"/>
              <w:rPr>
                <w:sz w:val="20"/>
                <w:szCs w:val="20"/>
                <w:color w:val="auto"/>
              </w:rPr>
            </w:pPr>
            <w:r>
              <w:rPr>
                <w:rFonts w:ascii="Arial" w:cs="Arial" w:eastAsia="Arial" w:hAnsi="Arial"/>
                <w:sz w:val="18"/>
                <w:szCs w:val="18"/>
                <w:b w:val="1"/>
                <w:bCs w:val="1"/>
                <w:color w:val="auto"/>
              </w:rPr>
              <w:t>Title of securities</w:t>
            </w:r>
          </w:p>
        </w:tc>
        <w:tc>
          <w:tcPr>
            <w:tcW w:w="20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Amount to be</w:t>
            </w:r>
          </w:p>
        </w:tc>
        <w:tc>
          <w:tcPr>
            <w:tcW w:w="320" w:type="dxa"/>
            <w:vAlign w:val="bottom"/>
          </w:tcPr>
          <w:p>
            <w:pPr>
              <w:spacing w:after="0"/>
              <w:rPr>
                <w:sz w:val="18"/>
                <w:szCs w:val="18"/>
                <w:color w:val="auto"/>
              </w:rPr>
            </w:pP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offering price per</w:t>
            </w:r>
          </w:p>
        </w:tc>
        <w:tc>
          <w:tcPr>
            <w:tcW w:w="320" w:type="dxa"/>
            <w:vAlign w:val="bottom"/>
          </w:tcPr>
          <w:p>
            <w:pPr>
              <w:spacing w:after="0"/>
              <w:rPr>
                <w:sz w:val="18"/>
                <w:szCs w:val="18"/>
                <w:color w:val="auto"/>
              </w:rPr>
            </w:pP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aggregate offering</w:t>
            </w:r>
          </w:p>
        </w:tc>
        <w:tc>
          <w:tcPr>
            <w:tcW w:w="40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304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to be registered</w:t>
            </w:r>
          </w:p>
        </w:tc>
        <w:tc>
          <w:tcPr>
            <w:tcW w:w="20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Registered (1)</w:t>
            </w: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 (2)</w:t>
            </w: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price (2)</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registration fee</w:t>
            </w:r>
          </w:p>
        </w:tc>
      </w:tr>
      <w:tr>
        <w:trPr>
          <w:trHeight w:val="202"/>
        </w:trPr>
        <w:tc>
          <w:tcPr>
            <w:tcW w:w="30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Common Stock, par value $0.01 per</w:t>
            </w:r>
          </w:p>
        </w:tc>
        <w:tc>
          <w:tcPr>
            <w:tcW w:w="20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3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share, reserved for issuance under the</w:t>
            </w:r>
          </w:p>
        </w:tc>
        <w:tc>
          <w:tcPr>
            <w:tcW w:w="2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Waste Management, Inc. Employee</w:t>
            </w:r>
          </w:p>
        </w:tc>
        <w:tc>
          <w:tcPr>
            <w:tcW w:w="2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30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Purchase Plan</w:t>
            </w:r>
          </w:p>
        </w:tc>
        <w:tc>
          <w:tcPr>
            <w:tcW w:w="20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3,000,000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107.08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321,240,000</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41,696.95</w:t>
            </w:r>
          </w:p>
        </w:tc>
      </w:tr>
      <w:tr>
        <w:trPr>
          <w:trHeight w:val="20"/>
        </w:trPr>
        <w:tc>
          <w:tcPr>
            <w:tcW w:w="304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 w:lineRule="exact"/>
        <w:rPr>
          <w:sz w:val="24"/>
          <w:szCs w:val="24"/>
          <w:color w:val="auto"/>
        </w:rPr>
      </w:pPr>
    </w:p>
    <w:p>
      <w:pPr>
        <w:ind w:left="460" w:right="240" w:hanging="416"/>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Relates to Common Stock to be issued pursuant to the Waste Management, Inc. Employee Stock Purchase Plan. Pursuant to Rule 416(a) under the Securities Act of 1933, as amended, this registration statement on Form S-8 also shall cover rights to acquire Common Stock and any additional shares of Common Stock in respect of the securities identified in the above table as a result of any stock split, stock dividend or anti-dilution provisions of the Plan.</w:t>
      </w:r>
    </w:p>
    <w:p>
      <w:pPr>
        <w:spacing w:after="0" w:line="186" w:lineRule="exact"/>
        <w:rPr>
          <w:rFonts w:ascii="Arial" w:cs="Arial" w:eastAsia="Arial" w:hAnsi="Arial"/>
          <w:sz w:val="18"/>
          <w:szCs w:val="18"/>
          <w:color w:val="auto"/>
        </w:rPr>
      </w:pPr>
    </w:p>
    <w:p>
      <w:pPr>
        <w:ind w:left="460" w:hanging="41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 Rule 457(c) and</w:t>
      </w:r>
    </w:p>
    <w:p>
      <w:pPr>
        <w:spacing w:after="0" w:line="23" w:lineRule="exact"/>
        <w:rPr>
          <w:rFonts w:ascii="Arial" w:cs="Arial" w:eastAsia="Arial" w:hAnsi="Arial"/>
          <w:sz w:val="18"/>
          <w:szCs w:val="18"/>
          <w:color w:val="auto"/>
        </w:rPr>
      </w:pPr>
    </w:p>
    <w:p>
      <w:pPr>
        <w:ind w:left="460" w:right="80"/>
        <w:spacing w:after="0" w:line="260" w:lineRule="auto"/>
        <w:rPr>
          <w:rFonts w:ascii="Arial" w:cs="Arial" w:eastAsia="Arial" w:hAnsi="Arial"/>
          <w:sz w:val="18"/>
          <w:szCs w:val="18"/>
          <w:color w:val="auto"/>
        </w:rPr>
      </w:pPr>
      <w:r>
        <w:rPr>
          <w:rFonts w:ascii="Arial" w:cs="Arial" w:eastAsia="Arial" w:hAnsi="Arial"/>
          <w:sz w:val="18"/>
          <w:szCs w:val="18"/>
          <w:color w:val="auto"/>
        </w:rPr>
        <w:t>Rule 457(h) under the Securities Act based on the average of the high and low sales prices of the Common Stock as reported on the New York Stock Exchange on July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STATEMENT</w:t>
      </w:r>
    </w:p>
    <w:p>
      <w:pPr>
        <w:spacing w:after="0" w:line="229" w:lineRule="exact"/>
        <w:rPr>
          <w:sz w:val="20"/>
          <w:szCs w:val="20"/>
          <w:color w:val="auto"/>
        </w:rPr>
      </w:pPr>
    </w:p>
    <w:p>
      <w:pPr>
        <w:ind w:right="120" w:firstLine="648"/>
        <w:spacing w:after="0" w:line="291" w:lineRule="auto"/>
        <w:rPr>
          <w:rFonts w:ascii="Arial" w:cs="Arial" w:eastAsia="Arial" w:hAnsi="Arial"/>
          <w:sz w:val="16"/>
          <w:szCs w:val="16"/>
          <w:color w:val="0000EE"/>
        </w:rPr>
      </w:pPr>
      <w:r>
        <w:rPr>
          <w:rFonts w:ascii="Arial" w:cs="Arial" w:eastAsia="Arial" w:hAnsi="Arial"/>
          <w:sz w:val="16"/>
          <w:szCs w:val="16"/>
          <w:color w:val="auto"/>
        </w:rPr>
        <w:t xml:space="preserve">In accordance with General Instruction E of Form S-8 under the Securities Act of 1933, as amended, the Registrant has filed this registration statement on Form S-8 to register the issuance of an additional 3,000,000 shares of Common Stock pursuant to the Waste Management, Inc. Employee </w:t>
      </w:r>
      <w:hyperlink r:id="rId13">
        <w:r>
          <w:rPr>
            <w:rFonts w:ascii="Arial" w:cs="Arial" w:eastAsia="Arial" w:hAnsi="Arial"/>
            <w:sz w:val="16"/>
            <w:szCs w:val="16"/>
            <w:color w:val="auto"/>
          </w:rPr>
          <w:t xml:space="preserve">Stock Purchase Plan (the “Plan”). The contents of the Registration Statement on </w:t>
        </w:r>
        <w:r>
          <w:rPr>
            <w:rFonts w:ascii="Arial" w:cs="Arial" w:eastAsia="Arial" w:hAnsi="Arial"/>
            <w:sz w:val="16"/>
            <w:szCs w:val="16"/>
            <w:u w:val="single" w:color="auto"/>
            <w:color w:val="0000EE"/>
          </w:rPr>
          <w:t>Form S-8 (Registration No. 333-135379) filed by the Registrant with the</w:t>
        </w:r>
      </w:hyperlink>
      <w:r>
        <w:rPr>
          <w:rFonts w:ascii="Arial" w:cs="Arial" w:eastAsia="Arial" w:hAnsi="Arial"/>
          <w:sz w:val="16"/>
          <w:szCs w:val="16"/>
          <w:color w:val="auto"/>
        </w:rPr>
        <w:t xml:space="preserve"> </w:t>
      </w:r>
      <w:hyperlink r:id="rId14">
        <w:r>
          <w:rPr>
            <w:rFonts w:ascii="Arial" w:cs="Arial" w:eastAsia="Arial" w:hAnsi="Arial"/>
            <w:sz w:val="16"/>
            <w:szCs w:val="16"/>
            <w:u w:val="single" w:color="auto"/>
            <w:color w:val="0000EE"/>
          </w:rPr>
          <w:t>Securities and Exchange Commission (the “Commission”) on June 27, 2006</w:t>
        </w:r>
        <w:r>
          <w:rPr>
            <w:rFonts w:ascii="Arial" w:cs="Arial" w:eastAsia="Arial" w:hAnsi="Arial"/>
            <w:sz w:val="16"/>
            <w:szCs w:val="16"/>
            <w:color w:val="000000"/>
          </w:rPr>
          <w:t>, the Registration Statement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Form S-8 (Registration No. 333-159475) filed</w:t>
        </w:r>
      </w:hyperlink>
      <w:r>
        <w:rPr>
          <w:rFonts w:ascii="Arial" w:cs="Arial" w:eastAsia="Arial" w:hAnsi="Arial"/>
          <w:sz w:val="16"/>
          <w:szCs w:val="16"/>
          <w:color w:val="0000EE"/>
        </w:rPr>
        <w:t xml:space="preserve"> </w:t>
      </w:r>
      <w:hyperlink r:id="rId15">
        <w:r>
          <w:rPr>
            <w:rFonts w:ascii="Arial" w:cs="Arial" w:eastAsia="Arial" w:hAnsi="Arial"/>
            <w:sz w:val="16"/>
            <w:szCs w:val="16"/>
            <w:u w:val="single" w:color="auto"/>
            <w:color w:val="0000EE"/>
          </w:rPr>
          <w:t>by the Registrant with the Commission on May 26, 2009</w:t>
        </w:r>
        <w:r>
          <w:rPr>
            <w:rFonts w:ascii="Arial" w:cs="Arial" w:eastAsia="Arial" w:hAnsi="Arial"/>
            <w:sz w:val="16"/>
            <w:szCs w:val="16"/>
            <w:color w:val="000000"/>
          </w:rPr>
          <w:t>, the Registration Statement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Form S-8 (Registration No. 333-181335) filed by the Registrant</w:t>
        </w:r>
      </w:hyperlink>
      <w:r>
        <w:rPr>
          <w:rFonts w:ascii="Arial" w:cs="Arial" w:eastAsia="Arial" w:hAnsi="Arial"/>
          <w:sz w:val="16"/>
          <w:szCs w:val="16"/>
          <w:color w:val="0000EE"/>
        </w:rPr>
        <w:t xml:space="preserve"> </w:t>
      </w:r>
      <w:hyperlink r:id="rId16">
        <w:r>
          <w:rPr>
            <w:rFonts w:ascii="Arial" w:cs="Arial" w:eastAsia="Arial" w:hAnsi="Arial"/>
            <w:sz w:val="16"/>
            <w:szCs w:val="16"/>
            <w:u w:val="single" w:color="auto"/>
            <w:color w:val="0000EE"/>
          </w:rPr>
          <w:t>with the Commission on May 11, 2012</w:t>
        </w:r>
        <w:r>
          <w:rPr>
            <w:rFonts w:ascii="Arial" w:cs="Arial" w:eastAsia="Arial" w:hAnsi="Arial"/>
            <w:sz w:val="16"/>
            <w:szCs w:val="16"/>
            <w:color w:val="000000"/>
          </w:rPr>
          <w:t>, and the Registration Statement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Form S-8 (Registration No. 333-204319) filed by the Registrant with the</w:t>
        </w:r>
      </w:hyperlink>
      <w:r>
        <w:rPr>
          <w:rFonts w:ascii="Arial" w:cs="Arial" w:eastAsia="Arial" w:hAnsi="Arial"/>
          <w:sz w:val="16"/>
          <w:szCs w:val="16"/>
          <w:color w:val="0000EE"/>
        </w:rPr>
        <w:t xml:space="preserve"> </w:t>
      </w:r>
      <w:hyperlink r:id="rId16">
        <w:r>
          <w:rPr>
            <w:rFonts w:ascii="Arial" w:cs="Arial" w:eastAsia="Arial" w:hAnsi="Arial"/>
            <w:sz w:val="16"/>
            <w:szCs w:val="16"/>
            <w:u w:val="single" w:color="auto"/>
            <w:color w:val="0000EE"/>
          </w:rPr>
          <w:t>Commission on May 20, 2015</w:t>
        </w:r>
        <w:r>
          <w:rPr>
            <w:rFonts w:ascii="Arial" w:cs="Arial" w:eastAsia="Arial" w:hAnsi="Arial"/>
            <w:sz w:val="16"/>
            <w:szCs w:val="16"/>
            <w:color w:val="0000EE"/>
          </w:rPr>
          <w:t xml:space="preserve"> </w:t>
        </w:r>
        <w:r>
          <w:rPr>
            <w:rFonts w:ascii="Arial" w:cs="Arial" w:eastAsia="Arial" w:hAnsi="Arial"/>
            <w:sz w:val="16"/>
            <w:szCs w:val="16"/>
            <w:color w:val="000000"/>
          </w:rPr>
          <w:t>are incorporated herein by reference except to the extent otherwise updated or modified by this Registration Statement.</w:t>
        </w:r>
      </w:hyperlink>
    </w:p>
    <w:p>
      <w:pPr>
        <w:spacing w:after="0" w:line="162"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6"/>
          <w:szCs w:val="16"/>
          <w:color w:val="0000EE"/>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rFonts w:ascii="Arial" w:cs="Arial" w:eastAsia="Arial" w:hAnsi="Arial"/>
          <w:sz w:val="16"/>
          <w:szCs w:val="16"/>
          <w:color w:val="0000EE"/>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rFonts w:ascii="Arial" w:cs="Arial" w:eastAsia="Arial" w:hAnsi="Arial"/>
          <w:sz w:val="16"/>
          <w:szCs w:val="16"/>
          <w:color w:val="0000EE"/>
        </w:rPr>
      </w:pPr>
    </w:p>
    <w:p>
      <w:pPr>
        <w:ind w:left="66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into this Registration Statement:</w:t>
      </w:r>
    </w:p>
    <w:p>
      <w:pPr>
        <w:spacing w:after="0" w:line="237" w:lineRule="exact"/>
        <w:rPr>
          <w:rFonts w:ascii="Arial" w:cs="Arial" w:eastAsia="Arial" w:hAnsi="Arial"/>
          <w:sz w:val="16"/>
          <w:szCs w:val="16"/>
          <w:color w:val="0000EE"/>
        </w:rPr>
      </w:pPr>
    </w:p>
    <w:p>
      <w:pPr>
        <w:ind w:left="660" w:hanging="436"/>
        <w:spacing w:after="0"/>
        <w:tabs>
          <w:tab w:leader="none" w:pos="660" w:val="left"/>
        </w:tabs>
        <w:numPr>
          <w:ilvl w:val="0"/>
          <w:numId w:val="2"/>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Annual Report on Form 10-K for the fiscal year ended December 31, 2019.</w:t>
        </w:r>
      </w:hyperlink>
    </w:p>
    <w:p>
      <w:pPr>
        <w:spacing w:after="0" w:line="225" w:lineRule="exact"/>
        <w:rPr>
          <w:rFonts w:ascii="Arial" w:cs="Arial" w:eastAsia="Arial" w:hAnsi="Arial"/>
          <w:sz w:val="18"/>
          <w:szCs w:val="18"/>
          <w:u w:val="single" w:color="auto"/>
          <w:color w:val="0000EE"/>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 on Form 10-Q for the quarters ended </w:t>
      </w:r>
      <w:hyperlink r:id="rId18">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June 30,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The description of the Registrant’s Common Stock on Form 8-B filed with the Commission on July 13, 1995.</w:t>
        </w:r>
      </w:hyperlink>
    </w:p>
    <w:p>
      <w:pPr>
        <w:spacing w:after="0" w:line="225" w:lineRule="exact"/>
        <w:rPr>
          <w:rFonts w:ascii="Arial" w:cs="Arial" w:eastAsia="Arial" w:hAnsi="Arial"/>
          <w:sz w:val="18"/>
          <w:szCs w:val="18"/>
          <w:u w:val="single" w:color="auto"/>
          <w:color w:val="0000EE"/>
        </w:rPr>
      </w:pPr>
    </w:p>
    <w:p>
      <w:pPr>
        <w:ind w:left="660" w:right="580" w:hanging="436"/>
        <w:spacing w:after="0" w:line="277" w:lineRule="auto"/>
        <w:tabs>
          <w:tab w:leader="none" w:pos="66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with the Commission on </w:t>
      </w:r>
      <w:hyperlink r:id="rId21">
        <w:r>
          <w:rPr>
            <w:rFonts w:ascii="Arial" w:cs="Arial" w:eastAsia="Arial" w:hAnsi="Arial"/>
            <w:sz w:val="18"/>
            <w:szCs w:val="18"/>
            <w:u w:val="single" w:color="auto"/>
            <w:color w:val="0000EE"/>
          </w:rPr>
          <w:t>February 25,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Form 8-K/A filed with the Commission on </w:t>
      </w:r>
      <w:hyperlink r:id="rId22">
        <w:r>
          <w:rPr>
            <w:rFonts w:ascii="Arial" w:cs="Arial" w:eastAsia="Arial" w:hAnsi="Arial"/>
            <w:sz w:val="18"/>
            <w:szCs w:val="18"/>
            <w:u w:val="single" w:color="auto"/>
            <w:color w:val="0000EE"/>
          </w:rPr>
          <w:t>April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
        <w:r>
          <w:rPr>
            <w:rFonts w:ascii="Arial" w:cs="Arial" w:eastAsia="Arial" w:hAnsi="Arial"/>
            <w:sz w:val="18"/>
            <w:szCs w:val="18"/>
            <w:u w:val="single" w:color="auto"/>
            <w:color w:val="0000EE"/>
          </w:rPr>
          <w:t>March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May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June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July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27">
        <w:r>
          <w:rPr>
            <w:rFonts w:ascii="Arial" w:cs="Arial" w:eastAsia="Arial" w:hAnsi="Arial"/>
            <w:sz w:val="18"/>
            <w:szCs w:val="18"/>
            <w:u w:val="single" w:color="auto"/>
            <w:color w:val="0000EE"/>
          </w:rPr>
          <w:t>July 30, 2020</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right="120" w:firstLine="648"/>
        <w:spacing w:after="0" w:line="257" w:lineRule="auto"/>
        <w:rPr>
          <w:sz w:val="20"/>
          <w:szCs w:val="20"/>
          <w:color w:val="auto"/>
        </w:rPr>
      </w:pPr>
      <w:r>
        <w:rPr>
          <w:rFonts w:ascii="Arial" w:cs="Arial" w:eastAsia="Arial" w:hAnsi="Arial"/>
          <w:sz w:val="18"/>
          <w:szCs w:val="18"/>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spacing w:after="0" w:line="184"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0000EE"/>
        </w:rPr>
      </w:pPr>
    </w:p>
    <w:p>
      <w:pPr>
        <w:ind w:firstLine="648"/>
        <w:spacing w:after="0" w:line="271" w:lineRule="auto"/>
        <w:rPr>
          <w:sz w:val="20"/>
          <w:szCs w:val="20"/>
          <w:color w:val="auto"/>
        </w:rPr>
      </w:pPr>
      <w:r>
        <w:rPr>
          <w:rFonts w:ascii="Arial" w:cs="Arial" w:eastAsia="Arial" w:hAnsi="Arial"/>
          <w:sz w:val="17"/>
          <w:szCs w:val="17"/>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80" w:firstLine="648"/>
        <w:spacing w:after="0" w:line="286" w:lineRule="auto"/>
        <w:rPr>
          <w:sz w:val="20"/>
          <w:szCs w:val="20"/>
          <w:color w:val="auto"/>
        </w:rPr>
      </w:pPr>
      <w:r>
        <w:rPr>
          <w:rFonts w:ascii="Arial" w:cs="Arial" w:eastAsia="Arial" w:hAnsi="Arial"/>
          <w:sz w:val="16"/>
          <w:szCs w:val="16"/>
          <w:color w:val="auto"/>
        </w:rPr>
        <w:t>The Registrant’s Certificate of Incorporation and By-laws require that it provide indemnification to the maximum extent permitted from time to time under DCGL,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Registrant or any of its direct or indirect subsidiaries or while such a director or officer is or was serving at the request of the Registrant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Registrant is not required to indemnify or advance expenses to any person in connection with any action, suit, proceeding, claim or counterclaim initiated by or on behalf of such person. Such indemnification is not be exclusive of other indemnification rights arising under any By-laws, agreement, vote of directors or stockholders or otherwise and shall inure to the benefit of the heirs and legal representatives of such person. Additionally, the Registrant has direct contractual obligations to provide indemnification to each of the members of its Board of Directors and each of its executive officers. These agreements provide directors and executive officers with the same indemnification by the Registrant as described above and assure directors and executive officers that indemnification will continue to be provided despite future changes in the By-laws of the Registrant.</w:t>
      </w:r>
    </w:p>
    <w:p>
      <w:pPr>
        <w:spacing w:after="0" w:line="17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The Registrant’s Certificate of Incorporation provides that no director will be liable to the Registrant or its stockholders for any breach of fiduciary duty, except as limited under DGCL.</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Registrant’s directors and officers are covered by insurance policies indemnifying against certain liabilities, including certain liabilities arising under the Securities Act that might be incurred by them in such capacities and against which the Registrant may not indemnify them.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p>
      <w:pPr>
        <w:ind w:left="580" w:right="20" w:hanging="903"/>
        <w:spacing w:after="0" w:line="277" w:lineRule="auto"/>
        <w:tabs>
          <w:tab w:leader="none" w:pos="560" w:val="left"/>
        </w:tabs>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8"/>
          <w:szCs w:val="18"/>
          <w:color w:val="0000FF"/>
        </w:rPr>
        <w:t xml:space="preserve">— </w:t>
      </w:r>
      <w:hyperlink r:id="rId29">
        <w:r>
          <w:rPr>
            <w:rFonts w:ascii="Arial" w:cs="Arial" w:eastAsia="Arial" w:hAnsi="Arial"/>
            <w:sz w:val="18"/>
            <w:szCs w:val="18"/>
            <w:u w:val="single" w:color="auto"/>
            <w:color w:val="0000EE"/>
          </w:rPr>
          <w:t>Third Restated Certificate of Incorporation (incorporated by reference to Exhibit 3.1 to the Registrant’s Quarterly Report on Form 10-Q for the</w:t>
        </w:r>
      </w:hyperlink>
      <w:r>
        <w:rPr>
          <w:rFonts w:ascii="Arial" w:cs="Arial" w:eastAsia="Arial" w:hAnsi="Arial"/>
          <w:sz w:val="18"/>
          <w:szCs w:val="18"/>
          <w:color w:val="0000FF"/>
        </w:rPr>
        <w:t xml:space="preserve"> </w:t>
      </w:r>
      <w:hyperlink r:id="rId29">
        <w:r>
          <w:rPr>
            <w:rFonts w:ascii="Arial" w:cs="Arial" w:eastAsia="Arial" w:hAnsi="Arial"/>
            <w:sz w:val="18"/>
            <w:szCs w:val="18"/>
            <w:u w:val="single" w:color="auto"/>
            <w:color w:val="0000EE"/>
          </w:rPr>
          <w:t>quarter ended June 30, 2010).</w:t>
        </w:r>
      </w:hyperlink>
    </w:p>
    <w:p>
      <w:pPr>
        <w:spacing w:after="0" w:line="170" w:lineRule="exact"/>
        <w:rPr>
          <w:rFonts w:ascii="Arial" w:cs="Arial" w:eastAsia="Arial" w:hAnsi="Arial"/>
          <w:sz w:val="18"/>
          <w:szCs w:val="18"/>
          <w:color w:val="0000EE"/>
        </w:rPr>
      </w:pPr>
    </w:p>
    <w:p>
      <w:pPr>
        <w:ind w:left="580" w:right="940" w:hanging="903"/>
        <w:spacing w:after="0" w:line="277" w:lineRule="auto"/>
        <w:tabs>
          <w:tab w:leader="none" w:pos="560" w:val="left"/>
        </w:tabs>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4.2</w:t>
        </w:r>
      </w:hyperlink>
      <w:r>
        <w:rPr>
          <w:rFonts w:ascii="Arial" w:cs="Arial" w:eastAsia="Arial" w:hAnsi="Arial"/>
          <w:sz w:val="18"/>
          <w:szCs w:val="18"/>
          <w:color w:val="0000EE"/>
        </w:rPr>
        <w:tab/>
      </w:r>
      <w:r>
        <w:rPr>
          <w:rFonts w:ascii="Arial" w:cs="Arial" w:eastAsia="Arial" w:hAnsi="Arial"/>
          <w:sz w:val="18"/>
          <w:szCs w:val="18"/>
          <w:color w:val="0000FF"/>
        </w:rPr>
        <w:t xml:space="preserve">— </w:t>
      </w:r>
      <w:hyperlink r:id="rId30">
        <w:r>
          <w:rPr>
            <w:rFonts w:ascii="Arial" w:cs="Arial" w:eastAsia="Arial" w:hAnsi="Arial"/>
            <w:sz w:val="18"/>
            <w:szCs w:val="18"/>
            <w:u w:val="single" w:color="auto"/>
            <w:color w:val="0000EE"/>
          </w:rPr>
          <w:t>Amended and Restated By-laws (incorporated by reference to Exhibit 3.2 to the Registrant’s Current Report on Form 8-K filed on</w:t>
        </w:r>
      </w:hyperlink>
      <w:r>
        <w:rPr>
          <w:rFonts w:ascii="Arial" w:cs="Arial" w:eastAsia="Arial" w:hAnsi="Arial"/>
          <w:sz w:val="18"/>
          <w:szCs w:val="18"/>
          <w:color w:val="0000FF"/>
        </w:rPr>
        <w:t xml:space="preserve"> </w:t>
      </w:r>
      <w:hyperlink r:id="rId30">
        <w:r>
          <w:rPr>
            <w:rFonts w:ascii="Arial" w:cs="Arial" w:eastAsia="Arial" w:hAnsi="Arial"/>
            <w:sz w:val="18"/>
            <w:szCs w:val="18"/>
            <w:u w:val="single" w:color="auto"/>
            <w:color w:val="0000EE"/>
          </w:rPr>
          <w:t>November 20, 2019).</w:t>
        </w:r>
      </w:hyperlink>
    </w:p>
    <w:p>
      <w:pPr>
        <w:spacing w:after="0" w:line="170" w:lineRule="exact"/>
        <w:rPr>
          <w:rFonts w:ascii="Arial" w:cs="Arial" w:eastAsia="Arial" w:hAnsi="Arial"/>
          <w:sz w:val="18"/>
          <w:szCs w:val="18"/>
          <w:color w:val="0000EE"/>
        </w:rPr>
      </w:pPr>
    </w:p>
    <w:p>
      <w:pPr>
        <w:spacing w:after="0"/>
        <w:tabs>
          <w:tab w:leader="none" w:pos="560" w:val="left"/>
          <w:tab w:leader="none" w:pos="90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5.1</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6">
        <w:r>
          <w:rPr>
            <w:rFonts w:ascii="Arial" w:cs="Arial" w:eastAsia="Arial" w:hAnsi="Arial"/>
            <w:sz w:val="16"/>
            <w:szCs w:val="16"/>
            <w:u w:val="single" w:color="auto"/>
            <w:color w:val="0000EE"/>
          </w:rPr>
          <w:t>Opinion of Courtney Tippy.</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7">
        <w:r>
          <w:rPr>
            <w:rFonts w:ascii="Arial" w:cs="Arial" w:eastAsia="Arial" w:hAnsi="Arial"/>
            <w:sz w:val="16"/>
            <w:szCs w:val="16"/>
            <w:u w:val="single" w:color="auto"/>
            <w:color w:val="0000EE"/>
          </w:rPr>
          <w:t>Consent of Ernst &amp; Young LLP</w:t>
        </w:r>
        <w:r>
          <w:rPr>
            <w:rFonts w:ascii="Arial" w:cs="Arial" w:eastAsia="Arial" w:hAnsi="Arial"/>
            <w:sz w:val="16"/>
            <w:szCs w:val="16"/>
            <w:color w:val="0000EE"/>
          </w:rPr>
          <w:t>.</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6">
        <w:r>
          <w:rPr>
            <w:rFonts w:ascii="Arial" w:cs="Arial" w:eastAsia="Arial" w:hAnsi="Arial"/>
            <w:sz w:val="16"/>
            <w:szCs w:val="16"/>
            <w:u w:val="single" w:color="auto"/>
            <w:color w:val="0000EE"/>
          </w:rPr>
          <w:t>Consent of Courtney Tippy (included in Exhibit 5.1)</w:t>
        </w:r>
        <w:r>
          <w:rPr>
            <w:rFonts w:ascii="Arial" w:cs="Arial" w:eastAsia="Arial" w:hAnsi="Arial"/>
            <w:sz w:val="16"/>
            <w:szCs w:val="16"/>
            <w:color w:val="0000EE"/>
          </w:rPr>
          <w:t>.</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5">
        <w:r>
          <w:rPr>
            <w:rFonts w:ascii="Arial" w:cs="Arial" w:eastAsia="Arial" w:hAnsi="Arial"/>
            <w:sz w:val="16"/>
            <w:szCs w:val="16"/>
            <w:u w:val="single" w:color="auto"/>
            <w:color w:val="0000EE"/>
          </w:rPr>
          <w:t>Powers of Attorney (included on the signature page of this Registration Statement).</w:t>
        </w:r>
      </w:hyperlink>
    </w:p>
    <w:p>
      <w:pPr>
        <w:spacing w:after="0" w:line="225" w:lineRule="exact"/>
        <w:rPr>
          <w:sz w:val="20"/>
          <w:szCs w:val="20"/>
          <w:color w:val="auto"/>
        </w:rPr>
      </w:pPr>
    </w:p>
    <w:p>
      <w:pPr>
        <w:ind w:left="580" w:right="460" w:hanging="903"/>
        <w:spacing w:after="0" w:line="277" w:lineRule="auto"/>
        <w:tabs>
          <w:tab w:leader="none" w:pos="560" w:val="left"/>
        </w:tabs>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8"/>
          <w:szCs w:val="18"/>
          <w:color w:val="0000FF"/>
        </w:rPr>
        <w:t xml:space="preserve">— </w:t>
      </w:r>
      <w:hyperlink r:id="rId31">
        <w:r>
          <w:rPr>
            <w:rFonts w:ascii="Arial" w:cs="Arial" w:eastAsia="Arial" w:hAnsi="Arial"/>
            <w:sz w:val="18"/>
            <w:szCs w:val="18"/>
            <w:u w:val="single" w:color="auto"/>
            <w:color w:val="0000EE"/>
          </w:rPr>
          <w:t>Waste Management, Inc. Employee Stock Purchase Plan (incorporated by reference to Exhibit 10.1 to the Registrant’s Current Report on</w:t>
        </w:r>
      </w:hyperlink>
      <w:r>
        <w:rPr>
          <w:rFonts w:ascii="Arial" w:cs="Arial" w:eastAsia="Arial" w:hAnsi="Arial"/>
          <w:sz w:val="18"/>
          <w:szCs w:val="18"/>
          <w:color w:val="0000FF"/>
        </w:rPr>
        <w:t xml:space="preserve"> </w:t>
      </w:r>
      <w:hyperlink r:id="rId31">
        <w:r>
          <w:rPr>
            <w:rFonts w:ascii="Arial" w:cs="Arial" w:eastAsia="Arial" w:hAnsi="Arial"/>
            <w:sz w:val="18"/>
            <w:szCs w:val="18"/>
            <w:u w:val="single" w:color="auto"/>
            <w:color w:val="0000EE"/>
          </w:rPr>
          <w:t>Form 8-K filed with the Commission on May 15, 2020).</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to be signed on its behalf by the undersigned, thereunto duly authorized, in the City of Houston, State of Texas on the 30th day of July, 2020.</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Each person whose signature appears below constitutes and appoints James C. Fish Jr., Devina A. Rankin and Charles C. Boettcher, and each of them severally, his or her true and lawful attorney-in-fact, with the power of substitution, for him or her in any and all capacities, to sign any amendments (including post-effective amendments) to this registration statement, and to file the same, with exhibits thereto and other documents in connection therewith, with the Securities and Exchange Commission, hereby ratifying and confirming all that said attorneys-in-fact, or their substitute or substitutes, may do or cause to be done by virtue hereof.</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Date</w:t>
            </w:r>
          </w:p>
        </w:tc>
      </w:tr>
      <w:tr>
        <w:trPr>
          <w:trHeight w:val="426"/>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James C. Fish, Jr.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6"/>
              </w:rPr>
              <w:t>James C. Fish, Jr.</w:t>
            </w:r>
          </w:p>
        </w:tc>
        <w:tc>
          <w:tcPr>
            <w:tcW w:w="2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Devina A. Rankin</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Devina A. Rankin</w:t>
            </w:r>
          </w:p>
        </w:tc>
        <w:tc>
          <w:tcPr>
            <w:tcW w:w="2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Leslie K. Nagy</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Leslie K. Nagy</w:t>
            </w:r>
          </w:p>
        </w:tc>
        <w:tc>
          <w:tcPr>
            <w:tcW w:w="2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Frank M. Clark, Jr.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Frank M. Clark, Jr.</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Andrés R. Gluski</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Andrés R. Gluski</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Victoria M. Holt</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8"/>
              </w:rPr>
              <w:t>Victoria M. Holt</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Kathleen M. Mazzarella</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Kathleen M. Mazzarella</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William B. Plummer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4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William B. Plummer</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John C. Pope</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7"/>
              </w:rPr>
              <w:t>John C. Pope</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Thomas H. Weidemeyer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Thomas H. Weidemeyer</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661"/>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tab/>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 am Vice President, General Counsel – Securities &amp; Governance and Corporate Secretary for Waste Management, Inc., a Delaware corporation (the “Company”), and have acted in such capacity in connection with the registration under the Securities Act of 1933, as amended (the “Act”), of 3,000,000 shares of the Company’s common stock, $0.01 par value (the “Common Stock”), to be offered pursuant to the Company’s Employee Stock Purchase Plan and upon the terms and subject to the conditions set forth in the Registration Statement on Form S-8 (the “Registration Statement”) relating thereto to be filed with the Securities and Exchange Commission on or about July 30, 2020.</w:t>
      </w:r>
    </w:p>
    <w:p>
      <w:pPr>
        <w:spacing w:after="0" w:line="17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connection therewith, I have examined originals or copies certified or otherwise identified to my satisfaction of the Registration Statement, the Certificate of Incorporation of the Company, as restated to date, the By-laws of the Company, as amended and restated to date, the Waste Management, Inc. Employee Stock Purchase Plan, as amended and restated to date (the “Plan”), the resolutions of the Board of Directors and records of the Annual Meeting of Stockholders of the Company relating to adoption and approval of the amendment and restatement of the Plan, and such other documents and instruments as I have deemed necessary or appropriate for the expression of the opinions contained herein.</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have assumed the genuineness of all signatures, the authenticity and completeness of all records, certificates and other instruments submitted to me as originals, the conformity to original documents of all records, certificates and other instruments submitted to me as copies, the correctness of all statements of fact contained in all records, certificates and other instruments that I have examined and the legal capacity to sign of all individuals executing records, certificates and other instruments.</w:t>
      </w:r>
    </w:p>
    <w:p>
      <w:pPr>
        <w:spacing w:after="0" w:line="187" w:lineRule="exact"/>
        <w:rPr>
          <w:sz w:val="20"/>
          <w:szCs w:val="20"/>
          <w:color w:val="auto"/>
        </w:rPr>
      </w:pPr>
    </w:p>
    <w:p>
      <w:pPr>
        <w:jc w:val="both"/>
        <w:ind w:right="200" w:firstLine="324"/>
        <w:spacing w:after="0" w:line="342" w:lineRule="auto"/>
        <w:rPr>
          <w:sz w:val="20"/>
          <w:szCs w:val="20"/>
          <w:color w:val="auto"/>
        </w:rPr>
      </w:pPr>
      <w:r>
        <w:rPr>
          <w:rFonts w:ascii="Arial" w:cs="Arial" w:eastAsia="Arial" w:hAnsi="Arial"/>
          <w:sz w:val="16"/>
          <w:szCs w:val="16"/>
          <w:color w:val="auto"/>
        </w:rPr>
        <w:t>Based on the foregoing, and having a regard for such legal considerations as I have deemed relevant, I am of the opinion that the shares of Common Stock have been duly authorized, and when issued and sold in accordance with the Plan, will be legally and validly issued, fully paid and non-assessable.</w:t>
      </w:r>
    </w:p>
    <w:p>
      <w:pPr>
        <w:spacing w:after="0" w:line="1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and I further consent to the use of my name in the Registration Statement and the prospectus that forms a part thereof. In giving this consent, I do not admit thereby that I come within the category of person whose consent is required under Section 7 of the Securities Act of 1933, as amended, or the rules and regulations of the Securities and Exchange Commission promulgated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Courtney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Courtney Tippy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Vice President, General Counsel – Securities &amp; Governance and Corporate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333333"/>
        </w:rPr>
        <w:t>We consent to the incorporation by reference in the Registration Statement on Form S-8 pertaining to the Waste Management, Inc. Employee Stock Purchase Plan of our reports dated February 13, 2020, with respect to the consolidated financial statements of Waste Management, Inc. and the effectiveness of internal control over financial reporting of Waste Management, Inc. included in its Annual Report (Form 10-K) for the year ended December 31, 2019, filed with the Securities and Exchange Commission.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8"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13" Type="http://schemas.openxmlformats.org/officeDocument/2006/relationships/hyperlink" Target="http://www.sec.gov/Archives/edgar/data/823768/000095012906006711/h37353sv8.htm" TargetMode="External"/><Relationship Id="rId14" Type="http://schemas.openxmlformats.org/officeDocument/2006/relationships/hyperlink" Target="http://www.sec.gov/Archives/edgar/data/823768/000095012909001765/h66893sv8.htm" TargetMode="External"/><Relationship Id="rId15" Type="http://schemas.openxmlformats.org/officeDocument/2006/relationships/hyperlink" Target="http://www.sec.gov/Archives/edgar/data/823768/000119312512227650/d350312ds8.htm" TargetMode="External"/><Relationship Id="rId16" Type="http://schemas.openxmlformats.org/officeDocument/2006/relationships/hyperlink" Target="http://www.sec.gov/Archives/edgar/data/823768/000119312515194549/d929789ds8.htm" TargetMode="External"/><Relationship Id="rId17" Type="http://schemas.openxmlformats.org/officeDocument/2006/relationships/hyperlink" Target="http://www.sec.gov/ix?doc=/Archives/edgar/data/823768/000155837020000762/wm-20191231x10kba4080.htm" TargetMode="External"/><Relationship Id="rId18" Type="http://schemas.openxmlformats.org/officeDocument/2006/relationships/hyperlink" Target="http://www.sec.gov/ix?doc=/Archives/edgar/data/823768/000155837020005352/wm-20200506x10q.htm" TargetMode="External"/><Relationship Id="rId19" Type="http://schemas.openxmlformats.org/officeDocument/2006/relationships/hyperlink" Target="http://www.sec.gov/ix?doc=/Archives/edgar/data/823768/000155837020008751/wm-20200630x10q.htm" TargetMode="External"/><Relationship Id="rId20" Type="http://schemas.openxmlformats.org/officeDocument/2006/relationships/hyperlink" Target="http://www.sec.gov/Archives/edgar/data/823768/0000950134-95-001585-index.html" TargetMode="External"/><Relationship Id="rId21" Type="http://schemas.openxmlformats.org/officeDocument/2006/relationships/hyperlink" Target="http://www.sec.gov/ix?doc=/Archives/edgar/data/823768/000110465920024590/tm207498-2_8k.htm" TargetMode="External"/><Relationship Id="rId22" Type="http://schemas.openxmlformats.org/officeDocument/2006/relationships/hyperlink" Target="http://www.sec.gov/ix?doc=/Archives/edgar/data/823768/000110465920042259/tm2014773-1_8k.htm" TargetMode="External"/><Relationship Id="rId23" Type="http://schemas.openxmlformats.org/officeDocument/2006/relationships/hyperlink" Target="http://www.sec.gov/ix?doc=/Archives/edgar/data/823768/000110465920035007/tm2012998d1_8k.htm" TargetMode="External"/><Relationship Id="rId24" Type="http://schemas.openxmlformats.org/officeDocument/2006/relationships/hyperlink" Target="http://www.sec.gov/ix?doc=/Archives/edgar/data/823768/000110465920062449/tm2018602-2_8k.htm" TargetMode="External"/><Relationship Id="rId25" Type="http://schemas.openxmlformats.org/officeDocument/2006/relationships/hyperlink" Target="http://www.sec.gov/ix?doc=/Archives/edgar/data/823768/000110465920076267/tm2023187d1_8k.htm" TargetMode="External"/><Relationship Id="rId26" Type="http://schemas.openxmlformats.org/officeDocument/2006/relationships/hyperlink" Target="http://www.sec.gov/ix?doc=/Archives/edgar/data/823768/000110465920083610/tm2024786d1_8k.htm" TargetMode="External"/><Relationship Id="rId27" Type="http://schemas.openxmlformats.org/officeDocument/2006/relationships/hyperlink" Target="http://www.sec.gov/ix?doc=/Archives/edgar/data/823768/000110465920088121/tm2025932d1_8k.htm" TargetMode="External"/><Relationship Id="rId29" Type="http://schemas.openxmlformats.org/officeDocument/2006/relationships/hyperlink" Target="http://www.sec.gov/Archives/edgar/data/823768/000095012310070947/h74168exv3w1.htm" TargetMode="External"/><Relationship Id="rId30" Type="http://schemas.openxmlformats.org/officeDocument/2006/relationships/hyperlink" Target="http://www.sec.gov/Archives/edgar/data/823768/000110465919065833/tm1923428d1_ex3-2.htm" TargetMode="External"/><Relationship Id="rId31" Type="http://schemas.openxmlformats.org/officeDocument/2006/relationships/hyperlink" Target="http://www.sec.gov/Archives/edgar/data/823768/000110465920062449/tm2018602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2020-07-31T05:34:12Z</dcterms:created>
  <dcterms:modified xsi:type="dcterms:W3CDTF">2020-07-31T05:34:12Z</dcterms:modified>
</cp:coreProperties>
</file>