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73-1309529</w:t>
      </w:r>
    </w:p>
    <w:p>
      <w:pPr>
        <w:spacing w:after="0" w:line="37" w:lineRule="exact"/>
        <w:rPr>
          <w:sz w:val="24"/>
          <w:szCs w:val="24"/>
          <w:color w:val="auto"/>
        </w:rPr>
      </w:pPr>
    </w:p>
    <w:p>
      <w:pPr>
        <w:sectPr>
          <w:pgSz w:w="11900" w:h="16838" w:orient="portrait"/>
          <w:cols w:equalWidth="0" w:num="3">
            <w:col w:w="4820" w:space="720"/>
            <w:col w:w="2920" w:space="720"/>
            <w:col w:w="1840"/>
          </w:cols>
          <w:pgMar w:left="240" w:top="308"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740" w:space="720"/>
            <w:col w:w="2880" w:space="720"/>
            <w:col w:w="1960"/>
          </w:cols>
          <w:pgMar w:left="240" w:top="308" w:right="6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77002</w:t>
      </w:r>
    </w:p>
    <w:p>
      <w:pPr>
        <w:spacing w:after="0" w:line="46" w:lineRule="exact"/>
        <w:rPr>
          <w:sz w:val="24"/>
          <w:szCs w:val="24"/>
          <w:color w:val="auto"/>
        </w:rPr>
      </w:pPr>
    </w:p>
    <w:p>
      <w:pPr>
        <w:sectPr>
          <w:pgSz w:w="11900" w:h="16838" w:orient="portrait"/>
          <w:cols w:equalWidth="0" w:num="2">
            <w:col w:w="7720" w:space="720"/>
            <w:col w:w="2580"/>
          </w:cols>
          <w:pgMar w:left="240" w:top="308"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20" w:space="720"/>
            <w:col w:w="2680"/>
          </w:cols>
          <w:pgMar w:left="240" w:top="308" w:right="639" w:bottom="1440" w:gutter="0" w:footer="0" w:header="0"/>
          <w:type w:val="continuous"/>
        </w:sectPr>
      </w:pPr>
    </w:p>
    <w:p>
      <w:pPr>
        <w:ind w:left="31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37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February 18, 2015, Waste Management, Inc. (the “Company”) commenced an underwritten public offering of $600,000,000 aggregate principal amount of its 3.125% Senior Notes due 2025, $450,000,000 aggregate principal amount of its 3.900% Senior Notes due 2035 and $750,000,000 aggregate principal amount of its 4.100% Senior Notes due 2045 (collectively, the “Notes”) under the Company’s Registration Statement on Form S-3 (No. 333-184157) (the “Registration Statement”). The Notes, which will be fully and unconditionally guaranteed by the Company’s wholly owned subsidiary Waste Management Holdings, Inc. (“WM Holdings”), will be sold pursuant to an underwriting agreement (the “Underwriting Agreement”) entered into on February 18, 2015 among the Company and WM Holdings and Credit Suisse Securities (USA) LLC, Deutsche Bank Securities Inc., Goldman, Sachs &amp; Co. and J.P. Morgan Securities LLC as representatives of the several underwriters named therein.</w:t>
      </w:r>
    </w:p>
    <w:p>
      <w:pPr>
        <w:spacing w:after="0" w:line="141" w:lineRule="exact"/>
        <w:rPr>
          <w:sz w:val="20"/>
          <w:szCs w:val="20"/>
          <w:color w:val="auto"/>
        </w:rPr>
      </w:pPr>
    </w:p>
    <w:p>
      <w:pPr>
        <w:jc w:val="both"/>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Closing of the issuance and sale of the Notes is expected to occur on February 26, 2015.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in an officers’ certificate of the Company delivered pursuant to the Indenture on the closing date.</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Copies of the Underwriting Agreement and the Indenture, and the forms of the Officers’ Certificate and the guarantee agreement by WM Holdings are being filed as Exhibits 1.1, 4.1, 4.2, 4.3, 4.4, 4.8, 4.9 and 4.10, respectively, to this Form 8-K and are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1.1</w:t>
            </w: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Underwriting Agreement dated February 18, 2015 by and among the Company, WM Holdings and Credit Suisse Securities (USA) LLC, Deutsche</w:t>
            </w:r>
          </w:p>
        </w:tc>
      </w:tr>
      <w:tr>
        <w:trPr>
          <w:trHeight w:val="228"/>
        </w:trPr>
        <w:tc>
          <w:tcPr>
            <w:tcW w:w="680" w:type="dxa"/>
            <w:vAlign w:val="bottom"/>
          </w:tcPr>
          <w:p>
            <w:pPr>
              <w:spacing w:after="0"/>
              <w:rPr>
                <w:sz w:val="19"/>
                <w:szCs w:val="19"/>
                <w:color w:val="auto"/>
              </w:rPr>
            </w:pP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Bank Securities Inc., Goldman, Sachs &amp; Co. and J.P. Morgan Securities LLC as representatives of the several Underwriters named therein.</w:t>
            </w:r>
          </w:p>
        </w:tc>
      </w:tr>
      <w:tr>
        <w:trPr>
          <w:trHeight w:val="312"/>
        </w:trPr>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4.1</w:t>
            </w: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Indenture dated September 10, 1997 by and between the Company and The Bank of New York Mellon Trust Company, N.A. (the current</w:t>
            </w:r>
          </w:p>
        </w:tc>
      </w:tr>
      <w:tr>
        <w:trPr>
          <w:trHeight w:val="216"/>
        </w:trPr>
        <w:tc>
          <w:tcPr>
            <w:tcW w:w="680" w:type="dxa"/>
            <w:vAlign w:val="bottom"/>
          </w:tcPr>
          <w:p>
            <w:pPr>
              <w:spacing w:after="0"/>
              <w:rPr>
                <w:sz w:val="18"/>
                <w:szCs w:val="18"/>
                <w:color w:val="auto"/>
              </w:rPr>
            </w:pP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successor to Texas Commerce Bank National Association), as Trustee, relating to senior debt securities of the Company (incorporated by</w:t>
            </w:r>
          </w:p>
        </w:tc>
      </w:tr>
      <w:tr>
        <w:trPr>
          <w:trHeight w:val="228"/>
        </w:trPr>
        <w:tc>
          <w:tcPr>
            <w:tcW w:w="680" w:type="dxa"/>
            <w:vAlign w:val="bottom"/>
          </w:tcPr>
          <w:p>
            <w:pPr>
              <w:spacing w:after="0"/>
              <w:rPr>
                <w:sz w:val="19"/>
                <w:szCs w:val="19"/>
                <w:color w:val="auto"/>
              </w:rPr>
            </w:pP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4.1 to Current Report on Form 8-K filed September 24, 1997).</w:t>
            </w:r>
          </w:p>
        </w:tc>
      </w:tr>
      <w:tr>
        <w:trPr>
          <w:trHeight w:val="312"/>
        </w:trPr>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4.2</w:t>
            </w: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Officers’ Certificate delivered pursuant to Section 3.01 of the Indenture establishing the terms and form of the 3.125% Senior Notes due</w:t>
            </w:r>
          </w:p>
        </w:tc>
      </w:tr>
      <w:tr>
        <w:trPr>
          <w:trHeight w:val="228"/>
        </w:trPr>
        <w:tc>
          <w:tcPr>
            <w:tcW w:w="680" w:type="dxa"/>
            <w:vAlign w:val="bottom"/>
          </w:tcPr>
          <w:p>
            <w:pPr>
              <w:spacing w:after="0"/>
              <w:rPr>
                <w:sz w:val="19"/>
                <w:szCs w:val="19"/>
                <w:color w:val="auto"/>
              </w:rPr>
            </w:pP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2025.</w:t>
            </w:r>
          </w:p>
        </w:tc>
      </w:tr>
      <w:tr>
        <w:trPr>
          <w:trHeight w:val="312"/>
        </w:trPr>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4.3</w:t>
            </w: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Officers’ Certificate delivered pursuant to Section 3.01 of the Indenture establishing the terms and form of the 3.900% Senior Notes due</w:t>
            </w:r>
          </w:p>
        </w:tc>
      </w:tr>
      <w:tr>
        <w:trPr>
          <w:trHeight w:val="228"/>
        </w:trPr>
        <w:tc>
          <w:tcPr>
            <w:tcW w:w="680" w:type="dxa"/>
            <w:vAlign w:val="bottom"/>
          </w:tcPr>
          <w:p>
            <w:pPr>
              <w:spacing w:after="0"/>
              <w:rPr>
                <w:sz w:val="19"/>
                <w:szCs w:val="19"/>
                <w:color w:val="auto"/>
              </w:rPr>
            </w:pP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2035.</w:t>
            </w:r>
          </w:p>
        </w:tc>
      </w:tr>
      <w:tr>
        <w:trPr>
          <w:trHeight w:val="312"/>
        </w:trPr>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4.4</w:t>
            </w: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Officers’ Certificate delivered pursuant to Section 3.01 of the Indenture establishing the terms and form of the 4.100% Senior Notes due</w:t>
            </w:r>
          </w:p>
        </w:tc>
      </w:tr>
      <w:tr>
        <w:trPr>
          <w:trHeight w:val="228"/>
        </w:trPr>
        <w:tc>
          <w:tcPr>
            <w:tcW w:w="680" w:type="dxa"/>
            <w:vAlign w:val="bottom"/>
          </w:tcPr>
          <w:p>
            <w:pPr>
              <w:spacing w:after="0"/>
              <w:rPr>
                <w:sz w:val="19"/>
                <w:szCs w:val="19"/>
                <w:color w:val="auto"/>
              </w:rPr>
            </w:pP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2045.</w:t>
            </w:r>
          </w:p>
        </w:tc>
      </w:tr>
      <w:tr>
        <w:trPr>
          <w:trHeight w:val="324"/>
        </w:trPr>
        <w:tc>
          <w:tcPr>
            <w:tcW w:w="6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4.5</w:t>
            </w:r>
          </w:p>
        </w:tc>
        <w:tc>
          <w:tcPr>
            <w:tcW w:w="10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3.125% Senior Note due 2025 (included in Exhibit 4.2 above).</w:t>
            </w:r>
          </w:p>
        </w:tc>
      </w:tr>
    </w:tbl>
    <w:p>
      <w:pPr>
        <w:sectPr>
          <w:pgSz w:w="11900" w:h="16838" w:orient="portrait"/>
          <w:cols w:equalWidth="0" w:num="1">
            <w:col w:w="11400"/>
          </w:cols>
          <w:pgMar w:left="240" w:top="272" w:right="259" w:bottom="1440" w:gutter="0" w:footer="0" w:header="0"/>
        </w:sectPr>
      </w:pPr>
    </w:p>
    <w:bookmarkStart w:id="2" w:name="page3"/>
    <w:bookmarkEnd w:id="2"/>
    <w:p>
      <w:pPr>
        <w:spacing w:after="0"/>
        <w:tabs>
          <w:tab w:leader="none" w:pos="6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6"/>
          <w:szCs w:val="16"/>
          <w:color w:val="auto"/>
        </w:rPr>
        <w:t>Form of 3.900% Senior Note due 2035 (included in Exhibit 4.3 above).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color w:val="auto"/>
        </w:rPr>
        <w:t>Form of 4.100% Senior Note due 2045 (included in Exhibit 4.4 above).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6"/>
          <w:szCs w:val="16"/>
          <w:color w:val="auto"/>
        </w:rPr>
        <w:t>Form of Guarantee Agreement by WM Holdings in favor of the holders of Waste Management, Inc.’s 3.125% Senior Notes due 2025.</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6"/>
          <w:szCs w:val="16"/>
          <w:color w:val="auto"/>
        </w:rPr>
        <w:t>Form of Guarantee Agreement by WM Holdings in favor of the holders of Waste Management, Inc.’s 3.900% Senior Notes due 2035.</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6"/>
          <w:szCs w:val="16"/>
          <w:color w:val="auto"/>
        </w:rPr>
        <w:t>Form of Guarantee Agreement by WM Holdings in favor of the holders of Waste Management, Inc.’s 4.100% Senior Notes due 2045.</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Baker Botts L.L.P.</w:t>
      </w:r>
    </w:p>
    <w:p>
      <w:pPr>
        <w:sectPr>
          <w:pgSz w:w="11900" w:h="16838" w:orient="portrait"/>
          <w:cols w:equalWidth="0" w:num="1">
            <w:col w:w="10219"/>
          </w:cols>
          <w:pgMar w:left="240" w:top="382" w:right="1440" w:bottom="1440" w:gutter="0" w:footer="0" w:header="0"/>
        </w:sectPr>
      </w:pPr>
    </w:p>
    <w:bookmarkStart w:id="3" w:name="page4"/>
    <w:bookmarkEnd w:id="3"/>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February 24, 2015</w:t>
      </w:r>
      <w:r>
        <w:rPr>
          <w:sz w:val="20"/>
          <w:szCs w:val="20"/>
          <w:color w:val="auto"/>
        </w:rPr>
        <w:tab/>
      </w:r>
      <w:r>
        <w:rPr>
          <w:rFonts w:ascii="Times New Roman" w:cs="Times New Roman" w:eastAsia="Times New Roman" w:hAnsi="Times New Roman"/>
          <w:sz w:val="18"/>
          <w:szCs w:val="18"/>
          <w:color w:val="auto"/>
        </w:rPr>
        <w:t>By: /s/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Barry H. Caldwell</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600"/>
          </w:cols>
          <w:pgMar w:left="240" w:top="272" w:right="10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900" w:type="dxa"/>
            <w:vAlign w:val="bottom"/>
            <w:gridSpan w:val="3"/>
          </w:tcPr>
          <w:p>
            <w:pPr>
              <w:ind w:left="43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36"/>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5"/>
        </w:trPr>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780" w:type="dxa"/>
            <w:vAlign w:val="bottom"/>
          </w:tcPr>
          <w:p>
            <w:pPr>
              <w:spacing w:after="0"/>
              <w:rPr>
                <w:sz w:val="14"/>
                <w:szCs w:val="14"/>
                <w:color w:val="auto"/>
              </w:rPr>
            </w:pPr>
          </w:p>
        </w:tc>
      </w:tr>
      <w:tr>
        <w:trPr>
          <w:trHeight w:val="30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7"/>
              </w:rPr>
              <w:t>Underwriting Agreement dated February 18, 2015 by and among the Company, WM Holdings and Credit Suisse Securities (USA) LLC, Deutsche</w:t>
            </w:r>
          </w:p>
        </w:tc>
      </w:tr>
      <w:tr>
        <w:trPr>
          <w:trHeight w:val="228"/>
        </w:trPr>
        <w:tc>
          <w:tcPr>
            <w:tcW w:w="46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Bank Securities Inc., Goldman, Sachs &amp; Co. and J.P. Morgan Securities LLC as representatives of the several Underwriters named therein.</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7"/>
              </w:rPr>
              <w:t>Indenture dated September 10, 1997 by and between the Company and The Bank of New York Mellon Trust Company, N.A. (the current successor</w:t>
            </w:r>
          </w:p>
        </w:tc>
      </w:tr>
      <w:tr>
        <w:trPr>
          <w:trHeight w:val="216"/>
        </w:trPr>
        <w:tc>
          <w:tcPr>
            <w:tcW w:w="46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to Texas Commerce Bank National Association), as Trustee, relating to senior debt securities of the Company (incorporated by reference to</w:t>
            </w:r>
          </w:p>
        </w:tc>
      </w:tr>
      <w:tr>
        <w:trPr>
          <w:trHeight w:val="228"/>
        </w:trPr>
        <w:tc>
          <w:tcPr>
            <w:tcW w:w="46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Exhibit 4.1 to Current Report on Form 8-K filed September 24, 1997).</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Form of Officers’ Certificate delivered pursuant to Section 3.01 of the Indenture establishing the terms and form of the 3.125% Senior Notes due</w:t>
            </w:r>
          </w:p>
        </w:tc>
      </w:tr>
      <w:tr>
        <w:trPr>
          <w:trHeight w:val="228"/>
        </w:trPr>
        <w:tc>
          <w:tcPr>
            <w:tcW w:w="460" w:type="dxa"/>
            <w:vAlign w:val="bottom"/>
          </w:tcPr>
          <w:p>
            <w:pPr>
              <w:spacing w:after="0"/>
              <w:rPr>
                <w:sz w:val="19"/>
                <w:szCs w:val="19"/>
                <w:color w:val="auto"/>
              </w:rPr>
            </w:pPr>
          </w:p>
        </w:tc>
        <w:tc>
          <w:tcPr>
            <w:tcW w:w="5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Form of Officers’ Certificate delivered pursuant to Section 3.01 of the Indenture establishing the terms and form of the 3.900% Senior Notes due</w:t>
            </w:r>
          </w:p>
        </w:tc>
      </w:tr>
      <w:tr>
        <w:trPr>
          <w:trHeight w:val="228"/>
        </w:trPr>
        <w:tc>
          <w:tcPr>
            <w:tcW w:w="460" w:type="dxa"/>
            <w:vAlign w:val="bottom"/>
          </w:tcPr>
          <w:p>
            <w:pPr>
              <w:spacing w:after="0"/>
              <w:rPr>
                <w:sz w:val="19"/>
                <w:szCs w:val="19"/>
                <w:color w:val="auto"/>
              </w:rPr>
            </w:pPr>
          </w:p>
        </w:tc>
        <w:tc>
          <w:tcPr>
            <w:tcW w:w="5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2035.</w:t>
            </w:r>
          </w:p>
        </w:tc>
        <w:tc>
          <w:tcPr>
            <w:tcW w:w="7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Form of Officers’ Certificate delivered pursuant to Section 3.01 of the Indenture establishing the terms and form of the 4.100% Senior Notes due</w:t>
            </w:r>
          </w:p>
        </w:tc>
      </w:tr>
      <w:tr>
        <w:trPr>
          <w:trHeight w:val="228"/>
        </w:trPr>
        <w:tc>
          <w:tcPr>
            <w:tcW w:w="460" w:type="dxa"/>
            <w:vAlign w:val="bottom"/>
          </w:tcPr>
          <w:p>
            <w:pPr>
              <w:spacing w:after="0"/>
              <w:rPr>
                <w:sz w:val="19"/>
                <w:szCs w:val="19"/>
                <w:color w:val="auto"/>
              </w:rPr>
            </w:pPr>
          </w:p>
        </w:tc>
        <w:tc>
          <w:tcPr>
            <w:tcW w:w="5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2045.</w:t>
            </w:r>
          </w:p>
        </w:tc>
        <w:tc>
          <w:tcPr>
            <w:tcW w:w="7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3.125% Senior Note due 2025 (included in Exhibit 4.2 above).</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3.900% Senior Note due 2035 (included in Exhibit 4.3 above).</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4.100% Senior Note due 2045 (included in Exhibit 4.4 above).</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Guarantee Agreement by WM Holdings in favor of the holders of Waste Management, Inc.’s 3.125% Senior Notes due 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Guarantee Agreement by WM Holdings in favor of the holders of Waste Management, Inc.’s 3.900% Senior Notes due 2035.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of Guarantee Agreement by WM Holdings in favor of the holders of Waste Management, Inc.’s 4.100% Senior Notes due 2045.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Opinion of Baker Botts L.L.P.</w:t>
            </w:r>
          </w:p>
        </w:tc>
      </w:tr>
    </w:tbl>
    <w:p>
      <w:pPr>
        <w:ind w:left="560"/>
        <w:spacing w:after="0"/>
        <w:rPr>
          <w:sz w:val="20"/>
          <w:szCs w:val="20"/>
          <w:color w:val="auto"/>
        </w:rPr>
        <w:sectPr>
          <w:pgSz w:w="11900" w:h="16838" w:orient="portrait"/>
          <w:cols w:equalWidth="0" w:num="1">
            <w:col w:w="11360"/>
          </w:cols>
          <w:pgMar w:left="240" w:top="272"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$600,000,000 3.125% Senior Notes due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$450,000,000 3.900% Senior Notes due 2035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$750,000,000 4.100% Senior Notes due 2045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18,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Waste Management,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the several underwriters named in Schedule II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$600,000,000 aggregate principal amount of 3.125% Senior Notes due 2025 (the “</w:t>
      </w:r>
      <w:r>
        <w:rPr>
          <w:rFonts w:ascii="Times New Roman" w:cs="Times New Roman" w:eastAsia="Times New Roman" w:hAnsi="Times New Roman"/>
          <w:sz w:val="18"/>
          <w:szCs w:val="18"/>
          <w:u w:val="single" w:color="auto"/>
          <w:color w:val="auto"/>
        </w:rPr>
        <w:t>2025 Notes</w:t>
      </w:r>
      <w:r>
        <w:rPr>
          <w:rFonts w:ascii="Times New Roman" w:cs="Times New Roman" w:eastAsia="Times New Roman" w:hAnsi="Times New Roman"/>
          <w:sz w:val="18"/>
          <w:szCs w:val="18"/>
          <w:color w:val="auto"/>
        </w:rPr>
        <w:t>”), $450,000,000 aggregate principal amount of 3.900% Senior Notes due 2035 (the “</w:t>
      </w:r>
      <w:r>
        <w:rPr>
          <w:rFonts w:ascii="Times New Roman" w:cs="Times New Roman" w:eastAsia="Times New Roman" w:hAnsi="Times New Roman"/>
          <w:sz w:val="18"/>
          <w:szCs w:val="18"/>
          <w:u w:val="single" w:color="auto"/>
          <w:color w:val="auto"/>
        </w:rPr>
        <w:t>2035 Notes</w:t>
      </w:r>
      <w:r>
        <w:rPr>
          <w:rFonts w:ascii="Times New Roman" w:cs="Times New Roman" w:eastAsia="Times New Roman" w:hAnsi="Times New Roman"/>
          <w:sz w:val="18"/>
          <w:szCs w:val="18"/>
          <w:color w:val="auto"/>
        </w:rPr>
        <w:t>”) and $750,000,000 aggregate principal amount of 4.100% Senior Notes due 2045 (the “</w:t>
      </w:r>
      <w:r>
        <w:rPr>
          <w:rFonts w:ascii="Times New Roman" w:cs="Times New Roman" w:eastAsia="Times New Roman" w:hAnsi="Times New Roman"/>
          <w:sz w:val="18"/>
          <w:szCs w:val="18"/>
          <w:u w:val="single" w:color="auto"/>
          <w:color w:val="auto"/>
        </w:rPr>
        <w:t>2045</w:t>
      </w:r>
    </w:p>
    <w:p>
      <w:pPr>
        <w:sectPr>
          <w:pgSz w:w="11900" w:h="16838" w:orient="portrait"/>
          <w:cols w:equalWidth="0" w:num="1">
            <w:col w:w="11420"/>
          </w:cols>
          <w:pgMar w:left="240" w:top="117" w:right="239" w:bottom="1440" w:gutter="0" w:footer="0" w:header="0"/>
        </w:sectPr>
      </w:pPr>
    </w:p>
    <w:bookmarkStart w:id="6" w:name="page7"/>
    <w:bookmarkEnd w:id="6"/>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r>
        <w:rPr>
          <w:rFonts w:ascii="Times New Roman" w:cs="Times New Roman" w:eastAsia="Times New Roman" w:hAnsi="Times New Roman"/>
          <w:sz w:val="18"/>
          <w:szCs w:val="18"/>
          <w:color w:val="auto"/>
        </w:rPr>
        <w:t>” and together with the 2025 Notes and the 2035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 New York Mellon Trust Company, N.A. (as the current successor to the initial trustee, Texas Commerce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guarantees (the “</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in favor of the holders of the Notes to be dated as of the Closing Date (as defined in Section 3 hereof). The Notes and the Guarantees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193"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w:t>
      </w:r>
    </w:p>
    <w:p>
      <w:pPr>
        <w:spacing w:after="0" w:line="162" w:lineRule="exact"/>
        <w:rPr>
          <w:sz w:val="20"/>
          <w:szCs w:val="20"/>
          <w:color w:val="auto"/>
        </w:rPr>
      </w:pPr>
    </w:p>
    <w:p>
      <w:pPr>
        <w:ind w:firstLine="464"/>
        <w:spacing w:after="0" w:line="282"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 forth below in this Section 1.</w:t>
      </w:r>
    </w:p>
    <w:p>
      <w:pPr>
        <w:spacing w:after="0" w:line="53" w:lineRule="exact"/>
        <w:rPr>
          <w:rFonts w:ascii="Times New Roman" w:cs="Times New Roman" w:eastAsia="Times New Roman" w:hAnsi="Times New Roman"/>
          <w:sz w:val="18"/>
          <w:szCs w:val="18"/>
          <w:color w:val="auto"/>
        </w:rPr>
      </w:pPr>
    </w:p>
    <w:p>
      <w:pPr>
        <w:ind w:left="460" w:right="60" w:firstLine="443"/>
        <w:spacing w:after="0" w:line="254" w:lineRule="auto"/>
        <w:tabs>
          <w:tab w:leader="none" w:pos="114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Act and has prepared and filed with the Commission a registration statement (File Number 333-184157) on Form S-3, including a related base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81" w:lineRule="exact"/>
        <w:rPr>
          <w:rFonts w:ascii="Times New Roman" w:cs="Times New Roman" w:eastAsia="Times New Roman" w:hAnsi="Times New Roman"/>
          <w:sz w:val="18"/>
          <w:szCs w:val="18"/>
          <w:color w:val="auto"/>
        </w:rPr>
      </w:pPr>
    </w:p>
    <w:p>
      <w:pPr>
        <w:ind w:left="460" w:right="160" w:firstLine="443"/>
        <w:spacing w:after="0" w:line="266" w:lineRule="auto"/>
        <w:tabs>
          <w:tab w:leader="none" w:pos="115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7" w:name="page8"/>
    <w:bookmarkEnd w:id="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83" w:lineRule="exact"/>
        <w:rPr>
          <w:sz w:val="20"/>
          <w:szCs w:val="20"/>
          <w:color w:val="auto"/>
        </w:rPr>
      </w:pPr>
    </w:p>
    <w:p>
      <w:pPr>
        <w:ind w:firstLine="443"/>
        <w:spacing w:after="0" w:line="255" w:lineRule="auto"/>
        <w:tabs>
          <w:tab w:leader="none" w:pos="6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81" w:lineRule="exact"/>
        <w:rPr>
          <w:rFonts w:ascii="Times New Roman" w:cs="Times New Roman" w:eastAsia="Times New Roman" w:hAnsi="Times New Roman"/>
          <w:sz w:val="18"/>
          <w:szCs w:val="18"/>
          <w:color w:val="auto"/>
        </w:rPr>
      </w:pPr>
    </w:p>
    <w:p>
      <w:pPr>
        <w:ind w:right="20" w:firstLine="443"/>
        <w:spacing w:after="0" w:line="254" w:lineRule="auto"/>
        <w:tabs>
          <w:tab w:leader="none" w:pos="6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0" w:right="25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76" w:lineRule="exact"/>
        <w:rPr>
          <w:sz w:val="20"/>
          <w:szCs w:val="20"/>
          <w:color w:val="auto"/>
        </w:rPr>
      </w:pPr>
    </w:p>
    <w:p>
      <w:pPr>
        <w:ind w:firstLine="443"/>
        <w:spacing w:after="0" w:line="255" w:lineRule="auto"/>
        <w:tabs>
          <w:tab w:leader="none" w:pos="6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77" w:lineRule="exact"/>
        <w:rPr>
          <w:rFonts w:ascii="Times New Roman" w:cs="Times New Roman" w:eastAsia="Times New Roman" w:hAnsi="Times New Roman"/>
          <w:sz w:val="18"/>
          <w:szCs w:val="18"/>
          <w:color w:val="auto"/>
        </w:rPr>
      </w:pPr>
    </w:p>
    <w:p>
      <w:pPr>
        <w:ind w:right="160" w:firstLine="443"/>
        <w:spacing w:after="0" w:line="256"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79"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0" w:right="239" w:bottom="1440" w:gutter="0" w:footer="0" w:header="0"/>
        </w:sectPr>
      </w:pPr>
    </w:p>
    <w:bookmarkStart w:id="9" w:name="page10"/>
    <w:bookmarkEnd w:id="9"/>
    <w:p>
      <w:pPr>
        <w:ind w:right="180" w:firstLine="443"/>
        <w:spacing w:after="0" w:line="256" w:lineRule="auto"/>
        <w:tabs>
          <w:tab w:leader="none" w:pos="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79" w:lineRule="exact"/>
        <w:rPr>
          <w:rFonts w:ascii="Times New Roman" w:cs="Times New Roman" w:eastAsia="Times New Roman" w:hAnsi="Times New Roman"/>
          <w:sz w:val="18"/>
          <w:szCs w:val="18"/>
          <w:color w:val="auto"/>
        </w:rPr>
      </w:pPr>
    </w:p>
    <w:p>
      <w:pPr>
        <w:ind w:firstLine="443"/>
        <w:spacing w:after="0" w:line="256"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220" w:firstLine="443"/>
        <w:spacing w:after="0" w:line="258"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75" w:lineRule="exact"/>
        <w:rPr>
          <w:rFonts w:ascii="Times New Roman" w:cs="Times New Roman" w:eastAsia="Times New Roman" w:hAnsi="Times New Roman"/>
          <w:sz w:val="18"/>
          <w:szCs w:val="18"/>
          <w:color w:val="auto"/>
        </w:rPr>
      </w:pPr>
    </w:p>
    <w:p>
      <w:pPr>
        <w:ind w:right="100" w:firstLine="443"/>
        <w:spacing w:after="0" w:line="255" w:lineRule="auto"/>
        <w:tabs>
          <w:tab w:leader="none" w:pos="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2014,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81" w:lineRule="exact"/>
        <w:rPr>
          <w:rFonts w:ascii="Times New Roman" w:cs="Times New Roman" w:eastAsia="Times New Roman" w:hAnsi="Times New Roman"/>
          <w:sz w:val="18"/>
          <w:szCs w:val="18"/>
          <w:color w:val="auto"/>
        </w:rPr>
      </w:pPr>
    </w:p>
    <w:p>
      <w:pPr>
        <w:ind w:right="460" w:firstLine="443"/>
        <w:spacing w:after="0" w:line="282"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of each of the Subsidiaries have been duly authorized and validly issued and are owned, directly or</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0" w:right="259" w:bottom="1440" w:gutter="0" w:footer="0" w:header="0"/>
        </w:sectPr>
      </w:pPr>
    </w:p>
    <w:bookmarkStart w:id="10" w:name="page11"/>
    <w:bookmarkEnd w:id="1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0" w:lineRule="exact"/>
        <w:rPr>
          <w:sz w:val="20"/>
          <w:szCs w:val="20"/>
          <w:color w:val="auto"/>
        </w:rPr>
      </w:pPr>
    </w:p>
    <w:p>
      <w:pPr>
        <w:ind w:left="740" w:hanging="29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Holdings.</w:t>
      </w:r>
    </w:p>
    <w:p>
      <w:pPr>
        <w:spacing w:after="0" w:line="117" w:lineRule="exact"/>
        <w:rPr>
          <w:rFonts w:ascii="Times New Roman" w:cs="Times New Roman" w:eastAsia="Times New Roman" w:hAnsi="Times New Roman"/>
          <w:sz w:val="18"/>
          <w:szCs w:val="18"/>
          <w:color w:val="auto"/>
        </w:rPr>
      </w:pPr>
    </w:p>
    <w:p>
      <w:pPr>
        <w:ind w:firstLine="443"/>
        <w:spacing w:after="0" w:line="253"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84" w:lineRule="exact"/>
        <w:rPr>
          <w:rFonts w:ascii="Times New Roman" w:cs="Times New Roman" w:eastAsia="Times New Roman" w:hAnsi="Times New Roman"/>
          <w:sz w:val="18"/>
          <w:szCs w:val="18"/>
          <w:color w:val="auto"/>
        </w:rPr>
      </w:pPr>
    </w:p>
    <w:p>
      <w:pPr>
        <w:ind w:right="20" w:firstLine="443"/>
        <w:spacing w:after="0" w:line="255"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700" w:top="270" w:right="239" w:bottom="1440" w:gutter="0" w:footer="0" w:header="0"/>
        </w:sectPr>
      </w:pPr>
    </w:p>
    <w:bookmarkStart w:id="11" w:name="page12"/>
    <w:bookmarkEnd w:id="11"/>
    <w:p>
      <w:pPr>
        <w:ind w:firstLine="443"/>
        <w:spacing w:after="0" w:line="255"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81" w:lineRule="exact"/>
        <w:rPr>
          <w:rFonts w:ascii="Times New Roman" w:cs="Times New Roman" w:eastAsia="Times New Roman" w:hAnsi="Times New Roman"/>
          <w:sz w:val="18"/>
          <w:szCs w:val="18"/>
          <w:color w:val="auto"/>
        </w:rPr>
      </w:pPr>
    </w:p>
    <w:p>
      <w:pPr>
        <w:ind w:right="60" w:firstLine="443"/>
        <w:spacing w:after="0" w:line="258"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75" w:lineRule="exact"/>
        <w:rPr>
          <w:rFonts w:ascii="Times New Roman" w:cs="Times New Roman" w:eastAsia="Times New Roman" w:hAnsi="Times New Roman"/>
          <w:sz w:val="18"/>
          <w:szCs w:val="18"/>
          <w:color w:val="auto"/>
        </w:rPr>
      </w:pPr>
    </w:p>
    <w:p>
      <w:pPr>
        <w:ind w:right="40" w:firstLine="443"/>
        <w:spacing w:after="0" w:line="266" w:lineRule="auto"/>
        <w:tabs>
          <w:tab w:leader="none" w:pos="6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68" w:lineRule="exact"/>
        <w:rPr>
          <w:rFonts w:ascii="Times New Roman" w:cs="Times New Roman" w:eastAsia="Times New Roman" w:hAnsi="Times New Roman"/>
          <w:sz w:val="18"/>
          <w:szCs w:val="18"/>
          <w:color w:val="auto"/>
        </w:rPr>
      </w:pPr>
    </w:p>
    <w:p>
      <w:pPr>
        <w:ind w:right="40" w:firstLine="443"/>
        <w:spacing w:after="0" w:line="258" w:lineRule="auto"/>
        <w:tabs>
          <w:tab w:leader="none" w:pos="6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75" w:lineRule="exact"/>
        <w:rPr>
          <w:rFonts w:ascii="Times New Roman" w:cs="Times New Roman" w:eastAsia="Times New Roman" w:hAnsi="Times New Roman"/>
          <w:sz w:val="18"/>
          <w:szCs w:val="18"/>
          <w:color w:val="auto"/>
        </w:rPr>
      </w:pPr>
    </w:p>
    <w:p>
      <w:pPr>
        <w:ind w:right="140" w:firstLine="443"/>
        <w:spacing w:after="0" w:line="266" w:lineRule="auto"/>
        <w:tabs>
          <w:tab w:leader="none" w:pos="6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68" w:lineRule="exact"/>
        <w:rPr>
          <w:rFonts w:ascii="Times New Roman" w:cs="Times New Roman" w:eastAsia="Times New Roman" w:hAnsi="Times New Roman"/>
          <w:sz w:val="18"/>
          <w:szCs w:val="18"/>
          <w:color w:val="auto"/>
        </w:rPr>
      </w:pPr>
    </w:p>
    <w:p>
      <w:pPr>
        <w:ind w:right="160" w:firstLine="443"/>
        <w:spacing w:after="0" w:line="261"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700" w:top="270" w:right="239" w:bottom="1440" w:gutter="0" w:footer="0" w:header="0"/>
        </w:sectPr>
      </w:pPr>
    </w:p>
    <w:bookmarkStart w:id="12" w:name="page13"/>
    <w:bookmarkEnd w:id="12"/>
    <w:p>
      <w:pPr>
        <w:ind w:firstLine="443"/>
        <w:spacing w:after="0" w:line="255"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77" w:lineRule="exact"/>
        <w:rPr>
          <w:rFonts w:ascii="Times New Roman" w:cs="Times New Roman" w:eastAsia="Times New Roman" w:hAnsi="Times New Roman"/>
          <w:sz w:val="18"/>
          <w:szCs w:val="18"/>
          <w:color w:val="auto"/>
        </w:rPr>
      </w:pPr>
    </w:p>
    <w:p>
      <w:pPr>
        <w:ind w:right="20" w:firstLine="443"/>
        <w:spacing w:after="0" w:line="258" w:lineRule="auto"/>
        <w:tabs>
          <w:tab w:leader="none" w:pos="7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75" w:lineRule="exact"/>
        <w:rPr>
          <w:rFonts w:ascii="Times New Roman" w:cs="Times New Roman" w:eastAsia="Times New Roman" w:hAnsi="Times New Roman"/>
          <w:sz w:val="18"/>
          <w:szCs w:val="18"/>
          <w:color w:val="auto"/>
        </w:rPr>
      </w:pPr>
    </w:p>
    <w:p>
      <w:pPr>
        <w:jc w:val="both"/>
        <w:ind w:firstLine="443"/>
        <w:spacing w:after="0" w:line="261"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71"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700" w:top="270" w:right="259" w:bottom="1440" w:gutter="0" w:footer="0" w:header="0"/>
        </w:sectPr>
      </w:pPr>
    </w:p>
    <w:bookmarkStart w:id="13" w:name="page14"/>
    <w:bookmarkEnd w:id="13"/>
    <w:p>
      <w:pPr>
        <w:ind w:right="180" w:firstLine="443"/>
        <w:spacing w:after="0" w:line="261" w:lineRule="auto"/>
        <w:tabs>
          <w:tab w:leader="none" w:pos="6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2" w:lineRule="exact"/>
        <w:rPr>
          <w:sz w:val="20"/>
          <w:szCs w:val="20"/>
          <w:color w:val="auto"/>
        </w:rPr>
      </w:pPr>
    </w:p>
    <w:p>
      <w:pPr>
        <w:ind w:right="300" w:firstLine="443"/>
        <w:spacing w:after="0" w:line="276" w:lineRule="auto"/>
        <w:tabs>
          <w:tab w:leader="none" w:pos="76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w:t>
      </w:r>
    </w:p>
    <w:p>
      <w:pPr>
        <w:ind w:firstLine="4"/>
        <w:spacing w:after="0" w:line="25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of insurance insuring the Company or any of its Subsidiaries or their respective businesses, assets, employees, officers and directors are in full force and effect; (iii) the Company and its Subsidiaries are in compliance with the terms of such policies and instruments; (iv) 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86" w:lineRule="exact"/>
        <w:rPr>
          <w:rFonts w:ascii="Times New Roman" w:cs="Times New Roman" w:eastAsia="Times New Roman" w:hAnsi="Times New Roman"/>
          <w:sz w:val="18"/>
          <w:szCs w:val="18"/>
          <w:color w:val="auto"/>
        </w:rPr>
      </w:pPr>
    </w:p>
    <w:p>
      <w:pPr>
        <w:ind w:right="20" w:firstLine="443"/>
        <w:spacing w:after="0" w:line="261" w:lineRule="auto"/>
        <w:tabs>
          <w:tab w:leader="none" w:pos="7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71" w:lineRule="exact"/>
        <w:rPr>
          <w:rFonts w:ascii="Times New Roman" w:cs="Times New Roman" w:eastAsia="Times New Roman" w:hAnsi="Times New Roman"/>
          <w:sz w:val="18"/>
          <w:szCs w:val="18"/>
          <w:color w:val="auto"/>
        </w:rPr>
      </w:pPr>
    </w:p>
    <w:p>
      <w:pPr>
        <w:ind w:right="100" w:firstLine="443"/>
        <w:spacing w:after="0" w:line="256" w:lineRule="auto"/>
        <w:tabs>
          <w:tab w:leader="none" w:pos="7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700" w:top="270" w:right="239" w:bottom="1440" w:gutter="0" w:footer="0" w:header="0"/>
        </w:sectPr>
      </w:pPr>
    </w:p>
    <w:bookmarkStart w:id="14" w:name="page15"/>
    <w:bookmarkEnd w:id="14"/>
    <w:p>
      <w:pPr>
        <w:ind w:left="780" w:hanging="337"/>
        <w:spacing w:after="0"/>
        <w:tabs>
          <w:tab w:leader="none" w:pos="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right="120" w:firstLine="4"/>
        <w:spacing w:after="0" w:line="254"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7" w:lineRule="exact"/>
        <w:rPr>
          <w:rFonts w:ascii="Times New Roman" w:cs="Times New Roman" w:eastAsia="Times New Roman" w:hAnsi="Times New Roman"/>
          <w:sz w:val="18"/>
          <w:szCs w:val="18"/>
          <w:color w:val="auto"/>
        </w:rPr>
      </w:pPr>
    </w:p>
    <w:p>
      <w:pPr>
        <w:jc w:val="both"/>
        <w:ind w:right="40" w:firstLine="443"/>
        <w:spacing w:after="0" w:line="266" w:lineRule="auto"/>
        <w:tabs>
          <w:tab w:leader="none" w:pos="7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68" w:lineRule="exact"/>
        <w:rPr>
          <w:rFonts w:ascii="Times New Roman" w:cs="Times New Roman" w:eastAsia="Times New Roman" w:hAnsi="Times New Roman"/>
          <w:sz w:val="18"/>
          <w:szCs w:val="18"/>
          <w:color w:val="auto"/>
        </w:rPr>
      </w:pPr>
    </w:p>
    <w:p>
      <w:pPr>
        <w:ind w:firstLine="443"/>
        <w:spacing w:after="0" w:line="253" w:lineRule="auto"/>
        <w:tabs>
          <w:tab w:leader="none" w:pos="7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82" w:lineRule="exact"/>
        <w:rPr>
          <w:rFonts w:ascii="Times New Roman" w:cs="Times New Roman" w:eastAsia="Times New Roman" w:hAnsi="Times New Roman"/>
          <w:sz w:val="18"/>
          <w:szCs w:val="18"/>
          <w:color w:val="auto"/>
        </w:rPr>
      </w:pPr>
    </w:p>
    <w:p>
      <w:pPr>
        <w:ind w:firstLine="443"/>
        <w:spacing w:after="0" w:line="255" w:lineRule="auto"/>
        <w:tabs>
          <w:tab w:leader="none" w:pos="7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700" w:top="270" w:right="319" w:bottom="1440" w:gutter="0" w:footer="0" w:header="0"/>
        </w:sectPr>
      </w:pPr>
    </w:p>
    <w:bookmarkStart w:id="15" w:name="page16"/>
    <w:bookmarkEnd w:id="15"/>
    <w:p>
      <w:pPr>
        <w:ind w:right="20" w:firstLine="443"/>
        <w:spacing w:after="0" w:line="255" w:lineRule="auto"/>
        <w:tabs>
          <w:tab w:leader="none" w:pos="78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w:t>
      </w:r>
    </w:p>
    <w:p>
      <w:pPr>
        <w:spacing w:after="0" w:line="2"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77"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securities of the Company or Holdings have rights to the registration of such securities under the Registration Statement.</w:t>
      </w:r>
    </w:p>
    <w:p>
      <w:pPr>
        <w:spacing w:after="0" w:line="117" w:lineRule="exact"/>
        <w:rPr>
          <w:rFonts w:ascii="Times New Roman" w:cs="Times New Roman" w:eastAsia="Times New Roman" w:hAnsi="Times New Roman"/>
          <w:sz w:val="18"/>
          <w:szCs w:val="18"/>
          <w:color w:val="auto"/>
        </w:rPr>
      </w:pPr>
    </w:p>
    <w:p>
      <w:pPr>
        <w:ind w:right="180" w:firstLine="443"/>
        <w:spacing w:after="0" w:line="258" w:lineRule="auto"/>
        <w:tabs>
          <w:tab w:leader="none" w:pos="7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75" w:lineRule="exact"/>
        <w:rPr>
          <w:rFonts w:ascii="Times New Roman" w:cs="Times New Roman" w:eastAsia="Times New Roman" w:hAnsi="Times New Roman"/>
          <w:sz w:val="18"/>
          <w:szCs w:val="18"/>
          <w:color w:val="auto"/>
        </w:rPr>
      </w:pPr>
    </w:p>
    <w:p>
      <w:pPr>
        <w:ind w:left="780" w:hanging="337"/>
        <w:spacing w:after="0"/>
        <w:tabs>
          <w:tab w:leader="none" w:pos="7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which</w:t>
      </w:r>
    </w:p>
    <w:p>
      <w:pPr>
        <w:spacing w:after="0" w:line="27" w:lineRule="exact"/>
        <w:rPr>
          <w:rFonts w:ascii="Times New Roman" w:cs="Times New Roman" w:eastAsia="Times New Roman" w:hAnsi="Times New Roman"/>
          <w:sz w:val="18"/>
          <w:szCs w:val="18"/>
          <w:color w:val="auto"/>
        </w:rPr>
      </w:pPr>
    </w:p>
    <w:p>
      <w:pPr>
        <w:ind w:left="220" w:hanging="216"/>
        <w:spacing w:after="0"/>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designed to ensure, among other things, that material information relating to the Company, including its consolidated subsidiaries, was made</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to the principal executive officer and the principal financial officer of the Company by others within those entities, particularly during the period in which the Company’s Annual Report on Form 10-K for the year ended December 31, 2014 was being prepared; (ii) have been evaluated for effectiveness as of the end of the period covered by the Company’s Annual Report on Form 10-K for the year ended December 31, 2014 pursuant to Rule 13a-15 of the Exchange Act; and (iii) are effective to ensure that the Company is able to collect, process and disclose the information required to be disclosed in reports filed with the Commission within required time periods.</w:t>
      </w:r>
    </w:p>
    <w:p>
      <w:pPr>
        <w:spacing w:after="0" w:line="79" w:lineRule="exact"/>
        <w:rPr>
          <w:rFonts w:ascii="Times New Roman" w:cs="Times New Roman" w:eastAsia="Times New Roman" w:hAnsi="Times New Roman"/>
          <w:sz w:val="18"/>
          <w:szCs w:val="18"/>
          <w:color w:val="auto"/>
        </w:rPr>
      </w:pPr>
    </w:p>
    <w:p>
      <w:pPr>
        <w:ind w:firstLine="443"/>
        <w:spacing w:after="0" w:line="258" w:lineRule="auto"/>
        <w:tabs>
          <w:tab w:leader="none" w:pos="7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evaluation of its disclosure controls and procedures as of the end of the period covered by the Annual Report on Form 10-K for the year ended December 31, 2014,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700" w:top="270" w:right="259" w:bottom="1440" w:gutter="0" w:footer="0" w:header="0"/>
        </w:sectPr>
      </w:pPr>
    </w:p>
    <w:bookmarkStart w:id="16" w:name="page17"/>
    <w:bookmarkEnd w:id="16"/>
    <w:p>
      <w:pPr>
        <w:ind w:firstLine="443"/>
        <w:spacing w:after="0" w:line="256" w:lineRule="auto"/>
        <w:tabs>
          <w:tab w:leader="none" w:pos="8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79" w:lineRule="exact"/>
        <w:rPr>
          <w:rFonts w:ascii="Times New Roman" w:cs="Times New Roman" w:eastAsia="Times New Roman" w:hAnsi="Times New Roman"/>
          <w:sz w:val="18"/>
          <w:szCs w:val="18"/>
          <w:color w:val="auto"/>
        </w:rPr>
      </w:pPr>
    </w:p>
    <w:p>
      <w:pPr>
        <w:ind w:right="280" w:firstLine="443"/>
        <w:spacing w:after="0" w:line="282"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2014, there have been no significant changes in internal controls or in other factors that could significantly affect the Company’s internal controls over financial reporting.</w:t>
      </w:r>
    </w:p>
    <w:p>
      <w:pPr>
        <w:spacing w:after="0" w:line="51" w:lineRule="exact"/>
        <w:rPr>
          <w:rFonts w:ascii="Times New Roman" w:cs="Times New Roman" w:eastAsia="Times New Roman" w:hAnsi="Times New Roman"/>
          <w:sz w:val="18"/>
          <w:szCs w:val="18"/>
          <w:color w:val="auto"/>
        </w:rPr>
      </w:pPr>
    </w:p>
    <w:p>
      <w:pPr>
        <w:ind w:right="480" w:firstLine="443"/>
        <w:spacing w:after="0" w:line="284"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guarantees made in the ordinary course of business.</w:t>
      </w:r>
    </w:p>
    <w:p>
      <w:pPr>
        <w:spacing w:after="0" w:line="52" w:lineRule="exact"/>
        <w:rPr>
          <w:rFonts w:ascii="Times New Roman" w:cs="Times New Roman" w:eastAsia="Times New Roman" w:hAnsi="Times New Roman"/>
          <w:sz w:val="18"/>
          <w:szCs w:val="18"/>
          <w:color w:val="auto"/>
        </w:rPr>
      </w:pPr>
    </w:p>
    <w:p>
      <w:pPr>
        <w:ind w:right="60" w:firstLine="443"/>
        <w:spacing w:after="0" w:line="282"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53" w:lineRule="exact"/>
        <w:rPr>
          <w:rFonts w:ascii="Times New Roman" w:cs="Times New Roman" w:eastAsia="Times New Roman" w:hAnsi="Times New Roman"/>
          <w:sz w:val="18"/>
          <w:szCs w:val="18"/>
          <w:color w:val="auto"/>
        </w:rPr>
      </w:pPr>
    </w:p>
    <w:p>
      <w:pPr>
        <w:ind w:firstLine="443"/>
        <w:spacing w:after="0" w:line="254"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1" w:lineRule="exact"/>
        <w:rPr>
          <w:rFonts w:ascii="Times New Roman" w:cs="Times New Roman" w:eastAsia="Times New Roman" w:hAnsi="Times New Roman"/>
          <w:sz w:val="18"/>
          <w:szCs w:val="18"/>
          <w:color w:val="auto"/>
        </w:rPr>
      </w:pPr>
    </w:p>
    <w:p>
      <w:pPr>
        <w:ind w:firstLine="443"/>
        <w:spacing w:after="0" w:line="258"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700" w:top="270" w:right="239" w:bottom="1440" w:gutter="0" w:footer="0" w:header="0"/>
        </w:sectPr>
      </w:pPr>
    </w:p>
    <w:bookmarkStart w:id="17" w:name="page18"/>
    <w:bookmarkEnd w:id="17"/>
    <w:p>
      <w:pPr>
        <w:ind w:left="460" w:right="20" w:firstLine="443"/>
        <w:spacing w:after="0" w:line="256" w:lineRule="auto"/>
        <w:tabs>
          <w:tab w:leader="none" w:pos="12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8"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76" w:lineRule="exact"/>
        <w:rPr>
          <w:sz w:val="20"/>
          <w:szCs w:val="20"/>
          <w:color w:val="auto"/>
        </w:rPr>
      </w:pPr>
    </w:p>
    <w:p>
      <w:pPr>
        <w:ind w:left="640" w:hanging="17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61" w:lineRule="auto"/>
        <w:tabs>
          <w:tab w:leader="none" w:pos="7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98.924% of the principal amount of the 2025 Notes plus accrued interest, if any, from February 26, 2015 to the Closing Date, the principal amount of the 2025 Notes set forth opposite such Underwriter’s name in Schedule II hereto.</w:t>
      </w:r>
    </w:p>
    <w:p>
      <w:pPr>
        <w:spacing w:after="0" w:line="180" w:lineRule="exact"/>
        <w:rPr>
          <w:rFonts w:ascii="Times New Roman" w:cs="Times New Roman" w:eastAsia="Times New Roman" w:hAnsi="Times New Roman"/>
          <w:sz w:val="18"/>
          <w:szCs w:val="18"/>
          <w:color w:val="auto"/>
        </w:rPr>
      </w:pPr>
    </w:p>
    <w:p>
      <w:pPr>
        <w:ind w:firstLine="464"/>
        <w:spacing w:after="0" w:line="261" w:lineRule="auto"/>
        <w:tabs>
          <w:tab w:leader="none" w:pos="7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98.959% of the principal amount of the 2035 Notes plus accrued interest, if any, from February 26, 2015 to the Closing Date, the principal amount of the 2035 Notes set forth opposite such Underwriter’s name in Schedule II hereto.</w:t>
      </w:r>
    </w:p>
    <w:p>
      <w:pPr>
        <w:spacing w:after="0" w:line="180" w:lineRule="exact"/>
        <w:rPr>
          <w:rFonts w:ascii="Times New Roman" w:cs="Times New Roman" w:eastAsia="Times New Roman" w:hAnsi="Times New Roman"/>
          <w:sz w:val="18"/>
          <w:szCs w:val="18"/>
          <w:color w:val="auto"/>
        </w:rPr>
      </w:pPr>
    </w:p>
    <w:p>
      <w:pPr>
        <w:ind w:firstLine="464"/>
        <w:spacing w:after="0" w:line="261" w:lineRule="auto"/>
        <w:tabs>
          <w:tab w:leader="none" w:pos="7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98.919% of the principal amount of the 2045 Notes plus accrued interest, if any, from February 26, 2015 to the Closing Date, the principal amount of the 2045 Notes set forth opposite such Underwriter’s name in Schedule II hereto.</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0" w:right="25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4" w:lineRule="exact"/>
        <w:rPr>
          <w:sz w:val="20"/>
          <w:szCs w:val="20"/>
          <w:color w:val="auto"/>
        </w:rPr>
      </w:pPr>
    </w:p>
    <w:p>
      <w:pPr>
        <w:ind w:right="60" w:firstLine="464"/>
        <w:spacing w:after="0" w:line="255"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89" w:lineRule="exact"/>
        <w:rPr>
          <w:rFonts w:ascii="Times New Roman" w:cs="Times New Roman" w:eastAsia="Times New Roman" w:hAnsi="Times New Roman"/>
          <w:sz w:val="18"/>
          <w:szCs w:val="18"/>
          <w:color w:val="auto"/>
        </w:rPr>
      </w:pPr>
    </w:p>
    <w:p>
      <w:pPr>
        <w:ind w:right="540" w:firstLine="464"/>
        <w:spacing w:after="0" w:line="282"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460" w:right="60" w:firstLine="443"/>
        <w:spacing w:after="0" w:line="254" w:lineRule="auto"/>
        <w:tabs>
          <w:tab w:leader="none" w:pos="114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81" w:lineRule="exact"/>
        <w:rPr>
          <w:rFonts w:ascii="Times New Roman" w:cs="Times New Roman" w:eastAsia="Times New Roman" w:hAnsi="Times New Roman"/>
          <w:sz w:val="18"/>
          <w:szCs w:val="18"/>
          <w:color w:val="auto"/>
        </w:rPr>
      </w:pPr>
    </w:p>
    <w:p>
      <w:pPr>
        <w:ind w:left="460" w:right="180" w:firstLine="443"/>
        <w:spacing w:after="0" w:line="266" w:lineRule="auto"/>
        <w:tabs>
          <w:tab w:leader="none" w:pos="11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0" w:right="27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76" w:lineRule="exact"/>
        <w:rPr>
          <w:sz w:val="20"/>
          <w:szCs w:val="20"/>
          <w:color w:val="auto"/>
        </w:rPr>
      </w:pPr>
    </w:p>
    <w:p>
      <w:pPr>
        <w:ind w:right="160" w:firstLine="443"/>
        <w:spacing w:after="0" w:line="269" w:lineRule="auto"/>
        <w:tabs>
          <w:tab w:leader="none" w:pos="68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w:t>
      </w:r>
    </w:p>
    <w:p>
      <w:pPr>
        <w:spacing w:after="0" w:line="3" w:lineRule="exact"/>
        <w:rPr>
          <w:rFonts w:ascii="Times New Roman" w:cs="Times New Roman" w:eastAsia="Times New Roman" w:hAnsi="Times New Roman"/>
          <w:sz w:val="17"/>
          <w:szCs w:val="17"/>
          <w:color w:val="auto"/>
        </w:rPr>
      </w:pPr>
    </w:p>
    <w:p>
      <w:pPr>
        <w:ind w:firstLine="4"/>
        <w:spacing w:after="0" w:line="252"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80" w:lineRule="exact"/>
        <w:rPr>
          <w:rFonts w:ascii="Times New Roman" w:cs="Times New Roman" w:eastAsia="Times New Roman" w:hAnsi="Times New Roman"/>
          <w:sz w:val="18"/>
          <w:szCs w:val="18"/>
          <w:color w:val="auto"/>
        </w:rPr>
      </w:pPr>
    </w:p>
    <w:p>
      <w:pPr>
        <w:ind w:right="180" w:firstLine="443"/>
        <w:spacing w:after="0" w:line="270" w:lineRule="auto"/>
        <w:tabs>
          <w:tab w:leader="none" w:pos="69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w:t>
      </w:r>
    </w:p>
    <w:p>
      <w:pPr>
        <w:spacing w:after="0" w:line="2" w:lineRule="exact"/>
        <w:rPr>
          <w:rFonts w:ascii="Times New Roman" w:cs="Times New Roman" w:eastAsia="Times New Roman" w:hAnsi="Times New Roman"/>
          <w:sz w:val="17"/>
          <w:szCs w:val="17"/>
          <w:color w:val="auto"/>
        </w:rPr>
      </w:pPr>
    </w:p>
    <w:p>
      <w:pPr>
        <w:ind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78" w:lineRule="exact"/>
        <w:rPr>
          <w:rFonts w:ascii="Times New Roman" w:cs="Times New Roman" w:eastAsia="Times New Roman" w:hAnsi="Times New Roman"/>
          <w:sz w:val="17"/>
          <w:szCs w:val="17"/>
          <w:color w:val="auto"/>
        </w:rPr>
      </w:pPr>
    </w:p>
    <w:p>
      <w:pPr>
        <w:jc w:val="both"/>
        <w:ind w:right="200" w:firstLine="443"/>
        <w:spacing w:after="0" w:line="266" w:lineRule="auto"/>
        <w:tabs>
          <w:tab w:leader="none" w:pos="68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700" w:top="270" w:right="239" w:bottom="1440" w:gutter="0" w:footer="0" w:header="0"/>
        </w:sectPr>
      </w:pPr>
    </w:p>
    <w:bookmarkStart w:id="20" w:name="page21"/>
    <w:bookmarkEnd w:id="2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76" w:lineRule="exact"/>
        <w:rPr>
          <w:sz w:val="20"/>
          <w:szCs w:val="20"/>
          <w:color w:val="auto"/>
        </w:rPr>
      </w:pPr>
    </w:p>
    <w:p>
      <w:pPr>
        <w:ind w:right="120" w:firstLine="443"/>
        <w:spacing w:after="0" w:line="282" w:lineRule="auto"/>
        <w:tabs>
          <w:tab w:leader="none" w:pos="6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53" w:lineRule="exact"/>
        <w:rPr>
          <w:rFonts w:ascii="Times New Roman" w:cs="Times New Roman" w:eastAsia="Times New Roman" w:hAnsi="Times New Roman"/>
          <w:sz w:val="18"/>
          <w:szCs w:val="18"/>
          <w:color w:val="auto"/>
        </w:rPr>
      </w:pPr>
    </w:p>
    <w:p>
      <w:pPr>
        <w:ind w:firstLine="443"/>
        <w:spacing w:after="0" w:line="258" w:lineRule="auto"/>
        <w:tabs>
          <w:tab w:leader="none" w:pos="6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75" w:lineRule="exact"/>
        <w:rPr>
          <w:rFonts w:ascii="Times New Roman" w:cs="Times New Roman" w:eastAsia="Times New Roman" w:hAnsi="Times New Roman"/>
          <w:sz w:val="18"/>
          <w:szCs w:val="18"/>
          <w:color w:val="auto"/>
        </w:rPr>
      </w:pPr>
    </w:p>
    <w:p>
      <w:pPr>
        <w:ind w:right="100" w:firstLine="443"/>
        <w:spacing w:after="0" w:line="258" w:lineRule="auto"/>
        <w:tabs>
          <w:tab w:leader="none" w:pos="6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75" w:lineRule="exact"/>
        <w:rPr>
          <w:rFonts w:ascii="Times New Roman" w:cs="Times New Roman" w:eastAsia="Times New Roman" w:hAnsi="Times New Roman"/>
          <w:sz w:val="18"/>
          <w:szCs w:val="18"/>
          <w:color w:val="auto"/>
        </w:rPr>
      </w:pPr>
    </w:p>
    <w:p>
      <w:pPr>
        <w:ind w:right="40" w:firstLine="443"/>
        <w:spacing w:after="0" w:line="255" w:lineRule="auto"/>
        <w:tabs>
          <w:tab w:leader="none" w:pos="6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March 20, 2015.</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700" w:top="270" w:right="239" w:bottom="1440" w:gutter="0" w:footer="0" w:header="0"/>
        </w:sectPr>
      </w:pPr>
    </w:p>
    <w:bookmarkStart w:id="21" w:name="page22"/>
    <w:bookmarkEnd w:id="21"/>
    <w:p>
      <w:pPr>
        <w:ind w:left="440" w:right="40" w:firstLine="443"/>
        <w:spacing w:after="0" w:line="266" w:lineRule="auto"/>
        <w:tabs>
          <w:tab w:leader="none" w:pos="109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68" w:lineRule="exact"/>
        <w:rPr>
          <w:rFonts w:ascii="Times New Roman" w:cs="Times New Roman" w:eastAsia="Times New Roman" w:hAnsi="Times New Roman"/>
          <w:sz w:val="18"/>
          <w:szCs w:val="18"/>
          <w:color w:val="auto"/>
        </w:rPr>
      </w:pPr>
    </w:p>
    <w:p>
      <w:pPr>
        <w:ind w:left="440" w:firstLine="443"/>
        <w:spacing w:after="0" w:line="282" w:lineRule="auto"/>
        <w:tabs>
          <w:tab w:leader="none" w:pos="113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61"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1120" w:hanging="237"/>
        <w:spacing w:after="0"/>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w:t>
      </w:r>
    </w:p>
    <w:p>
      <w:pPr>
        <w:spacing w:after="0" w:line="27" w:lineRule="exact"/>
        <w:rPr>
          <w:rFonts w:ascii="Times New Roman" w:cs="Times New Roman" w:eastAsia="Times New Roman" w:hAnsi="Times New Roman"/>
          <w:sz w:val="18"/>
          <w:szCs w:val="18"/>
          <w:color w:val="auto"/>
        </w:rPr>
      </w:pPr>
    </w:p>
    <w:p>
      <w:pPr>
        <w:ind w:left="440" w:firstLine="4"/>
        <w:spacing w:after="0" w:line="252" w:lineRule="auto"/>
        <w:tabs>
          <w:tab w:leader="none" w:pos="7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a term sheet substantially in the form of Schedule I hereto without the consent of the Company.</w:t>
      </w:r>
    </w:p>
    <w:p>
      <w:pPr>
        <w:spacing w:after="0" w:line="80" w:lineRule="exact"/>
        <w:rPr>
          <w:rFonts w:ascii="Times New Roman" w:cs="Times New Roman" w:eastAsia="Times New Roman" w:hAnsi="Times New Roman"/>
          <w:sz w:val="18"/>
          <w:szCs w:val="18"/>
          <w:color w:val="auto"/>
        </w:rPr>
      </w:pPr>
    </w:p>
    <w:p>
      <w:pPr>
        <w:ind w:left="440" w:right="80" w:firstLine="443"/>
        <w:spacing w:after="0" w:line="282" w:lineRule="auto"/>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jc w:val="both"/>
        <w:ind w:left="-20" w:right="80" w:firstLine="464"/>
        <w:spacing w:after="0" w:line="261" w:lineRule="auto"/>
        <w:tabs>
          <w:tab w:leader="none" w:pos="6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71" w:lineRule="exact"/>
        <w:rPr>
          <w:rFonts w:ascii="Times New Roman" w:cs="Times New Roman" w:eastAsia="Times New Roman" w:hAnsi="Times New Roman"/>
          <w:sz w:val="18"/>
          <w:szCs w:val="18"/>
          <w:color w:val="auto"/>
        </w:rPr>
      </w:pPr>
    </w:p>
    <w:p>
      <w:pPr>
        <w:ind w:left="440" w:firstLine="443"/>
        <w:spacing w:after="0" w:line="256" w:lineRule="auto"/>
        <w:tabs>
          <w:tab w:leader="none" w:pos="112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60" w:top="270" w:right="259" w:bottom="1440" w:gutter="0" w:footer="0" w:header="0"/>
        </w:sectPr>
      </w:pPr>
    </w:p>
    <w:bookmarkStart w:id="22" w:name="page23"/>
    <w:bookmarkEnd w:id="22"/>
    <w:p>
      <w:pPr>
        <w:ind w:right="780" w:firstLine="443"/>
        <w:spacing w:after="0" w:line="282" w:lineRule="auto"/>
        <w:tabs>
          <w:tab w:leader="none" w:pos="6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requested and caused Baker Botts L.L.P., counsel for the Company and Holdings, to have furnished to the Representatives their opinion, dated the Closing Date and addressed to the Representatives, to the effect that:</w:t>
      </w:r>
    </w:p>
    <w:p>
      <w:pPr>
        <w:spacing w:after="0" w:line="53" w:lineRule="exact"/>
        <w:rPr>
          <w:rFonts w:ascii="Times New Roman" w:cs="Times New Roman" w:eastAsia="Times New Roman" w:hAnsi="Times New Roman"/>
          <w:sz w:val="18"/>
          <w:szCs w:val="18"/>
          <w:color w:val="auto"/>
        </w:rPr>
      </w:pPr>
    </w:p>
    <w:p>
      <w:pPr>
        <w:ind w:left="460" w:firstLine="421"/>
        <w:spacing w:after="0" w:line="261" w:lineRule="auto"/>
        <w:tabs>
          <w:tab w:leader="none" w:pos="10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1"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Holdings;</w:t>
      </w:r>
    </w:p>
    <w:p>
      <w:pPr>
        <w:spacing w:after="0" w:line="117" w:lineRule="exact"/>
        <w:rPr>
          <w:rFonts w:ascii="Times New Roman" w:cs="Times New Roman" w:eastAsia="Times New Roman" w:hAnsi="Times New Roman"/>
          <w:sz w:val="18"/>
          <w:szCs w:val="18"/>
          <w:color w:val="auto"/>
        </w:rPr>
      </w:pPr>
    </w:p>
    <w:p>
      <w:pPr>
        <w:ind w:left="460" w:right="80" w:firstLine="421"/>
        <w:spacing w:after="0" w:line="256" w:lineRule="auto"/>
        <w:tabs>
          <w:tab w:leader="none" w:pos="11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79" w:lineRule="exact"/>
        <w:rPr>
          <w:rFonts w:ascii="Times New Roman" w:cs="Times New Roman" w:eastAsia="Times New Roman" w:hAnsi="Times New Roman"/>
          <w:sz w:val="18"/>
          <w:szCs w:val="18"/>
          <w:color w:val="auto"/>
        </w:rPr>
      </w:pPr>
    </w:p>
    <w:p>
      <w:pPr>
        <w:ind w:left="460" w:right="140" w:firstLine="421"/>
        <w:spacing w:after="0" w:line="255" w:lineRule="auto"/>
        <w:tabs>
          <w:tab w:leader="none" w:pos="118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77" w:lineRule="exact"/>
        <w:rPr>
          <w:rFonts w:ascii="Times New Roman" w:cs="Times New Roman" w:eastAsia="Times New Roman" w:hAnsi="Times New Roman"/>
          <w:sz w:val="18"/>
          <w:szCs w:val="18"/>
          <w:color w:val="auto"/>
        </w:rPr>
      </w:pPr>
    </w:p>
    <w:p>
      <w:pPr>
        <w:ind w:left="460" w:right="260" w:firstLine="421"/>
        <w:spacing w:after="0" w:line="261" w:lineRule="auto"/>
        <w:tabs>
          <w:tab w:leader="none" w:pos="11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700" w:top="270" w:right="259" w:bottom="1440" w:gutter="0" w:footer="0" w:header="0"/>
        </w:sectPr>
      </w:pPr>
    </w:p>
    <w:bookmarkStart w:id="23" w:name="page24"/>
    <w:bookmarkEnd w:id="23"/>
    <w:p>
      <w:pPr>
        <w:ind w:left="46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72" w:lineRule="exact"/>
        <w:rPr>
          <w:sz w:val="20"/>
          <w:szCs w:val="20"/>
          <w:color w:val="auto"/>
        </w:rPr>
      </w:pPr>
    </w:p>
    <w:p>
      <w:pPr>
        <w:ind w:left="1180" w:hanging="299"/>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w:t>
      </w:r>
    </w:p>
    <w:p>
      <w:pPr>
        <w:spacing w:after="0" w:line="117" w:lineRule="exact"/>
        <w:rPr>
          <w:rFonts w:ascii="Times New Roman" w:cs="Times New Roman" w:eastAsia="Times New Roman" w:hAnsi="Times New Roman"/>
          <w:sz w:val="18"/>
          <w:szCs w:val="18"/>
          <w:color w:val="auto"/>
        </w:rPr>
      </w:pPr>
    </w:p>
    <w:p>
      <w:pPr>
        <w:ind w:left="460" w:right="660" w:firstLine="421"/>
        <w:spacing w:after="0" w:line="282" w:lineRule="auto"/>
        <w:tabs>
          <w:tab w:leader="none" w:pos="1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53" w:lineRule="exact"/>
        <w:rPr>
          <w:rFonts w:ascii="Times New Roman" w:cs="Times New Roman" w:eastAsia="Times New Roman" w:hAnsi="Times New Roman"/>
          <w:sz w:val="18"/>
          <w:szCs w:val="18"/>
          <w:color w:val="auto"/>
        </w:rPr>
      </w:pPr>
    </w:p>
    <w:p>
      <w:pPr>
        <w:ind w:left="460" w:firstLine="421"/>
        <w:spacing w:after="0" w:line="261" w:lineRule="auto"/>
        <w:tabs>
          <w:tab w:leader="none" w:pos="12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71" w:lineRule="exact"/>
        <w:rPr>
          <w:rFonts w:ascii="Times New Roman" w:cs="Times New Roman" w:eastAsia="Times New Roman" w:hAnsi="Times New Roman"/>
          <w:sz w:val="18"/>
          <w:szCs w:val="18"/>
          <w:color w:val="auto"/>
        </w:rPr>
      </w:pPr>
    </w:p>
    <w:p>
      <w:pPr>
        <w:ind w:left="460" w:right="300" w:firstLine="421"/>
        <w:spacing w:after="0" w:line="266" w:lineRule="auto"/>
        <w:tabs>
          <w:tab w:leader="none" w:pos="1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68" w:lineRule="exact"/>
        <w:rPr>
          <w:rFonts w:ascii="Times New Roman" w:cs="Times New Roman" w:eastAsia="Times New Roman" w:hAnsi="Times New Roman"/>
          <w:sz w:val="18"/>
          <w:szCs w:val="18"/>
          <w:color w:val="auto"/>
        </w:rPr>
      </w:pPr>
    </w:p>
    <w:p>
      <w:pPr>
        <w:ind w:left="460" w:right="40" w:firstLine="421"/>
        <w:spacing w:after="0" w:line="255"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 and</w:t>
      </w:r>
    </w:p>
    <w:p>
      <w:pPr>
        <w:spacing w:after="0" w:line="81" w:lineRule="exact"/>
        <w:rPr>
          <w:rFonts w:ascii="Times New Roman" w:cs="Times New Roman" w:eastAsia="Times New Roman" w:hAnsi="Times New Roman"/>
          <w:sz w:val="18"/>
          <w:szCs w:val="18"/>
          <w:color w:val="auto"/>
        </w:rPr>
      </w:pPr>
    </w:p>
    <w:p>
      <w:pPr>
        <w:ind w:left="460" w:right="200" w:firstLine="421"/>
        <w:spacing w:after="0" w:line="282" w:lineRule="auto"/>
        <w:tabs>
          <w:tab w:leader="none" w:pos="1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 “investment company” or an entity “controlled” by an “investment company,” as such terms are defined in the 1940 Act.</w:t>
      </w:r>
    </w:p>
    <w:p>
      <w:pPr>
        <w:spacing w:after="0" w:line="54" w:lineRule="exact"/>
        <w:rPr>
          <w:sz w:val="20"/>
          <w:szCs w:val="20"/>
          <w:color w:val="auto"/>
        </w:rPr>
      </w:pPr>
    </w:p>
    <w:p>
      <w:pPr>
        <w:ind w:right="260" w:firstLine="438"/>
        <w:spacing w:after="0" w:line="282" w:lineRule="auto"/>
        <w:rPr>
          <w:sz w:val="20"/>
          <w:szCs w:val="20"/>
          <w:color w:val="auto"/>
        </w:rPr>
      </w:pPr>
      <w:r>
        <w:rPr>
          <w:rFonts w:ascii="Times New Roman" w:cs="Times New Roman" w:eastAsia="Times New Roman" w:hAnsi="Times New Roman"/>
          <w:sz w:val="18"/>
          <w:szCs w:val="18"/>
          <w:color w:val="auto"/>
        </w:rPr>
        <w:t>In addition, such counsel shall state that they have reviewed the Registration Statement, the Time of Sale Information and the Final Prospectus and have participated</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0" w:right="23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 (vii)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82"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700" w:top="270" w:right="239" w:bottom="1440" w:gutter="0" w:footer="0" w:header="0"/>
        </w:sectPr>
      </w:pPr>
    </w:p>
    <w:bookmarkStart w:id="25" w:name="page26"/>
    <w:bookmarkEnd w:id="25"/>
    <w:p>
      <w:pPr>
        <w:ind w:right="200" w:firstLine="443"/>
        <w:spacing w:after="0" w:line="282" w:lineRule="auto"/>
        <w:tabs>
          <w:tab w:leader="none" w:pos="6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Courtney A. Tippy, Assistant General Counsel – Securities &amp; Governance, Corporate Secretary of the Company, shall have furnished to the Representatives his opinion, dated the Closing Date and addressed to the Representatives, to the effect that:</w:t>
      </w:r>
    </w:p>
    <w:p>
      <w:pPr>
        <w:spacing w:after="0" w:line="53" w:lineRule="exact"/>
        <w:rPr>
          <w:rFonts w:ascii="Times New Roman" w:cs="Times New Roman" w:eastAsia="Times New Roman" w:hAnsi="Times New Roman"/>
          <w:sz w:val="18"/>
          <w:szCs w:val="18"/>
          <w:color w:val="auto"/>
        </w:rPr>
      </w:pPr>
    </w:p>
    <w:p>
      <w:pPr>
        <w:ind w:left="460" w:firstLine="421"/>
        <w:spacing w:after="0" w:line="255" w:lineRule="auto"/>
        <w:tabs>
          <w:tab w:leader="none" w:pos="10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77" w:lineRule="exact"/>
        <w:rPr>
          <w:rFonts w:ascii="Times New Roman" w:cs="Times New Roman" w:eastAsia="Times New Roman" w:hAnsi="Times New Roman"/>
          <w:sz w:val="18"/>
          <w:szCs w:val="18"/>
          <w:color w:val="auto"/>
        </w:rPr>
      </w:pPr>
    </w:p>
    <w:p>
      <w:pPr>
        <w:ind w:left="460" w:firstLine="421"/>
        <w:spacing w:after="0" w:line="258" w:lineRule="auto"/>
        <w:tabs>
          <w:tab w:leader="none" w:pos="11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(other than the financial statements, related schedules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75" w:lineRule="exact"/>
        <w:rPr>
          <w:rFonts w:ascii="Times New Roman" w:cs="Times New Roman" w:eastAsia="Times New Roman" w:hAnsi="Times New Roman"/>
          <w:sz w:val="18"/>
          <w:szCs w:val="18"/>
          <w:color w:val="auto"/>
        </w:rPr>
      </w:pPr>
    </w:p>
    <w:p>
      <w:pPr>
        <w:jc w:val="both"/>
        <w:ind w:left="460" w:right="120" w:firstLine="421"/>
        <w:spacing w:after="0" w:line="261" w:lineRule="auto"/>
        <w:tabs>
          <w:tab w:leader="none" w:pos="11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71" w:lineRule="exact"/>
        <w:rPr>
          <w:rFonts w:ascii="Times New Roman" w:cs="Times New Roman" w:eastAsia="Times New Roman" w:hAnsi="Times New Roman"/>
          <w:sz w:val="18"/>
          <w:szCs w:val="18"/>
          <w:color w:val="auto"/>
        </w:rPr>
      </w:pPr>
    </w:p>
    <w:p>
      <w:pPr>
        <w:ind w:left="460" w:right="20" w:firstLine="421"/>
        <w:spacing w:after="0" w:line="281" w:lineRule="auto"/>
        <w:tabs>
          <w:tab w:leader="none" w:pos="118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700" w:top="270" w:right="259" w:bottom="1440" w:gutter="0" w:footer="0" w:header="0"/>
        </w:sectPr>
      </w:pPr>
    </w:p>
    <w:bookmarkStart w:id="26" w:name="page27"/>
    <w:bookmarkEnd w:id="26"/>
    <w:p>
      <w:pPr>
        <w:ind w:left="460" w:right="620" w:firstLine="421"/>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counsel does not know of any holders of securities of the Company or Holdings that have rights to the registration of such securities under the Registration Statement; and</w:t>
      </w:r>
    </w:p>
    <w:p>
      <w:pPr>
        <w:spacing w:after="0" w:line="53" w:lineRule="exact"/>
        <w:rPr>
          <w:rFonts w:ascii="Times New Roman" w:cs="Times New Roman" w:eastAsia="Times New Roman" w:hAnsi="Times New Roman"/>
          <w:sz w:val="18"/>
          <w:szCs w:val="18"/>
          <w:color w:val="auto"/>
        </w:rPr>
      </w:pPr>
    </w:p>
    <w:p>
      <w:pPr>
        <w:ind w:left="460" w:firstLine="421"/>
        <w:spacing w:after="0" w:line="255" w:lineRule="auto"/>
        <w:tabs>
          <w:tab w:leader="none" w:pos="118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Notes, the Guarantee Agreements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77" w:lineRule="exact"/>
        <w:rPr>
          <w:rFonts w:ascii="Times New Roman" w:cs="Times New Roman" w:eastAsia="Times New Roman" w:hAnsi="Times New Roman"/>
          <w:sz w:val="18"/>
          <w:szCs w:val="18"/>
          <w:color w:val="auto"/>
        </w:rPr>
      </w:pPr>
    </w:p>
    <w:p>
      <w:pPr>
        <w:ind w:firstLine="443"/>
        <w:spacing w:after="0" w:line="258" w:lineRule="auto"/>
        <w:tabs>
          <w:tab w:leader="none" w:pos="6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75" w:lineRule="exact"/>
        <w:rPr>
          <w:rFonts w:ascii="Times New Roman" w:cs="Times New Roman" w:eastAsia="Times New Roman" w:hAnsi="Times New Roman"/>
          <w:sz w:val="18"/>
          <w:szCs w:val="18"/>
          <w:color w:val="auto"/>
        </w:rPr>
      </w:pPr>
    </w:p>
    <w:p>
      <w:pPr>
        <w:ind w:right="40" w:firstLine="443"/>
        <w:spacing w:after="0" w:line="261" w:lineRule="auto"/>
        <w:tabs>
          <w:tab w:leader="none" w:pos="6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71" w:lineRule="exact"/>
        <w:rPr>
          <w:rFonts w:ascii="Times New Roman" w:cs="Times New Roman" w:eastAsia="Times New Roman" w:hAnsi="Times New Roman"/>
          <w:sz w:val="18"/>
          <w:szCs w:val="18"/>
          <w:color w:val="auto"/>
        </w:rPr>
      </w:pPr>
    </w:p>
    <w:p>
      <w:pPr>
        <w:ind w:left="460" w:right="160" w:firstLine="421"/>
        <w:spacing w:after="0" w:line="282" w:lineRule="auto"/>
        <w:tabs>
          <w:tab w:leader="none" w:pos="10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the representations and warranties of Holdings in this Agreement are true and correct on and as of the Closing Date with the same effect as if made on the Closing Date;</w:t>
      </w:r>
    </w:p>
    <w:p>
      <w:pPr>
        <w:spacing w:after="0" w:line="53" w:lineRule="exact"/>
        <w:rPr>
          <w:rFonts w:ascii="Times New Roman" w:cs="Times New Roman" w:eastAsia="Times New Roman" w:hAnsi="Times New Roman"/>
          <w:sz w:val="18"/>
          <w:szCs w:val="18"/>
          <w:color w:val="auto"/>
        </w:rPr>
      </w:pPr>
    </w:p>
    <w:p>
      <w:pPr>
        <w:ind w:left="460" w:right="120" w:firstLine="421"/>
        <w:spacing w:after="0" w:line="266" w:lineRule="auto"/>
        <w:tabs>
          <w:tab w:leader="none" w:pos="11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700" w:top="270" w:right="279" w:bottom="1440" w:gutter="0" w:footer="0" w:header="0"/>
        </w:sectPr>
      </w:pPr>
    </w:p>
    <w:bookmarkStart w:id="27" w:name="page28"/>
    <w:bookmarkEnd w:id="27"/>
    <w:p>
      <w:pPr>
        <w:ind w:left="460" w:firstLine="421"/>
        <w:spacing w:after="0" w:line="282" w:lineRule="auto"/>
        <w:tabs>
          <w:tab w:leader="none" w:pos="11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stop order suspending the effectiveness of the Registration Statement has been issued and no proceedings for that purpose have been instituted or, to the Company’s knowledge, threatened; and</w:t>
      </w:r>
    </w:p>
    <w:p>
      <w:pPr>
        <w:spacing w:after="0" w:line="53" w:lineRule="exact"/>
        <w:rPr>
          <w:rFonts w:ascii="Times New Roman" w:cs="Times New Roman" w:eastAsia="Times New Roman" w:hAnsi="Times New Roman"/>
          <w:sz w:val="18"/>
          <w:szCs w:val="18"/>
          <w:color w:val="auto"/>
        </w:rPr>
      </w:pPr>
    </w:p>
    <w:p>
      <w:pPr>
        <w:ind w:left="460" w:right="300" w:firstLine="421"/>
        <w:spacing w:after="0" w:line="258" w:lineRule="auto"/>
        <w:tabs>
          <w:tab w:leader="none" w:pos="118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75" w:lineRule="exact"/>
        <w:rPr>
          <w:rFonts w:ascii="Times New Roman" w:cs="Times New Roman" w:eastAsia="Times New Roman" w:hAnsi="Times New Roman"/>
          <w:sz w:val="18"/>
          <w:szCs w:val="18"/>
          <w:color w:val="auto"/>
        </w:rPr>
      </w:pPr>
    </w:p>
    <w:p>
      <w:pPr>
        <w:ind w:right="180" w:firstLine="443"/>
        <w:spacing w:after="0" w:line="258"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75" w:lineRule="exact"/>
        <w:rPr>
          <w:rFonts w:ascii="Times New Roman" w:cs="Times New Roman" w:eastAsia="Times New Roman" w:hAnsi="Times New Roman"/>
          <w:sz w:val="18"/>
          <w:szCs w:val="18"/>
          <w:color w:val="auto"/>
        </w:rPr>
      </w:pPr>
    </w:p>
    <w:p>
      <w:pPr>
        <w:ind w:left="460" w:right="20" w:firstLine="421"/>
        <w:spacing w:after="0" w:line="266" w:lineRule="auto"/>
        <w:tabs>
          <w:tab w:leader="none" w:pos="10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68" w:lineRule="exact"/>
        <w:rPr>
          <w:rFonts w:ascii="Times New Roman" w:cs="Times New Roman" w:eastAsia="Times New Roman" w:hAnsi="Times New Roman"/>
          <w:sz w:val="18"/>
          <w:szCs w:val="18"/>
          <w:color w:val="auto"/>
        </w:rPr>
      </w:pPr>
    </w:p>
    <w:p>
      <w:pPr>
        <w:ind w:left="460" w:right="80" w:firstLine="421"/>
        <w:spacing w:after="0" w:line="266" w:lineRule="auto"/>
        <w:tabs>
          <w:tab w:leader="none" w:pos="11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w:t>
      </w:r>
    </w:p>
    <w:p>
      <w:pPr>
        <w:spacing w:after="0" w:line="68" w:lineRule="exact"/>
        <w:rPr>
          <w:rFonts w:ascii="Times New Roman" w:cs="Times New Roman" w:eastAsia="Times New Roman" w:hAnsi="Times New Roman"/>
          <w:sz w:val="18"/>
          <w:szCs w:val="18"/>
          <w:color w:val="auto"/>
        </w:rPr>
      </w:pPr>
    </w:p>
    <w:p>
      <w:pPr>
        <w:ind w:left="460" w:right="20" w:firstLine="421"/>
        <w:spacing w:after="0" w:line="255" w:lineRule="auto"/>
        <w:tabs>
          <w:tab w:leader="none" w:pos="11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2014,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700" w:top="270" w:right="239" w:bottom="1440" w:gutter="0" w:footer="0" w:header="0"/>
        </w:sectPr>
      </w:pPr>
    </w:p>
    <w:bookmarkStart w:id="28" w:name="page29"/>
    <w:bookmarkEnd w:id="28"/>
    <w:p>
      <w:pPr>
        <w:ind w:left="1640" w:hanging="299"/>
        <w:spacing w:after="0"/>
        <w:tabs>
          <w:tab w:leader="none" w:pos="1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they have inquired of certain officials of the Company who have responsibility for financial and accounting matters as to whether:</w:t>
      </w:r>
    </w:p>
    <w:p>
      <w:pPr>
        <w:spacing w:after="0" w:line="27" w:lineRule="exact"/>
        <w:rPr>
          <w:rFonts w:ascii="Times New Roman" w:cs="Times New Roman" w:eastAsia="Times New Roman" w:hAnsi="Times New Roman"/>
          <w:sz w:val="18"/>
          <w:szCs w:val="18"/>
          <w:color w:val="auto"/>
        </w:rPr>
      </w:pPr>
    </w:p>
    <w:p>
      <w:pPr>
        <w:ind w:left="920" w:right="260" w:firstLine="1"/>
        <w:spacing w:after="0" w:line="253" w:lineRule="auto"/>
        <w:tabs>
          <w:tab w:leader="none" w:pos="1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February 17, 2015 there was any change in the capital stock, increase in long-term indebtedness or any decreases in consolidated net current assets or in total equity of the Company as compared with the amounts shown on the December 31, 2014 audited consolidated balance sheet incorporated by reference in the Registration Statement; or (B) for the period from January 1, 2015 to February 17, 2015 there were any decreases, as compared with the corresponding period in the preceding year, in consolidated operating revenues or in the total or per-share amounts of net consolidated income attributable to the Company.</w:t>
      </w:r>
    </w:p>
    <w:p>
      <w:pPr>
        <w:spacing w:after="0" w:line="79"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54" w:lineRule="exact"/>
        <w:rPr>
          <w:sz w:val="20"/>
          <w:szCs w:val="20"/>
          <w:color w:val="auto"/>
        </w:rPr>
      </w:pPr>
    </w:p>
    <w:p>
      <w:pPr>
        <w:ind w:left="460" w:right="20" w:firstLine="443"/>
        <w:spacing w:after="0" w:line="254" w:lineRule="auto"/>
        <w:tabs>
          <w:tab w:leader="none" w:pos="11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81" w:lineRule="exact"/>
        <w:rPr>
          <w:rFonts w:ascii="Times New Roman" w:cs="Times New Roman" w:eastAsia="Times New Roman" w:hAnsi="Times New Roman"/>
          <w:sz w:val="18"/>
          <w:szCs w:val="18"/>
          <w:color w:val="auto"/>
        </w:rPr>
      </w:pPr>
    </w:p>
    <w:p>
      <w:pPr>
        <w:ind w:left="460" w:right="360" w:firstLine="443"/>
        <w:spacing w:after="0" w:line="266" w:lineRule="auto"/>
        <w:tabs>
          <w:tab w:leader="none" w:pos="11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68" w:lineRule="exact"/>
        <w:rPr>
          <w:rFonts w:ascii="Times New Roman" w:cs="Times New Roman" w:eastAsia="Times New Roman" w:hAnsi="Times New Roman"/>
          <w:sz w:val="18"/>
          <w:szCs w:val="18"/>
          <w:color w:val="auto"/>
        </w:rPr>
      </w:pPr>
    </w:p>
    <w:p>
      <w:pPr>
        <w:ind w:left="460" w:right="320" w:firstLine="443"/>
        <w:spacing w:after="0" w:line="282" w:lineRule="auto"/>
        <w:tabs>
          <w:tab w:leader="none" w:pos="11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29" w:name="page30"/>
    <w:bookmarkEnd w:id="29"/>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62" w:lineRule="exact"/>
        <w:rPr>
          <w:sz w:val="20"/>
          <w:szCs w:val="20"/>
          <w:color w:val="auto"/>
        </w:rPr>
      </w:pPr>
    </w:p>
    <w:p>
      <w:pPr>
        <w:ind w:firstLine="464"/>
        <w:spacing w:after="0" w:line="256"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87" w:lineRule="exact"/>
        <w:rPr>
          <w:rFonts w:ascii="Times New Roman" w:cs="Times New Roman" w:eastAsia="Times New Roman" w:hAnsi="Times New Roman"/>
          <w:sz w:val="18"/>
          <w:szCs w:val="18"/>
          <w:color w:val="auto"/>
        </w:rPr>
      </w:pPr>
    </w:p>
    <w:p>
      <w:pPr>
        <w:ind w:right="80" w:firstLine="464"/>
        <w:spacing w:after="0" w:line="268" w:lineRule="auto"/>
        <w:tabs>
          <w:tab w:leader="none" w:pos="6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and Contribution</w:t>
      </w:r>
      <w:r>
        <w:rPr>
          <w:rFonts w:ascii="Times New Roman" w:cs="Times New Roman" w:eastAsia="Times New Roman" w:hAnsi="Times New Roman"/>
          <w:sz w:val="17"/>
          <w:szCs w:val="17"/>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0" w:right="279" w:bottom="1440" w:gutter="0" w:footer="0" w:header="0"/>
        </w:sectPr>
      </w:pPr>
    </w:p>
    <w:bookmarkStart w:id="30" w:name="page31"/>
    <w:bookmarkEnd w:id="30"/>
    <w:p>
      <w:pPr>
        <w:ind w:firstLine="921"/>
        <w:spacing w:after="0" w:line="254" w:lineRule="auto"/>
        <w:tabs>
          <w:tab w:leader="none" w:pos="11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Times New Roman" w:cs="Times New Roman" w:eastAsia="Times New Roman" w:hAnsi="Times New Roman"/>
          <w:sz w:val="18"/>
          <w:szCs w:val="18"/>
          <w:u w:val="single" w:color="auto"/>
          <w:color w:val="auto"/>
        </w:rPr>
        <w:t>Foregoing Indemnity</w:t>
      </w:r>
      <w:r>
        <w:rPr>
          <w:rFonts w:ascii="Times New Roman" w:cs="Times New Roman" w:eastAsia="Times New Roman" w:hAnsi="Times New Roman"/>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186" w:lineRule="exact"/>
        <w:rPr>
          <w:rFonts w:ascii="Times New Roman" w:cs="Times New Roman" w:eastAsia="Times New Roman" w:hAnsi="Times New Roman"/>
          <w:sz w:val="18"/>
          <w:szCs w:val="18"/>
          <w:color w:val="auto"/>
        </w:rPr>
      </w:pPr>
    </w:p>
    <w:p>
      <w:pPr>
        <w:ind w:right="180" w:firstLine="921"/>
        <w:spacing w:after="0" w:line="255" w:lineRule="auto"/>
        <w:tabs>
          <w:tab w:leader="none" w:pos="11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ind w:right="40" w:firstLine="8"/>
        <w:spacing w:after="0" w:line="265" w:lineRule="auto"/>
        <w:tabs>
          <w:tab w:leader="none" w:pos="26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counsel shall be reasonably satisfactory to the indemnified party and shall not, without the consent of the indemnified party, be counsel to the indemnifying party.</w:t>
      </w:r>
    </w:p>
    <w:p>
      <w:pPr>
        <w:spacing w:after="0" w:line="1" w:lineRule="exact"/>
        <w:rPr>
          <w:rFonts w:ascii="Times New Roman" w:cs="Times New Roman" w:eastAsia="Times New Roman" w:hAnsi="Times New Roman"/>
          <w:sz w:val="17"/>
          <w:szCs w:val="17"/>
          <w:color w:val="auto"/>
        </w:rPr>
      </w:pPr>
    </w:p>
    <w:p>
      <w:pPr>
        <w:ind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0" w:right="239" w:bottom="1440" w:gutter="0" w:footer="0" w:header="0"/>
        </w:sectPr>
      </w:pPr>
    </w:p>
    <w:bookmarkStart w:id="31" w:name="page32"/>
    <w:bookmarkEnd w:id="3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84" w:lineRule="exact"/>
        <w:rPr>
          <w:sz w:val="20"/>
          <w:szCs w:val="20"/>
          <w:color w:val="auto"/>
        </w:rPr>
      </w:pPr>
    </w:p>
    <w:p>
      <w:pPr>
        <w:ind w:firstLine="921"/>
        <w:spacing w:after="0" w:line="251" w:lineRule="auto"/>
        <w:tabs>
          <w:tab w:leader="none" w:pos="11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32" w:name="page33"/>
    <w:bookmarkEnd w:id="32"/>
    <w:p>
      <w:pPr>
        <w:ind w:left="-20" w:firstLine="464"/>
        <w:spacing w:after="0" w:line="253" w:lineRule="auto"/>
        <w:tabs>
          <w:tab w:leader="none" w:pos="7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8" w:lineRule="exact"/>
        <w:rPr>
          <w:rFonts w:ascii="Times New Roman" w:cs="Times New Roman" w:eastAsia="Times New Roman" w:hAnsi="Times New Roman"/>
          <w:sz w:val="18"/>
          <w:szCs w:val="18"/>
          <w:color w:val="auto"/>
        </w:rPr>
      </w:pPr>
    </w:p>
    <w:p>
      <w:pPr>
        <w:ind w:left="-20" w:right="40" w:firstLine="464"/>
        <w:spacing w:after="0" w:line="254"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89" w:lineRule="exact"/>
        <w:rPr>
          <w:rFonts w:ascii="Times New Roman" w:cs="Times New Roman" w:eastAsia="Times New Roman" w:hAnsi="Times New Roman"/>
          <w:sz w:val="18"/>
          <w:szCs w:val="18"/>
          <w:color w:val="auto"/>
        </w:rPr>
      </w:pPr>
    </w:p>
    <w:p>
      <w:pPr>
        <w:ind w:left="-20" w:right="60" w:firstLine="464"/>
        <w:spacing w:after="0" w:line="258" w:lineRule="auto"/>
        <w:tabs>
          <w:tab w:leader="none" w:pos="7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60" w:top="270" w:right="259" w:bottom="1440" w:gutter="0" w:footer="0" w:header="0"/>
        </w:sectPr>
      </w:pPr>
    </w:p>
    <w:bookmarkStart w:id="33" w:name="page34"/>
    <w:bookmarkEnd w:id="33"/>
    <w:p>
      <w:pPr>
        <w:ind w:left="-40" w:firstLine="464"/>
        <w:spacing w:after="0" w:line="255" w:lineRule="auto"/>
        <w:tabs>
          <w:tab w:leader="none" w:pos="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(1) Credit Suisse Securities (USA) LLC, Eleven Madison Avenue, New York, New York 10010-3629, Attention: LCD-IBD; (2) Deutsche Bank Securities Inc., 60 Wall Street, New York, New York 10005, Attention: Debt Capital Markets Syndicate (Fax: 212-797-2202), with a copy to General Counsel (Fax: 212-797-4561); (3) Goldman, Sachs &amp; Co., 200 West Street, New York, New York 10282, Attention: Registration Department; and (4) J.P. Morgan Securities LLC, 383 Madison Avenue, New York, NY 10179, Attn: Investment Grade Syndicate Desk –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 (Fax: 212-834-6081); or, if sent to the Company or Holdings, will be mailed, delivered or telefaxed to Waste Management, Inc., Attn: General Counsel (fax no.: 713-209-9710) and confirmed to it at 1001 Fannin, Suite 4000, Houston, Texas 77002, Attention: Legal Department.</w:t>
      </w:r>
    </w:p>
    <w:p>
      <w:pPr>
        <w:spacing w:after="0" w:line="189" w:lineRule="exact"/>
        <w:rPr>
          <w:rFonts w:ascii="Times New Roman" w:cs="Times New Roman" w:eastAsia="Times New Roman" w:hAnsi="Times New Roman"/>
          <w:sz w:val="18"/>
          <w:szCs w:val="18"/>
          <w:color w:val="auto"/>
        </w:rPr>
      </w:pPr>
    </w:p>
    <w:p>
      <w:pPr>
        <w:ind w:left="-40" w:right="420" w:firstLine="464"/>
        <w:spacing w:after="0" w:line="282" w:lineRule="auto"/>
        <w:tabs>
          <w:tab w:leader="none" w:pos="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61" w:lineRule="exact"/>
        <w:rPr>
          <w:rFonts w:ascii="Times New Roman" w:cs="Times New Roman" w:eastAsia="Times New Roman" w:hAnsi="Times New Roman"/>
          <w:sz w:val="18"/>
          <w:szCs w:val="18"/>
          <w:color w:val="auto"/>
        </w:rPr>
      </w:pPr>
    </w:p>
    <w:p>
      <w:pPr>
        <w:ind w:left="-40" w:right="180" w:firstLine="464"/>
        <w:spacing w:after="0" w:line="282" w:lineRule="auto"/>
        <w:tabs>
          <w:tab w:leader="none" w:pos="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ind w:left="-40" w:right="80" w:firstLine="464"/>
        <w:spacing w:after="0" w:line="282" w:lineRule="auto"/>
        <w:tabs>
          <w:tab w:leader="none" w:pos="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420" w:right="300" w:firstLine="438"/>
        <w:spacing w:after="0" w:line="282" w:lineRule="auto"/>
        <w:rPr>
          <w:sz w:val="20"/>
          <w:szCs w:val="20"/>
          <w:color w:val="auto"/>
        </w:rPr>
      </w:pPr>
      <w:r>
        <w:rPr>
          <w:rFonts w:ascii="Times New Roman" w:cs="Times New Roman" w:eastAsia="Times New Roman" w:hAnsi="Times New Roman"/>
          <w:sz w:val="18"/>
          <w:szCs w:val="18"/>
          <w:color w:val="auto"/>
        </w:rPr>
        <w:t>“affiliate” shall mean a person that directly, or indirectly through one or more intermediaries, controls or is controlled by, or is under common control with, the person specified.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“Base Prospectus” shall mean the prospectus referred to in Section 1(a) above contained in the Registration Statement at the Effective Date.</w:t>
      </w:r>
    </w:p>
    <w:p>
      <w:pPr>
        <w:spacing w:after="0" w:line="117" w:lineRule="exact"/>
        <w:rPr>
          <w:sz w:val="20"/>
          <w:szCs w:val="20"/>
          <w:color w:val="auto"/>
        </w:rPr>
      </w:pPr>
    </w:p>
    <w:p>
      <w:pPr>
        <w:ind w:left="420" w:right="120" w:firstLine="438"/>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80" w:top="270" w:right="25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shall mean the Securities and Exchange Commission.</w:t>
      </w:r>
    </w:p>
    <w:p>
      <w:pPr>
        <w:spacing w:after="0" w:line="117" w:lineRule="exact"/>
        <w:rPr>
          <w:sz w:val="20"/>
          <w:szCs w:val="20"/>
          <w:color w:val="auto"/>
        </w:rPr>
      </w:pPr>
    </w:p>
    <w:p>
      <w:pPr>
        <w:ind w:right="220" w:firstLine="438"/>
        <w:spacing w:after="0" w:line="282" w:lineRule="auto"/>
        <w:rPr>
          <w:sz w:val="20"/>
          <w:szCs w:val="20"/>
          <w:color w:val="auto"/>
        </w:rPr>
      </w:pPr>
      <w:r>
        <w:rPr>
          <w:rFonts w:ascii="Times New Roman" w:cs="Times New Roman" w:eastAsia="Times New Roman" w:hAnsi="Times New Roman"/>
          <w:sz w:val="18"/>
          <w:szCs w:val="18"/>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54" w:lineRule="exact"/>
        <w:rPr>
          <w:sz w:val="20"/>
          <w:szCs w:val="20"/>
          <w:color w:val="auto"/>
        </w:rPr>
      </w:pPr>
    </w:p>
    <w:p>
      <w:pPr>
        <w:ind w:right="340" w:firstLine="438"/>
        <w:spacing w:after="0" w:line="282" w:lineRule="auto"/>
        <w:rPr>
          <w:sz w:val="20"/>
          <w:szCs w:val="20"/>
          <w:color w:val="auto"/>
        </w:rPr>
      </w:pPr>
      <w:r>
        <w:rPr>
          <w:rFonts w:ascii="Times New Roman" w:cs="Times New Roman" w:eastAsia="Times New Roman" w:hAnsi="Times New Roman"/>
          <w:sz w:val="18"/>
          <w:szCs w:val="18"/>
          <w:color w:val="auto"/>
        </w:rPr>
        <w:t>“Exchange Act” shall mean the Securities Exchange Act of 1934, as amended, and the rules and regulations of the Commission promulgated thereunder.</w:t>
      </w:r>
    </w:p>
    <w:p>
      <w:pPr>
        <w:spacing w:after="0" w:line="54" w:lineRule="exact"/>
        <w:rPr>
          <w:sz w:val="20"/>
          <w:szCs w:val="20"/>
          <w:color w:val="auto"/>
        </w:rPr>
      </w:pPr>
    </w:p>
    <w:p>
      <w:pPr>
        <w:ind w:right="180" w:firstLine="438"/>
        <w:spacing w:after="0" w:line="282" w:lineRule="auto"/>
        <w:rPr>
          <w:sz w:val="20"/>
          <w:szCs w:val="20"/>
          <w:color w:val="auto"/>
        </w:rPr>
      </w:pPr>
      <w:r>
        <w:rPr>
          <w:rFonts w:ascii="Times New Roman" w:cs="Times New Roman" w:eastAsia="Times New Roman" w:hAnsi="Times New Roman"/>
          <w:sz w:val="18"/>
          <w:szCs w:val="18"/>
          <w:color w:val="auto"/>
        </w:rPr>
        <w:t>“Final Prospectus” shall mean the prospectus supplement relating to the Securities that was first filed pursuant to Rule 424(b) after the Time of Sale, together with the Basic Prospectus.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“1940 Act” shall mean the Investment Company Act of 1940, as amended.</w:t>
      </w:r>
    </w:p>
    <w:p>
      <w:pPr>
        <w:spacing w:after="0" w:line="117" w:lineRule="exact"/>
        <w:rPr>
          <w:sz w:val="20"/>
          <w:szCs w:val="20"/>
          <w:color w:val="auto"/>
        </w:rPr>
      </w:pPr>
    </w:p>
    <w:p>
      <w:pPr>
        <w:ind w:firstLine="438"/>
        <w:spacing w:after="0" w:line="282" w:lineRule="auto"/>
        <w:rPr>
          <w:sz w:val="20"/>
          <w:szCs w:val="20"/>
          <w:color w:val="auto"/>
        </w:rPr>
      </w:pPr>
      <w:r>
        <w:rPr>
          <w:rFonts w:ascii="Times New Roman" w:cs="Times New Roman" w:eastAsia="Times New Roman" w:hAnsi="Times New Roman"/>
          <w:sz w:val="18"/>
          <w:szCs w:val="18"/>
          <w:color w:val="auto"/>
        </w:rPr>
        <w:t>“Preliminary Prospectus” shall mean the preliminary prospectus supplement relating to the Securities dated February 18, 2015 that was filed with the Commission pursuant to Rule 424(b) prior to the Time of Sale, together with the Basic Prospectus.</w:t>
      </w:r>
    </w:p>
    <w:p>
      <w:pPr>
        <w:spacing w:after="0" w:line="54" w:lineRule="exact"/>
        <w:rPr>
          <w:sz w:val="20"/>
          <w:szCs w:val="20"/>
          <w:color w:val="auto"/>
        </w:rPr>
      </w:pPr>
    </w:p>
    <w:p>
      <w:pPr>
        <w:ind w:right="420" w:firstLine="438"/>
        <w:spacing w:after="0" w:line="266" w:lineRule="auto"/>
        <w:rPr>
          <w:sz w:val="20"/>
          <w:szCs w:val="20"/>
          <w:color w:val="auto"/>
        </w:rPr>
      </w:pPr>
      <w:r>
        <w:rPr>
          <w:rFonts w:ascii="Times New Roman" w:cs="Times New Roman" w:eastAsia="Times New Roman" w:hAnsi="Times New Roman"/>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68" w:lineRule="exact"/>
        <w:rPr>
          <w:sz w:val="20"/>
          <w:szCs w:val="20"/>
          <w:color w:val="auto"/>
        </w:rPr>
      </w:pPr>
    </w:p>
    <w:p>
      <w:pPr>
        <w:ind w:right="60" w:firstLine="438"/>
        <w:spacing w:after="0" w:line="258" w:lineRule="auto"/>
        <w:rPr>
          <w:sz w:val="20"/>
          <w:szCs w:val="20"/>
          <w:color w:val="auto"/>
        </w:rPr>
      </w:pPr>
      <w:r>
        <w:rPr>
          <w:rFonts w:ascii="Times New Roman" w:cs="Times New Roman" w:eastAsia="Times New Roman" w:hAnsi="Times New Roman"/>
          <w:sz w:val="18"/>
          <w:szCs w:val="18"/>
          <w:color w:val="auto"/>
        </w:rPr>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“Rule 415,” “Rule 424,” “Rule 430A,” “Rule 430B,” “Rule 430C” and “Rule 462” refer to such rules under the Act.</w:t>
      </w:r>
    </w:p>
    <w:p>
      <w:pPr>
        <w:spacing w:after="0" w:line="117" w:lineRule="exact"/>
        <w:rPr>
          <w:sz w:val="20"/>
          <w:szCs w:val="20"/>
          <w:color w:val="auto"/>
        </w:rPr>
      </w:pPr>
    </w:p>
    <w:p>
      <w:pPr>
        <w:ind w:right="600" w:firstLine="438"/>
        <w:spacing w:after="0" w:line="266" w:lineRule="auto"/>
        <w:rPr>
          <w:sz w:val="20"/>
          <w:szCs w:val="20"/>
          <w:color w:val="auto"/>
        </w:rPr>
      </w:pPr>
      <w:r>
        <w:rPr>
          <w:rFonts w:ascii="Times New Roman" w:cs="Times New Roman" w:eastAsia="Times New Roman" w:hAnsi="Times New Roman"/>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68" w:lineRule="exact"/>
        <w:rPr>
          <w:sz w:val="20"/>
          <w:szCs w:val="20"/>
          <w:color w:val="auto"/>
        </w:rPr>
      </w:pPr>
    </w:p>
    <w:p>
      <w:pPr>
        <w:ind w:right="200" w:firstLine="438"/>
        <w:spacing w:after="0" w:line="282" w:lineRule="auto"/>
        <w:rPr>
          <w:sz w:val="20"/>
          <w:szCs w:val="20"/>
          <w:color w:val="auto"/>
        </w:rPr>
      </w:pPr>
      <w:r>
        <w:rPr>
          <w:rFonts w:ascii="Times New Roman" w:cs="Times New Roman" w:eastAsia="Times New Roman" w:hAnsi="Times New Roman"/>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700" w:top="270" w:right="279" w:bottom="1440" w:gutter="0" w:footer="0" w:header="0"/>
        </w:sectPr>
      </w:pPr>
    </w:p>
    <w:bookmarkStart w:id="35" w:name="page36"/>
    <w:bookmarkEnd w:id="35"/>
    <w:p>
      <w:pPr>
        <w:ind w:left="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of Sale” shall mean 4:30 P.M. New York time on February 18, 2015, the time when sales of the Securities were first made.</w:t>
      </w:r>
    </w:p>
    <w:p>
      <w:pPr>
        <w:spacing w:after="0" w:line="117" w:lineRule="exact"/>
        <w:rPr>
          <w:sz w:val="20"/>
          <w:szCs w:val="20"/>
          <w:color w:val="auto"/>
        </w:rPr>
      </w:pPr>
    </w:p>
    <w:p>
      <w:pPr>
        <w:ind w:left="120" w:right="20" w:firstLine="438"/>
        <w:spacing w:after="0" w:line="282" w:lineRule="auto"/>
        <w:rPr>
          <w:sz w:val="20"/>
          <w:szCs w:val="20"/>
          <w:color w:val="auto"/>
        </w:rPr>
      </w:pPr>
      <w:r>
        <w:rPr>
          <w:rFonts w:ascii="Times New Roman" w:cs="Times New Roman" w:eastAsia="Times New Roman" w:hAnsi="Times New Roman"/>
          <w:sz w:val="18"/>
          <w:szCs w:val="18"/>
          <w:color w:val="auto"/>
        </w:rPr>
        <w:t>“Trust Indenture Act” shall mean the Trust Indenture Act of 1939, as amended, and the rules and regulations of the Commission promulgated thereunder.</w:t>
      </w:r>
    </w:p>
    <w:p>
      <w:pPr>
        <w:spacing w:after="0" w:line="162" w:lineRule="exact"/>
        <w:rPr>
          <w:sz w:val="20"/>
          <w:szCs w:val="20"/>
          <w:color w:val="auto"/>
        </w:rPr>
      </w:pPr>
    </w:p>
    <w:p>
      <w:pPr>
        <w:ind w:left="-340" w:right="160" w:firstLine="464"/>
        <w:spacing w:after="0" w:line="266" w:lineRule="auto"/>
        <w:tabs>
          <w:tab w:leader="none" w:pos="3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Representation</w:t>
      </w:r>
      <w:r>
        <w:rPr>
          <w:rFonts w:ascii="Times New Roman" w:cs="Times New Roman" w:eastAsia="Times New Roman" w:hAnsi="Times New Roman"/>
          <w:sz w:val="18"/>
          <w:szCs w:val="18"/>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76" w:lineRule="exact"/>
        <w:rPr>
          <w:rFonts w:ascii="Times New Roman" w:cs="Times New Roman" w:eastAsia="Times New Roman" w:hAnsi="Times New Roman"/>
          <w:sz w:val="18"/>
          <w:szCs w:val="18"/>
          <w:color w:val="auto"/>
        </w:rPr>
      </w:pPr>
    </w:p>
    <w:p>
      <w:pPr>
        <w:ind w:left="-340" w:firstLine="464"/>
        <w:spacing w:after="0" w:line="261" w:lineRule="auto"/>
        <w:tabs>
          <w:tab w:leader="none" w:pos="3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60"/>
          </w:cols>
          <w:pgMar w:left="580" w:top="270" w:right="559" w:bottom="1440" w:gutter="0" w:footer="0" w:header="0"/>
        </w:sectPr>
      </w:pPr>
    </w:p>
    <w:bookmarkStart w:id="36" w:name="page37"/>
    <w:bookmarkEnd w:id="36"/>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Devina A. Rankin</w:t>
      </w:r>
    </w:p>
    <w:p>
      <w:pPr>
        <w:spacing w:after="0" w:line="27" w:lineRule="exact"/>
        <w:rPr>
          <w:sz w:val="20"/>
          <w:szCs w:val="20"/>
          <w:color w:val="auto"/>
        </w:rPr>
      </w:pPr>
    </w:p>
    <w:p>
      <w:pPr>
        <w:jc w:val="center"/>
        <w:ind w:left="706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Devina A. Rankin</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(I)</w:t>
      </w:r>
    </w:p>
    <w:p>
      <w:pPr>
        <w:sectPr>
          <w:pgSz w:w="11900" w:h="16838" w:orient="portrait"/>
          <w:cols w:equalWidth="0" w:num="1">
            <w:col w:w="11280"/>
          </w:cols>
          <w:pgMar w:left="240" w:top="27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as of the date first set forth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J. Murphy</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J. Murphy</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Ritu Ketkar</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Ritu Ketkar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Montgomery</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Ryan Montgomery</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Greene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Adam Greene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Som Bhattacharyya</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Som Bhattacharyya</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II to the foregoing Agreement.</w:t>
      </w:r>
    </w:p>
    <w:p>
      <w:pPr>
        <w:spacing w:after="0" w:line="205"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(II)</w:t>
      </w:r>
    </w:p>
    <w:p>
      <w:pPr>
        <w:sectPr>
          <w:pgSz w:w="11900" w:h="16838" w:orient="portrait"/>
          <w:cols w:equalWidth="0" w:num="1">
            <w:col w:w="10219"/>
          </w:cols>
          <w:pgMar w:left="240" w:top="266"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580" w:type="dxa"/>
            <w:vAlign w:val="bottom"/>
          </w:tcPr>
          <w:p>
            <w:pPr>
              <w:jc w:val="center"/>
              <w:ind w:right="475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14"/>
        </w:trPr>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February 18, 2015 relating to the</w:t>
            </w:r>
          </w:p>
        </w:tc>
      </w:tr>
      <w:tr>
        <w:trPr>
          <w:trHeight w:val="216"/>
        </w:trPr>
        <w:tc>
          <w:tcPr>
            <w:tcW w:w="3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February 18, 2015</w:t>
            </w:r>
          </w:p>
        </w:tc>
      </w:tr>
      <w:tr>
        <w:trPr>
          <w:trHeight w:val="216"/>
        </w:trPr>
        <w:tc>
          <w:tcPr>
            <w:tcW w:w="3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September 28, 2012</w:t>
            </w:r>
          </w:p>
        </w:tc>
      </w:tr>
      <w:tr>
        <w:trPr>
          <w:trHeight w:val="234"/>
        </w:trPr>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333-184157</w:t>
            </w:r>
          </w:p>
        </w:tc>
      </w:tr>
      <w:tr>
        <w:trPr>
          <w:trHeight w:val="432"/>
        </w:trPr>
        <w:tc>
          <w:tcPr>
            <w:tcW w:w="3380" w:type="dxa"/>
            <w:vAlign w:val="bottom"/>
          </w:tcPr>
          <w:p>
            <w:pPr>
              <w:spacing w:after="0"/>
              <w:rPr>
                <w:sz w:val="24"/>
                <w:szCs w:val="24"/>
                <w:color w:val="auto"/>
              </w:rPr>
            </w:pPr>
          </w:p>
        </w:tc>
        <w:tc>
          <w:tcPr>
            <w:tcW w:w="804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Final Pricing Term Sheet</w:t>
            </w:r>
          </w:p>
        </w:tc>
      </w:tr>
      <w:tr>
        <w:trPr>
          <w:trHeight w:val="410"/>
        </w:trPr>
        <w:tc>
          <w:tcPr>
            <w:tcW w:w="3380" w:type="dxa"/>
            <w:vAlign w:val="bottom"/>
          </w:tcPr>
          <w:p>
            <w:pPr>
              <w:spacing w:after="0"/>
              <w:rPr>
                <w:sz w:val="24"/>
                <w:szCs w:val="24"/>
                <w:color w:val="auto"/>
              </w:rPr>
            </w:pPr>
          </w:p>
        </w:tc>
        <w:tc>
          <w:tcPr>
            <w:tcW w:w="804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$600,000,000 3.125% Senior Notes due 2025</w:t>
            </w:r>
          </w:p>
        </w:tc>
      </w:tr>
      <w:tr>
        <w:trPr>
          <w:trHeight w:val="216"/>
        </w:trPr>
        <w:tc>
          <w:tcPr>
            <w:tcW w:w="3380" w:type="dxa"/>
            <w:vAlign w:val="bottom"/>
          </w:tcPr>
          <w:p>
            <w:pPr>
              <w:spacing w:after="0"/>
              <w:rPr>
                <w:sz w:val="18"/>
                <w:szCs w:val="18"/>
                <w:color w:val="auto"/>
              </w:rPr>
            </w:pPr>
          </w:p>
        </w:tc>
        <w:tc>
          <w:tcPr>
            <w:tcW w:w="804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$450,000,000 3.900% Senior Notes due 2035</w:t>
            </w:r>
          </w:p>
        </w:tc>
      </w:tr>
      <w:tr>
        <w:trPr>
          <w:trHeight w:val="238"/>
        </w:trPr>
        <w:tc>
          <w:tcPr>
            <w:tcW w:w="3380" w:type="dxa"/>
            <w:vAlign w:val="bottom"/>
          </w:tcPr>
          <w:p>
            <w:pPr>
              <w:spacing w:after="0"/>
              <w:rPr>
                <w:sz w:val="20"/>
                <w:szCs w:val="20"/>
                <w:color w:val="auto"/>
              </w:rPr>
            </w:pPr>
          </w:p>
        </w:tc>
        <w:tc>
          <w:tcPr>
            <w:tcW w:w="804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$750,000,000 4.100% Senior Notes due 2045</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30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$600,000,000</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$450,000,000</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March 1, 2025</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 2035</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 2045</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3.125%</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3.900%</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4.100%</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99.574% of face amount</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99.834% of face amount</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99.794% of face amount</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0.650%</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0.875%</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0.875%</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2.000% due February 15, 2025</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3.000% due November 15, 2044</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3.000% due November 15, 2044</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110 basis points</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120 basis points</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140 basis points</w:t>
            </w:r>
          </w:p>
        </w:tc>
      </w:tr>
      <w:tr>
        <w:trPr>
          <w:trHeight w:val="3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80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2025 Notes: 99-10+ / 2.075%</w:t>
            </w:r>
          </w:p>
        </w:tc>
      </w:tr>
      <w:tr>
        <w:trPr>
          <w:trHeight w:val="216"/>
        </w:trPr>
        <w:tc>
          <w:tcPr>
            <w:tcW w:w="338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2035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105-27 / 2.712%</w:t>
            </w:r>
          </w:p>
        </w:tc>
      </w:tr>
      <w:tr>
        <w:trPr>
          <w:trHeight w:val="234"/>
        </w:trPr>
        <w:tc>
          <w:tcPr>
            <w:tcW w:w="3380" w:type="dxa"/>
            <w:vAlign w:val="bottom"/>
          </w:tcPr>
          <w:p>
            <w:pPr>
              <w:spacing w:after="0"/>
              <w:rPr>
                <w:sz w:val="20"/>
                <w:szCs w:val="20"/>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2045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105-27 / 2.712%</w:t>
            </w:r>
          </w:p>
        </w:tc>
      </w:tr>
    </w:tbl>
    <w:p>
      <w:pPr>
        <w:ind w:left="20"/>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2025 Notes: 3.175%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-213360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2035 Notes: 3.912%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2045 Notes: 4.112%</w:t>
      </w:r>
    </w:p>
    <w:p>
      <w:pPr>
        <w:spacing w:after="0" w:line="112" w:lineRule="exact"/>
        <w:rPr>
          <w:sz w:val="20"/>
          <w:szCs w:val="20"/>
          <w:color w:val="auto"/>
        </w:rPr>
      </w:pPr>
    </w:p>
    <w:p>
      <w:pPr>
        <w:sectPr>
          <w:pgSz w:w="11900" w:h="16838" w:orient="portrait"/>
          <w:cols w:equalWidth="0" w:num="2">
            <w:col w:w="3740" w:space="720"/>
            <w:col w:w="6920"/>
          </w:cols>
          <w:pgMar w:left="240" w:top="270" w:right="2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Semi-annually on March 1 and September 1, commencing on September 1, 2015.</w:t>
      </w:r>
    </w:p>
    <w:p>
      <w:pPr>
        <w:spacing w:after="0" w:line="117" w:lineRule="exact"/>
        <w:rPr>
          <w:sz w:val="20"/>
          <w:szCs w:val="20"/>
          <w:color w:val="auto"/>
        </w:rPr>
      </w:pPr>
    </w:p>
    <w:p>
      <w:pPr>
        <w:sectPr>
          <w:pgSz w:w="11900" w:h="16838" w:orient="portrait"/>
          <w:cols w:equalWidth="0" w:num="2">
            <w:col w:w="3740" w:space="720"/>
            <w:col w:w="6920"/>
          </w:cols>
          <w:pgMar w:left="240" w:top="270"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The 2025 Notes are redeemable at any time prior to December 1, 2024 (three months prior to the maturity date), in whole or from time to time in part, at the option of the Company, at a make whole redemption price using the applicable Treasury rate plus 20 basis points (as defined and described in further detail in the Prospectus Supplement). Redeemable on or after December 1, 2024 (three months prior to the maturity date), in whole or from time to time in part, at the option of the Company, at a price of 100% plus accrued interest.</w:t>
      </w:r>
    </w:p>
    <w:p>
      <w:pPr>
        <w:spacing w:after="0" w:line="93" w:lineRule="exact"/>
        <w:rPr>
          <w:sz w:val="20"/>
          <w:szCs w:val="20"/>
          <w:color w:val="auto"/>
        </w:rPr>
      </w:pPr>
    </w:p>
    <w:p>
      <w:pPr>
        <w:sectPr>
          <w:pgSz w:w="11900" w:h="16838" w:orient="portrait"/>
          <w:cols w:equalWidth="0" w:num="2">
            <w:col w:w="3740" w:space="720"/>
            <w:col w:w="6920"/>
          </w:cols>
          <w:pgMar w:left="240" w:top="270" w:right="279" w:bottom="1440" w:gutter="0" w:footer="0" w:header="0"/>
          <w:type w:val="continuous"/>
        </w:sectPr>
      </w:pPr>
    </w:p>
    <w:p>
      <w:pPr>
        <w:ind w:left="4460" w:right="40"/>
        <w:spacing w:after="0" w:line="256" w:lineRule="auto"/>
        <w:rPr>
          <w:sz w:val="20"/>
          <w:szCs w:val="20"/>
          <w:color w:val="auto"/>
        </w:rPr>
      </w:pPr>
      <w:r>
        <w:rPr>
          <w:rFonts w:ascii="Times New Roman" w:cs="Times New Roman" w:eastAsia="Times New Roman" w:hAnsi="Times New Roman"/>
          <w:sz w:val="18"/>
          <w:szCs w:val="18"/>
          <w:color w:val="auto"/>
        </w:rPr>
        <w:t>The 2035 Notes are redeemable at any time prior to September 1, 2034 (six months prior to the maturity date), in whole or from time to time in part, at the option of the Company, at a make whole redemption price using the applicable Treasury rate plus 20 basis points (as defined and described in further detail in the Prospectus Supplement). Redeemable on or after September 1, 2034 (six months prior to the maturity date), in whole or from time to time in part, at the option of the Company, at a price of 100% plus accrued interest.</w:t>
      </w:r>
    </w:p>
    <w:p>
      <w:pPr>
        <w:spacing w:after="0" w:line="93" w:lineRule="exact"/>
        <w:rPr>
          <w:sz w:val="20"/>
          <w:szCs w:val="20"/>
          <w:color w:val="auto"/>
        </w:rPr>
      </w:pPr>
    </w:p>
    <w:p>
      <w:pPr>
        <w:ind w:left="4460" w:right="40"/>
        <w:spacing w:after="0" w:line="256" w:lineRule="auto"/>
        <w:rPr>
          <w:sz w:val="20"/>
          <w:szCs w:val="20"/>
          <w:color w:val="auto"/>
        </w:rPr>
      </w:pPr>
      <w:r>
        <w:rPr>
          <w:rFonts w:ascii="Times New Roman" w:cs="Times New Roman" w:eastAsia="Times New Roman" w:hAnsi="Times New Roman"/>
          <w:sz w:val="18"/>
          <w:szCs w:val="18"/>
          <w:color w:val="auto"/>
        </w:rPr>
        <w:t>The 2045 Notes are redeemable at any time prior to September 1, 2044 (six months prior to the maturity date), in whole or from time to time in part, at the option of the Company, at a make whole redemption price using the applicable Treasury rate plus 25 basis points (as defined and described in further detail in the Prospectus Supplement). Redeemable on or after September 1, 2044 (six months prior to the maturity date), in whole or from time to time in part, at the option of the Company, at a price of 100% plus accrued interest.</w:t>
      </w:r>
    </w:p>
    <w:p>
      <w:pPr>
        <w:sectPr>
          <w:pgSz w:w="11900" w:h="16838" w:orient="portrait"/>
          <w:cols w:equalWidth="0" w:num="1">
            <w:col w:w="11380"/>
          </w:cols>
          <w:pgMar w:left="240" w:top="270" w:right="27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2015</w:t>
      </w:r>
    </w:p>
    <w:p>
      <w:pPr>
        <w:spacing w:after="0" w:line="128" w:lineRule="exact"/>
        <w:rPr>
          <w:sz w:val="20"/>
          <w:szCs w:val="20"/>
          <w:color w:val="auto"/>
        </w:rPr>
      </w:pPr>
    </w:p>
    <w:p>
      <w:pPr>
        <w:sectPr>
          <w:pgSz w:w="11900" w:h="16838" w:orient="portrait"/>
          <w:cols w:equalWidth="0" w:num="2">
            <w:col w:w="3740" w:space="720"/>
            <w:col w:w="6920"/>
          </w:cols>
          <w:pgMar w:left="240" w:top="270"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T+6; February 26, 2015</w:t>
      </w:r>
    </w:p>
    <w:p>
      <w:pPr>
        <w:spacing w:after="0" w:line="129" w:lineRule="exact"/>
        <w:rPr>
          <w:sz w:val="20"/>
          <w:szCs w:val="20"/>
          <w:color w:val="auto"/>
        </w:rPr>
      </w:pPr>
    </w:p>
    <w:p>
      <w:pPr>
        <w:sectPr>
          <w:pgSz w:w="11900" w:h="16838" w:orient="portrait"/>
          <w:cols w:equalWidth="0" w:num="2">
            <w:col w:w="3740" w:space="720"/>
            <w:col w:w="6920"/>
          </w:cols>
          <w:pgMar w:left="240" w:top="270"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2025 Notes: 94106L BA6 / US94106LBA61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2035 Notes: 94106L BB4 / US94106LBB45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2045 Notes: 94106L BC2 / US94106LBC28</w:t>
      </w:r>
    </w:p>
    <w:p>
      <w:pPr>
        <w:spacing w:after="0" w:line="112" w:lineRule="exact"/>
        <w:rPr>
          <w:sz w:val="20"/>
          <w:szCs w:val="20"/>
          <w:color w:val="auto"/>
        </w:rPr>
      </w:pPr>
    </w:p>
    <w:p>
      <w:pPr>
        <w:sectPr>
          <w:pgSz w:w="11900" w:h="16838" w:orient="portrait"/>
          <w:cols w:equalWidth="0" w:num="2">
            <w:col w:w="3740" w:space="720"/>
            <w:col w:w="6920"/>
          </w:cols>
          <w:pgMar w:left="240" w:top="270"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Denominations/Increments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$2,000/$1,000</w:t>
      </w:r>
    </w:p>
    <w:p>
      <w:pPr>
        <w:sectPr>
          <w:pgSz w:w="11900" w:h="16838" w:orient="portrait"/>
          <w:cols w:equalWidth="0" w:num="2">
            <w:col w:w="3740" w:space="720"/>
            <w:col w:w="6920"/>
          </w:cols>
          <w:pgMar w:left="240" w:top="270" w:right="2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-213360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12" w:lineRule="exact"/>
        <w:rPr>
          <w:sz w:val="20"/>
          <w:szCs w:val="20"/>
          <w:color w:val="auto"/>
        </w:rPr>
      </w:pPr>
    </w:p>
    <w:p>
      <w:pPr>
        <w:sectPr>
          <w:pgSz w:w="11900" w:h="16838" w:orient="portrait"/>
          <w:cols w:equalWidth="0" w:num="2">
            <w:col w:w="3740" w:space="720"/>
            <w:col w:w="6840"/>
          </w:cols>
          <w:pgMar w:left="240" w:top="270" w:right="3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Mitsubishi UFJ Securities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Beal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200" w:lineRule="exact"/>
        <w:rPr>
          <w:sz w:val="20"/>
          <w:szCs w:val="20"/>
          <w:color w:val="auto"/>
        </w:rPr>
      </w:pPr>
    </w:p>
    <w:p>
      <w:pPr>
        <w:sectPr>
          <w:pgSz w:w="11900" w:h="16838" w:orient="portrait"/>
          <w:cols w:equalWidth="0" w:num="2">
            <w:col w:w="3740" w:space="720"/>
            <w:col w:w="6840"/>
          </w:cols>
          <w:pgMar w:left="240" w:top="270" w:right="359" w:bottom="1440" w:gutter="0" w:footer="0" w:header="0"/>
          <w:type w:val="continuous"/>
        </w:sectPr>
      </w:pPr>
    </w:p>
    <w:p>
      <w:pPr>
        <w:spacing w:after="0" w:line="2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Securities (USA) LLC toll-free at (800) 221-1037; (2) Deutsche Bank Securities Inc. toll-free at (800) 503-4611;</w:t>
      </w:r>
    </w:p>
    <w:p>
      <w:pPr>
        <w:spacing w:after="0" w:line="3" w:lineRule="exact"/>
        <w:rPr>
          <w:sz w:val="20"/>
          <w:szCs w:val="20"/>
          <w:color w:val="auto"/>
        </w:rPr>
      </w:pPr>
    </w:p>
    <w:p>
      <w:pPr>
        <w:jc w:val="both"/>
        <w:ind w:firstLine="8"/>
        <w:spacing w:after="0" w:line="255"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Goldman, Sachs &amp; Co., at (212) 902-1171 or (4) J.P. Morgan Securities LLC collect at (212) 834-4533. Any disclaimers or other notices that may appear below are not applicable to this communication and should be disregarded. Such disclaimers were automatically generated as a result of this communication being sent via email or another communication system.</w:t>
      </w:r>
    </w:p>
    <w:p>
      <w:pPr>
        <w:sectPr>
          <w:pgSz w:w="11900" w:h="16838" w:orient="portrait"/>
          <w:cols w:equalWidth="0" w:num="1">
            <w:col w:w="11300"/>
          </w:cols>
          <w:pgMar w:left="240" w:top="270" w:right="359" w:bottom="1440" w:gutter="0" w:footer="0" w:header="0"/>
          <w:type w:val="continuous"/>
        </w:sectPr>
      </w:pPr>
    </w:p>
    <w:bookmarkStart w:id="41" w:name="page42"/>
    <w:bookmarkEnd w:id="41"/>
    <w:p>
      <w:pPr>
        <w:ind w:left="5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Underwriters</w:t>
      </w:r>
    </w:p>
    <w:p>
      <w:pPr>
        <w:spacing w:after="0" w:line="25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9"/>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r>
      <w:tr>
        <w:trPr>
          <w:trHeight w:val="149"/>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of 2025 Notes</w:t>
            </w: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2035 Notes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2045 Notes</w:t>
            </w:r>
          </w:p>
        </w:tc>
      </w:tr>
      <w:tr>
        <w:trPr>
          <w:trHeight w:val="149"/>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r>
      <w:tr>
        <w:trPr>
          <w:trHeight w:val="187"/>
        </w:trPr>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49,500,000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82,500,000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Pierce, Fenner &amp; Smith Incorporated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52,500,500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RBS Securities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52,500,500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UFJ Securities (USA),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Blaylock Beal Van, LLC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Pr>
          <w:p>
            <w:pPr>
              <w:spacing w:after="0"/>
              <w:rPr>
                <w:sz w:val="18"/>
                <w:szCs w:val="18"/>
                <w:color w:val="auto"/>
              </w:rPr>
            </w:pPr>
          </w:p>
        </w:tc>
      </w:tr>
      <w:tr>
        <w:trPr>
          <w:trHeight w:val="115"/>
        </w:trPr>
        <w:tc>
          <w:tcPr>
            <w:tcW w:w="5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600,000,000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450,000,000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750,000,000</w:t>
            </w:r>
          </w:p>
        </w:tc>
        <w:tc>
          <w:tcPr>
            <w:tcW w:w="1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500"/>
          </w:cols>
          <w:pgMar w:left="240" w:top="266" w:right="1159" w:bottom="1440" w:gutter="0" w:footer="0" w:header="0"/>
        </w:sectPr>
      </w:pPr>
    </w:p>
    <w:bookmarkStart w:id="42" w:name="page43"/>
    <w:bookmarkEnd w:id="42"/>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Pricing Term Sheet, substantially in the form of Schedule I attached to this Agreement.</w:t>
      </w:r>
    </w:p>
    <w:p>
      <w:pPr>
        <w:sectPr>
          <w:pgSz w:w="11900" w:h="16838" w:orient="portrait"/>
          <w:cols w:equalWidth="0" w:num="1">
            <w:col w:w="10219"/>
          </w:cols>
          <w:pgMar w:left="240" w:top="266"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the Vice President and Treasurer, and the Corporate Secretary of Waste Management, Inc. (the “Company”), hereby certify that:</w:t>
      </w:r>
    </w:p>
    <w:p>
      <w:pPr>
        <w:spacing w:after="0" w:line="171" w:lineRule="exact"/>
        <w:rPr>
          <w:sz w:val="20"/>
          <w:szCs w:val="20"/>
          <w:color w:val="auto"/>
        </w:rPr>
      </w:pPr>
    </w:p>
    <w:p>
      <w:pPr>
        <w:ind w:right="20" w:firstLine="464"/>
        <w:spacing w:after="0" w:line="258" w:lineRule="auto"/>
        <w:tabs>
          <w:tab w:leader="none" w:pos="6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2015 (the “Order”) for the authentication and delivery by the Trustee of $600,000,000 aggregate principal amount of 3.125% Senior Notes due 2025 (the “Notes”).</w:t>
      </w:r>
    </w:p>
    <w:p>
      <w:pPr>
        <w:spacing w:after="0" w:line="13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171" w:lineRule="exact"/>
        <w:rPr>
          <w:rFonts w:ascii="Times New Roman" w:cs="Times New Roman" w:eastAsia="Times New Roman" w:hAnsi="Times New Roman"/>
          <w:sz w:val="18"/>
          <w:szCs w:val="18"/>
          <w:color w:val="auto"/>
        </w:rPr>
      </w:pPr>
    </w:p>
    <w:p>
      <w:pPr>
        <w:ind w:right="380" w:firstLine="464"/>
        <w:spacing w:after="0" w:line="275" w:lineRule="auto"/>
        <w:tabs>
          <w:tab w:leader="none" w:pos="6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 thereto.</w:t>
      </w:r>
    </w:p>
    <w:p>
      <w:pPr>
        <w:spacing w:after="0" w:line="171" w:lineRule="exact"/>
        <w:rPr>
          <w:rFonts w:ascii="Times New Roman" w:cs="Times New Roman" w:eastAsia="Times New Roman" w:hAnsi="Times New Roman"/>
          <w:sz w:val="18"/>
          <w:szCs w:val="18"/>
          <w:color w:val="auto"/>
        </w:rPr>
      </w:pPr>
    </w:p>
    <w:p>
      <w:pPr>
        <w:ind w:right="380" w:firstLine="464"/>
        <w:spacing w:after="0" w:line="339" w:lineRule="auto"/>
        <w:tabs>
          <w:tab w:leader="none" w:pos="63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74"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w:t>
      </w:r>
    </w:p>
    <w:p>
      <w:pPr>
        <w:spacing w:after="0" w:line="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$600,000,000 aggregate principal amount of the Notes have been complied with, and such Notes may be delivered in accordance with the Order as provided in the Indenture.</w:t>
      </w:r>
    </w:p>
    <w:p>
      <w:pPr>
        <w:spacing w:after="0" w:line="132" w:lineRule="exact"/>
        <w:rPr>
          <w:sz w:val="20"/>
          <w:szCs w:val="20"/>
          <w:color w:val="auto"/>
        </w:rPr>
      </w:pPr>
    </w:p>
    <w:p>
      <w:pPr>
        <w:ind w:right="60" w:firstLine="464"/>
        <w:spacing w:after="0" w:line="262" w:lineRule="auto"/>
        <w:tabs>
          <w:tab w:leader="none" w:pos="6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are in full force and effect as of the date 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280670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295910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9759"/>
          </w:cols>
          <w:pgMar w:left="700" w:top="274"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159"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color w:val="auto"/>
        </w:rPr>
        <w:t>Pursuant to authority granted by the Board of Directors of the Company on August 24, 2012 and the Sole Director of Waste Management Holdings, Inc. on September 24, 2012 and February 5, 2015,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27" w:lineRule="exact"/>
        <w:rPr>
          <w:sz w:val="20"/>
          <w:szCs w:val="20"/>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“3.125% Senior Notes due 2025” (the “Notes”).</w:t>
      </w:r>
    </w:p>
    <w:p>
      <w:pPr>
        <w:spacing w:after="0" w:line="9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90" w:lineRule="exact"/>
        <w:rPr>
          <w:rFonts w:ascii="Times New Roman" w:cs="Times New Roman" w:eastAsia="Times New Roman" w:hAnsi="Times New Roman"/>
          <w:sz w:val="18"/>
          <w:szCs w:val="18"/>
          <w:color w:val="auto"/>
        </w:rPr>
      </w:pPr>
    </w:p>
    <w:p>
      <w:pPr>
        <w:ind w:left="580" w:hanging="572"/>
        <w:spacing w:after="0" w:line="258"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$600,000,000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5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 2025.</w:t>
      </w:r>
    </w:p>
    <w:p>
      <w:pPr>
        <w:spacing w:after="0" w:line="90" w:lineRule="exact"/>
        <w:rPr>
          <w:rFonts w:ascii="Times New Roman" w:cs="Times New Roman" w:eastAsia="Times New Roman" w:hAnsi="Times New Roman"/>
          <w:sz w:val="18"/>
          <w:szCs w:val="18"/>
          <w:color w:val="auto"/>
        </w:rPr>
      </w:pPr>
    </w:p>
    <w:p>
      <w:pPr>
        <w:ind w:left="580" w:right="200" w:hanging="572"/>
        <w:spacing w:after="0" w:line="301" w:lineRule="auto"/>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Note shall bear interest from February 26, 2015 at the fixed rate of 3.125% per annum; the Interest Payment Dates on which such interest shall be payable shall be March 1 and September 1, of each year, commencing September 1, 2015,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22" w:lineRule="exact"/>
        <w:rPr>
          <w:rFonts w:ascii="Times New Roman" w:cs="Times New Roman" w:eastAsia="Times New Roman" w:hAnsi="Times New Roman"/>
          <w:sz w:val="16"/>
          <w:szCs w:val="16"/>
          <w:color w:val="auto"/>
        </w:rPr>
      </w:pPr>
    </w:p>
    <w:p>
      <w:pPr>
        <w:ind w:left="580" w:right="280" w:hanging="572"/>
        <w:spacing w:after="0" w:line="262"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1" w:lineRule="exact"/>
        <w:rPr>
          <w:rFonts w:ascii="Times New Roman" w:cs="Times New Roman" w:eastAsia="Times New Roman" w:hAnsi="Times New Roman"/>
          <w:sz w:val="18"/>
          <w:szCs w:val="18"/>
          <w:color w:val="auto"/>
        </w:rPr>
      </w:pPr>
    </w:p>
    <w:p>
      <w:pPr>
        <w:ind w:left="580" w:right="40" w:hanging="572"/>
        <w:spacing w:after="0" w:line="258"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00"/>
          </w:cols>
          <w:pgMar w:left="240" w:top="270" w:right="259" w:bottom="1440" w:gutter="0" w:footer="0" w:header="0"/>
        </w:sectPr>
      </w:pPr>
    </w:p>
    <w:bookmarkStart w:id="46" w:name="page47"/>
    <w:bookmarkEnd w:id="46"/>
    <w:p>
      <w:pPr>
        <w:ind w:left="572" w:right="80" w:hanging="572"/>
        <w:spacing w:after="0" w:line="258" w:lineRule="auto"/>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55" w:lineRule="exact"/>
        <w:rPr>
          <w:rFonts w:ascii="Times New Roman" w:cs="Times New Roman" w:eastAsia="Times New Roman" w:hAnsi="Times New Roman"/>
          <w:sz w:val="18"/>
          <w:szCs w:val="18"/>
          <w:color w:val="auto"/>
        </w:rPr>
      </w:pPr>
    </w:p>
    <w:p>
      <w:pPr>
        <w:ind w:left="572" w:hanging="572"/>
        <w:spacing w:after="0" w:line="254" w:lineRule="auto"/>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December 1, 2024.</w:t>
      </w:r>
    </w:p>
    <w:p>
      <w:pPr>
        <w:spacing w:after="0" w:line="57" w:lineRule="exact"/>
        <w:rPr>
          <w:rFonts w:ascii="Times New Roman" w:cs="Times New Roman" w:eastAsia="Times New Roman" w:hAnsi="Times New Roman"/>
          <w:sz w:val="18"/>
          <w:szCs w:val="18"/>
          <w:color w:val="auto"/>
        </w:rPr>
      </w:pPr>
    </w:p>
    <w:p>
      <w:pPr>
        <w:ind w:left="572" w:right="620" w:hanging="572"/>
        <w:spacing w:after="0" w:line="275" w:lineRule="auto"/>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38" w:lineRule="exact"/>
        <w:rPr>
          <w:rFonts w:ascii="Times New Roman" w:cs="Times New Roman" w:eastAsia="Times New Roman" w:hAnsi="Times New Roman"/>
          <w:sz w:val="18"/>
          <w:szCs w:val="18"/>
          <w:color w:val="auto"/>
        </w:rPr>
      </w:pPr>
    </w:p>
    <w:p>
      <w:pPr>
        <w:ind w:left="572" w:right="120" w:hanging="572"/>
        <w:spacing w:after="0" w:line="275" w:lineRule="auto"/>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38"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9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9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90" w:lineRule="exact"/>
        <w:rPr>
          <w:rFonts w:ascii="Times New Roman" w:cs="Times New Roman" w:eastAsia="Times New Roman" w:hAnsi="Times New Roman"/>
          <w:sz w:val="18"/>
          <w:szCs w:val="18"/>
          <w:color w:val="auto"/>
        </w:rPr>
      </w:pPr>
    </w:p>
    <w:p>
      <w:pPr>
        <w:jc w:val="both"/>
        <w:ind w:left="572" w:right="40" w:hanging="572"/>
        <w:spacing w:after="0" w:line="301" w:lineRule="auto"/>
        <w:tabs>
          <w:tab w:leader="none" w:pos="57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74" w:right="2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BOOK-ENTRY SECURITY</w:t>
      </w:r>
    </w:p>
    <w:p>
      <w:pPr>
        <w:spacing w:after="0" w:line="17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3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406"/>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U.S. $,</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r>
      <w:tr>
        <w:trPr>
          <w:trHeight w:val="242"/>
        </w:trPr>
        <w:tc>
          <w:tcPr>
            <w:tcW w:w="8420" w:type="dxa"/>
            <w:vAlign w:val="bottom"/>
          </w:tcPr>
          <w:p>
            <w:pPr>
              <w:jc w:val="center"/>
              <w:ind w:left="3172"/>
              <w:spacing w:after="0"/>
              <w:rPr>
                <w:sz w:val="20"/>
                <w:szCs w:val="20"/>
                <w:color w:val="auto"/>
              </w:rPr>
            </w:pPr>
            <w:r>
              <w:rPr>
                <w:rFonts w:ascii="Times New Roman" w:cs="Times New Roman" w:eastAsia="Times New Roman" w:hAnsi="Times New Roman"/>
                <w:sz w:val="18"/>
                <w:szCs w:val="18"/>
                <w:color w:val="auto"/>
                <w:w w:val="96"/>
              </w:rPr>
              <w:t>WASTE MANAGEMENT, INC.</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r>
      <w:tr>
        <w:trPr>
          <w:trHeight w:val="432"/>
        </w:trPr>
        <w:tc>
          <w:tcPr>
            <w:tcW w:w="8420" w:type="dxa"/>
            <w:vAlign w:val="bottom"/>
          </w:tcPr>
          <w:p>
            <w:pPr>
              <w:jc w:val="center"/>
              <w:ind w:left="3172"/>
              <w:spacing w:after="0"/>
              <w:rPr>
                <w:sz w:val="20"/>
                <w:szCs w:val="20"/>
                <w:color w:val="auto"/>
              </w:rPr>
            </w:pPr>
            <w:r>
              <w:rPr>
                <w:rFonts w:ascii="Times New Roman" w:cs="Times New Roman" w:eastAsia="Times New Roman" w:hAnsi="Times New Roman"/>
                <w:sz w:val="18"/>
                <w:szCs w:val="18"/>
                <w:color w:val="auto"/>
                <w:w w:val="97"/>
              </w:rPr>
              <w:t>3.125% SENIOR NOTES DUE 2025</w:t>
            </w:r>
          </w:p>
        </w:tc>
        <w:tc>
          <w:tcPr>
            <w:tcW w:w="3000" w:type="dxa"/>
            <w:vAlign w:val="bottom"/>
          </w:tcPr>
          <w:p>
            <w:pPr>
              <w:spacing w:after="0"/>
              <w:rPr>
                <w:sz w:val="24"/>
                <w:szCs w:val="24"/>
                <w:color w:val="auto"/>
              </w:rPr>
            </w:pPr>
          </w:p>
        </w:tc>
      </w:tr>
      <w:tr>
        <w:trPr>
          <w:trHeight w:val="432"/>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94106LBA6</w:t>
            </w:r>
          </w:p>
        </w:tc>
      </w:tr>
    </w:tbl>
    <w:p>
      <w:pPr>
        <w:spacing w:after="0" w:line="150" w:lineRule="exact"/>
        <w:rPr>
          <w:sz w:val="20"/>
          <w:szCs w:val="20"/>
          <w:color w:val="auto"/>
        </w:rPr>
      </w:pPr>
    </w:p>
    <w:p>
      <w:pPr>
        <w:jc w:val="both"/>
        <w:ind w:right="20" w:firstLine="456"/>
        <w:spacing w:after="0" w:line="257"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spacing w:after="0" w:line="1" w:lineRule="exact"/>
        <w:rPr>
          <w:sz w:val="20"/>
          <w:szCs w:val="20"/>
          <w:color w:val="auto"/>
        </w:rPr>
      </w:pPr>
    </w:p>
    <w:p>
      <w:pPr>
        <w:ind w:right="40" w:firstLine="1800"/>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March 1, 2025 in such coin or currency of the United States of America as at the time of payment shall be legal tender for the payment of public and private debts, and to pay interest at an annual rate of 3.125% payable on March 1 and September 1 of each year, to the person in whose name this Security is registered at the close of business on the record date for such interest, which shall be the preceding February 15 or August 15, respectively, payable commencing September 1, 2015, with interest consisting of interest accrued from February 26, 2015.</w:t>
      </w:r>
    </w:p>
    <w:p>
      <w:pPr>
        <w:sectPr>
          <w:pgSz w:w="11900" w:h="16838" w:orient="portrait"/>
          <w:cols w:equalWidth="0" w:num="1">
            <w:col w:w="11420"/>
          </w:cols>
          <w:pgMar w:left="240" w:top="274" w:right="239" w:bottom="1440" w:gutter="0" w:footer="0" w:header="0"/>
        </w:sectPr>
      </w:pPr>
    </w:p>
    <w:bookmarkStart w:id="48" w:name="page49"/>
    <w:bookmarkEnd w:id="48"/>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$600,000,000 in principal amount designated as the 3.125% Senior Notes due 2025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3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74" w:right="259" w:bottom="1440" w:gutter="0" w:footer="0" w:header="0"/>
        </w:sectPr>
      </w:pPr>
    </w:p>
    <w:bookmarkStart w:id="49" w:name="page50"/>
    <w:bookmarkEnd w:id="49"/>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2015</w:t>
            </w: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28"/>
        </w:trPr>
        <w:tc>
          <w:tcPr>
            <w:tcW w:w="4440" w:type="dxa"/>
            <w:vAlign w:val="bottom"/>
          </w:tcPr>
          <w:p>
            <w:pPr>
              <w:spacing w:after="0"/>
              <w:rPr>
                <w:sz w:val="19"/>
                <w:szCs w:val="19"/>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7"/>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Devina A. Rankin</w:t>
            </w:r>
          </w:p>
        </w:tc>
      </w:tr>
      <w:tr>
        <w:trPr>
          <w:trHeight w:val="228"/>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Attest:</w:t>
            </w:r>
          </w:p>
        </w:tc>
      </w:tr>
      <w:tr>
        <w:trPr>
          <w:trHeight w:val="433"/>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Courtney A. Tippy</w:t>
            </w:r>
          </w:p>
        </w:tc>
      </w:tr>
      <w:tr>
        <w:trPr>
          <w:trHeight w:val="228"/>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37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84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of Authentication: February 26, 2015</w:t>
      </w:r>
      <w:r>
        <w:rPr>
          <w:sz w:val="20"/>
          <w:szCs w:val="20"/>
          <w:color w:val="auto"/>
        </w:rPr>
        <w:tab/>
      </w:r>
      <w:r>
        <w:rPr>
          <w:rFonts w:ascii="Times New Roman" w:cs="Times New Roman" w:eastAsia="Times New Roman" w:hAnsi="Times New Roman"/>
          <w:sz w:val="16"/>
          <w:szCs w:val="16"/>
          <w:color w:val="auto"/>
        </w:rPr>
        <w:t>The Bank of New York Mellon Trust Company N.A., as Trustee</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Lawrence M. Kusch</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3.125% SENIOR NOTES DUE 2025</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3.125% Senior Notes due 2025 of the Company, in initial aggregate principal amount of $600,000,000 (the “Securities”).</w:t>
      </w:r>
    </w:p>
    <w:p>
      <w:pPr>
        <w:spacing w:after="0" w:line="261"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3.125% per annum.</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 and September 1 of each year (each an “Interest Payment Date”), commencing September 1, 2015. Interest on the Securities will accrue from the most recent date to which interest has been paid or, if no interest has been paid on the Securities, from February 26, 2015.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3.125% per annum, in each case to the extent lawful.</w:t>
      </w:r>
    </w:p>
    <w:p>
      <w:pPr>
        <w:spacing w:after="0" w:line="258"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74" w:right="239" w:bottom="1440" w:gutter="0" w:footer="0" w:header="0"/>
        </w:sectPr>
      </w:pPr>
    </w:p>
    <w:bookmarkStart w:id="51" w:name="page52"/>
    <w:bookmarkEnd w:id="51"/>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58"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52"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February 5, 2015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$600,000,000.</w:t>
      </w:r>
    </w:p>
    <w:p>
      <w:pPr>
        <w:spacing w:after="0" w:line="261" w:lineRule="exact"/>
        <w:rPr>
          <w:sz w:val="20"/>
          <w:szCs w:val="20"/>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80"/>
          </w:cols>
          <w:pgMar w:left="240" w:top="274" w:right="279" w:bottom="1440" w:gutter="0" w:footer="0" w:header="0"/>
        </w:sectPr>
      </w:pPr>
    </w:p>
    <w:bookmarkStart w:id="52" w:name="page53"/>
    <w:bookmarkEnd w:id="52"/>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171"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36"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“Independent Investment Banker” means any of Credit Suisse Securities (USA) LLC, Deutsche Bank Securities Inc., Goldman, Sachs &amp; Co. and J.P. Morgan Securities LLC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 Call Date” means December 1, 2024.</w:t>
      </w:r>
    </w:p>
    <w:p>
      <w:pPr>
        <w:sectPr>
          <w:pgSz w:w="11900" w:h="16838" w:orient="portrait"/>
          <w:cols w:equalWidth="0" w:num="1">
            <w:col w:w="11380"/>
          </w:cols>
          <w:pgMar w:left="240" w:top="274" w:right="279" w:bottom="1440" w:gutter="0" w:footer="0" w:header="0"/>
        </w:sectPr>
      </w:pPr>
    </w:p>
    <w:bookmarkStart w:id="53" w:name="page54"/>
    <w:bookmarkEnd w:id="53"/>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 fund.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91"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420"/>
          </w:cols>
          <w:pgMar w:left="240" w:top="274" w:right="23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Change of Control Payment Date, the Company shall, to the extent lawful:</w:t>
      </w:r>
    </w:p>
    <w:p>
      <w:pPr>
        <w:spacing w:after="0" w:line="90"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90"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38"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400"/>
          </w:cols>
          <w:pgMar w:left="240" w:top="274" w:right="259" w:bottom="1440" w:gutter="0" w:footer="0" w:header="0"/>
        </w:sectPr>
      </w:pPr>
    </w:p>
    <w:bookmarkStart w:id="55" w:name="page56"/>
    <w:bookmarkEnd w:id="55"/>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32" w:lineRule="exact"/>
        <w:rPr>
          <w:sz w:val="20"/>
          <w:szCs w:val="20"/>
          <w:color w:val="auto"/>
        </w:rPr>
      </w:pPr>
    </w:p>
    <w:p>
      <w:pPr>
        <w:ind w:right="420" w:firstLine="456"/>
        <w:spacing w:after="0" w:line="287" w:lineRule="auto"/>
        <w:rPr>
          <w:sz w:val="20"/>
          <w:szCs w:val="20"/>
          <w:color w:val="auto"/>
        </w:rPr>
      </w:pPr>
      <w:r>
        <w:rPr>
          <w:rFonts w:ascii="Times New Roman" w:cs="Times New Roman" w:eastAsia="Times New Roman" w:hAnsi="Times New Roman"/>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171"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00"/>
          </w:cols>
          <w:pgMar w:left="240" w:top="274" w:right="259"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“S&amp;P” means Standard &amp; Poor’s Ratings Services, a division of The McGraw-Hill Companies, Inc., and its successors.</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39"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9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17"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91"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30"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w:t>
      </w:r>
    </w:p>
    <w:p>
      <w:pPr>
        <w:sectPr>
          <w:pgSz w:w="11900" w:h="16838" w:orient="portrait"/>
          <w:cols w:equalWidth="0" w:num="1">
            <w:col w:w="11420"/>
          </w:cols>
          <w:pgMar w:left="240" w:top="274" w:right="239" w:bottom="1440" w:gutter="0" w:footer="0" w:header="0"/>
        </w:sectPr>
      </w:pPr>
    </w:p>
    <w:bookmarkStart w:id="57" w:name="page58"/>
    <w:bookmarkEnd w:id="57"/>
    <w:p>
      <w:pPr>
        <w:ind w:right="8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sums paid or advanced by the Trustee and the reasonable compensation, expenses, disbursements and advances of the Trustee, its agents and counsel and</w:t>
      </w:r>
    </w:p>
    <w:p>
      <w:pPr>
        <w:spacing w:after="0" w:line="32" w:lineRule="exact"/>
        <w:rPr>
          <w:rFonts w:ascii="Times New Roman" w:cs="Times New Roman" w:eastAsia="Times New Roman" w:hAnsi="Times New Roman"/>
          <w:sz w:val="16"/>
          <w:szCs w:val="16"/>
          <w:color w:val="auto"/>
        </w:rPr>
      </w:pPr>
    </w:p>
    <w:p>
      <w:pPr>
        <w:ind w:right="2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59" w:lineRule="exact"/>
        <w:rPr>
          <w:sz w:val="20"/>
          <w:szCs w:val="20"/>
          <w:color w:val="auto"/>
        </w:rPr>
      </w:pPr>
    </w:p>
    <w:p>
      <w:pPr>
        <w:ind w:left="900" w:hanging="44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92"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94"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91" w:lineRule="exact"/>
        <w:rPr>
          <w:sz w:val="20"/>
          <w:szCs w:val="20"/>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92"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94"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52"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74" w:right="279" w:bottom="1440" w:gutter="0" w:footer="0" w:header="0"/>
        </w:sectPr>
      </w:pPr>
    </w:p>
    <w:bookmarkStart w:id="58" w:name="page59"/>
    <w:bookmarkEnd w:id="58"/>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Recourse.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58" w:lineRule="exact"/>
        <w:rPr>
          <w:sz w:val="20"/>
          <w:szCs w:val="20"/>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91"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92"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The Securities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72" w:right="239" w:bottom="1440" w:gutter="0" w:footer="0" w:header="0"/>
        </w:sectPr>
      </w:pPr>
    </w:p>
    <w:bookmarkStart w:id="59" w:name="page60"/>
    <w:bookmarkEnd w:id="59"/>
    <w:p>
      <w:pPr>
        <w:ind w:right="3000" w:firstLine="3009"/>
        <w:spacing w:after="0" w:line="51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19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of increase</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decrease in</w:t>
            </w:r>
          </w:p>
        </w:tc>
        <w:tc>
          <w:tcPr>
            <w:tcW w:w="19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Principal</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this Book-Entry</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Principal Amount</w:t>
            </w:r>
          </w:p>
        </w:tc>
        <w:tc>
          <w:tcPr>
            <w:tcW w:w="19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this</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Security following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authorized officer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this Book-Entry</w:t>
            </w:r>
          </w:p>
        </w:tc>
        <w:tc>
          <w:tcPr>
            <w:tcW w:w="19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Book-Entry</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such decrease (or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Trustee or</w:t>
            </w:r>
          </w:p>
        </w:tc>
        <w:tc>
          <w:tcPr>
            <w:tcW w:w="0" w:type="dxa"/>
            <w:vAlign w:val="bottom"/>
          </w:tcPr>
          <w:p>
            <w:pPr>
              <w:spacing w:after="0"/>
              <w:rPr>
                <w:sz w:val="1"/>
                <w:szCs w:val="1"/>
                <w:color w:val="auto"/>
              </w:rPr>
            </w:pPr>
          </w:p>
        </w:tc>
      </w:tr>
      <w:tr>
        <w:trPr>
          <w:trHeight w:val="159"/>
        </w:trPr>
        <w:tc>
          <w:tcPr>
            <w:tcW w:w="108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gridSpan w:val="2"/>
          </w:tcPr>
          <w:p>
            <w:pPr>
              <w:jc w:val="center"/>
              <w:ind w:right="8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1980" w:type="dxa"/>
            <w:vAlign w:val="bottom"/>
            <w:gridSpan w:val="2"/>
          </w:tcPr>
          <w:p>
            <w:pPr>
              <w:jc w:val="center"/>
              <w:ind w:right="8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1940" w:type="dxa"/>
            <w:vAlign w:val="bottom"/>
            <w:gridSpan w:val="2"/>
          </w:tcPr>
          <w:p>
            <w:pPr>
              <w:jc w:val="center"/>
              <w:ind w:right="8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11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Security Custodian</w:t>
            </w:r>
          </w:p>
        </w:tc>
        <w:tc>
          <w:tcPr>
            <w:tcW w:w="0" w:type="dxa"/>
            <w:vAlign w:val="bottom"/>
          </w:tcPr>
          <w:p>
            <w:pPr>
              <w:spacing w:after="0"/>
              <w:rPr>
                <w:sz w:val="1"/>
                <w:szCs w:val="1"/>
                <w:color w:val="auto"/>
              </w:rPr>
            </w:pPr>
          </w:p>
        </w:tc>
      </w:tr>
      <w:tr>
        <w:trPr>
          <w:trHeight w:val="135"/>
        </w:trPr>
        <w:tc>
          <w:tcPr>
            <w:tcW w:w="108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5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22, 2009, Waste Management, Inc. (the “Company”) filed with the Securities Exchange Commission (the “SEC”) an automatic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4" w:lineRule="exact"/>
        <w:rPr>
          <w:sz w:val="20"/>
          <w:szCs w:val="20"/>
          <w:color w:val="auto"/>
        </w:rPr>
      </w:pPr>
    </w:p>
    <w:p>
      <w:pPr>
        <w:ind w:right="7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rules and regulations promulgated by the SEC, the Automatic Shelf Registration Statement will expire, by its terms,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22, 2012, three years after the effective date of the Automatic Shelf Registration Statement; and</w:t>
      </w:r>
    </w:p>
    <w:p>
      <w:pPr>
        <w:spacing w:after="0" w:line="116"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time of the Board of Directors’ approval of the Automatic Shelf Registration Statement, the Board of Directors also authorized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offer and sell up to an aggregate of $3,000,000,000 of Securities (the “2009 Issuance Authorization”); and</w:t>
      </w:r>
    </w:p>
    <w:p>
      <w:pPr>
        <w:spacing w:after="0" w:line="116"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and finds it in the best interests of the Company, to file a new automatic shelf registration statement on Form S-3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facilitate any future offerings of securities by the Company or any selling security holders.</w:t>
      </w:r>
    </w:p>
    <w:p>
      <w:pPr>
        <w:spacing w:after="0" w:line="11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Company is hereby authorized to prepare and file with the SEC an automatic shelf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38" w:lineRule="exact"/>
        <w:rPr>
          <w:sz w:val="20"/>
          <w:szCs w:val="20"/>
          <w:color w:val="auto"/>
        </w:rPr>
      </w:pPr>
    </w:p>
    <w:p>
      <w:pPr>
        <w:jc w:val="both"/>
        <w:ind w:right="5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(as established pursuant to these resolutions) be, and they hereby are, authorized, in their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27"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filing date of the New Registration Statement, authority to make new issuances of Securities pursuant to the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Authorization shall be deemed rescinded;</w:t>
      </w:r>
    </w:p>
    <w:p>
      <w:pPr>
        <w:spacing w:after="0" w:line="11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the authorized employees (as established pursuant to these resolutions) be, and each of them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39"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General Counsel of the Company be, and he hereby is, designated and appointed the agent for service of process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70" w:right="259" w:bottom="1440" w:gutter="0" w:footer="0" w:header="0"/>
        </w:sectPr>
      </w:pPr>
    </w:p>
    <w:bookmarkStart w:id="61" w:name="page62"/>
    <w:bookmarkEnd w:id="61"/>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Times New Roman" w:cs="Times New Roman" w:eastAsia="Times New Roman" w:hAnsi="Times New Roman"/>
          <w:sz w:val="18"/>
          <w:szCs w:val="18"/>
          <w:color w:val="auto"/>
        </w:rPr>
        <w:t>, that the proper officers and authorized employees be and hereby are authorized and directed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3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appropriate qualification or registration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3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or authorized employees be, and each of them hereby is, authorized to approve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3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be, and each of them hereby is, authorized, at any time and from time to time,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35"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may, at any time and from time to time, on behalf of the Company, authorize the issuance of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4"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any such series of Securities (but without limiting the authority hereinafter in these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34"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the issuance of Securities of any series which may not be originally issued at one time (except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ectPr>
          <w:pgSz w:w="11900" w:h="16838" w:orient="portrait"/>
          <w:cols w:equalWidth="0" w:num="1">
            <w:col w:w="11420"/>
          </w:cols>
          <w:pgMar w:left="240" w:top="272" w:right="239" w:bottom="1440" w:gutter="0" w:footer="0" w:header="0"/>
        </w:sectPr>
      </w:pPr>
    </w:p>
    <w:bookmarkStart w:id="62" w:name="page63"/>
    <w:bookmarkEnd w:id="62"/>
    <w:p>
      <w:pPr>
        <w:ind w:right="4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Times New Roman" w:cs="Times New Roman" w:eastAsia="Times New Roman" w:hAnsi="Times New Roman"/>
          <w:sz w:val="16"/>
          <w:szCs w:val="16"/>
          <w:color w:val="auto"/>
        </w:rPr>
        <w:t>, that, in connection with any such series of Securities, any of the proper officers is authorized to approve any amendment,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subject to and in accordance with the Company’s indentures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3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41"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in the name and on behalf of the Company,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34"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officers and authorized employees of the Company be, and each of them hereby is, authorized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2" w:right="239" w:bottom="1440" w:gutter="0" w:footer="0" w:header="0"/>
        </w:sectPr>
      </w:pPr>
    </w:p>
    <w:bookmarkStart w:id="63" w:name="page64"/>
    <w:bookmarkEnd w:id="63"/>
    <w:p>
      <w:pPr>
        <w:ind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Times New Roman" w:cs="Times New Roman" w:eastAsia="Times New Roman" w:hAnsi="Times New Roman"/>
          <w:sz w:val="16"/>
          <w:szCs w:val="16"/>
          <w:color w:val="auto"/>
        </w:rPr>
        <w:t>, that for purposes of these resolutions, the term “proper officer” shall mean any or all of the Chief Executive Officer, the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93" w:lineRule="exact"/>
        <w:rPr>
          <w:sz w:val="20"/>
          <w:szCs w:val="20"/>
          <w:color w:val="auto"/>
        </w:rPr>
      </w:pPr>
    </w:p>
    <w:p>
      <w:pPr>
        <w:jc w:val="both"/>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foregoing resolutions be and hereby is approved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33" w:lineRule="exact"/>
        <w:rPr>
          <w:sz w:val="20"/>
          <w:szCs w:val="20"/>
          <w:color w:val="auto"/>
        </w:rPr>
      </w:pPr>
    </w:p>
    <w:p>
      <w:pPr>
        <w:ind w:right="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RESOLVED FURTHER</w:t>
      </w:r>
      <w:r>
        <w:rPr>
          <w:rFonts w:ascii="Times New Roman" w:cs="Times New Roman" w:eastAsia="Times New Roman" w:hAnsi="Times New Roman"/>
          <w:sz w:val="16"/>
          <w:szCs w:val="16"/>
          <w:color w:val="auto"/>
        </w:rPr>
        <w:t>, that any officer of the Company is hereby authorized and directed to make, provide, execute, and deliver any and all statements,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2" w:right="2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undersigned, the Vice President and Treasurer, and the Corporate Secretary of Waste Management, Inc. (the “Company”), hereby certify that:</w:t>
      </w:r>
    </w:p>
    <w:p>
      <w:pPr>
        <w:spacing w:after="0" w:line="194" w:lineRule="exact"/>
        <w:rPr>
          <w:sz w:val="20"/>
          <w:szCs w:val="20"/>
          <w:color w:val="auto"/>
        </w:rPr>
      </w:pPr>
    </w:p>
    <w:p>
      <w:pPr>
        <w:ind w:right="20" w:firstLine="921"/>
        <w:spacing w:after="0" w:line="258" w:lineRule="auto"/>
        <w:tabs>
          <w:tab w:leader="none" w:pos="10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2015 (the “Order”) for the authentication and delivery by the Trustee of $450,000,000 aggregate principal amount of 3.900% Senior Notes due 2035 (the “Notes”).</w:t>
      </w:r>
    </w:p>
    <w:p>
      <w:pPr>
        <w:spacing w:after="0" w:line="136"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171" w:lineRule="exact"/>
        <w:rPr>
          <w:rFonts w:ascii="Times New Roman" w:cs="Times New Roman" w:eastAsia="Times New Roman" w:hAnsi="Times New Roman"/>
          <w:sz w:val="18"/>
          <w:szCs w:val="18"/>
          <w:color w:val="auto"/>
        </w:rPr>
      </w:pPr>
    </w:p>
    <w:p>
      <w:pPr>
        <w:ind w:right="460" w:firstLine="921"/>
        <w:spacing w:after="0" w:line="339" w:lineRule="auto"/>
        <w:tabs>
          <w:tab w:leader="none" w:pos="10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74" w:lineRule="exact"/>
        <w:rPr>
          <w:rFonts w:ascii="Times New Roman" w:cs="Times New Roman" w:eastAsia="Times New Roman" w:hAnsi="Times New Roman"/>
          <w:sz w:val="16"/>
          <w:szCs w:val="16"/>
          <w:color w:val="auto"/>
        </w:rPr>
      </w:pPr>
    </w:p>
    <w:p>
      <w:pPr>
        <w:ind w:left="1100" w:hanging="179"/>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 thereto.</w:t>
      </w:r>
    </w:p>
    <w:p>
      <w:pPr>
        <w:spacing w:after="0" w:line="171" w:lineRule="exact"/>
        <w:rPr>
          <w:rFonts w:ascii="Times New Roman" w:cs="Times New Roman" w:eastAsia="Times New Roman" w:hAnsi="Times New Roman"/>
          <w:sz w:val="18"/>
          <w:szCs w:val="18"/>
          <w:color w:val="auto"/>
        </w:rPr>
      </w:pPr>
    </w:p>
    <w:p>
      <w:pPr>
        <w:ind w:right="140" w:firstLine="921"/>
        <w:spacing w:after="0" w:line="339" w:lineRule="auto"/>
        <w:tabs>
          <w:tab w:leader="none" w:pos="10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74" w:lineRule="exact"/>
        <w:rPr>
          <w:rFonts w:ascii="Times New Roman" w:cs="Times New Roman" w:eastAsia="Times New Roman" w:hAnsi="Times New Roman"/>
          <w:sz w:val="16"/>
          <w:szCs w:val="16"/>
          <w:color w:val="auto"/>
        </w:rPr>
      </w:pPr>
    </w:p>
    <w:p>
      <w:pPr>
        <w:ind w:left="1100" w:hanging="179"/>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w:t>
      </w:r>
    </w:p>
    <w:p>
      <w:pPr>
        <w:spacing w:after="0" w:line="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$450,000,000 aggregate principal amount of the Notes have been complied with, and such Notes may be delivered in accordance with the Order as provided in the Indenture.</w:t>
      </w:r>
    </w:p>
    <w:p>
      <w:pPr>
        <w:spacing w:after="0" w:line="132" w:lineRule="exact"/>
        <w:rPr>
          <w:sz w:val="20"/>
          <w:szCs w:val="20"/>
          <w:color w:val="auto"/>
        </w:rPr>
      </w:pPr>
    </w:p>
    <w:p>
      <w:pPr>
        <w:ind w:right="220" w:firstLine="921"/>
        <w:spacing w:after="0" w:line="262" w:lineRule="auto"/>
        <w:tabs>
          <w:tab w:leader="none" w:pos="10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are in full force and effect as of the date 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280670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304800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9299"/>
          </w:cols>
          <w:pgMar w:left="1160" w:top="274"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159"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color w:val="auto"/>
        </w:rPr>
        <w:t>Pursuant to authority granted by the Board of Directors of the Company on August 24, 2012 and the Sole Director of Waste Management Holdings, Inc. on September 24, 2012 and February 5, 2015,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27" w:lineRule="exact"/>
        <w:rPr>
          <w:sz w:val="20"/>
          <w:szCs w:val="20"/>
          <w:color w:val="auto"/>
        </w:rPr>
      </w:pPr>
    </w:p>
    <w:p>
      <w:pPr>
        <w:ind w:left="580" w:hanging="572"/>
        <w:spacing w:after="0"/>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“3.900% Senior Notes due 2035” (the “Notes”).</w:t>
      </w:r>
    </w:p>
    <w:p>
      <w:pPr>
        <w:spacing w:after="0" w:line="9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90" w:lineRule="exact"/>
        <w:rPr>
          <w:rFonts w:ascii="Times New Roman" w:cs="Times New Roman" w:eastAsia="Times New Roman" w:hAnsi="Times New Roman"/>
          <w:sz w:val="18"/>
          <w:szCs w:val="18"/>
          <w:color w:val="auto"/>
        </w:rPr>
      </w:pPr>
    </w:p>
    <w:p>
      <w:pPr>
        <w:ind w:left="580" w:hanging="572"/>
        <w:spacing w:after="0" w:line="258" w:lineRule="auto"/>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$450,000,000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5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 2035.</w:t>
      </w:r>
    </w:p>
    <w:p>
      <w:pPr>
        <w:spacing w:after="0" w:line="90" w:lineRule="exact"/>
        <w:rPr>
          <w:rFonts w:ascii="Times New Roman" w:cs="Times New Roman" w:eastAsia="Times New Roman" w:hAnsi="Times New Roman"/>
          <w:sz w:val="18"/>
          <w:szCs w:val="18"/>
          <w:color w:val="auto"/>
        </w:rPr>
      </w:pPr>
    </w:p>
    <w:p>
      <w:pPr>
        <w:ind w:left="580" w:right="200" w:hanging="572"/>
        <w:spacing w:after="0" w:line="301" w:lineRule="auto"/>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Note shall bear interest from February 26, 2015 at the fixed rate of 3.900% per annum; the Interest Payment Dates on which such interest shall be payable shall be March 1 and September 1, of each year, commencing September 1, 2015,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22" w:lineRule="exact"/>
        <w:rPr>
          <w:rFonts w:ascii="Times New Roman" w:cs="Times New Roman" w:eastAsia="Times New Roman" w:hAnsi="Times New Roman"/>
          <w:sz w:val="16"/>
          <w:szCs w:val="16"/>
          <w:color w:val="auto"/>
        </w:rPr>
      </w:pPr>
    </w:p>
    <w:p>
      <w:pPr>
        <w:ind w:left="580" w:right="280" w:hanging="572"/>
        <w:spacing w:after="0" w:line="262" w:lineRule="auto"/>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1" w:lineRule="exact"/>
        <w:rPr>
          <w:rFonts w:ascii="Times New Roman" w:cs="Times New Roman" w:eastAsia="Times New Roman" w:hAnsi="Times New Roman"/>
          <w:sz w:val="18"/>
          <w:szCs w:val="18"/>
          <w:color w:val="auto"/>
        </w:rPr>
      </w:pPr>
    </w:p>
    <w:p>
      <w:pPr>
        <w:ind w:left="580" w:right="40" w:hanging="572"/>
        <w:spacing w:after="0" w:line="258" w:lineRule="auto"/>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00"/>
          </w:cols>
          <w:pgMar w:left="240" w:top="270" w:right="259" w:bottom="1440" w:gutter="0" w:footer="0" w:header="0"/>
        </w:sectPr>
      </w:pPr>
    </w:p>
    <w:bookmarkStart w:id="67" w:name="page68"/>
    <w:bookmarkEnd w:id="67"/>
    <w:p>
      <w:pPr>
        <w:ind w:left="572" w:right="80" w:hanging="572"/>
        <w:spacing w:after="0" w:line="258" w:lineRule="auto"/>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55" w:lineRule="exact"/>
        <w:rPr>
          <w:rFonts w:ascii="Times New Roman" w:cs="Times New Roman" w:eastAsia="Times New Roman" w:hAnsi="Times New Roman"/>
          <w:sz w:val="18"/>
          <w:szCs w:val="18"/>
          <w:color w:val="auto"/>
        </w:rPr>
      </w:pPr>
    </w:p>
    <w:p>
      <w:pPr>
        <w:ind w:left="572" w:hanging="572"/>
        <w:spacing w:after="0" w:line="254" w:lineRule="auto"/>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September 1, 2034.</w:t>
      </w:r>
    </w:p>
    <w:p>
      <w:pPr>
        <w:spacing w:after="0" w:line="57" w:lineRule="exact"/>
        <w:rPr>
          <w:rFonts w:ascii="Times New Roman" w:cs="Times New Roman" w:eastAsia="Times New Roman" w:hAnsi="Times New Roman"/>
          <w:sz w:val="18"/>
          <w:szCs w:val="18"/>
          <w:color w:val="auto"/>
        </w:rPr>
      </w:pPr>
    </w:p>
    <w:p>
      <w:pPr>
        <w:ind w:left="572" w:right="620" w:hanging="572"/>
        <w:spacing w:after="0" w:line="275" w:lineRule="auto"/>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38" w:lineRule="exact"/>
        <w:rPr>
          <w:rFonts w:ascii="Times New Roman" w:cs="Times New Roman" w:eastAsia="Times New Roman" w:hAnsi="Times New Roman"/>
          <w:sz w:val="18"/>
          <w:szCs w:val="18"/>
          <w:color w:val="auto"/>
        </w:rPr>
      </w:pPr>
    </w:p>
    <w:p>
      <w:pPr>
        <w:ind w:left="572" w:right="120" w:hanging="572"/>
        <w:spacing w:after="0" w:line="275" w:lineRule="auto"/>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38"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9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9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90" w:lineRule="exact"/>
        <w:rPr>
          <w:rFonts w:ascii="Times New Roman" w:cs="Times New Roman" w:eastAsia="Times New Roman" w:hAnsi="Times New Roman"/>
          <w:sz w:val="18"/>
          <w:szCs w:val="18"/>
          <w:color w:val="auto"/>
        </w:rPr>
      </w:pPr>
    </w:p>
    <w:p>
      <w:pPr>
        <w:jc w:val="both"/>
        <w:ind w:left="572" w:right="40" w:hanging="572"/>
        <w:spacing w:after="0" w:line="301" w:lineRule="auto"/>
        <w:tabs>
          <w:tab w:leader="none" w:pos="57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74" w:right="2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BOOK-ENTRY SECURITY</w:t>
      </w:r>
    </w:p>
    <w:p>
      <w:pPr>
        <w:spacing w:after="0" w:line="17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3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420"/>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$450,000,000,</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r>
      <w:tr>
        <w:trPr>
          <w:trHeight w:val="216"/>
        </w:trPr>
        <w:tc>
          <w:tcPr>
            <w:tcW w:w="8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r>
      <w:tr>
        <w:trPr>
          <w:trHeight w:val="242"/>
        </w:trPr>
        <w:tc>
          <w:tcPr>
            <w:tcW w:w="8420" w:type="dxa"/>
            <w:vAlign w:val="bottom"/>
          </w:tcPr>
          <w:p>
            <w:pPr>
              <w:jc w:val="center"/>
              <w:ind w:left="3172"/>
              <w:spacing w:after="0"/>
              <w:rPr>
                <w:sz w:val="20"/>
                <w:szCs w:val="20"/>
                <w:color w:val="auto"/>
              </w:rPr>
            </w:pPr>
            <w:r>
              <w:rPr>
                <w:rFonts w:ascii="Times New Roman" w:cs="Times New Roman" w:eastAsia="Times New Roman" w:hAnsi="Times New Roman"/>
                <w:sz w:val="18"/>
                <w:szCs w:val="18"/>
                <w:color w:val="auto"/>
                <w:w w:val="96"/>
              </w:rPr>
              <w:t>WASTE MANAGEMENT, INC.</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r>
      <w:tr>
        <w:trPr>
          <w:trHeight w:val="432"/>
        </w:trPr>
        <w:tc>
          <w:tcPr>
            <w:tcW w:w="8420" w:type="dxa"/>
            <w:vAlign w:val="bottom"/>
          </w:tcPr>
          <w:p>
            <w:pPr>
              <w:jc w:val="center"/>
              <w:ind w:left="3172"/>
              <w:spacing w:after="0"/>
              <w:rPr>
                <w:sz w:val="20"/>
                <w:szCs w:val="20"/>
                <w:color w:val="auto"/>
              </w:rPr>
            </w:pPr>
            <w:r>
              <w:rPr>
                <w:rFonts w:ascii="Times New Roman" w:cs="Times New Roman" w:eastAsia="Times New Roman" w:hAnsi="Times New Roman"/>
                <w:sz w:val="18"/>
                <w:szCs w:val="18"/>
                <w:color w:val="auto"/>
                <w:w w:val="97"/>
              </w:rPr>
              <w:t>3.900% SENIOR NOTES DUE 2035</w:t>
            </w:r>
          </w:p>
        </w:tc>
        <w:tc>
          <w:tcPr>
            <w:tcW w:w="3000" w:type="dxa"/>
            <w:vAlign w:val="bottom"/>
          </w:tcPr>
          <w:p>
            <w:pPr>
              <w:spacing w:after="0"/>
              <w:rPr>
                <w:sz w:val="24"/>
                <w:szCs w:val="24"/>
                <w:color w:val="auto"/>
              </w:rPr>
            </w:pPr>
          </w:p>
        </w:tc>
      </w:tr>
      <w:tr>
        <w:trPr>
          <w:trHeight w:val="432"/>
        </w:trPr>
        <w:tc>
          <w:tcPr>
            <w:tcW w:w="84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94106LBB4</w:t>
            </w:r>
          </w:p>
        </w:tc>
      </w:tr>
    </w:tbl>
    <w:p>
      <w:pPr>
        <w:spacing w:after="0" w:line="15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Four Hundred Fifty Million ($450,000,000) U.S. dollars, or such lesser principal sum as is shown on the attached Schedule of Exchanges of Definitive Security, on March 1, 2035 in such coin or currency of the United States of America as at the time of payment shall be legal tender for the payment of public and private debts, and to pay interest at an annual rate of 3.900% payable on March 1 and September 1 of each year, to the person in whose name this Security is registered at the close of business on the record date for such interest, which shall be the preceding February 15 or August 15, respectively, payable commencing September 1, 2015, with interest consisting of interest accrued from February 26, 2015.</w:t>
      </w:r>
    </w:p>
    <w:p>
      <w:pPr>
        <w:sectPr>
          <w:pgSz w:w="11900" w:h="16838" w:orient="portrait"/>
          <w:cols w:equalWidth="0" w:num="1">
            <w:col w:w="11420"/>
          </w:cols>
          <w:pgMar w:left="240" w:top="274" w:right="239" w:bottom="1440" w:gutter="0" w:footer="0" w:header="0"/>
        </w:sectPr>
      </w:pPr>
    </w:p>
    <w:bookmarkStart w:id="69" w:name="page70"/>
    <w:bookmarkEnd w:id="69"/>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$450,000,000 in principal amount designated as the 3.900% Senior Notes due 2035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3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74" w:right="259" w:bottom="1440" w:gutter="0" w:footer="0" w:header="0"/>
        </w:sectPr>
      </w:pPr>
    </w:p>
    <w:bookmarkStart w:id="70" w:name="page71"/>
    <w:bookmarkEnd w:id="70"/>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2015</w:t>
            </w:r>
          </w:p>
        </w:tc>
        <w:tc>
          <w:tcPr>
            <w:tcW w:w="7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28"/>
        </w:trPr>
        <w:tc>
          <w:tcPr>
            <w:tcW w:w="4380" w:type="dxa"/>
            <w:vAlign w:val="bottom"/>
          </w:tcPr>
          <w:p>
            <w:pPr>
              <w:spacing w:after="0"/>
              <w:rPr>
                <w:sz w:val="19"/>
                <w:szCs w:val="19"/>
                <w:color w:val="auto"/>
              </w:rPr>
            </w:pPr>
          </w:p>
        </w:tc>
        <w:tc>
          <w:tcPr>
            <w:tcW w:w="7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7"/>
        </w:trPr>
        <w:tc>
          <w:tcPr>
            <w:tcW w:w="4380" w:type="dxa"/>
            <w:vAlign w:val="bottom"/>
          </w:tcPr>
          <w:p>
            <w:pPr>
              <w:spacing w:after="0"/>
              <w:rPr>
                <w:sz w:val="24"/>
                <w:szCs w:val="24"/>
                <w:color w:val="auto"/>
              </w:rPr>
            </w:pPr>
          </w:p>
        </w:tc>
        <w:tc>
          <w:tcPr>
            <w:tcW w:w="7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4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Devina A. Rankin</w:t>
            </w:r>
          </w:p>
        </w:tc>
      </w:tr>
      <w:tr>
        <w:trPr>
          <w:trHeight w:val="228"/>
        </w:trPr>
        <w:tc>
          <w:tcPr>
            <w:tcW w:w="4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46"/>
        </w:trPr>
        <w:tc>
          <w:tcPr>
            <w:tcW w:w="4380" w:type="dxa"/>
            <w:vAlign w:val="bottom"/>
          </w:tcPr>
          <w:p>
            <w:pPr>
              <w:spacing w:after="0"/>
              <w:rPr>
                <w:sz w:val="24"/>
                <w:szCs w:val="24"/>
                <w:color w:val="auto"/>
              </w:rPr>
            </w:pPr>
          </w:p>
        </w:tc>
        <w:tc>
          <w:tcPr>
            <w:tcW w:w="7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Attest:</w:t>
            </w:r>
          </w:p>
        </w:tc>
      </w:tr>
      <w:tr>
        <w:trPr>
          <w:trHeight w:val="433"/>
        </w:trPr>
        <w:tc>
          <w:tcPr>
            <w:tcW w:w="4380" w:type="dxa"/>
            <w:vAlign w:val="bottom"/>
          </w:tcPr>
          <w:p>
            <w:pPr>
              <w:spacing w:after="0"/>
              <w:rPr>
                <w:sz w:val="24"/>
                <w:szCs w:val="24"/>
                <w:color w:val="auto"/>
              </w:rPr>
            </w:pPr>
          </w:p>
        </w:tc>
        <w:tc>
          <w:tcPr>
            <w:tcW w:w="7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4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Courtney A. Tippy</w:t>
            </w:r>
          </w:p>
        </w:tc>
      </w:tr>
      <w:tr>
        <w:trPr>
          <w:trHeight w:val="228"/>
        </w:trPr>
        <w:tc>
          <w:tcPr>
            <w:tcW w:w="4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39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202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 of Authentication: February 26, 2015</w:t>
      </w:r>
      <w:r>
        <w:rPr>
          <w:sz w:val="20"/>
          <w:szCs w:val="20"/>
          <w:color w:val="auto"/>
        </w:rPr>
        <w:tab/>
      </w:r>
      <w:r>
        <w:rPr>
          <w:rFonts w:ascii="Times New Roman" w:cs="Times New Roman" w:eastAsia="Times New Roman" w:hAnsi="Times New Roman"/>
          <w:sz w:val="16"/>
          <w:szCs w:val="16"/>
          <w:color w:val="auto"/>
        </w:rPr>
        <w:t>The Bank of New York Mellon Trust Company N.A., as Trustee</w:t>
      </w:r>
    </w:p>
    <w:p>
      <w:pPr>
        <w:spacing w:after="0" w:line="22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Lawrence M. Kusch</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274" w:right="2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BOOK-ENTRY SECURITY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3.900% SENIOR NOTES DUE 2035</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3.900% Senior Notes due 2035 of the Company, in initial aggregate principal amount of $450,000,000 (the “Securities”).</w:t>
      </w:r>
    </w:p>
    <w:p>
      <w:pPr>
        <w:spacing w:after="0" w:line="261" w:lineRule="exact"/>
        <w:rPr>
          <w:sz w:val="20"/>
          <w:szCs w:val="20"/>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3.900% per annum.</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 and September 1 of each year (each an “Interest Payment Date”), commencing September 1, 2015. Interest on the Securities will accrue from the most recent date to which interest has been paid or, if no interest has been paid on the Securities, from February 26, 2015.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3.900% per annum, in each case to the extent lawful.</w:t>
      </w:r>
    </w:p>
    <w:p>
      <w:pPr>
        <w:spacing w:after="0" w:line="258" w:lineRule="exact"/>
        <w:rPr>
          <w:sz w:val="20"/>
          <w:szCs w:val="20"/>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74" w:right="239" w:bottom="1440" w:gutter="0" w:footer="0" w:header="0"/>
        </w:sectPr>
      </w:pPr>
    </w:p>
    <w:bookmarkStart w:id="72" w:name="page73"/>
    <w:bookmarkEnd w:id="72"/>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58" w:lineRule="exact"/>
        <w:rPr>
          <w:sz w:val="20"/>
          <w:szCs w:val="20"/>
          <w:color w:val="auto"/>
        </w:rPr>
      </w:pPr>
    </w:p>
    <w:p>
      <w:pPr>
        <w:ind w:left="900" w:hanging="446"/>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52" w:lineRule="exact"/>
        <w:rPr>
          <w:sz w:val="20"/>
          <w:szCs w:val="20"/>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February 5, 2015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$450,000,000.</w:t>
      </w:r>
    </w:p>
    <w:p>
      <w:pPr>
        <w:spacing w:after="0" w:line="261" w:lineRule="exact"/>
        <w:rPr>
          <w:sz w:val="20"/>
          <w:szCs w:val="20"/>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80"/>
          </w:cols>
          <w:pgMar w:left="240" w:top="274" w:right="279" w:bottom="1440" w:gutter="0" w:footer="0" w:header="0"/>
        </w:sectPr>
      </w:pPr>
    </w:p>
    <w:bookmarkStart w:id="73" w:name="page74"/>
    <w:bookmarkEnd w:id="73"/>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171"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36"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“Independent Investment Banker” means any of Credit Suisse Securities (USA) LLC, Deutsche Bank Securities Inc., Goldman, Sachs &amp; Co. and J.P. Morgan Securities LLC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 Call Date” means September 1, 2034.</w:t>
      </w:r>
    </w:p>
    <w:p>
      <w:pPr>
        <w:sectPr>
          <w:pgSz w:w="11900" w:h="16838" w:orient="portrait"/>
          <w:cols w:equalWidth="0" w:num="1">
            <w:col w:w="11380"/>
          </w:cols>
          <w:pgMar w:left="240" w:top="274" w:right="279" w:bottom="1440" w:gutter="0" w:footer="0" w:header="0"/>
        </w:sectPr>
      </w:pPr>
    </w:p>
    <w:bookmarkStart w:id="74" w:name="page75"/>
    <w:bookmarkEnd w:id="74"/>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Treasury Dealer”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 fund.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91" w:lineRule="exact"/>
        <w:rPr>
          <w:sz w:val="20"/>
          <w:szCs w:val="20"/>
          <w:color w:val="auto"/>
        </w:rPr>
      </w:pPr>
    </w:p>
    <w:p>
      <w:pPr>
        <w:ind w:left="900" w:hanging="446"/>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420"/>
          </w:cols>
          <w:pgMar w:left="240" w:top="274" w:right="239"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Change of Control Payment Date, the Company shall, to the extent lawful:</w:t>
      </w:r>
    </w:p>
    <w:p>
      <w:pPr>
        <w:spacing w:after="0" w:line="90" w:lineRule="exact"/>
        <w:rPr>
          <w:sz w:val="20"/>
          <w:szCs w:val="20"/>
          <w:color w:val="auto"/>
        </w:rPr>
      </w:pPr>
    </w:p>
    <w:p>
      <w:pPr>
        <w:ind w:left="900" w:hanging="446"/>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90"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38"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400"/>
          </w:cols>
          <w:pgMar w:left="240" w:top="274" w:right="259" w:bottom="1440" w:gutter="0" w:footer="0" w:header="0"/>
        </w:sectPr>
      </w:pPr>
    </w:p>
    <w:bookmarkStart w:id="76" w:name="page77"/>
    <w:bookmarkEnd w:id="76"/>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32" w:lineRule="exact"/>
        <w:rPr>
          <w:sz w:val="20"/>
          <w:szCs w:val="20"/>
          <w:color w:val="auto"/>
        </w:rPr>
      </w:pPr>
    </w:p>
    <w:p>
      <w:pPr>
        <w:ind w:right="420" w:firstLine="456"/>
        <w:spacing w:after="0" w:line="287" w:lineRule="auto"/>
        <w:rPr>
          <w:sz w:val="20"/>
          <w:szCs w:val="20"/>
          <w:color w:val="auto"/>
        </w:rPr>
      </w:pPr>
      <w:r>
        <w:rPr>
          <w:rFonts w:ascii="Times New Roman" w:cs="Times New Roman" w:eastAsia="Times New Roman" w:hAnsi="Times New Roman"/>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171"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00"/>
          </w:cols>
          <w:pgMar w:left="240" w:top="274" w:right="259"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“S&amp;P” means Standard &amp; Poor’s Ratings Services, a division of The McGraw-Hill Companies, Inc., and its successors.</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39" w:lineRule="exact"/>
        <w:rPr>
          <w:sz w:val="20"/>
          <w:szCs w:val="20"/>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9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17" w:lineRule="exact"/>
        <w:rPr>
          <w:sz w:val="20"/>
          <w:szCs w:val="20"/>
          <w:color w:val="auto"/>
        </w:rPr>
      </w:pPr>
    </w:p>
    <w:p>
      <w:pPr>
        <w:ind w:left="900" w:hanging="44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91" w:lineRule="exact"/>
        <w:rPr>
          <w:sz w:val="20"/>
          <w:szCs w:val="20"/>
          <w:color w:val="auto"/>
        </w:rPr>
      </w:pPr>
    </w:p>
    <w:p>
      <w:pPr>
        <w:ind w:left="900" w:hanging="446"/>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30" w:lineRule="exact"/>
        <w:rPr>
          <w:sz w:val="20"/>
          <w:szCs w:val="20"/>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w:t>
      </w:r>
    </w:p>
    <w:p>
      <w:pPr>
        <w:sectPr>
          <w:pgSz w:w="11900" w:h="16838" w:orient="portrait"/>
          <w:cols w:equalWidth="0" w:num="1">
            <w:col w:w="11420"/>
          </w:cols>
          <w:pgMar w:left="240" w:top="274" w:right="239" w:bottom="1440" w:gutter="0" w:footer="0" w:header="0"/>
        </w:sectPr>
      </w:pPr>
    </w:p>
    <w:bookmarkStart w:id="78" w:name="page79"/>
    <w:bookmarkEnd w:id="78"/>
    <w:p>
      <w:pPr>
        <w:ind w:right="8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left="300" w:hanging="292"/>
        <w:spacing w:after="0"/>
        <w:tabs>
          <w:tab w:leader="none" w:pos="3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sums paid or advanced by the Trustee and the reasonable compensation, expenses, disbursements and advances of the Trustee, its agents and counsel and</w:t>
      </w:r>
    </w:p>
    <w:p>
      <w:pPr>
        <w:spacing w:after="0" w:line="32" w:lineRule="exact"/>
        <w:rPr>
          <w:rFonts w:ascii="Times New Roman" w:cs="Times New Roman" w:eastAsia="Times New Roman" w:hAnsi="Times New Roman"/>
          <w:sz w:val="16"/>
          <w:szCs w:val="16"/>
          <w:color w:val="auto"/>
        </w:rPr>
      </w:pPr>
    </w:p>
    <w:p>
      <w:pPr>
        <w:ind w:right="2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59" w:lineRule="exact"/>
        <w:rPr>
          <w:sz w:val="20"/>
          <w:szCs w:val="20"/>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92"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94"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91" w:lineRule="exact"/>
        <w:rPr>
          <w:sz w:val="20"/>
          <w:szCs w:val="20"/>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92"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94" w:lineRule="exact"/>
        <w:rPr>
          <w:sz w:val="20"/>
          <w:szCs w:val="20"/>
          <w:color w:val="auto"/>
        </w:rPr>
      </w:pPr>
    </w:p>
    <w:p>
      <w:pPr>
        <w:ind w:left="900" w:hanging="446"/>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52" w:lineRule="exact"/>
        <w:rPr>
          <w:sz w:val="20"/>
          <w:szCs w:val="20"/>
          <w:color w:val="auto"/>
        </w:rPr>
      </w:pPr>
    </w:p>
    <w:p>
      <w:pPr>
        <w:ind w:left="900" w:hanging="446"/>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74" w:right="279" w:bottom="1440" w:gutter="0" w:footer="0" w:header="0"/>
        </w:sectPr>
      </w:pPr>
    </w:p>
    <w:bookmarkStart w:id="79" w:name="page80"/>
    <w:bookmarkEnd w:id="79"/>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58" w:lineRule="exact"/>
        <w:rPr>
          <w:sz w:val="20"/>
          <w:szCs w:val="20"/>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91" w:lineRule="exact"/>
        <w:rPr>
          <w:sz w:val="20"/>
          <w:szCs w:val="20"/>
          <w:color w:val="auto"/>
        </w:rPr>
      </w:pPr>
    </w:p>
    <w:p>
      <w:pPr>
        <w:ind w:left="900" w:hanging="446"/>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92"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The Securities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72" w:right="239" w:bottom="1440" w:gutter="0" w:footer="0" w:header="0"/>
        </w:sectPr>
      </w:pPr>
    </w:p>
    <w:bookmarkStart w:id="80" w:name="page81"/>
    <w:bookmarkEnd w:id="80"/>
    <w:p>
      <w:pPr>
        <w:ind w:right="3000" w:firstLine="3009"/>
        <w:spacing w:after="0" w:line="51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of increase</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Principal Amount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decrease in</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Principal</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this Book-Entry</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Signature of</w:t>
            </w: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Principal Amount</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 this</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Security following</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authorized officer</w:t>
            </w: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this Book-Entry</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Book-Entry</w:t>
            </w:r>
          </w:p>
        </w:tc>
        <w:tc>
          <w:tcPr>
            <w:tcW w:w="8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such decrease (or</w:t>
            </w:r>
          </w:p>
        </w:tc>
        <w:tc>
          <w:tcPr>
            <w:tcW w:w="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Trustee or</w:t>
            </w:r>
          </w:p>
        </w:tc>
      </w:tr>
      <w:tr>
        <w:trPr>
          <w:trHeight w:val="16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3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8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increase)</w:t>
            </w:r>
          </w:p>
        </w:tc>
        <w:tc>
          <w:tcPr>
            <w:tcW w:w="8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Security Custodian</w:t>
            </w:r>
          </w:p>
        </w:tc>
      </w:tr>
      <w:tr>
        <w:trPr>
          <w:trHeight w:val="142"/>
        </w:trPr>
        <w:tc>
          <w:tcPr>
            <w:tcW w:w="10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10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ectPr>
          <w:pgSz w:w="11900" w:h="16838" w:orient="portrait"/>
          <w:cols w:equalWidth="0" w:num="1">
            <w:col w:w="10500"/>
          </w:cols>
          <w:pgMar w:left="700" w:top="274" w:right="69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5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22, 2009, Waste Management, Inc. (the “Company”) filed with the Securities Exchange Commission (the “SEC”) an automatic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4" w:lineRule="exact"/>
        <w:rPr>
          <w:sz w:val="20"/>
          <w:szCs w:val="20"/>
          <w:color w:val="auto"/>
        </w:rPr>
      </w:pPr>
    </w:p>
    <w:p>
      <w:pPr>
        <w:ind w:right="7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rules and regulations promulgated by the SEC, the Automatic Shelf Registration Statement will expire, by its terms,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22, 2012, three years after the effective date of the Automatic Shelf Registration Statement; and</w:t>
      </w:r>
    </w:p>
    <w:p>
      <w:pPr>
        <w:spacing w:after="0" w:line="116"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time of the Board of Directors’ approval of the Automatic Shelf Registration Statement, the Board of Directors also authorized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offer and sell up to an aggregate of $3,000,000,000 of Securities (the “2009 Issuance Authorization”); and</w:t>
      </w:r>
    </w:p>
    <w:p>
      <w:pPr>
        <w:spacing w:after="0" w:line="116"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and finds it in the best interests of the Company, to file a new automatic shelf registration statement on Form S-3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facilitate any future offerings of securities by the Company or any selling security holders.</w:t>
      </w:r>
    </w:p>
    <w:p>
      <w:pPr>
        <w:spacing w:after="0" w:line="11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Company is hereby authorized to prepare and file with the SEC an automatic shelf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38" w:lineRule="exact"/>
        <w:rPr>
          <w:sz w:val="20"/>
          <w:szCs w:val="20"/>
          <w:color w:val="auto"/>
        </w:rPr>
      </w:pPr>
    </w:p>
    <w:p>
      <w:pPr>
        <w:jc w:val="both"/>
        <w:ind w:right="5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(as established pursuant to these resolutions) be, and they hereby are, authorized, in their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27"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filing date of the New Registration Statement, authority to make new issuances of Securities pursuant to the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Authorization shall be deemed rescinded;</w:t>
      </w:r>
    </w:p>
    <w:p>
      <w:pPr>
        <w:spacing w:after="0" w:line="11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the authorized employees (as established pursuant to these resolutions) be, and each of them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39"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General Counsel of the Company be, and he hereby is, designated and appointed the agent for service of process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70" w:right="259" w:bottom="1440" w:gutter="0" w:footer="0" w:header="0"/>
        </w:sectPr>
      </w:pPr>
    </w:p>
    <w:bookmarkStart w:id="82" w:name="page83"/>
    <w:bookmarkEnd w:id="82"/>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Times New Roman" w:cs="Times New Roman" w:eastAsia="Times New Roman" w:hAnsi="Times New Roman"/>
          <w:sz w:val="18"/>
          <w:szCs w:val="18"/>
          <w:color w:val="auto"/>
        </w:rPr>
        <w:t>, that the proper officers and authorized employees be and hereby are authorized and directed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3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appropriate qualification or registration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3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or authorized employees be, and each of them hereby is, authorized to approve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3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be, and each of them hereby is, authorized, at any time and from time to time,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35"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may, at any time and from time to time, on behalf of the Company, authorize the issuance of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4"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any such series of Securities (but without limiting the authority hereinafter in these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34"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the issuance of Securities of any series which may not be originally issued at one time (except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ectPr>
          <w:pgSz w:w="11900" w:h="16838" w:orient="portrait"/>
          <w:cols w:equalWidth="0" w:num="1">
            <w:col w:w="11420"/>
          </w:cols>
          <w:pgMar w:left="240" w:top="272" w:right="239" w:bottom="1440" w:gutter="0" w:footer="0" w:header="0"/>
        </w:sectPr>
      </w:pPr>
    </w:p>
    <w:bookmarkStart w:id="83" w:name="page84"/>
    <w:bookmarkEnd w:id="83"/>
    <w:p>
      <w:pPr>
        <w:ind w:right="4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Times New Roman" w:cs="Times New Roman" w:eastAsia="Times New Roman" w:hAnsi="Times New Roman"/>
          <w:sz w:val="16"/>
          <w:szCs w:val="16"/>
          <w:color w:val="auto"/>
        </w:rPr>
        <w:t>, that, in connection with any such series of Securities, any of the proper officers is authorized to approve any amendment,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subject to and in accordance with the Company’s indentures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3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41"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in the name and on behalf of the Company,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34"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officers and authorized employees of the Company be, and each of them hereby is, authorized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2" w:right="239" w:bottom="1440" w:gutter="0" w:footer="0" w:header="0"/>
        </w:sectPr>
      </w:pPr>
    </w:p>
    <w:bookmarkStart w:id="84" w:name="page85"/>
    <w:bookmarkEnd w:id="84"/>
    <w:p>
      <w:pPr>
        <w:ind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Times New Roman" w:cs="Times New Roman" w:eastAsia="Times New Roman" w:hAnsi="Times New Roman"/>
          <w:sz w:val="16"/>
          <w:szCs w:val="16"/>
          <w:color w:val="auto"/>
        </w:rPr>
        <w:t>, that for purposes of these resolutions, the term “proper officer” shall mean any or all of the Chief Executive Officer, the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93" w:lineRule="exact"/>
        <w:rPr>
          <w:sz w:val="20"/>
          <w:szCs w:val="20"/>
          <w:color w:val="auto"/>
        </w:rPr>
      </w:pPr>
    </w:p>
    <w:p>
      <w:pPr>
        <w:jc w:val="both"/>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foregoing resolutions be and hereby is approved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33" w:lineRule="exact"/>
        <w:rPr>
          <w:sz w:val="20"/>
          <w:szCs w:val="20"/>
          <w:color w:val="auto"/>
        </w:rPr>
      </w:pPr>
    </w:p>
    <w:p>
      <w:pPr>
        <w:ind w:right="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RESOLVED FURTHER</w:t>
      </w:r>
      <w:r>
        <w:rPr>
          <w:rFonts w:ascii="Times New Roman" w:cs="Times New Roman" w:eastAsia="Times New Roman" w:hAnsi="Times New Roman"/>
          <w:sz w:val="16"/>
          <w:szCs w:val="16"/>
          <w:color w:val="auto"/>
        </w:rPr>
        <w:t>, that any officer of the Company is hereby authorized and directed to make, provide, execute, and deliver any and all statements,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2" w:right="25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the Vice President and Treasurer, and the Corporate Secretary of Waste Management, Inc. (the “Company”), hereby certify that:</w:t>
      </w:r>
    </w:p>
    <w:p>
      <w:pPr>
        <w:spacing w:after="0" w:line="171" w:lineRule="exact"/>
        <w:rPr>
          <w:sz w:val="20"/>
          <w:szCs w:val="20"/>
          <w:color w:val="auto"/>
        </w:rPr>
      </w:pPr>
    </w:p>
    <w:p>
      <w:pPr>
        <w:ind w:right="20" w:firstLine="464"/>
        <w:spacing w:after="0" w:line="258" w:lineRule="auto"/>
        <w:tabs>
          <w:tab w:leader="none" w:pos="63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2015 (the “Order”) for the authentication and delivery by the Trustee of $750,000,000 aggregate principal amount of 4.100% Senior Notes due 2045 (the “Notes”).</w:t>
      </w:r>
    </w:p>
    <w:p>
      <w:pPr>
        <w:spacing w:after="0" w:line="13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171" w:lineRule="exact"/>
        <w:rPr>
          <w:rFonts w:ascii="Times New Roman" w:cs="Times New Roman" w:eastAsia="Times New Roman" w:hAnsi="Times New Roman"/>
          <w:sz w:val="18"/>
          <w:szCs w:val="18"/>
          <w:color w:val="auto"/>
        </w:rPr>
      </w:pPr>
    </w:p>
    <w:p>
      <w:pPr>
        <w:ind w:right="380" w:firstLine="464"/>
        <w:spacing w:after="0" w:line="275" w:lineRule="auto"/>
        <w:tabs>
          <w:tab w:leader="none" w:pos="63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 thereto.</w:t>
      </w:r>
    </w:p>
    <w:p>
      <w:pPr>
        <w:spacing w:after="0" w:line="171" w:lineRule="exact"/>
        <w:rPr>
          <w:rFonts w:ascii="Times New Roman" w:cs="Times New Roman" w:eastAsia="Times New Roman" w:hAnsi="Times New Roman"/>
          <w:sz w:val="18"/>
          <w:szCs w:val="18"/>
          <w:color w:val="auto"/>
        </w:rPr>
      </w:pPr>
    </w:p>
    <w:p>
      <w:pPr>
        <w:ind w:right="380" w:firstLine="464"/>
        <w:spacing w:after="0" w:line="339" w:lineRule="auto"/>
        <w:tabs>
          <w:tab w:leader="none" w:pos="63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74"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w:t>
      </w:r>
    </w:p>
    <w:p>
      <w:pPr>
        <w:spacing w:after="0" w:line="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$750,000,000 aggregate principal amount of the Notes have been complied with, and such Notes may be delivered in accordance with the Order as provided in the Indenture.</w:t>
      </w:r>
    </w:p>
    <w:p>
      <w:pPr>
        <w:spacing w:after="0" w:line="132" w:lineRule="exact"/>
        <w:rPr>
          <w:sz w:val="20"/>
          <w:szCs w:val="20"/>
          <w:color w:val="auto"/>
        </w:rPr>
      </w:pPr>
    </w:p>
    <w:p>
      <w:pPr>
        <w:ind w:right="60" w:firstLine="464"/>
        <w:spacing w:after="0" w:line="262" w:lineRule="auto"/>
        <w:tabs>
          <w:tab w:leader="none" w:pos="6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are in full force and effect as of the date 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3"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280670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304800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9759"/>
          </w:cols>
          <w:pgMar w:left="700" w:top="274"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159"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color w:val="auto"/>
        </w:rPr>
        <w:t>Pursuant to authority granted by the Board of Directors of the Company on August 24, 2012 and the Sole Director of Waste Management Holdings, Inc. on September 24, 2012 and February 5, 2015,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27" w:lineRule="exact"/>
        <w:rPr>
          <w:sz w:val="20"/>
          <w:szCs w:val="20"/>
          <w:color w:val="auto"/>
        </w:rPr>
      </w:pPr>
    </w:p>
    <w:p>
      <w:pPr>
        <w:ind w:left="580" w:hanging="572"/>
        <w:spacing w:after="0"/>
        <w:tabs>
          <w:tab w:leader="none" w:pos="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“4.100% Senior Notes due 2045” (the “Notes”).</w:t>
      </w:r>
    </w:p>
    <w:p>
      <w:pPr>
        <w:spacing w:after="0" w:line="9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90" w:lineRule="exact"/>
        <w:rPr>
          <w:rFonts w:ascii="Times New Roman" w:cs="Times New Roman" w:eastAsia="Times New Roman" w:hAnsi="Times New Roman"/>
          <w:sz w:val="18"/>
          <w:szCs w:val="18"/>
          <w:color w:val="auto"/>
        </w:rPr>
      </w:pPr>
    </w:p>
    <w:p>
      <w:pPr>
        <w:ind w:left="580" w:hanging="572"/>
        <w:spacing w:after="0" w:line="258" w:lineRule="auto"/>
        <w:tabs>
          <w:tab w:leader="none" w:pos="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5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March 1, 2045.</w:t>
      </w:r>
    </w:p>
    <w:p>
      <w:pPr>
        <w:spacing w:after="0" w:line="90" w:lineRule="exact"/>
        <w:rPr>
          <w:rFonts w:ascii="Times New Roman" w:cs="Times New Roman" w:eastAsia="Times New Roman" w:hAnsi="Times New Roman"/>
          <w:sz w:val="18"/>
          <w:szCs w:val="18"/>
          <w:color w:val="auto"/>
        </w:rPr>
      </w:pPr>
    </w:p>
    <w:p>
      <w:pPr>
        <w:ind w:left="580" w:right="200" w:hanging="572"/>
        <w:spacing w:after="0" w:line="301" w:lineRule="auto"/>
        <w:tabs>
          <w:tab w:leader="none" w:pos="5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Note shall bear interest from February 26, 2015 at the fixed rate of 4.100% per annum; the Interest Payment Dates on which such interest shall be payable shall be March 1 and September 1, of each year, commencing September 1, 2015,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22" w:lineRule="exact"/>
        <w:rPr>
          <w:rFonts w:ascii="Times New Roman" w:cs="Times New Roman" w:eastAsia="Times New Roman" w:hAnsi="Times New Roman"/>
          <w:sz w:val="16"/>
          <w:szCs w:val="16"/>
          <w:color w:val="auto"/>
        </w:rPr>
      </w:pPr>
    </w:p>
    <w:p>
      <w:pPr>
        <w:ind w:left="580" w:right="280" w:hanging="572"/>
        <w:spacing w:after="0" w:line="262" w:lineRule="auto"/>
        <w:tabs>
          <w:tab w:leader="none" w:pos="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1" w:lineRule="exact"/>
        <w:rPr>
          <w:rFonts w:ascii="Times New Roman" w:cs="Times New Roman" w:eastAsia="Times New Roman" w:hAnsi="Times New Roman"/>
          <w:sz w:val="18"/>
          <w:szCs w:val="18"/>
          <w:color w:val="auto"/>
        </w:rPr>
      </w:pPr>
    </w:p>
    <w:p>
      <w:pPr>
        <w:ind w:left="580" w:right="40" w:hanging="572"/>
        <w:spacing w:after="0" w:line="258" w:lineRule="auto"/>
        <w:tabs>
          <w:tab w:leader="none" w:pos="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00"/>
          </w:cols>
          <w:pgMar w:left="240" w:top="270" w:right="259" w:bottom="1440" w:gutter="0" w:footer="0" w:header="0"/>
        </w:sectPr>
      </w:pPr>
    </w:p>
    <w:bookmarkStart w:id="88" w:name="page89"/>
    <w:bookmarkEnd w:id="88"/>
    <w:p>
      <w:pPr>
        <w:ind w:left="572" w:right="80" w:hanging="572"/>
        <w:spacing w:after="0" w:line="258" w:lineRule="auto"/>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55" w:lineRule="exact"/>
        <w:rPr>
          <w:rFonts w:ascii="Times New Roman" w:cs="Times New Roman" w:eastAsia="Times New Roman" w:hAnsi="Times New Roman"/>
          <w:sz w:val="18"/>
          <w:szCs w:val="18"/>
          <w:color w:val="auto"/>
        </w:rPr>
      </w:pPr>
    </w:p>
    <w:p>
      <w:pPr>
        <w:ind w:left="572" w:hanging="572"/>
        <w:spacing w:after="0" w:line="254" w:lineRule="auto"/>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September 1, 2044.</w:t>
      </w:r>
    </w:p>
    <w:p>
      <w:pPr>
        <w:spacing w:after="0" w:line="57" w:lineRule="exact"/>
        <w:rPr>
          <w:rFonts w:ascii="Times New Roman" w:cs="Times New Roman" w:eastAsia="Times New Roman" w:hAnsi="Times New Roman"/>
          <w:sz w:val="18"/>
          <w:szCs w:val="18"/>
          <w:color w:val="auto"/>
        </w:rPr>
      </w:pPr>
    </w:p>
    <w:p>
      <w:pPr>
        <w:ind w:left="572" w:right="620" w:hanging="572"/>
        <w:spacing w:after="0" w:line="275" w:lineRule="auto"/>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38" w:lineRule="exact"/>
        <w:rPr>
          <w:rFonts w:ascii="Times New Roman" w:cs="Times New Roman" w:eastAsia="Times New Roman" w:hAnsi="Times New Roman"/>
          <w:sz w:val="18"/>
          <w:szCs w:val="18"/>
          <w:color w:val="auto"/>
        </w:rPr>
      </w:pPr>
    </w:p>
    <w:p>
      <w:pPr>
        <w:ind w:left="572" w:right="120" w:hanging="572"/>
        <w:spacing w:after="0" w:line="275" w:lineRule="auto"/>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38"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9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9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90" w:lineRule="exact"/>
        <w:rPr>
          <w:rFonts w:ascii="Times New Roman" w:cs="Times New Roman" w:eastAsia="Times New Roman" w:hAnsi="Times New Roman"/>
          <w:sz w:val="18"/>
          <w:szCs w:val="18"/>
          <w:color w:val="auto"/>
        </w:rPr>
      </w:pPr>
    </w:p>
    <w:p>
      <w:pPr>
        <w:jc w:val="both"/>
        <w:ind w:left="572" w:right="40" w:hanging="572"/>
        <w:spacing w:after="0" w:line="301" w:lineRule="auto"/>
        <w:tabs>
          <w:tab w:leader="none" w:pos="57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74" w:right="2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SECURITY</w:t>
      </w:r>
    </w:p>
    <w:p>
      <w:pPr>
        <w:spacing w:after="0" w:line="17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3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406"/>
        </w:trPr>
        <w:tc>
          <w:tcPr>
            <w:tcW w:w="8360" w:type="dxa"/>
            <w:vAlign w:val="bottom"/>
          </w:tcPr>
          <w:p>
            <w:pPr>
              <w:spacing w:after="0"/>
              <w:rPr>
                <w:sz w:val="24"/>
                <w:szCs w:val="24"/>
                <w:color w:val="auto"/>
              </w:rPr>
            </w:pPr>
          </w:p>
        </w:tc>
        <w:tc>
          <w:tcPr>
            <w:tcW w:w="28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U.S.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r>
      <w:tr>
        <w:trPr>
          <w:trHeight w:val="216"/>
        </w:trPr>
        <w:tc>
          <w:tcPr>
            <w:tcW w:w="836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r>
      <w:tr>
        <w:trPr>
          <w:trHeight w:val="216"/>
        </w:trPr>
        <w:tc>
          <w:tcPr>
            <w:tcW w:w="836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r>
      <w:tr>
        <w:trPr>
          <w:trHeight w:val="242"/>
        </w:trPr>
        <w:tc>
          <w:tcPr>
            <w:tcW w:w="836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WASTE MANAGEMENT, INC.</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r>
    </w:tbl>
    <w:p>
      <w:pPr>
        <w:spacing w:after="0" w:line="20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4.100% SENIOR NOTES DUE 2045</w:t>
      </w:r>
    </w:p>
    <w:p>
      <w:pPr>
        <w:spacing w:after="0" w:line="225"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6"/>
          <w:szCs w:val="16"/>
          <w:color w:val="auto"/>
        </w:rPr>
        <w:t>CUSIP 94106LBC2</w:t>
      </w:r>
    </w:p>
    <w:p>
      <w:pPr>
        <w:spacing w:after="0" w:line="194" w:lineRule="exact"/>
        <w:rPr>
          <w:sz w:val="20"/>
          <w:szCs w:val="20"/>
          <w:color w:val="auto"/>
        </w:rPr>
      </w:pPr>
    </w:p>
    <w:p>
      <w:pPr>
        <w:jc w:val="both"/>
        <w:ind w:right="20" w:firstLine="456"/>
        <w:spacing w:after="0" w:line="257"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spacing w:after="0" w:line="1" w:lineRule="exact"/>
        <w:rPr>
          <w:sz w:val="20"/>
          <w:szCs w:val="20"/>
          <w:color w:val="auto"/>
        </w:rPr>
      </w:pPr>
    </w:p>
    <w:p>
      <w:pPr>
        <w:ind w:right="40" w:firstLine="1800"/>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March 1, 2045 in such coin or currency of the United States of America as at the time of payment shall be legal tender for the payment of public and private debts, and to pay interest at an annual rate of 4.100% payable on March 1 and September 1 of each year, to the person in whose name this Security is registered at the close of business on the record date for such interest, which shall be the preceding February 15 or August 15, respectively, payable commencing September 1, 2015, with interest consisting of interest accrued from February 26, 2015.</w:t>
      </w:r>
    </w:p>
    <w:p>
      <w:pPr>
        <w:sectPr>
          <w:pgSz w:w="11900" w:h="16838" w:orient="portrait"/>
          <w:cols w:equalWidth="0" w:num="1">
            <w:col w:w="11420"/>
          </w:cols>
          <w:pgMar w:left="240" w:top="274" w:right="239" w:bottom="1440" w:gutter="0" w:footer="0" w:header="0"/>
        </w:sectPr>
      </w:pPr>
    </w:p>
    <w:bookmarkStart w:id="90" w:name="page91"/>
    <w:bookmarkEnd w:id="90"/>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$750,000,000 in principal amount designated as the 4.100% Senior Notes due 2045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3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74" w:right="259" w:bottom="1440" w:gutter="0" w:footer="0" w:header="0"/>
        </w:sectPr>
      </w:pPr>
    </w:p>
    <w:bookmarkStart w:id="91" w:name="page92"/>
    <w:bookmarkEnd w:id="91"/>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2015</w:t>
            </w: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28"/>
        </w:trPr>
        <w:tc>
          <w:tcPr>
            <w:tcW w:w="4440" w:type="dxa"/>
            <w:vAlign w:val="bottom"/>
          </w:tcPr>
          <w:p>
            <w:pPr>
              <w:spacing w:after="0"/>
              <w:rPr>
                <w:sz w:val="19"/>
                <w:szCs w:val="19"/>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7"/>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Devina A. Rankin</w:t>
            </w:r>
          </w:p>
        </w:tc>
      </w:tr>
      <w:tr>
        <w:trPr>
          <w:trHeight w:val="228"/>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46"/>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Attest:</w:t>
            </w:r>
          </w:p>
        </w:tc>
      </w:tr>
      <w:tr>
        <w:trPr>
          <w:trHeight w:val="433"/>
        </w:trPr>
        <w:tc>
          <w:tcPr>
            <w:tcW w:w="4440" w:type="dxa"/>
            <w:vAlign w:val="bottom"/>
          </w:tcPr>
          <w:p>
            <w:pPr>
              <w:spacing w:after="0"/>
              <w:rPr>
                <w:sz w:val="24"/>
                <w:szCs w:val="24"/>
                <w:color w:val="auto"/>
              </w:rPr>
            </w:pPr>
          </w:p>
        </w:tc>
        <w:tc>
          <w:tcPr>
            <w:tcW w:w="69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Courtney A. Tippy</w:t>
            </w:r>
          </w:p>
        </w:tc>
      </w:tr>
      <w:tr>
        <w:trPr>
          <w:trHeight w:val="228"/>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39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84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of Authentication: February 26, 2015</w:t>
      </w:r>
      <w:r>
        <w:rPr>
          <w:sz w:val="20"/>
          <w:szCs w:val="20"/>
          <w:color w:val="auto"/>
        </w:rPr>
        <w:tab/>
      </w:r>
      <w:r>
        <w:rPr>
          <w:rFonts w:ascii="Times New Roman" w:cs="Times New Roman" w:eastAsia="Times New Roman" w:hAnsi="Times New Roman"/>
          <w:sz w:val="16"/>
          <w:szCs w:val="16"/>
          <w:color w:val="auto"/>
        </w:rPr>
        <w:t>The Bank of New York Mellon Trust Company N.A., as Trustee</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Lawrence M. Kusch</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274" w:right="2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4.100% SENIOR NOTES DUE 2045</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4.100% Senior Notes due 2045 of the Company, in initial aggregate principal amount of $750,000,000 (the “Securities”).</w:t>
      </w:r>
    </w:p>
    <w:p>
      <w:pPr>
        <w:spacing w:after="0" w:line="261" w:lineRule="exact"/>
        <w:rPr>
          <w:sz w:val="20"/>
          <w:szCs w:val="20"/>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4.100% per annum.</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March 1 and September 1 of each year (each an “Interest Payment Date”), commencing September 1, 2015. Interest on the Securities will accrue from the most recent date to which interest has been paid or, if no interest has been paid on the Securities, from February 26, 2015.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4.100% per annum, in each case to the extent lawful.</w:t>
      </w:r>
    </w:p>
    <w:p>
      <w:pPr>
        <w:spacing w:after="0" w:line="258" w:lineRule="exact"/>
        <w:rPr>
          <w:sz w:val="20"/>
          <w:szCs w:val="20"/>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74" w:right="239" w:bottom="1440" w:gutter="0" w:footer="0" w:header="0"/>
        </w:sectPr>
      </w:pPr>
    </w:p>
    <w:bookmarkStart w:id="93" w:name="page94"/>
    <w:bookmarkEnd w:id="93"/>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58" w:lineRule="exact"/>
        <w:rPr>
          <w:sz w:val="20"/>
          <w:szCs w:val="20"/>
          <w:color w:val="auto"/>
        </w:rPr>
      </w:pPr>
    </w:p>
    <w:p>
      <w:pPr>
        <w:ind w:left="900" w:hanging="4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52" w:lineRule="exact"/>
        <w:rPr>
          <w:sz w:val="20"/>
          <w:szCs w:val="20"/>
          <w:color w:val="auto"/>
        </w:rPr>
      </w:pPr>
    </w:p>
    <w:p>
      <w:pPr>
        <w:ind w:left="900" w:hanging="446"/>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February 5, 2015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261" w:lineRule="exact"/>
        <w:rPr>
          <w:sz w:val="20"/>
          <w:szCs w:val="20"/>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80"/>
          </w:cols>
          <w:pgMar w:left="240" w:top="274" w:right="279" w:bottom="1440" w:gutter="0" w:footer="0" w:header="0"/>
        </w:sectPr>
      </w:pPr>
    </w:p>
    <w:bookmarkStart w:id="94" w:name="page95"/>
    <w:bookmarkEnd w:id="94"/>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171"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36"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“Independent Investment Banker” means any of Credit Suisse Securities (USA) LLC, Deutsche Bank Securities Inc., Goldman, Sachs &amp; Co. and J.P. Morgan Securities LLC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 Call Date” means September 1, 2044.</w:t>
      </w:r>
    </w:p>
    <w:p>
      <w:pPr>
        <w:sectPr>
          <w:pgSz w:w="11900" w:h="16838" w:orient="portrait"/>
          <w:cols w:equalWidth="0" w:num="1">
            <w:col w:w="11380"/>
          </w:cols>
          <w:pgMar w:left="240" w:top="274" w:right="279" w:bottom="1440" w:gutter="0" w:footer="0" w:header="0"/>
        </w:sectPr>
      </w:pPr>
    </w:p>
    <w:bookmarkStart w:id="95" w:name="page96"/>
    <w:bookmarkEnd w:id="95"/>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 fund.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91" w:lineRule="exact"/>
        <w:rPr>
          <w:sz w:val="20"/>
          <w:szCs w:val="20"/>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420"/>
          </w:cols>
          <w:pgMar w:left="240" w:top="274" w:right="239"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Change of Control Payment Date, the Company shall, to the extent lawful:</w:t>
      </w:r>
    </w:p>
    <w:p>
      <w:pPr>
        <w:spacing w:after="0" w:line="90" w:lineRule="exact"/>
        <w:rPr>
          <w:sz w:val="20"/>
          <w:szCs w:val="20"/>
          <w:color w:val="auto"/>
        </w:rPr>
      </w:pPr>
    </w:p>
    <w:p>
      <w:pPr>
        <w:ind w:left="900" w:hanging="446"/>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90"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38"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400"/>
          </w:cols>
          <w:pgMar w:left="240" w:top="274" w:right="259" w:bottom="1440" w:gutter="0" w:footer="0" w:header="0"/>
        </w:sectPr>
      </w:pPr>
    </w:p>
    <w:bookmarkStart w:id="97" w:name="page98"/>
    <w:bookmarkEnd w:id="97"/>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32" w:lineRule="exact"/>
        <w:rPr>
          <w:sz w:val="20"/>
          <w:szCs w:val="20"/>
          <w:color w:val="auto"/>
        </w:rPr>
      </w:pPr>
    </w:p>
    <w:p>
      <w:pPr>
        <w:ind w:right="420" w:firstLine="456"/>
        <w:spacing w:after="0" w:line="287" w:lineRule="auto"/>
        <w:rPr>
          <w:sz w:val="20"/>
          <w:szCs w:val="20"/>
          <w:color w:val="auto"/>
        </w:rPr>
      </w:pPr>
      <w:r>
        <w:rPr>
          <w:rFonts w:ascii="Times New Roman" w:cs="Times New Roman" w:eastAsia="Times New Roman" w:hAnsi="Times New Roman"/>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171"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00"/>
          </w:cols>
          <w:pgMar w:left="240" w:top="274" w:right="259"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“S&amp;P” means Standard &amp; Poor’s Ratings Services, a division of The McGraw-Hill Companies, Inc., and its successors.</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39" w:lineRule="exact"/>
        <w:rPr>
          <w:sz w:val="20"/>
          <w:szCs w:val="20"/>
          <w:color w:val="auto"/>
        </w:rPr>
      </w:pPr>
    </w:p>
    <w:p>
      <w:pPr>
        <w:ind w:left="900" w:hanging="446"/>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9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17" w:lineRule="exact"/>
        <w:rPr>
          <w:sz w:val="20"/>
          <w:szCs w:val="20"/>
          <w:color w:val="auto"/>
        </w:rPr>
      </w:pPr>
    </w:p>
    <w:p>
      <w:pPr>
        <w:ind w:left="900" w:hanging="446"/>
        <w:spacing w:after="0"/>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91" w:lineRule="exact"/>
        <w:rPr>
          <w:sz w:val="20"/>
          <w:szCs w:val="20"/>
          <w:color w:val="auto"/>
        </w:rPr>
      </w:pPr>
    </w:p>
    <w:p>
      <w:pPr>
        <w:ind w:left="900" w:hanging="446"/>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30" w:lineRule="exact"/>
        <w:rPr>
          <w:sz w:val="20"/>
          <w:szCs w:val="20"/>
          <w:color w:val="auto"/>
        </w:rPr>
      </w:pPr>
    </w:p>
    <w:p>
      <w:pPr>
        <w:ind w:left="900" w:hanging="446"/>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w:t>
      </w:r>
    </w:p>
    <w:p>
      <w:pPr>
        <w:sectPr>
          <w:pgSz w:w="11900" w:h="16838" w:orient="portrait"/>
          <w:cols w:equalWidth="0" w:num="1">
            <w:col w:w="11420"/>
          </w:cols>
          <w:pgMar w:left="240" w:top="274" w:right="239" w:bottom="1440" w:gutter="0" w:footer="0" w:header="0"/>
        </w:sectPr>
      </w:pPr>
    </w:p>
    <w:bookmarkStart w:id="99" w:name="page100"/>
    <w:bookmarkEnd w:id="99"/>
    <w:p>
      <w:pPr>
        <w:ind w:right="8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left="300" w:hanging="292"/>
        <w:spacing w:after="0"/>
        <w:tabs>
          <w:tab w:leader="none" w:pos="3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sums paid or advanced by the Trustee and the reasonable compensation, expenses, disbursements and advances of the Trustee, its agents and counsel and</w:t>
      </w:r>
    </w:p>
    <w:p>
      <w:pPr>
        <w:spacing w:after="0" w:line="32" w:lineRule="exact"/>
        <w:rPr>
          <w:rFonts w:ascii="Times New Roman" w:cs="Times New Roman" w:eastAsia="Times New Roman" w:hAnsi="Times New Roman"/>
          <w:sz w:val="16"/>
          <w:szCs w:val="16"/>
          <w:color w:val="auto"/>
        </w:rPr>
      </w:pPr>
    </w:p>
    <w:p>
      <w:pPr>
        <w:ind w:right="2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59" w:lineRule="exact"/>
        <w:rPr>
          <w:sz w:val="20"/>
          <w:szCs w:val="20"/>
          <w:color w:val="auto"/>
        </w:rPr>
      </w:pPr>
    </w:p>
    <w:p>
      <w:pPr>
        <w:ind w:left="900" w:hanging="446"/>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92"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94" w:lineRule="exact"/>
        <w:rPr>
          <w:sz w:val="20"/>
          <w:szCs w:val="20"/>
          <w:color w:val="auto"/>
        </w:rPr>
      </w:pPr>
    </w:p>
    <w:p>
      <w:pPr>
        <w:ind w:left="900" w:hanging="446"/>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91" w:lineRule="exact"/>
        <w:rPr>
          <w:sz w:val="20"/>
          <w:szCs w:val="20"/>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92"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94" w:lineRule="exact"/>
        <w:rPr>
          <w:sz w:val="20"/>
          <w:szCs w:val="20"/>
          <w:color w:val="auto"/>
        </w:rPr>
      </w:pPr>
    </w:p>
    <w:p>
      <w:pPr>
        <w:ind w:left="900" w:hanging="446"/>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52" w:lineRule="exact"/>
        <w:rPr>
          <w:sz w:val="20"/>
          <w:szCs w:val="20"/>
          <w:color w:val="auto"/>
        </w:rPr>
      </w:pPr>
    </w:p>
    <w:p>
      <w:pPr>
        <w:ind w:left="900" w:hanging="446"/>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74" w:right="279" w:bottom="1440" w:gutter="0" w:footer="0" w:header="0"/>
        </w:sectPr>
      </w:pPr>
    </w:p>
    <w:bookmarkStart w:id="100" w:name="page101"/>
    <w:bookmarkEnd w:id="100"/>
    <w:p>
      <w:pPr>
        <w:ind w:left="900" w:hanging="446"/>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58" w:lineRule="exact"/>
        <w:rPr>
          <w:sz w:val="20"/>
          <w:szCs w:val="20"/>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91" w:lineRule="exact"/>
        <w:rPr>
          <w:sz w:val="20"/>
          <w:szCs w:val="20"/>
          <w:color w:val="auto"/>
        </w:rPr>
      </w:pPr>
    </w:p>
    <w:p>
      <w:pPr>
        <w:ind w:left="900" w:hanging="446"/>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92"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The Securities will be fully and unconditionally guaranteed on a senior basis by the Company’s wholly owned subsidiary, Waste Management Holdings, Inc., pursuant to the terms and conditions of a Guarantee Agreement dated February 26, 2015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72" w:right="239" w:bottom="1440" w:gutter="0" w:footer="0" w:header="0"/>
        </w:sectPr>
      </w:pPr>
    </w:p>
    <w:bookmarkStart w:id="101" w:name="page102"/>
    <w:bookmarkEnd w:id="101"/>
    <w:p>
      <w:pPr>
        <w:ind w:right="3000" w:firstLine="3009"/>
        <w:spacing w:after="0" w:line="51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19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of increase</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decrease in</w:t>
            </w:r>
          </w:p>
        </w:tc>
        <w:tc>
          <w:tcPr>
            <w:tcW w:w="19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Principal</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this Book-Entry</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Principal Amount</w:t>
            </w:r>
          </w:p>
        </w:tc>
        <w:tc>
          <w:tcPr>
            <w:tcW w:w="198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this</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Security following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authorized officer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460" w:type="dxa"/>
            <w:vAlign w:val="bottom"/>
          </w:tcPr>
          <w:p>
            <w:pPr>
              <w:spacing w:after="0"/>
              <w:rPr>
                <w:sz w:val="12"/>
                <w:szCs w:val="12"/>
                <w:color w:val="auto"/>
              </w:rPr>
            </w:pP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this Book-Entry</w:t>
            </w:r>
          </w:p>
        </w:tc>
        <w:tc>
          <w:tcPr>
            <w:tcW w:w="19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Book-Entry</w:t>
            </w:r>
          </w:p>
        </w:tc>
        <w:tc>
          <w:tcPr>
            <w:tcW w:w="19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such decrease (or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Trustee or</w:t>
            </w:r>
          </w:p>
        </w:tc>
        <w:tc>
          <w:tcPr>
            <w:tcW w:w="0" w:type="dxa"/>
            <w:vAlign w:val="bottom"/>
          </w:tcPr>
          <w:p>
            <w:pPr>
              <w:spacing w:after="0"/>
              <w:rPr>
                <w:sz w:val="1"/>
                <w:szCs w:val="1"/>
                <w:color w:val="auto"/>
              </w:rPr>
            </w:pPr>
          </w:p>
        </w:tc>
      </w:tr>
      <w:tr>
        <w:trPr>
          <w:trHeight w:val="159"/>
        </w:trPr>
        <w:tc>
          <w:tcPr>
            <w:tcW w:w="108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gridSpan w:val="2"/>
          </w:tcPr>
          <w:p>
            <w:pPr>
              <w:jc w:val="center"/>
              <w:ind w:right="8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1980" w:type="dxa"/>
            <w:vAlign w:val="bottom"/>
            <w:gridSpan w:val="2"/>
          </w:tcPr>
          <w:p>
            <w:pPr>
              <w:jc w:val="center"/>
              <w:ind w:right="8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1940" w:type="dxa"/>
            <w:vAlign w:val="bottom"/>
            <w:gridSpan w:val="2"/>
          </w:tcPr>
          <w:p>
            <w:pPr>
              <w:jc w:val="center"/>
              <w:ind w:right="8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11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Security Custodian</w:t>
            </w:r>
          </w:p>
        </w:tc>
        <w:tc>
          <w:tcPr>
            <w:tcW w:w="0" w:type="dxa"/>
            <w:vAlign w:val="bottom"/>
          </w:tcPr>
          <w:p>
            <w:pPr>
              <w:spacing w:after="0"/>
              <w:rPr>
                <w:sz w:val="1"/>
                <w:szCs w:val="1"/>
                <w:color w:val="auto"/>
              </w:rPr>
            </w:pPr>
          </w:p>
        </w:tc>
      </w:tr>
      <w:tr>
        <w:trPr>
          <w:trHeight w:val="135"/>
        </w:trPr>
        <w:tc>
          <w:tcPr>
            <w:tcW w:w="108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5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22, 2009, Waste Management, Inc. (the “Company”) filed with the Securities Exchange Commission (the “SEC”) an automatic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4" w:lineRule="exact"/>
        <w:rPr>
          <w:sz w:val="20"/>
          <w:szCs w:val="20"/>
          <w:color w:val="auto"/>
        </w:rPr>
      </w:pPr>
    </w:p>
    <w:p>
      <w:pPr>
        <w:ind w:right="7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rules and regulations promulgated by the SEC, the Automatic Shelf Registration Statement will expire, by its terms,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22, 2012, three years after the effective date of the Automatic Shelf Registration Statement; and</w:t>
      </w:r>
    </w:p>
    <w:p>
      <w:pPr>
        <w:spacing w:after="0" w:line="116"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time of the Board of Directors’ approval of the Automatic Shelf Registration Statement, the Board of Directors also authorized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offer and sell up to an aggregate of $3,000,000,000 of Securities (the “2009 Issuance Authorization”); and</w:t>
      </w:r>
    </w:p>
    <w:p>
      <w:pPr>
        <w:spacing w:after="0" w:line="116"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and finds it in the best interests of the Company, to file a new automatic shelf registration statement on Form S-3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facilitate any future offerings of securities by the Company or any selling security holders.</w:t>
      </w:r>
    </w:p>
    <w:p>
      <w:pPr>
        <w:spacing w:after="0" w:line="11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Company is hereby authorized to prepare and file with the SEC an automatic shelf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38" w:lineRule="exact"/>
        <w:rPr>
          <w:sz w:val="20"/>
          <w:szCs w:val="20"/>
          <w:color w:val="auto"/>
        </w:rPr>
      </w:pPr>
    </w:p>
    <w:p>
      <w:pPr>
        <w:jc w:val="both"/>
        <w:ind w:right="5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(as established pursuant to these resolutions) be, and they hereby are, authorized, in their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27"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upon the filing date of the New Registration Statement, authority to make new issuances of Securities pursuant to the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Authorization shall be deemed rescinded;</w:t>
      </w:r>
    </w:p>
    <w:p>
      <w:pPr>
        <w:spacing w:after="0" w:line="11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the authorized employees (as established pursuant to these resolutions) be, and each of them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39"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General Counsel of the Company be, and he hereby is, designated and appointed the agent for service of process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70" w:right="259" w:bottom="1440" w:gutter="0" w:footer="0" w:header="0"/>
        </w:sectPr>
      </w:pPr>
    </w:p>
    <w:bookmarkStart w:id="103" w:name="page104"/>
    <w:bookmarkEnd w:id="103"/>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Times New Roman" w:cs="Times New Roman" w:eastAsia="Times New Roman" w:hAnsi="Times New Roman"/>
          <w:sz w:val="18"/>
          <w:szCs w:val="18"/>
          <w:color w:val="auto"/>
        </w:rPr>
        <w:t>, that the proper officers and authorized employees be and hereby are authorized and directed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3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appropriate qualification or registration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3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or authorized employees be, and each of them hereby is, authorized to approve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3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be, and each of them hereby is, authorized, at any time and from time to time,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35"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may, at any time and from time to time, on behalf of the Company, authorize the issuance of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4"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any such series of Securities (but without limiting the authority hereinafter in these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34"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the issuance of Securities of any series which may not be originally issued at one time (except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ectPr>
          <w:pgSz w:w="11900" w:h="16838" w:orient="portrait"/>
          <w:cols w:equalWidth="0" w:num="1">
            <w:col w:w="11420"/>
          </w:cols>
          <w:pgMar w:left="240" w:top="272" w:right="239" w:bottom="1440" w:gutter="0" w:footer="0" w:header="0"/>
        </w:sectPr>
      </w:pPr>
    </w:p>
    <w:bookmarkStart w:id="104" w:name="page105"/>
    <w:bookmarkEnd w:id="104"/>
    <w:p>
      <w:pPr>
        <w:ind w:right="4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Times New Roman" w:cs="Times New Roman" w:eastAsia="Times New Roman" w:hAnsi="Times New Roman"/>
          <w:sz w:val="16"/>
          <w:szCs w:val="16"/>
          <w:color w:val="auto"/>
        </w:rPr>
        <w:t>, that, in connection with any such series of Securities, any of the proper officers is authorized to approve any amendment,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subject to and in accordance with the Company’s indentures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3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41"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in the name and on behalf of the Company,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34"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officers and authorized employees of the Company be, and each of them hereby is, authorized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2" w:right="239" w:bottom="1440" w:gutter="0" w:footer="0" w:header="0"/>
        </w:sectPr>
      </w:pPr>
    </w:p>
    <w:bookmarkStart w:id="105" w:name="page106"/>
    <w:bookmarkEnd w:id="105"/>
    <w:p>
      <w:pPr>
        <w:ind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Times New Roman" w:cs="Times New Roman" w:eastAsia="Times New Roman" w:hAnsi="Times New Roman"/>
          <w:sz w:val="16"/>
          <w:szCs w:val="16"/>
          <w:color w:val="auto"/>
        </w:rPr>
        <w:t>, that for purposes of these resolutions, the term “proper officer” shall mean any or all of the Chief Executive Officer, the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93" w:lineRule="exact"/>
        <w:rPr>
          <w:sz w:val="20"/>
          <w:szCs w:val="20"/>
          <w:color w:val="auto"/>
        </w:rPr>
      </w:pPr>
    </w:p>
    <w:p>
      <w:pPr>
        <w:jc w:val="both"/>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foregoing resolutions be and hereby is approved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33" w:lineRule="exact"/>
        <w:rPr>
          <w:sz w:val="20"/>
          <w:szCs w:val="20"/>
          <w:color w:val="auto"/>
        </w:rPr>
      </w:pPr>
    </w:p>
    <w:p>
      <w:pPr>
        <w:ind w:right="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RESOLVED FURTHER</w:t>
      </w:r>
      <w:r>
        <w:rPr>
          <w:rFonts w:ascii="Times New Roman" w:cs="Times New Roman" w:eastAsia="Times New Roman" w:hAnsi="Times New Roman"/>
          <w:sz w:val="16"/>
          <w:szCs w:val="16"/>
          <w:color w:val="auto"/>
        </w:rPr>
        <w:t>, that any officer of the Company is hereby authorized and directed to make, provide, execute, and deliver any and all statements,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2" w:right="2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1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GUARANTEE</w:t>
      </w:r>
    </w:p>
    <w:p>
      <w:pPr>
        <w:spacing w:after="0" w:line="17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17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Favor of The Bank of New York Mellon Trust Company, N.A., as Trustee for the Holders</w:t>
      </w:r>
    </w:p>
    <w:p>
      <w:pPr>
        <w:spacing w:after="0" w:line="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15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$600,000,000</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3.125% Senior Notes due 2025</w:t>
      </w:r>
    </w:p>
    <w:p>
      <w:pPr>
        <w:spacing w:after="0" w:line="15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February 26, 2015</w:t>
      </w:r>
    </w:p>
    <w:p>
      <w:pPr>
        <w:sectPr>
          <w:pgSz w:w="11900" w:h="16838" w:orient="portrait"/>
          <w:cols w:equalWidth="0" w:num="1">
            <w:col w:w="10220"/>
          </w:cols>
          <w:pgMar w:left="1440" w:top="123" w:right="239" w:bottom="1440" w:gutter="0" w:footer="0" w:header="0"/>
        </w:sectPr>
      </w:pPr>
    </w:p>
    <w:bookmarkStart w:id="107" w:name="page108"/>
    <w:bookmarkEnd w:id="107"/>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February 26, 2015 (as amended from time to time, this “Guarantee”), made by Waste Management Holdings, Inc. (formerly known as Waste Management, Inc.), a Delaware corporation (the “Guarantor”), in favor of The Bank of New York Mellon Trust Company, N.A., as trustee for the holders of the $600 million aggregate principal amount of 3.125% Senior Notes due 2025 (the “Debt Securities”) of Waste Management, Inc. (formerly known as USA Waste Services, Inc.), a Delaware corporation (the “Issuer”).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171" w:lineRule="exact"/>
        <w:rPr>
          <w:sz w:val="20"/>
          <w:szCs w:val="20"/>
          <w:color w:val="auto"/>
        </w:rPr>
      </w:pPr>
    </w:p>
    <w:p>
      <w:pPr>
        <w:ind w:right="20" w:firstLine="921"/>
        <w:spacing w:after="0" w:line="296" w:lineRule="auto"/>
        <w:tabs>
          <w:tab w:leader="none" w:pos="115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07" w:lineRule="exact"/>
        <w:rPr>
          <w:rFonts w:ascii="Times New Roman" w:cs="Times New Roman" w:eastAsia="Times New Roman" w:hAnsi="Times New Roman"/>
          <w:sz w:val="16"/>
          <w:szCs w:val="16"/>
          <w:color w:val="auto"/>
        </w:rPr>
      </w:pPr>
    </w:p>
    <w:p>
      <w:pPr>
        <w:ind w:right="160" w:firstLine="921"/>
        <w:spacing w:after="0" w:line="255" w:lineRule="auto"/>
        <w:tabs>
          <w:tab w:leader="none" w:pos="116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51" w:lineRule="exact"/>
        <w:rPr>
          <w:sz w:val="20"/>
          <w:szCs w:val="20"/>
          <w:color w:val="auto"/>
        </w:rPr>
      </w:pPr>
    </w:p>
    <w:p>
      <w:pPr>
        <w:ind w:left="1120" w:hanging="217"/>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90"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20"/>
          </w:cols>
          <w:pgMar w:left="240" w:top="274" w:right="239" w:bottom="1440" w:gutter="0" w:footer="0" w:header="0"/>
        </w:sectPr>
      </w:pPr>
    </w:p>
    <w:bookmarkStart w:id="108" w:name="page109"/>
    <w:bookmarkEnd w:id="108"/>
    <w:p>
      <w:pPr>
        <w:ind w:left="460" w:right="400" w:firstLine="443"/>
        <w:spacing w:after="0" w:line="275" w:lineRule="auto"/>
        <w:tabs>
          <w:tab w:leader="none" w:pos="120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38"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171" w:lineRule="exact"/>
        <w:rPr>
          <w:sz w:val="20"/>
          <w:szCs w:val="20"/>
          <w:color w:val="auto"/>
        </w:rPr>
      </w:pPr>
    </w:p>
    <w:p>
      <w:pPr>
        <w:jc w:val="both"/>
        <w:ind w:firstLine="921"/>
        <w:spacing w:after="0" w:line="262" w:lineRule="auto"/>
        <w:tabs>
          <w:tab w:leader="none" w:pos="11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32" w:lineRule="exact"/>
        <w:rPr>
          <w:rFonts w:ascii="Times New Roman" w:cs="Times New Roman" w:eastAsia="Times New Roman" w:hAnsi="Times New Roman"/>
          <w:sz w:val="18"/>
          <w:szCs w:val="18"/>
          <w:color w:val="auto"/>
        </w:rPr>
      </w:pPr>
    </w:p>
    <w:p>
      <w:pPr>
        <w:ind w:right="180" w:firstLine="921"/>
        <w:spacing w:after="0" w:line="262" w:lineRule="auto"/>
        <w:tabs>
          <w:tab w:leader="none" w:pos="116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360"/>
          </w:cols>
          <w:pgMar w:left="240" w:top="274" w:right="299" w:bottom="1440" w:gutter="0" w:footer="0" w:header="0"/>
        </w:sectPr>
      </w:pPr>
    </w:p>
    <w:bookmarkStart w:id="109" w:name="page110"/>
    <w:bookmarkEnd w:id="109"/>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3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80"/>
          </w:cols>
          <w:pgMar w:left="240" w:top="274" w:right="279" w:bottom="1440" w:gutter="0" w:footer="0" w:header="0"/>
        </w:sectPr>
      </w:pPr>
    </w:p>
    <w:bookmarkStart w:id="110" w:name="page111"/>
    <w:bookmarkEnd w:id="110"/>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Ed Egl</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ectPr>
          <w:pgSz w:w="11900" w:h="16838" w:orient="portrait"/>
          <w:cols w:equalWidth="0" w:num="1">
            <w:col w:w="11080"/>
          </w:cols>
          <w:pgMar w:left="240" w:top="274" w:right="57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1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GUARANTEE</w:t>
      </w:r>
    </w:p>
    <w:p>
      <w:pPr>
        <w:spacing w:after="0" w:line="17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17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Favor of The Bank of New York Mellon Trust Company, N.A., as Trustee for the Holders</w:t>
      </w:r>
    </w:p>
    <w:p>
      <w:pPr>
        <w:spacing w:after="0" w:line="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15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$450,000,000</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3.900% Senior Notes due 2035</w:t>
      </w:r>
    </w:p>
    <w:p>
      <w:pPr>
        <w:spacing w:after="0" w:line="15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February 26, 2015</w:t>
      </w:r>
    </w:p>
    <w:p>
      <w:pPr>
        <w:sectPr>
          <w:pgSz w:w="11900" w:h="16838" w:orient="portrait"/>
          <w:cols w:equalWidth="0" w:num="1">
            <w:col w:w="10220"/>
          </w:cols>
          <w:pgMar w:left="1440" w:top="123" w:right="239" w:bottom="1440" w:gutter="0" w:footer="0" w:header="0"/>
        </w:sectPr>
      </w:pPr>
    </w:p>
    <w:bookmarkStart w:id="112" w:name="page113"/>
    <w:bookmarkEnd w:id="112"/>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February 26, 2015 (as amended from time to time, this “Guarantee”), made by Waste Management Holdings, Inc. (formerly known as Waste Management, Inc.), a Delaware corporation (the “Guarantor”), in favor of The Bank of New York Mellon Trust Company, N.A., as trustee for the holders of the $450 million aggregate principal amount of 3.900% Senior Notes due 2035 (the “Debt Securities”) of Waste Management, Inc. (formerly known as USA Waste Services, Inc.), a Delaware corporation (the “Issuer”).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171" w:lineRule="exact"/>
        <w:rPr>
          <w:sz w:val="20"/>
          <w:szCs w:val="20"/>
          <w:color w:val="auto"/>
        </w:rPr>
      </w:pPr>
    </w:p>
    <w:p>
      <w:pPr>
        <w:ind w:right="20" w:firstLine="921"/>
        <w:spacing w:after="0" w:line="296" w:lineRule="auto"/>
        <w:tabs>
          <w:tab w:leader="none" w:pos="115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07" w:lineRule="exact"/>
        <w:rPr>
          <w:rFonts w:ascii="Times New Roman" w:cs="Times New Roman" w:eastAsia="Times New Roman" w:hAnsi="Times New Roman"/>
          <w:sz w:val="16"/>
          <w:szCs w:val="16"/>
          <w:color w:val="auto"/>
        </w:rPr>
      </w:pPr>
    </w:p>
    <w:p>
      <w:pPr>
        <w:ind w:right="160" w:firstLine="921"/>
        <w:spacing w:after="0" w:line="255" w:lineRule="auto"/>
        <w:tabs>
          <w:tab w:leader="none" w:pos="116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51" w:lineRule="exact"/>
        <w:rPr>
          <w:sz w:val="20"/>
          <w:szCs w:val="20"/>
          <w:color w:val="auto"/>
        </w:rPr>
      </w:pPr>
    </w:p>
    <w:p>
      <w:pPr>
        <w:ind w:left="1120" w:hanging="217"/>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90"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5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20"/>
          </w:cols>
          <w:pgMar w:left="240" w:top="274" w:right="239" w:bottom="1440" w:gutter="0" w:footer="0" w:header="0"/>
        </w:sectPr>
      </w:pPr>
    </w:p>
    <w:bookmarkStart w:id="113" w:name="page114"/>
    <w:bookmarkEnd w:id="113"/>
    <w:p>
      <w:pPr>
        <w:ind w:left="460" w:right="400" w:firstLine="443"/>
        <w:spacing w:after="0" w:line="275" w:lineRule="auto"/>
        <w:tabs>
          <w:tab w:leader="none" w:pos="12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38"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171" w:lineRule="exact"/>
        <w:rPr>
          <w:sz w:val="20"/>
          <w:szCs w:val="20"/>
          <w:color w:val="auto"/>
        </w:rPr>
      </w:pPr>
    </w:p>
    <w:p>
      <w:pPr>
        <w:jc w:val="both"/>
        <w:ind w:firstLine="921"/>
        <w:spacing w:after="0" w:line="262" w:lineRule="auto"/>
        <w:tabs>
          <w:tab w:leader="none" w:pos="115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32" w:lineRule="exact"/>
        <w:rPr>
          <w:rFonts w:ascii="Times New Roman" w:cs="Times New Roman" w:eastAsia="Times New Roman" w:hAnsi="Times New Roman"/>
          <w:sz w:val="18"/>
          <w:szCs w:val="18"/>
          <w:color w:val="auto"/>
        </w:rPr>
      </w:pPr>
    </w:p>
    <w:p>
      <w:pPr>
        <w:ind w:right="180" w:firstLine="921"/>
        <w:spacing w:after="0" w:line="262" w:lineRule="auto"/>
        <w:tabs>
          <w:tab w:leader="none" w:pos="116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360"/>
          </w:cols>
          <w:pgMar w:left="240" w:top="274" w:right="299" w:bottom="1440" w:gutter="0" w:footer="0" w:header="0"/>
        </w:sectPr>
      </w:pPr>
    </w:p>
    <w:bookmarkStart w:id="114" w:name="page115"/>
    <w:bookmarkEnd w:id="114"/>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3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80"/>
          </w:cols>
          <w:pgMar w:left="240" w:top="274" w:right="279" w:bottom="1440" w:gutter="0" w:footer="0" w:header="0"/>
        </w:sectPr>
      </w:pPr>
    </w:p>
    <w:bookmarkStart w:id="115" w:name="page116"/>
    <w:bookmarkEnd w:id="115"/>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Ed Egl</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ectPr>
          <w:pgSz w:w="11900" w:h="16838" w:orient="portrait"/>
          <w:cols w:equalWidth="0" w:num="1">
            <w:col w:w="11080"/>
          </w:cols>
          <w:pgMar w:left="240" w:top="274" w:right="5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1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GUARANTEE</w:t>
      </w:r>
    </w:p>
    <w:p>
      <w:pPr>
        <w:spacing w:after="0" w:line="17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17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Favor of The Bank of New York Mellon Trust Company, N.A., as Trustee for the Holders</w:t>
      </w:r>
    </w:p>
    <w:p>
      <w:pPr>
        <w:spacing w:after="0" w:line="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15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$750,000,000</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4.100% Senior Notes due 2045</w:t>
      </w:r>
    </w:p>
    <w:p>
      <w:pPr>
        <w:spacing w:after="0" w:line="15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February 26, 2015</w:t>
      </w:r>
    </w:p>
    <w:p>
      <w:pPr>
        <w:sectPr>
          <w:pgSz w:w="11900" w:h="16838" w:orient="portrait"/>
          <w:cols w:equalWidth="0" w:num="1">
            <w:col w:w="10220"/>
          </w:cols>
          <w:pgMar w:left="1440" w:top="123" w:right="239" w:bottom="1440" w:gutter="0" w:footer="0" w:header="0"/>
        </w:sectPr>
      </w:pPr>
    </w:p>
    <w:bookmarkStart w:id="117" w:name="page118"/>
    <w:bookmarkEnd w:id="117"/>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February 26, 2015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4.100% Senior Notes due 2045 (the “Debt Securities”) of Waste Management, Inc. (formerly known as USA Waste Services, Inc.), a Delaware corporation (the “Issuer”).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171" w:lineRule="exact"/>
        <w:rPr>
          <w:sz w:val="20"/>
          <w:szCs w:val="20"/>
          <w:color w:val="auto"/>
        </w:rPr>
      </w:pPr>
    </w:p>
    <w:p>
      <w:pPr>
        <w:ind w:right="20" w:firstLine="921"/>
        <w:spacing w:after="0" w:line="296" w:lineRule="auto"/>
        <w:tabs>
          <w:tab w:leader="none" w:pos="115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07" w:lineRule="exact"/>
        <w:rPr>
          <w:rFonts w:ascii="Times New Roman" w:cs="Times New Roman" w:eastAsia="Times New Roman" w:hAnsi="Times New Roman"/>
          <w:sz w:val="16"/>
          <w:szCs w:val="16"/>
          <w:color w:val="auto"/>
        </w:rPr>
      </w:pPr>
    </w:p>
    <w:p>
      <w:pPr>
        <w:ind w:right="160" w:firstLine="921"/>
        <w:spacing w:after="0" w:line="255" w:lineRule="auto"/>
        <w:tabs>
          <w:tab w:leader="none" w:pos="116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51" w:lineRule="exact"/>
        <w:rPr>
          <w:sz w:val="20"/>
          <w:szCs w:val="20"/>
          <w:color w:val="auto"/>
        </w:rPr>
      </w:pPr>
    </w:p>
    <w:p>
      <w:pPr>
        <w:ind w:left="1120" w:hanging="217"/>
        <w:spacing w:after="0"/>
        <w:tabs>
          <w:tab w:leader="none" w:pos="11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90"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5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20"/>
          </w:cols>
          <w:pgMar w:left="240" w:top="274" w:right="239" w:bottom="1440" w:gutter="0" w:footer="0" w:header="0"/>
        </w:sectPr>
      </w:pPr>
    </w:p>
    <w:bookmarkStart w:id="118" w:name="page119"/>
    <w:bookmarkEnd w:id="118"/>
    <w:p>
      <w:pPr>
        <w:ind w:left="460" w:right="400" w:firstLine="443"/>
        <w:spacing w:after="0" w:line="275" w:lineRule="auto"/>
        <w:tabs>
          <w:tab w:leader="none" w:pos="12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38"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171" w:lineRule="exact"/>
        <w:rPr>
          <w:sz w:val="20"/>
          <w:szCs w:val="20"/>
          <w:color w:val="auto"/>
        </w:rPr>
      </w:pPr>
    </w:p>
    <w:p>
      <w:pPr>
        <w:jc w:val="both"/>
        <w:ind w:firstLine="921"/>
        <w:spacing w:after="0" w:line="262" w:lineRule="auto"/>
        <w:tabs>
          <w:tab w:leader="none" w:pos="11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32" w:lineRule="exact"/>
        <w:rPr>
          <w:rFonts w:ascii="Times New Roman" w:cs="Times New Roman" w:eastAsia="Times New Roman" w:hAnsi="Times New Roman"/>
          <w:sz w:val="18"/>
          <w:szCs w:val="18"/>
          <w:color w:val="auto"/>
        </w:rPr>
      </w:pPr>
    </w:p>
    <w:p>
      <w:pPr>
        <w:ind w:right="180" w:firstLine="921"/>
        <w:spacing w:after="0" w:line="262" w:lineRule="auto"/>
        <w:tabs>
          <w:tab w:leader="none" w:pos="116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360"/>
          </w:cols>
          <w:pgMar w:left="240" w:top="274" w:right="299" w:bottom="1440" w:gutter="0" w:footer="0" w:header="0"/>
        </w:sectPr>
      </w:pPr>
    </w:p>
    <w:bookmarkStart w:id="119" w:name="page120"/>
    <w:bookmarkEnd w:id="119"/>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3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80"/>
          </w:cols>
          <w:pgMar w:left="240" w:top="274" w:right="279" w:bottom="1440" w:gutter="0" w:footer="0" w:header="0"/>
        </w:sectPr>
      </w:pPr>
    </w:p>
    <w:bookmarkStart w:id="120" w:name="page121"/>
    <w:bookmarkEnd w:id="120"/>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Ed Egl</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ectPr>
          <w:pgSz w:w="11900" w:h="16838" w:orient="portrait"/>
          <w:cols w:equalWidth="0" w:num="1">
            <w:col w:w="11080"/>
          </w:cols>
          <w:pgMar w:left="240" w:top="274" w:right="579" w:bottom="1440" w:gutter="0" w:footer="0" w:header="0"/>
        </w:sectPr>
      </w:pPr>
    </w:p>
    <w:bookmarkStart w:id="121" w:name="page122"/>
    <w:bookmarkEnd w:id="121"/>
    <w:tbl>
      <w:tblPr>
        <w:tblLayout w:type="fixed"/>
        <w:tblInd w:w="628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41"/>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SHELL PLAZA</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AUSTIN</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BEIJING</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BRUSSELS</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77002-4995</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DALLAS</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DUBAI</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RIO DE JANEIRO</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1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713.229.1234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HOUSTON</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WASHINGTON</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13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713.229.1522</w:t>
            </w: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5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180086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086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firstLine="456"/>
        <w:spacing w:after="0" w:line="276" w:lineRule="auto"/>
        <w:rPr>
          <w:sz w:val="20"/>
          <w:szCs w:val="20"/>
          <w:color w:val="auto"/>
        </w:rPr>
      </w:pPr>
      <w:r>
        <w:rPr>
          <w:rFonts w:ascii="Times New Roman" w:cs="Times New Roman" w:eastAsia="Times New Roman" w:hAnsi="Times New Roman"/>
          <w:sz w:val="17"/>
          <w:szCs w:val="17"/>
          <w:color w:val="auto"/>
        </w:rPr>
        <w:t>Waste Management, Inc., a Delaware corporation (the “Company”), and Waste Management Holdings, Inc., a Delaware corporation (“Holdings”), have engaged us to render the opinions expressed below in connection with the Company’s proposed issuance of $600,000,000 aggregate principal amount of its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3.125% Senior Notes due 2025, $450,000,000 aggregate principal amount of its 3.900% Senior Notes due 2035 and $750,000,000 aggregate principal amount of its 4.100% Senior Notes due 2045 (collectively, the “Notes”) and the issuance of the related guarantees of the Notes by Holdings (the “Guarantees”), as contemplated by the Registration Statement on Form S-3 (Registration No. 333-184157)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87"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September 28, 2012 and prospectus supplement dated February 18, 2015 relating to the Notes (collectively, the “Prospectus”) have been filed with the Commission pursuant to Rule 424(b) under the Act.</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February 18, 2015, with Credit Suisse Securities (USA) LLC, Deutsche Bank Securities Inc., Goldman, Sachs &amp; Co. and J.P. Morgan Securities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the current successor to Texas Commerce Bank National Association, as trustee (the “Trustee”).</w:t>
      </w:r>
    </w:p>
    <w:p>
      <w:pPr>
        <w:spacing w:after="0" w:line="18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the Amended and Restated Bylaws of Holdings, each as amended to date; (iii) the Indenture; (iv) the Officers’ Certificates delivered pursuant to Section 301 of the Indenture; (v) the Guarantees to be entered into by Holdings in favor of the holders of the Notes concurrently with the issuance of the Notes under the Indenture (the “Guarantee</w:t>
      </w:r>
    </w:p>
    <w:p>
      <w:pPr>
        <w:sectPr>
          <w:pgSz w:w="11900" w:h="16838" w:orient="portrait"/>
          <w:cols w:equalWidth="0" w:num="1">
            <w:col w:w="11420"/>
          </w:cols>
          <w:pgMar w:left="240" w:top="117"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94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9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- 2 -</w:t>
            </w:r>
          </w:p>
        </w:tc>
        <w:tc>
          <w:tcPr>
            <w:tcW w:w="332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February 24, 2015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0785"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120015"/>
                    </a:xfrm>
                    <a:prstGeom prst="rect">
                      <a:avLst/>
                    </a:prstGeom>
                    <a:noFill/>
                  </pic:spPr>
                </pic:pic>
              </a:graphicData>
            </a:graphic>
          </wp:anchor>
        </w:drawing>
      </w:r>
    </w:p>
    <w:p>
      <w:pPr>
        <w:ind w:right="300"/>
        <w:spacing w:after="0" w:line="256" w:lineRule="auto"/>
        <w:rPr>
          <w:sz w:val="20"/>
          <w:szCs w:val="20"/>
          <w:color w:val="auto"/>
        </w:rPr>
      </w:pPr>
      <w:r>
        <w:rPr>
          <w:rFonts w:ascii="Times New Roman" w:cs="Times New Roman" w:eastAsia="Times New Roman" w:hAnsi="Times New Roman"/>
          <w:sz w:val="18"/>
          <w:szCs w:val="18"/>
          <w:color w:val="auto"/>
        </w:rPr>
        <w:t>Agreements”); (vi) the Underwriting Agreement; (vii) 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8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ectPr>
          <w:pgSz w:w="11900" w:h="16838" w:orient="portrait"/>
          <w:cols w:equalWidth="0" w:num="1">
            <w:col w:w="11420"/>
          </w:cols>
          <w:pgMar w:left="240" w:top="580"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94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9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- 3 -</w:t>
            </w:r>
          </w:p>
        </w:tc>
        <w:tc>
          <w:tcPr>
            <w:tcW w:w="332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February 24, 2015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00785"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12001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KBR/JAR/MEW/DCU</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decimal"/>
      <w:start w:val="1"/>
    </w:lvl>
    <w:lvl w:ilvl="1">
      <w:lvlJc w:val="left"/>
      <w:lvlText w:val="(%2)"/>
      <w:numFmt w:val="lowerLetter"/>
      <w:start w:val="1"/>
    </w:lvl>
  </w:abstractNum>
  <w:abstractNum w:abstractNumId="2">
    <w:nsid w:val="1381823A"/>
    <w:multiLevelType w:val="hybridMultilevel"/>
    <w:lvl w:ilvl="0">
      <w:lvlJc w:val="left"/>
      <w:lvlText w:val="(%1)"/>
      <w:numFmt w:val="lowerLetter"/>
      <w:start w:val="3"/>
    </w:lvl>
  </w:abstractNum>
  <w:abstractNum w:abstractNumId="3">
    <w:nsid w:val="5DB70AE5"/>
    <w:multiLevelType w:val="hybridMultilevel"/>
    <w:lvl w:ilvl="0">
      <w:lvlJc w:val="left"/>
      <w:lvlText w:val="(%1)"/>
      <w:numFmt w:val="lowerLetter"/>
      <w:start w:val="5"/>
    </w:lvl>
  </w:abstractNum>
  <w:abstractNum w:abstractNumId="4">
    <w:nsid w:val="100F8FCA"/>
    <w:multiLevelType w:val="hybridMultilevel"/>
    <w:lvl w:ilvl="0">
      <w:lvlJc w:val="left"/>
      <w:lvlText w:val="(%1)"/>
      <w:numFmt w:val="lowerLetter"/>
      <w:start w:val="8"/>
    </w:lvl>
  </w:abstractNum>
  <w:abstractNum w:abstractNumId="5">
    <w:nsid w:val="6590700B"/>
    <w:multiLevelType w:val="hybridMultilevel"/>
    <w:lvl w:ilvl="0">
      <w:lvlJc w:val="left"/>
      <w:lvlText w:val="(%1)"/>
      <w:numFmt w:val="lowerLetter"/>
      <w:start w:val="13"/>
    </w:lvl>
  </w:abstractNum>
  <w:abstractNum w:abstractNumId="6">
    <w:nsid w:val="15014ACB"/>
    <w:multiLevelType w:val="hybridMultilevel"/>
    <w:lvl w:ilvl="0">
      <w:lvlJc w:val="left"/>
      <w:lvlText w:val="(%1)"/>
      <w:numFmt w:val="lowerLetter"/>
      <w:start w:val="16"/>
    </w:lvl>
  </w:abstractNum>
  <w:abstractNum w:abstractNumId="7">
    <w:nsid w:val="5F5E7FD0"/>
    <w:multiLevelType w:val="hybridMultilevel"/>
    <w:lvl w:ilvl="0">
      <w:lvlJc w:val="left"/>
      <w:lvlText w:val="(%1)"/>
      <w:numFmt w:val="lowerLetter"/>
      <w:start w:val="22"/>
    </w:lvl>
  </w:abstractNum>
  <w:abstractNum w:abstractNumId="8">
    <w:nsid w:val="98A3148"/>
    <w:multiLevelType w:val="hybridMultilevel"/>
    <w:lvl w:ilvl="0">
      <w:lvlJc w:val="left"/>
      <w:lvlText w:val="(%1)"/>
      <w:numFmt w:val="lowerLetter"/>
      <w:start w:val="26"/>
    </w:lvl>
  </w:abstractNum>
  <w:abstractNum w:abstractNumId="9">
    <w:nsid w:val="799D0247"/>
    <w:multiLevelType w:val="hybridMultilevel"/>
    <w:lvl w:ilvl="0">
      <w:lvlJc w:val="left"/>
      <w:lvlText w:val="%1"/>
      <w:numFmt w:val="lowerLetter"/>
      <w:start w:val="1"/>
    </w:lvl>
    <w:lvl w:ilvl="1">
      <w:lvlJc w:val="left"/>
      <w:lvlText w:val="(%2)"/>
      <w:numFmt w:val="lowerLetter"/>
      <w:start w:val="27"/>
    </w:lvl>
  </w:abstractNum>
  <w:abstractNum w:abstractNumId="10">
    <w:nsid w:val="6B94764"/>
    <w:multiLevelType w:val="hybridMultilevel"/>
    <w:lvl w:ilvl="0">
      <w:lvlJc w:val="left"/>
      <w:lvlText w:val="(%1)"/>
      <w:numFmt w:val="lowerLetter"/>
      <w:start w:val="35"/>
    </w:lvl>
    <w:lvl w:ilvl="1">
      <w:lvlJc w:val="left"/>
      <w:lvlText w:val="(%2)"/>
      <w:numFmt w:val="lowerLetter"/>
      <w:start w:val="28"/>
    </w:lvl>
  </w:abstractNum>
  <w:abstractNum w:abstractNumId="11">
    <w:nsid w:val="42C296BD"/>
    <w:multiLevelType w:val="hybridMultilevel"/>
    <w:lvl w:ilvl="0">
      <w:lvlJc w:val="left"/>
      <w:lvlText w:val="%1"/>
      <w:numFmt w:val="lowerLetter"/>
      <w:start w:val="1"/>
    </w:lvl>
    <w:lvl w:ilvl="1">
      <w:lvlJc w:val="left"/>
      <w:lvlText w:val="(%2)"/>
      <w:numFmt w:val="lowerLetter"/>
      <w:start w:val="30"/>
    </w:lvl>
  </w:abstractNum>
  <w:abstractNum w:abstractNumId="12">
    <w:nsid w:val="168E121F"/>
    <w:multiLevelType w:val="hybridMultilevel"/>
    <w:lvl w:ilvl="0">
      <w:lvlJc w:val="left"/>
      <w:lvlText w:val="(%1)"/>
      <w:numFmt w:val="lowerLetter"/>
      <w:start w:val="9"/>
    </w:lvl>
    <w:lvl w:ilvl="1">
      <w:lvlJc w:val="left"/>
      <w:lvlText w:val="(%2)"/>
      <w:numFmt w:val="lowerLetter"/>
      <w:start w:val="31"/>
    </w:lvl>
  </w:abstractNum>
  <w:abstractNum w:abstractNumId="13">
    <w:nsid w:val="1EBA5D23"/>
    <w:multiLevelType w:val="hybridMultilevel"/>
    <w:lvl w:ilvl="0">
      <w:lvlJc w:val="left"/>
      <w:lvlText w:val="%1"/>
      <w:numFmt w:val="lowerLetter"/>
      <w:start w:val="1"/>
    </w:lvl>
    <w:lvl w:ilvl="1">
      <w:lvlJc w:val="left"/>
      <w:lvlText w:val="(%2)"/>
      <w:numFmt w:val="lowerLetter"/>
      <w:start w:val="34"/>
    </w:lvl>
  </w:abstractNum>
  <w:abstractNum w:abstractNumId="14">
    <w:nsid w:val="661E3F1E"/>
    <w:multiLevelType w:val="hybridMultilevel"/>
    <w:lvl w:ilvl="0">
      <w:lvlJc w:val="left"/>
      <w:lvlText w:val="(%1)"/>
      <w:numFmt w:val="lowerLetter"/>
      <w:start w:val="9"/>
    </w:lvl>
    <w:lvl w:ilvl="1">
      <w:lvlJc w:val="left"/>
      <w:lvlText w:val="(%2)"/>
      <w:numFmt w:val="lowerLetter"/>
      <w:start w:val="38"/>
    </w:lvl>
  </w:abstractNum>
  <w:abstractNum w:abstractNumId="15">
    <w:nsid w:val="5DC79EA8"/>
    <w:multiLevelType w:val="hybridMultilevel"/>
    <w:lvl w:ilvl="0">
      <w:lvlJc w:val="left"/>
      <w:lvlText w:val="(%1)"/>
      <w:numFmt w:val="lowerLetter"/>
      <w:start w:val="39"/>
    </w:lvl>
  </w:abstractNum>
  <w:abstractNum w:abstractNumId="16">
    <w:nsid w:val="540A471C"/>
    <w:multiLevelType w:val="hybridMultilevel"/>
    <w:lvl w:ilvl="0">
      <w:lvlJc w:val="left"/>
      <w:lvlText w:val="(%1)"/>
      <w:numFmt w:val="lowerLetter"/>
      <w:start w:val="45"/>
    </w:lvl>
  </w:abstractNum>
  <w:abstractNum w:abstractNumId="17">
    <w:nsid w:val="7BD3EE7B"/>
    <w:multiLevelType w:val="hybridMultilevel"/>
    <w:lvl w:ilvl="0">
      <w:lvlJc w:val="left"/>
      <w:lvlText w:val="%1."/>
      <w:numFmt w:val="decimal"/>
      <w:start w:val="2"/>
    </w:lvl>
  </w:abstractNum>
  <w:abstractNum w:abstractNumId="18">
    <w:nsid w:val="51D9C564"/>
    <w:multiLevelType w:val="hybridMultilevel"/>
    <w:lvl w:ilvl="0">
      <w:lvlJc w:val="left"/>
      <w:lvlText w:val="(%1)"/>
      <w:numFmt w:val="lowerLetter"/>
      <w:start w:val="1"/>
    </w:lvl>
  </w:abstractNum>
  <w:abstractNum w:abstractNumId="19">
    <w:nsid w:val="613EFDC5"/>
    <w:multiLevelType w:val="hybridMultilevel"/>
    <w:lvl w:ilvl="0">
      <w:lvlJc w:val="left"/>
      <w:lvlText w:val="%1."/>
      <w:numFmt w:val="decimal"/>
      <w:start w:val="3"/>
    </w:lvl>
    <w:lvl w:ilvl="1">
      <w:lvlJc w:val="left"/>
      <w:lvlText w:val="(%2)"/>
      <w:numFmt w:val="lowerLetter"/>
      <w:start w:val="1"/>
    </w:lvl>
  </w:abstractNum>
  <w:abstractNum w:abstractNumId="20">
    <w:nsid w:val="BF72B14"/>
    <w:multiLevelType w:val="hybridMultilevel"/>
    <w:lvl w:ilvl="0">
      <w:lvlJc w:val="left"/>
      <w:lvlText w:val="%1"/>
      <w:numFmt w:val="lowerRoman"/>
      <w:start w:val="1"/>
    </w:lvl>
    <w:lvl w:ilvl="1">
      <w:lvlJc w:val="left"/>
      <w:lvlText w:val="(%2)"/>
      <w:numFmt w:val="lowerLetter"/>
      <w:start w:val="3"/>
    </w:lvl>
  </w:abstractNum>
  <w:abstractNum w:abstractNumId="21">
    <w:nsid w:val="11447B73"/>
    <w:multiLevelType w:val="hybridMultilevel"/>
    <w:lvl w:ilvl="0">
      <w:lvlJc w:val="left"/>
      <w:lvlText w:val="(%1)"/>
      <w:numFmt w:val="lowerRoman"/>
      <w:start w:val="4"/>
    </w:lvl>
    <w:lvl w:ilvl="1">
      <w:lvlJc w:val="left"/>
      <w:lvlText w:val="(%2)"/>
      <w:numFmt w:val="lowerLetter"/>
      <w:start w:val="4"/>
    </w:lvl>
  </w:abstractNum>
  <w:abstractNum w:abstractNumId="22">
    <w:nsid w:val="42963E5A"/>
    <w:multiLevelType w:val="hybridMultilevel"/>
    <w:lvl w:ilvl="0">
      <w:lvlJc w:val="left"/>
      <w:lvlText w:val="(%1)"/>
      <w:numFmt w:val="lowerLetter"/>
      <w:start w:val="6"/>
    </w:lvl>
  </w:abstractNum>
  <w:abstractNum w:abstractNumId="23">
    <w:nsid w:val="A0382C5"/>
    <w:multiLevelType w:val="hybridMultilevel"/>
    <w:lvl w:ilvl="0">
      <w:lvlJc w:val="left"/>
      <w:lvlText w:val="%1"/>
      <w:numFmt w:val="decimal"/>
      <w:start w:val="1"/>
    </w:lvl>
    <w:lvl w:ilvl="1">
      <w:lvlJc w:val="left"/>
      <w:lvlText w:val="(%2)"/>
      <w:numFmt w:val="lowerLetter"/>
      <w:start w:val="10"/>
    </w:lvl>
  </w:abstractNum>
  <w:abstractNum w:abstractNumId="24">
    <w:nsid w:val="8F2B15E"/>
    <w:multiLevelType w:val="hybridMultilevel"/>
    <w:lvl w:ilvl="0">
      <w:lvlJc w:val="left"/>
      <w:lvlText w:val="%1."/>
      <w:numFmt w:val="decimal"/>
      <w:start w:val="6"/>
    </w:lvl>
    <w:lvl w:ilvl="1">
      <w:lvlJc w:val="left"/>
      <w:lvlText w:val="(%2)"/>
      <w:numFmt w:val="lowerLetter"/>
      <w:start w:val="1"/>
    </w:lvl>
  </w:abstractNum>
  <w:abstractNum w:abstractNumId="25">
    <w:nsid w:val="1A32234B"/>
    <w:multiLevelType w:val="hybridMultilevel"/>
    <w:lvl w:ilvl="0">
      <w:lvlJc w:val="left"/>
      <w:lvlText w:val="%1"/>
      <w:numFmt w:val="decimal"/>
      <w:start w:val="405"/>
    </w:lvl>
    <w:lvl w:ilvl="1">
      <w:lvlJc w:val="left"/>
      <w:lvlText w:val="(%2)"/>
      <w:numFmt w:val="lowerLetter"/>
      <w:start w:val="2"/>
    </w:lvl>
  </w:abstractNum>
  <w:abstractNum w:abstractNumId="26">
    <w:nsid w:val="3B0FD379"/>
    <w:multiLevelType w:val="hybridMultilevel"/>
    <w:lvl w:ilvl="0">
      <w:lvlJc w:val="left"/>
      <w:lvlText w:val="%1."/>
      <w:numFmt w:val="decimal"/>
      <w:start w:val="7"/>
    </w:lvl>
    <w:lvl w:ilvl="1">
      <w:lvlJc w:val="left"/>
      <w:lvlText w:val="(%2)"/>
      <w:numFmt w:val="lowerLetter"/>
      <w:start w:val="1"/>
    </w:lvl>
  </w:abstractNum>
  <w:abstractNum w:abstractNumId="27">
    <w:nsid w:val="68EB2F63"/>
    <w:multiLevelType w:val="hybridMultilevel"/>
    <w:lvl w:ilvl="0">
      <w:lvlJc w:val="left"/>
      <w:lvlText w:val="(%1)"/>
      <w:numFmt w:val="lowerLetter"/>
      <w:start w:val="2"/>
    </w:lvl>
    <w:lvl w:ilvl="1">
      <w:lvlJc w:val="left"/>
      <w:lvlText w:val="(%2)"/>
      <w:numFmt w:val="lowerRoman"/>
      <w:start w:val="1"/>
    </w:lvl>
  </w:abstractNum>
  <w:abstractNum w:abstractNumId="28">
    <w:nsid w:val="4962813B"/>
    <w:multiLevelType w:val="hybridMultilevel"/>
    <w:lvl w:ilvl="0">
      <w:lvlJc w:val="left"/>
      <w:lvlText w:val="(%1)"/>
      <w:numFmt w:val="lowerRoman"/>
      <w:start w:val="6"/>
    </w:lvl>
  </w:abstractNum>
  <w:abstractNum w:abstractNumId="29">
    <w:nsid w:val="60B6DF70"/>
    <w:multiLevelType w:val="hybridMultilevel"/>
    <w:lvl w:ilvl="0">
      <w:lvlJc w:val="left"/>
      <w:lvlText w:val="(%1)"/>
      <w:numFmt w:val="lowerLetter"/>
      <w:start w:val="3"/>
    </w:lvl>
    <w:lvl w:ilvl="1">
      <w:lvlJc w:val="left"/>
      <w:lvlText w:val="(%2)"/>
      <w:numFmt w:val="lowerRoman"/>
      <w:start w:val="1"/>
    </w:lvl>
  </w:abstractNum>
  <w:abstractNum w:abstractNumId="30">
    <w:nsid w:val="6A5EE64"/>
    <w:multiLevelType w:val="hybridMultilevel"/>
    <w:lvl w:ilvl="0">
      <w:lvlJc w:val="left"/>
      <w:lvlText w:val="%1"/>
      <w:numFmt w:val="lowerLetter"/>
      <w:start w:val="1"/>
    </w:lvl>
    <w:lvl w:ilvl="1">
      <w:lvlJc w:val="left"/>
      <w:lvlText w:val="(%2)"/>
      <w:numFmt w:val="lowerRoman"/>
      <w:start w:val="5"/>
    </w:lvl>
  </w:abstractNum>
  <w:abstractNum w:abstractNumId="31">
    <w:nsid w:val="14330624"/>
    <w:multiLevelType w:val="hybridMultilevel"/>
    <w:lvl w:ilvl="0">
      <w:lvlJc w:val="left"/>
      <w:lvlText w:val="(%1)"/>
      <w:numFmt w:val="lowerLetter"/>
      <w:start w:val="4"/>
    </w:lvl>
    <w:lvl w:ilvl="1">
      <w:lvlJc w:val="left"/>
      <w:lvlText w:val="(%2)"/>
      <w:numFmt w:val="lowerRoman"/>
      <w:start w:val="1"/>
    </w:lvl>
  </w:abstractNum>
  <w:abstractNum w:abstractNumId="32">
    <w:nsid w:val="7FFFCA11"/>
    <w:multiLevelType w:val="hybridMultilevel"/>
    <w:lvl w:ilvl="0">
      <w:lvlJc w:val="left"/>
      <w:lvlText w:val="%1"/>
      <w:numFmt w:val="lowerLetter"/>
      <w:start w:val="1"/>
    </w:lvl>
    <w:lvl w:ilvl="1">
      <w:lvlJc w:val="left"/>
      <w:lvlText w:val="(%2)"/>
      <w:numFmt w:val="lowerRoman"/>
      <w:start w:val="3"/>
    </w:lvl>
  </w:abstractNum>
  <w:abstractNum w:abstractNumId="33">
    <w:nsid w:val="1A27709E"/>
    <w:multiLevelType w:val="hybridMultilevel"/>
    <w:lvl w:ilvl="0">
      <w:lvlJc w:val="left"/>
      <w:lvlText w:val="(%1)"/>
      <w:numFmt w:val="lowerLetter"/>
      <w:start w:val="6"/>
    </w:lvl>
    <w:lvl w:ilvl="1">
      <w:lvlJc w:val="left"/>
      <w:lvlText w:val="(%2)"/>
      <w:numFmt w:val="lowerRoman"/>
      <w:start w:val="1"/>
    </w:lvl>
  </w:abstractNum>
  <w:abstractNum w:abstractNumId="34">
    <w:nsid w:val="71EA1109"/>
    <w:multiLevelType w:val="hybridMultilevel"/>
    <w:lvl w:ilvl="0">
      <w:lvlJc w:val="left"/>
      <w:lvlText w:val="%1"/>
      <w:numFmt w:val="upperLetter"/>
      <w:start w:val="1"/>
    </w:lvl>
    <w:lvl w:ilvl="1">
      <w:lvlJc w:val="left"/>
      <w:lvlText w:val="(%2)"/>
      <w:numFmt w:val="lowerRoman"/>
      <w:start w:val="4"/>
    </w:lvl>
  </w:abstractNum>
  <w:abstractNum w:abstractNumId="35">
    <w:nsid w:val="100F59DC"/>
    <w:multiLevelType w:val="hybridMultilevel"/>
    <w:lvl w:ilvl="0">
      <w:lvlJc w:val="left"/>
      <w:lvlText w:val="(%1)"/>
      <w:numFmt w:val="upperLetter"/>
      <w:start w:val="1"/>
    </w:lvl>
    <w:lvl w:ilvl="1">
      <w:lvlJc w:val="left"/>
      <w:lvlText w:val="%2"/>
      <w:numFmt w:val="lowerRoman"/>
      <w:start w:val="1"/>
    </w:lvl>
  </w:abstractNum>
  <w:abstractNum w:abstractNumId="36">
    <w:nsid w:val="7FB7E0AA"/>
    <w:multiLevelType w:val="hybridMultilevel"/>
    <w:lvl w:ilvl="0">
      <w:lvlJc w:val="left"/>
      <w:lvlText w:val="(%1)"/>
      <w:numFmt w:val="lowerLetter"/>
      <w:start w:val="7"/>
    </w:lvl>
  </w:abstractNum>
  <w:abstractNum w:abstractNumId="37">
    <w:nsid w:val="6EB5BD4"/>
    <w:multiLevelType w:val="hybridMultilevel"/>
    <w:lvl w:ilvl="0">
      <w:lvlJc w:val="left"/>
      <w:lvlText w:val="%1."/>
      <w:numFmt w:val="decimal"/>
      <w:start w:val="8"/>
    </w:lvl>
  </w:abstractNum>
  <w:abstractNum w:abstractNumId="38">
    <w:nsid w:val="6F6DD9AC"/>
    <w:multiLevelType w:val="hybridMultilevel"/>
    <w:lvl w:ilvl="0">
      <w:lvlJc w:val="left"/>
      <w:lvlText w:val="%1"/>
      <w:numFmt w:val="lowerLetter"/>
      <w:start w:val="1"/>
    </w:lvl>
    <w:lvl w:ilvl="1">
      <w:lvlJc w:val="left"/>
      <w:lvlText w:val="(%2)"/>
      <w:numFmt w:val="lowerLetter"/>
      <w:start w:val="2"/>
    </w:lvl>
  </w:abstractNum>
  <w:abstractNum w:abstractNumId="39">
    <w:nsid w:val="94211F2"/>
    <w:multiLevelType w:val="hybridMultilevel"/>
    <w:lvl w:ilvl="0">
      <w:lvlJc w:val="left"/>
      <w:lvlText w:val="(%1)"/>
      <w:numFmt w:val="lowerLetter"/>
      <w:start w:val="35"/>
    </w:lvl>
    <w:lvl w:ilvl="1">
      <w:lvlJc w:val="left"/>
      <w:lvlText w:val="%2"/>
      <w:numFmt w:val="lowerLetter"/>
      <w:start w:val="1"/>
    </w:lvl>
  </w:abstractNum>
  <w:abstractNum w:abstractNumId="40">
    <w:nsid w:val="885E1B"/>
    <w:multiLevelType w:val="hybridMultilevel"/>
    <w:lvl w:ilvl="0">
      <w:lvlJc w:val="left"/>
      <w:lvlText w:val="(%1)"/>
      <w:numFmt w:val="lowerLetter"/>
      <w:start w:val="4"/>
    </w:lvl>
  </w:abstractNum>
  <w:abstractNum w:abstractNumId="41">
    <w:nsid w:val="76272110"/>
    <w:multiLevelType w:val="hybridMultilevel"/>
    <w:lvl w:ilvl="0">
      <w:lvlJc w:val="left"/>
      <w:lvlText w:val="%1."/>
      <w:numFmt w:val="decimal"/>
      <w:start w:val="10"/>
    </w:lvl>
  </w:abstractNum>
  <w:abstractNum w:abstractNumId="42">
    <w:nsid w:val="4C04A8AF"/>
    <w:multiLevelType w:val="hybridMultilevel"/>
    <w:lvl w:ilvl="0">
      <w:lvlJc w:val="left"/>
      <w:lvlText w:val="%1."/>
      <w:numFmt w:val="decimal"/>
      <w:start w:val="13"/>
    </w:lvl>
  </w:abstractNum>
  <w:abstractNum w:abstractNumId="43">
    <w:nsid w:val="1716703B"/>
    <w:multiLevelType w:val="hybridMultilevel"/>
    <w:lvl w:ilvl="0">
      <w:lvlJc w:val="left"/>
      <w:lvlText w:val="%1."/>
      <w:numFmt w:val="decimal"/>
      <w:start w:val="19"/>
    </w:lvl>
  </w:abstractNum>
  <w:abstractNum w:abstractNumId="44">
    <w:nsid w:val="14E17E33"/>
    <w:multiLevelType w:val="hybridMultilevel"/>
    <w:lvl w:ilvl="0">
      <w:lvlJc w:val="left"/>
      <w:lvlText w:val="(%1)"/>
      <w:numFmt w:val="decimal"/>
      <w:start w:val="3"/>
    </w:lvl>
  </w:abstractNum>
  <w:abstractNum w:abstractNumId="45">
    <w:nsid w:val="3222E7CD"/>
    <w:multiLevelType w:val="hybridMultilevel"/>
    <w:lvl w:ilvl="0">
      <w:lvlJc w:val="left"/>
      <w:lvlText w:val="%1."/>
      <w:numFmt w:val="decimal"/>
      <w:start w:val="1"/>
    </w:lvl>
  </w:abstractNum>
  <w:abstractNum w:abstractNumId="46">
    <w:nsid w:val="74DE0EE3"/>
    <w:multiLevelType w:val="hybridMultilevel"/>
    <w:lvl w:ilvl="0">
      <w:lvlJc w:val="left"/>
      <w:lvlText w:val="%1."/>
      <w:numFmt w:val="decimal"/>
      <w:start w:val="7"/>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8"/>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1."/>
      <w:numFmt w:val="decimal"/>
      <w:start w:val="2"/>
    </w:lvl>
  </w:abstractNum>
  <w:abstractNum w:abstractNumId="51">
    <w:nsid w:val="39EE015C"/>
    <w:multiLevelType w:val="hybridMultilevel"/>
    <w:lvl w:ilvl="0">
      <w:lvlJc w:val="left"/>
      <w:lvlText w:val="%1."/>
      <w:numFmt w:val="decimal"/>
      <w:start w:val="3"/>
    </w:lvl>
  </w:abstractNum>
  <w:abstractNum w:abstractNumId="52">
    <w:nsid w:val="57FC4FBB"/>
    <w:multiLevelType w:val="hybridMultilevel"/>
    <w:lvl w:ilvl="0">
      <w:lvlJc w:val="left"/>
      <w:lvlText w:val="%1."/>
      <w:numFmt w:val="decimal"/>
      <w:start w:val="4"/>
    </w:lvl>
  </w:abstractNum>
  <w:abstractNum w:abstractNumId="53">
    <w:nsid w:val="CC1016F"/>
    <w:multiLevelType w:val="hybridMultilevel"/>
    <w:lvl w:ilvl="0">
      <w:lvlJc w:val="left"/>
      <w:lvlText w:val="%1."/>
      <w:numFmt w:val="decimal"/>
      <w:start w:val="5"/>
    </w:lvl>
  </w:abstractNum>
  <w:abstractNum w:abstractNumId="54">
    <w:nsid w:val="43F18422"/>
    <w:multiLevelType w:val="hybridMultilevel"/>
    <w:lvl w:ilvl="0">
      <w:lvlJc w:val="left"/>
      <w:lvlText w:val="%1."/>
      <w:numFmt w:val="decimal"/>
      <w:start w:val="6"/>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1)"/>
      <w:numFmt w:val="upperLetter"/>
      <w:start w:val="2"/>
    </w:lvl>
  </w:abstractNum>
  <w:abstractNum w:abstractNumId="57">
    <w:nsid w:val="7F01579B"/>
    <w:multiLevelType w:val="hybridMultilevel"/>
    <w:lvl w:ilvl="0">
      <w:lvlJc w:val="left"/>
      <w:lvlText w:val="%1."/>
      <w:numFmt w:val="decimal"/>
      <w:start w:val="7"/>
    </w:lvl>
  </w:abstractNum>
  <w:abstractNum w:abstractNumId="58">
    <w:nsid w:val="49DA307D"/>
    <w:multiLevelType w:val="hybridMultilevel"/>
    <w:lvl w:ilvl="0">
      <w:lvlJc w:val="left"/>
      <w:lvlText w:val="%1."/>
      <w:numFmt w:val="decimal"/>
      <w:start w:val="8"/>
    </w:lvl>
  </w:abstractNum>
  <w:abstractNum w:abstractNumId="59">
    <w:nsid w:val="7055A5F5"/>
    <w:multiLevelType w:val="hybridMultilevel"/>
    <w:lvl w:ilvl="0">
      <w:lvlJc w:val="left"/>
      <w:lvlText w:val="%1."/>
      <w:numFmt w:val="decimal"/>
      <w:start w:val="9"/>
    </w:lvl>
  </w:abstractNum>
  <w:abstractNum w:abstractNumId="60">
    <w:nsid w:val="5FB8370B"/>
    <w:multiLevelType w:val="hybridMultilevel"/>
    <w:lvl w:ilvl="0">
      <w:lvlJc w:val="left"/>
      <w:lvlText w:val="%1."/>
      <w:numFmt w:val="decimal"/>
      <w:start w:val="10"/>
    </w:lvl>
  </w:abstractNum>
  <w:abstractNum w:abstractNumId="61">
    <w:nsid w:val="50801EE1"/>
    <w:multiLevelType w:val="hybridMultilevel"/>
    <w:lvl w:ilvl="0">
      <w:lvlJc w:val="left"/>
      <w:lvlText w:val="(%1)"/>
      <w:numFmt w:val="upperLetter"/>
      <w:start w:val="4"/>
    </w:lvl>
  </w:abstractNum>
  <w:abstractNum w:abstractNumId="62">
    <w:nsid w:val="488AC1A"/>
    <w:multiLevelType w:val="hybridMultilevel"/>
    <w:lvl w:ilvl="0">
      <w:lvlJc w:val="left"/>
      <w:lvlText w:val="%1."/>
      <w:numFmt w:val="decimal"/>
      <w:start w:val="11"/>
    </w:lvl>
  </w:abstractNum>
  <w:abstractNum w:abstractNumId="63">
    <w:nsid w:val="5FB8011C"/>
    <w:multiLevelType w:val="hybridMultilevel"/>
    <w:lvl w:ilvl="0">
      <w:lvlJc w:val="left"/>
      <w:lvlText w:val="%1."/>
      <w:numFmt w:val="decimal"/>
      <w:start w:val="12"/>
    </w:lvl>
  </w:abstractNum>
  <w:abstractNum w:abstractNumId="64">
    <w:nsid w:val="6AA78F7F"/>
    <w:multiLevelType w:val="hybridMultilevel"/>
    <w:lvl w:ilvl="0">
      <w:lvlJc w:val="left"/>
      <w:lvlText w:val="%1."/>
      <w:numFmt w:val="decimal"/>
      <w:start w:val="13"/>
    </w:lvl>
  </w:abstractNum>
  <w:abstractNum w:abstractNumId="65">
    <w:nsid w:val="7672BD23"/>
    <w:multiLevelType w:val="hybridMultilevel"/>
    <w:lvl w:ilvl="0">
      <w:lvlJc w:val="left"/>
      <w:lvlText w:val="%1."/>
      <w:numFmt w:val="decimal"/>
      <w:start w:val="14"/>
    </w:lvl>
  </w:abstractNum>
  <w:abstractNum w:abstractNumId="66">
    <w:nsid w:val="6FC75AF8"/>
    <w:multiLevelType w:val="hybridMultilevel"/>
    <w:lvl w:ilvl="0">
      <w:lvlJc w:val="left"/>
      <w:lvlText w:val="%1."/>
      <w:numFmt w:val="decimal"/>
      <w:start w:val="15"/>
    </w:lvl>
  </w:abstractNum>
  <w:abstractNum w:abstractNumId="67">
    <w:nsid w:val="6A5F7029"/>
    <w:multiLevelType w:val="hybridMultilevel"/>
    <w:lvl w:ilvl="0">
      <w:lvlJc w:val="left"/>
      <w:lvlText w:val="%1."/>
      <w:numFmt w:val="decimal"/>
      <w:start w:val="16"/>
    </w:lvl>
  </w:abstractNum>
  <w:abstractNum w:abstractNumId="68">
    <w:nsid w:val="7D5E18F8"/>
    <w:multiLevelType w:val="hybridMultilevel"/>
    <w:lvl w:ilvl="0">
      <w:lvlJc w:val="left"/>
      <w:lvlText w:val="%1."/>
      <w:numFmt w:val="decimal"/>
      <w:start w:val="17"/>
    </w:lvl>
  </w:abstractNum>
  <w:abstractNum w:abstractNumId="69">
    <w:nsid w:val="5F3534A4"/>
    <w:multiLevelType w:val="hybridMultilevel"/>
    <w:lvl w:ilvl="0">
      <w:lvlJc w:val="left"/>
      <w:lvlText w:val="%1."/>
      <w:numFmt w:val="decimal"/>
      <w:start w:val="18"/>
    </w:lvl>
  </w:abstractNum>
  <w:abstractNum w:abstractNumId="70">
    <w:nsid w:val="73A1821B"/>
    <w:multiLevelType w:val="hybridMultilevel"/>
    <w:lvl w:ilvl="0">
      <w:lvlJc w:val="left"/>
      <w:lvlText w:val="%1."/>
      <w:numFmt w:val="decimal"/>
      <w:start w:val="1"/>
    </w:lvl>
  </w:abstractNum>
  <w:abstractNum w:abstractNumId="71">
    <w:nsid w:val="7DE67713"/>
    <w:multiLevelType w:val="hybridMultilevel"/>
    <w:lvl w:ilvl="0">
      <w:lvlJc w:val="left"/>
      <w:lvlText w:val="%1."/>
      <w:numFmt w:val="decimal"/>
      <w:start w:val="7"/>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1)"/>
      <w:numFmt w:val="decimal"/>
      <w:start w:val="8"/>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2"/>
    </w:lvl>
  </w:abstractNum>
  <w:abstractNum w:abstractNumId="76">
    <w:nsid w:val="71C91298"/>
    <w:multiLevelType w:val="hybridMultilevel"/>
    <w:lvl w:ilvl="0">
      <w:lvlJc w:val="left"/>
      <w:lvlText w:val="%1."/>
      <w:numFmt w:val="decimal"/>
      <w:start w:val="3"/>
    </w:lvl>
  </w:abstractNum>
  <w:abstractNum w:abstractNumId="77">
    <w:nsid w:val="9DAF632"/>
    <w:multiLevelType w:val="hybridMultilevel"/>
    <w:lvl w:ilvl="0">
      <w:lvlJc w:val="left"/>
      <w:lvlText w:val="%1."/>
      <w:numFmt w:val="decimal"/>
      <w:start w:val="4"/>
    </w:lvl>
  </w:abstractNum>
  <w:abstractNum w:abstractNumId="78">
    <w:nsid w:val="53299938"/>
    <w:multiLevelType w:val="hybridMultilevel"/>
    <w:lvl w:ilvl="0">
      <w:lvlJc w:val="left"/>
      <w:lvlText w:val="%1."/>
      <w:numFmt w:val="decimal"/>
      <w:start w:val="5"/>
    </w:lvl>
  </w:abstractNum>
  <w:abstractNum w:abstractNumId="79">
    <w:nsid w:val="1FBFE8E0"/>
    <w:multiLevelType w:val="hybridMultilevel"/>
    <w:lvl w:ilvl="0">
      <w:lvlJc w:val="left"/>
      <w:lvlText w:val="%1."/>
      <w:numFmt w:val="decimal"/>
      <w:start w:val="6"/>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upperLetter"/>
      <w:start w:val="2"/>
    </w:lvl>
  </w:abstractNum>
  <w:abstractNum w:abstractNumId="82">
    <w:nsid w:val="59ADEA3D"/>
    <w:multiLevelType w:val="hybridMultilevel"/>
    <w:lvl w:ilvl="0">
      <w:lvlJc w:val="left"/>
      <w:lvlText w:val="%1."/>
      <w:numFmt w:val="decimal"/>
      <w:start w:val="7"/>
    </w:lvl>
  </w:abstractNum>
  <w:abstractNum w:abstractNumId="83">
    <w:nsid w:val="288F1A34"/>
    <w:multiLevelType w:val="hybridMultilevel"/>
    <w:lvl w:ilvl="0">
      <w:lvlJc w:val="left"/>
      <w:lvlText w:val="%1."/>
      <w:numFmt w:val="decimal"/>
      <w:start w:val="8"/>
    </w:lvl>
  </w:abstractNum>
  <w:abstractNum w:abstractNumId="84">
    <w:nsid w:val="2A155DBC"/>
    <w:multiLevelType w:val="hybridMultilevel"/>
    <w:lvl w:ilvl="0">
      <w:lvlJc w:val="left"/>
      <w:lvlText w:val="%1."/>
      <w:numFmt w:val="decimal"/>
      <w:start w:val="9"/>
    </w:lvl>
  </w:abstractNum>
  <w:abstractNum w:abstractNumId="85">
    <w:nsid w:val="1D9F6E5F"/>
    <w:multiLevelType w:val="hybridMultilevel"/>
    <w:lvl w:ilvl="0">
      <w:lvlJc w:val="left"/>
      <w:lvlText w:val="%1."/>
      <w:numFmt w:val="decimal"/>
      <w:start w:val="10"/>
    </w:lvl>
  </w:abstractNum>
  <w:abstractNum w:abstractNumId="86">
    <w:nsid w:val="97E1B4E"/>
    <w:multiLevelType w:val="hybridMultilevel"/>
    <w:lvl w:ilvl="0">
      <w:lvlJc w:val="left"/>
      <w:lvlText w:val="(%1)"/>
      <w:numFmt w:val="upperLetter"/>
      <w:start w:val="4"/>
    </w:lvl>
  </w:abstractNum>
  <w:abstractNum w:abstractNumId="87">
    <w:nsid w:val="51088277"/>
    <w:multiLevelType w:val="hybridMultilevel"/>
    <w:lvl w:ilvl="0">
      <w:lvlJc w:val="left"/>
      <w:lvlText w:val="%1."/>
      <w:numFmt w:val="decimal"/>
      <w:start w:val="11"/>
    </w:lvl>
  </w:abstractNum>
  <w:abstractNum w:abstractNumId="88">
    <w:nsid w:val="1CA0C5FA"/>
    <w:multiLevelType w:val="hybridMultilevel"/>
    <w:lvl w:ilvl="0">
      <w:lvlJc w:val="left"/>
      <w:lvlText w:val="%1."/>
      <w:numFmt w:val="decimal"/>
      <w:start w:val="12"/>
    </w:lvl>
  </w:abstractNum>
  <w:abstractNum w:abstractNumId="89">
    <w:nsid w:val="53584BCB"/>
    <w:multiLevelType w:val="hybridMultilevel"/>
    <w:lvl w:ilvl="0">
      <w:lvlJc w:val="left"/>
      <w:lvlText w:val="%1."/>
      <w:numFmt w:val="decimal"/>
      <w:start w:val="13"/>
    </w:lvl>
  </w:abstractNum>
  <w:abstractNum w:abstractNumId="90">
    <w:nsid w:val="415E286C"/>
    <w:multiLevelType w:val="hybridMultilevel"/>
    <w:lvl w:ilvl="0">
      <w:lvlJc w:val="left"/>
      <w:lvlText w:val="%1."/>
      <w:numFmt w:val="decimal"/>
      <w:start w:val="14"/>
    </w:lvl>
  </w:abstractNum>
  <w:abstractNum w:abstractNumId="91">
    <w:nsid w:val="7C58FD05"/>
    <w:multiLevelType w:val="hybridMultilevel"/>
    <w:lvl w:ilvl="0">
      <w:lvlJc w:val="left"/>
      <w:lvlText w:val="%1."/>
      <w:numFmt w:val="decimal"/>
      <w:start w:val="15"/>
    </w:lvl>
  </w:abstractNum>
  <w:abstractNum w:abstractNumId="92">
    <w:nsid w:val="23D86AAC"/>
    <w:multiLevelType w:val="hybridMultilevel"/>
    <w:lvl w:ilvl="0">
      <w:lvlJc w:val="left"/>
      <w:lvlText w:val="%1."/>
      <w:numFmt w:val="decimal"/>
      <w:start w:val="16"/>
    </w:lvl>
  </w:abstractNum>
  <w:abstractNum w:abstractNumId="93">
    <w:nsid w:val="45E6D486"/>
    <w:multiLevelType w:val="hybridMultilevel"/>
    <w:lvl w:ilvl="0">
      <w:lvlJc w:val="left"/>
      <w:lvlText w:val="%1."/>
      <w:numFmt w:val="decimal"/>
      <w:start w:val="17"/>
    </w:lvl>
  </w:abstractNum>
  <w:abstractNum w:abstractNumId="94">
    <w:nsid w:val="5C10FE21"/>
    <w:multiLevelType w:val="hybridMultilevel"/>
    <w:lvl w:ilvl="0">
      <w:lvlJc w:val="left"/>
      <w:lvlText w:val="%1."/>
      <w:numFmt w:val="decimal"/>
      <w:start w:val="18"/>
    </w:lvl>
  </w:abstractNum>
  <w:abstractNum w:abstractNumId="95">
    <w:nsid w:val="E7FFA2B"/>
    <w:multiLevelType w:val="hybridMultilevel"/>
    <w:lvl w:ilvl="0">
      <w:lvlJc w:val="left"/>
      <w:lvlText w:val="%1."/>
      <w:numFmt w:val="decimal"/>
      <w:start w:val="1"/>
    </w:lvl>
  </w:abstractNum>
  <w:abstractNum w:abstractNumId="96">
    <w:nsid w:val="3C5991AA"/>
    <w:multiLevelType w:val="hybridMultilevel"/>
    <w:lvl w:ilvl="0">
      <w:lvlJc w:val="left"/>
      <w:lvlText w:val="%1."/>
      <w:numFmt w:val="decimal"/>
      <w:start w:val="7"/>
    </w:lvl>
  </w:abstractNum>
  <w:abstractNum w:abstractNumId="97">
    <w:nsid w:val="4BD8591A"/>
    <w:multiLevelType w:val="hybridMultilevel"/>
    <w:lvl w:ilvl="0">
      <w:lvlJc w:val="left"/>
      <w:lvlText w:val="(%1)"/>
      <w:numFmt w:val="decimal"/>
      <w:start w:val="1"/>
    </w:lvl>
  </w:abstractNum>
  <w:abstractNum w:abstractNumId="98">
    <w:nsid w:val="78DF6A55"/>
    <w:multiLevelType w:val="hybridMultilevel"/>
    <w:lvl w:ilvl="0">
      <w:lvlJc w:val="left"/>
      <w:lvlText w:val="(%1)"/>
      <w:numFmt w:val="decimal"/>
      <w:start w:val="8"/>
    </w:lvl>
  </w:abstractNum>
  <w:abstractNum w:abstractNumId="99">
    <w:nsid w:val="39B7AAA2"/>
    <w:multiLevelType w:val="hybridMultilevel"/>
    <w:lvl w:ilvl="0">
      <w:lvlJc w:val="left"/>
      <w:lvlText w:val="%1."/>
      <w:numFmt w:val="decimal"/>
      <w:start w:val="1"/>
    </w:lvl>
  </w:abstractNum>
  <w:abstractNum w:abstractNumId="100">
    <w:nsid w:val="2B0D8DBE"/>
    <w:multiLevelType w:val="hybridMultilevel"/>
    <w:lvl w:ilvl="0">
      <w:lvlJc w:val="left"/>
      <w:lvlText w:val="%1."/>
      <w:numFmt w:val="decimal"/>
      <w:start w:val="2"/>
    </w:lvl>
  </w:abstractNum>
  <w:abstractNum w:abstractNumId="101">
    <w:nsid w:val="6C80EC70"/>
    <w:multiLevelType w:val="hybridMultilevel"/>
    <w:lvl w:ilvl="0">
      <w:lvlJc w:val="left"/>
      <w:lvlText w:val="%1."/>
      <w:numFmt w:val="decimal"/>
      <w:start w:val="3"/>
    </w:lvl>
  </w:abstractNum>
  <w:abstractNum w:abstractNumId="102">
    <w:nsid w:val="379E21B5"/>
    <w:multiLevelType w:val="hybridMultilevel"/>
    <w:lvl w:ilvl="0">
      <w:lvlJc w:val="left"/>
      <w:lvlText w:val="%1."/>
      <w:numFmt w:val="decimal"/>
      <w:start w:val="4"/>
    </w:lvl>
  </w:abstractNum>
  <w:abstractNum w:abstractNumId="103">
    <w:nsid w:val="69E373"/>
    <w:multiLevelType w:val="hybridMultilevel"/>
    <w:lvl w:ilvl="0">
      <w:lvlJc w:val="left"/>
      <w:lvlText w:val="%1."/>
      <w:numFmt w:val="decimal"/>
      <w:start w:val="5"/>
    </w:lvl>
  </w:abstractNum>
  <w:abstractNum w:abstractNumId="104">
    <w:nsid w:val="2C27173B"/>
    <w:multiLevelType w:val="hybridMultilevel"/>
    <w:lvl w:ilvl="0">
      <w:lvlJc w:val="left"/>
      <w:lvlText w:val="%1."/>
      <w:numFmt w:val="decimal"/>
      <w:start w:val="6"/>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upperLetter"/>
      <w:start w:val="2"/>
    </w:lvl>
  </w:abstractNum>
  <w:abstractNum w:abstractNumId="107">
    <w:nsid w:val="1DF029D3"/>
    <w:multiLevelType w:val="hybridMultilevel"/>
    <w:lvl w:ilvl="0">
      <w:lvlJc w:val="left"/>
      <w:lvlText w:val="%1."/>
      <w:numFmt w:val="decimal"/>
      <w:start w:val="7"/>
    </w:lvl>
  </w:abstractNum>
  <w:abstractNum w:abstractNumId="108">
    <w:nsid w:val="5675FF36"/>
    <w:multiLevelType w:val="hybridMultilevel"/>
    <w:lvl w:ilvl="0">
      <w:lvlJc w:val="left"/>
      <w:lvlText w:val="%1."/>
      <w:numFmt w:val="decimal"/>
      <w:start w:val="8"/>
    </w:lvl>
  </w:abstractNum>
  <w:abstractNum w:abstractNumId="109">
    <w:nsid w:val="3DD15094"/>
    <w:multiLevelType w:val="hybridMultilevel"/>
    <w:lvl w:ilvl="0">
      <w:lvlJc w:val="left"/>
      <w:lvlText w:val="%1."/>
      <w:numFmt w:val="decimal"/>
      <w:start w:val="9"/>
    </w:lvl>
  </w:abstractNum>
  <w:abstractNum w:abstractNumId="110">
    <w:nsid w:val="3DB012B3"/>
    <w:multiLevelType w:val="hybridMultilevel"/>
    <w:lvl w:ilvl="0">
      <w:lvlJc w:val="left"/>
      <w:lvlText w:val="%1."/>
      <w:numFmt w:val="decimal"/>
      <w:start w:val="10"/>
    </w:lvl>
  </w:abstractNum>
  <w:abstractNum w:abstractNumId="111">
    <w:nsid w:val="2708C9AF"/>
    <w:multiLevelType w:val="hybridMultilevel"/>
    <w:lvl w:ilvl="0">
      <w:lvlJc w:val="left"/>
      <w:lvlText w:val="(%1)"/>
      <w:numFmt w:val="upperLetter"/>
      <w:start w:val="4"/>
    </w:lvl>
  </w:abstractNum>
  <w:abstractNum w:abstractNumId="112">
    <w:nsid w:val="5B25ACE2"/>
    <w:multiLevelType w:val="hybridMultilevel"/>
    <w:lvl w:ilvl="0">
      <w:lvlJc w:val="left"/>
      <w:lvlText w:val="%1."/>
      <w:numFmt w:val="decimal"/>
      <w:start w:val="11"/>
    </w:lvl>
  </w:abstractNum>
  <w:abstractNum w:abstractNumId="113">
    <w:nsid w:val="175DFCF0"/>
    <w:multiLevelType w:val="hybridMultilevel"/>
    <w:lvl w:ilvl="0">
      <w:lvlJc w:val="left"/>
      <w:lvlText w:val="%1."/>
      <w:numFmt w:val="decimal"/>
      <w:start w:val="12"/>
    </w:lvl>
  </w:abstractNum>
  <w:abstractNum w:abstractNumId="114">
    <w:nsid w:val="4F97E3E4"/>
    <w:multiLevelType w:val="hybridMultilevel"/>
    <w:lvl w:ilvl="0">
      <w:lvlJc w:val="left"/>
      <w:lvlText w:val="%1."/>
      <w:numFmt w:val="decimal"/>
      <w:start w:val="13"/>
    </w:lvl>
  </w:abstractNum>
  <w:abstractNum w:abstractNumId="115">
    <w:nsid w:val="53B0A9E"/>
    <w:multiLevelType w:val="hybridMultilevel"/>
    <w:lvl w:ilvl="0">
      <w:lvlJc w:val="left"/>
      <w:lvlText w:val="%1."/>
      <w:numFmt w:val="decimal"/>
      <w:start w:val="14"/>
    </w:lvl>
  </w:abstractNum>
  <w:abstractNum w:abstractNumId="116">
    <w:nsid w:val="34FD6B4F"/>
    <w:multiLevelType w:val="hybridMultilevel"/>
    <w:lvl w:ilvl="0">
      <w:lvlJc w:val="left"/>
      <w:lvlText w:val="%1."/>
      <w:numFmt w:val="decimal"/>
      <w:start w:val="15"/>
    </w:lvl>
  </w:abstractNum>
  <w:abstractNum w:abstractNumId="117">
    <w:nsid w:val="5915FF32"/>
    <w:multiLevelType w:val="hybridMultilevel"/>
    <w:lvl w:ilvl="0">
      <w:lvlJc w:val="left"/>
      <w:lvlText w:val="%1."/>
      <w:numFmt w:val="decimal"/>
      <w:start w:val="16"/>
    </w:lvl>
  </w:abstractNum>
  <w:abstractNum w:abstractNumId="118">
    <w:nsid w:val="56438D15"/>
    <w:multiLevelType w:val="hybridMultilevel"/>
    <w:lvl w:ilvl="0">
      <w:lvlJc w:val="left"/>
      <w:lvlText w:val="%1."/>
      <w:numFmt w:val="decimal"/>
      <w:start w:val="17"/>
    </w:lvl>
  </w:abstractNum>
  <w:abstractNum w:abstractNumId="119">
    <w:nsid w:val="519E3149"/>
    <w:multiLevelType w:val="hybridMultilevel"/>
    <w:lvl w:ilvl="0">
      <w:lvlJc w:val="left"/>
      <w:lvlText w:val="%1."/>
      <w:numFmt w:val="decimal"/>
      <w:start w:val="18"/>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lowerRoman"/>
      <w:start w:val="1"/>
    </w:lvl>
  </w:abstractNum>
  <w:abstractNum w:abstractNumId="122">
    <w:nsid w:val="4DF72E4E"/>
    <w:multiLevelType w:val="hybridMultilevel"/>
    <w:lvl w:ilvl="0">
      <w:lvlJc w:val="left"/>
      <w:lvlText w:val="(%1)"/>
      <w:numFmt w:val="lowerRoman"/>
      <w:start w:val="3"/>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Roman"/>
      <w:start w:val="1"/>
    </w:lvl>
  </w:abstractNum>
  <w:abstractNum w:abstractNumId="126">
    <w:nsid w:val="5EC6AFD4"/>
    <w:multiLevelType w:val="hybridMultilevel"/>
    <w:lvl w:ilvl="0">
      <w:lvlJc w:val="left"/>
      <w:lvlText w:val="(%1)"/>
      <w:numFmt w:val="lowerRoman"/>
      <w:start w:val="3"/>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lowerRoman"/>
      <w:start w:val="1"/>
    </w:lvl>
  </w:abstractNum>
  <w:abstractNum w:abstractNumId="130">
    <w:nsid w:val="5399C654"/>
    <w:multiLevelType w:val="hybridMultilevel"/>
    <w:lvl w:ilvl="0">
      <w:lvlJc w:val="left"/>
      <w:lvlText w:val="(%1)"/>
      <w:numFmt w:val="lowerRoman"/>
      <w:start w:val="3"/>
    </w:lvl>
  </w:abstractNum>
  <w:abstractNum w:abstractNumId="131">
    <w:nsid w:val="20EE134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2019-12-06T02:17:58Z</dcterms:created>
  <dcterms:modified xsi:type="dcterms:W3CDTF">2019-12-06T02:17:58Z</dcterms:modified>
</cp:coreProperties>
</file>