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2889d1_8k.htm"/>
      <w:bookmarkStart w:id="1" w:name="kstm2612889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8_edei--DocumentType_c2026042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April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3_edei--EntityRegistrantName_dxL_c"/>
      <w:bookmarkEnd w:id="4"/>
      <w:r>
        <w:rPr>
          <w:rFonts w:ascii="Times New Roman;Times;Serif" w:hAnsi="Times New Roman;Times;Serif"/>
          <w:b/>
          <w:i w:val="false"/>
          <w:caps w:val="false"/>
          <w:smallCaps w:val="false"/>
          <w:sz w:val="48"/>
        </w:rPr>
        <w:t>Waste Management,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2225"/>
        <w:gridCol w:w="60"/>
        <w:gridCol w:w="2210"/>
        <w:gridCol w:w="60"/>
        <w:gridCol w:w="1520"/>
      </w:tblGrid>
      <w:tr>
        <w:trPr/>
        <w:tc>
          <w:tcPr>
            <w:tcW w:w="2225" w:type="dxa"/>
            <w:tcBorders/>
            <w:vAlign w:val="center"/>
          </w:tcPr>
          <w:p>
            <w:pPr>
              <w:pStyle w:val="TableContents"/>
              <w:bidi w:val="0"/>
              <w:spacing w:before="0" w:after="283"/>
              <w:jc w:val="center"/>
              <w:rPr>
                <w:b/>
              </w:rPr>
            </w:pPr>
            <w:bookmarkStart w:id="5" w:name="xdx_904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60428"/>
            <w:bookmarkEnd w:id="6"/>
            <w:r>
              <w:rPr>
                <w:rFonts w:ascii="Times New Roman;Times;Serif" w:hAnsi="Times New Roman;Times;Serif"/>
                <w:b/>
                <w:sz w:val="20"/>
              </w:rPr>
              <w:t>1-12154</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73-1309529</w:t>
            </w:r>
          </w:p>
        </w:tc>
      </w:tr>
      <w:tr>
        <w:trPr/>
        <w:tc>
          <w:tcPr>
            <w:tcW w:w="22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w:t>
              <w:b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3920"/>
        <w:gridCol w:w="60"/>
        <w:gridCol w:w="905"/>
      </w:tblGrid>
      <w:tr>
        <w:trPr/>
        <w:tc>
          <w:tcPr>
            <w:tcW w:w="3920" w:type="dxa"/>
            <w:tcBorders/>
            <w:vAlign w:val="center"/>
          </w:tcPr>
          <w:p>
            <w:pPr>
              <w:pStyle w:val="TableContents"/>
              <w:bidi w:val="0"/>
              <w:spacing w:before="0" w:after="283"/>
              <w:jc w:val="center"/>
              <w:rPr/>
            </w:pPr>
            <w:bookmarkStart w:id="8" w:name="xdx_909_edei--EntityAddressAddressLine1_"/>
            <w:bookmarkEnd w:id="8"/>
            <w:r>
              <w:rPr>
                <w:rFonts w:ascii="Times New Roman;Times;Serif" w:hAnsi="Times New Roman;Times;Serif"/>
                <w:b/>
                <w:sz w:val="20"/>
              </w:rPr>
              <w:t xml:space="preserve">800 Capitol Street, </w:t>
            </w:r>
            <w:bookmarkStart w:id="9" w:name="xdx_903_edei--EntityAddressAddressLine2_"/>
            <w:bookmarkEnd w:id="9"/>
            <w:r>
              <w:rPr>
                <w:rFonts w:ascii="Times New Roman;Times;Serif" w:hAnsi="Times New Roman;Times;Serif"/>
                <w:b/>
                <w:sz w:val="20"/>
              </w:rPr>
              <w:t xml:space="preserve">Suite 3000, </w:t>
            </w:r>
            <w:bookmarkStart w:id="10" w:name="xdx_903_edei--EntityAddressCityOrTown_c2"/>
            <w:bookmarkEnd w:id="10"/>
            <w:r>
              <w:rPr>
                <w:rFonts w:ascii="Times New Roman;Times;Serif" w:hAnsi="Times New Roman;Times;Serif"/>
                <w:b/>
                <w:sz w:val="20"/>
              </w:rPr>
              <w:t xml:space="preserve">Houston, </w:t>
            </w:r>
            <w:bookmarkStart w:id="11" w:name="xdx_902_edei--EntityAddressStateOrProvin"/>
            <w:bookmarkEnd w:id="11"/>
            <w:r>
              <w:rPr>
                <w:rFonts w:ascii="Times New Roman;Times;Serif" w:hAnsi="Times New Roman;Times;Serif"/>
                <w:b/>
                <w:sz w:val="20"/>
              </w:rPr>
              <w:t>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b/>
                <w:sz w:val="20"/>
              </w:rPr>
            </w:pPr>
            <w:bookmarkStart w:id="12" w:name="xdx_905_edei--EntityAddressPostalZipCode"/>
            <w:bookmarkEnd w:id="12"/>
            <w:r>
              <w:rPr>
                <w:rFonts w:ascii="Times New Roman;Times;Serif" w:hAnsi="Times New Roman;Times;Serif"/>
                <w:b/>
                <w:sz w:val="20"/>
              </w:rPr>
              <w:t>77002</w:t>
            </w:r>
          </w:p>
        </w:tc>
      </w:tr>
      <w:tr>
        <w:trPr/>
        <w:tc>
          <w:tcPr>
            <w:tcW w:w="3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8_edei--CityAreaCode_c20260428__20"/>
      <w:bookmarkEnd w:id="13"/>
      <w:r>
        <w:rPr>
          <w:rFonts w:ascii="Times New Roman;Times;Serif" w:hAnsi="Times New Roman;Times;Serif"/>
          <w:b/>
          <w:i w:val="false"/>
          <w:caps w:val="false"/>
          <w:smallCaps w:val="false"/>
          <w:sz w:val="20"/>
        </w:rPr>
        <w:t xml:space="preserve">713) </w:t>
      </w:r>
      <w:bookmarkStart w:id="14" w:name="xdx_90A_edei--LocalPhoneNumber_c20260428"/>
      <w:bookmarkEnd w:id="14"/>
      <w:r>
        <w:rPr>
          <w:rFonts w:ascii="Times New Roman;Times;Serif" w:hAnsi="Times New Roman;Times;Serif"/>
          <w:b/>
          <w:i w:val="false"/>
          <w:caps w:val="false"/>
          <w:smallCaps w:val="false"/>
          <w:sz w:val="20"/>
        </w:rPr>
        <w:t>512-6200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E_edei--SolicitingMaterial_c202604"/>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0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40" w:type="dxa"/>
        <w:jc w:val="left"/>
        <w:tblInd w:w="0" w:type="dxa"/>
        <w:tblLayout w:type="fixed"/>
        <w:tblCellMar>
          <w:top w:w="28" w:type="dxa"/>
          <w:left w:w="0" w:type="dxa"/>
          <w:bottom w:w="0" w:type="dxa"/>
          <w:right w:w="0" w:type="dxa"/>
        </w:tblCellMar>
      </w:tblPr>
      <w:tblGrid>
        <w:gridCol w:w="2630"/>
        <w:gridCol w:w="1535"/>
        <w:gridCol w:w="3575"/>
      </w:tblGrid>
      <w:tr>
        <w:trPr/>
        <w:tc>
          <w:tcPr>
            <w:tcW w:w="2630"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Symbol(s)</w:t>
            </w:r>
          </w:p>
        </w:tc>
        <w:tc>
          <w:tcPr>
            <w:tcW w:w="3575" w:type="dxa"/>
            <w:tcBorders>
              <w:top w:val="single" w:sz="8" w:space="0" w:color="000000"/>
              <w:right w:val="single" w:sz="8" w:space="0" w:color="000000"/>
            </w:tcBorders>
            <w:tcMar>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30" w:type="dxa"/>
            <w:tcBorders>
              <w:left w:val="single" w:sz="8" w:space="0" w:color="000000"/>
              <w:bottom w:val="single" w:sz="8" w:space="0" w:color="000000"/>
            </w:tcBorders>
            <w:tcMar>
              <w:top w:w="0" w:type="dxa"/>
              <w:left w:w="120" w:type="dxa"/>
              <w:bottom w:w="28" w:type="dxa"/>
            </w:tcMar>
            <w:vAlign w:val="center"/>
          </w:tcPr>
          <w:p>
            <w:pPr>
              <w:pStyle w:val="TableContents"/>
              <w:bidi w:val="0"/>
              <w:spacing w:before="0" w:after="283"/>
              <w:jc w:val="left"/>
              <w:rPr>
                <w:rFonts w:ascii="Times New Roman;Times;Serif" w:hAnsi="Times New Roman;Times;Serif"/>
                <w:sz w:val="20"/>
              </w:rPr>
            </w:pPr>
            <w:bookmarkStart w:id="19" w:name="xdx_904_edei--Security12bTitle_c20260428"/>
            <w:bookmarkEnd w:id="19"/>
            <w:r>
              <w:rPr>
                <w:rFonts w:ascii="Times New Roman;Times;Serif" w:hAnsi="Times New Roman;Times;Serif"/>
                <w:sz w:val="20"/>
              </w:rPr>
              <w:t>Common Stock, $0.01 par value</w:t>
            </w:r>
          </w:p>
        </w:tc>
        <w:tc>
          <w:tcPr>
            <w:tcW w:w="1535" w:type="dxa"/>
            <w:tcBorders>
              <w:left w:val="single" w:sz="8" w:space="0" w:color="000000"/>
              <w:bottom w:val="single" w:sz="8" w:space="0" w:color="000000"/>
            </w:tcBorders>
            <w:tcMar>
              <w:top w:w="0" w:type="dxa"/>
              <w:left w:w="120" w:type="dxa"/>
              <w:bottom w:w="28" w:type="dxa"/>
            </w:tcMar>
            <w:vAlign w:val="center"/>
          </w:tcPr>
          <w:p>
            <w:pPr>
              <w:pStyle w:val="TableContents"/>
              <w:bidi w:val="0"/>
              <w:spacing w:before="0" w:after="283"/>
              <w:jc w:val="left"/>
              <w:rPr>
                <w:rFonts w:ascii="Times New Roman;Times;Serif" w:hAnsi="Times New Roman;Times;Serif"/>
                <w:sz w:val="20"/>
              </w:rPr>
            </w:pPr>
            <w:bookmarkStart w:id="20" w:name="xdx_90B_edei--TradingSymbol_c20260428__2"/>
            <w:bookmarkEnd w:id="20"/>
            <w:r>
              <w:rPr>
                <w:rFonts w:ascii="Times New Roman;Times;Serif" w:hAnsi="Times New Roman;Times;Serif"/>
                <w:sz w:val="20"/>
              </w:rPr>
              <w:t>WM</w:t>
            </w:r>
          </w:p>
        </w:tc>
        <w:tc>
          <w:tcPr>
            <w:tcW w:w="3575" w:type="dxa"/>
            <w:tcBorders>
              <w:left w:val="single" w:sz="8" w:space="0" w:color="000000"/>
              <w:bottom w:val="single" w:sz="8" w:space="0" w:color="000000"/>
              <w:right w:val="single" w:sz="8" w:space="0" w:color="000000"/>
            </w:tcBorders>
            <w:tcMar>
              <w:top w:w="0" w:type="dxa"/>
              <w:left w:w="120" w:type="dxa"/>
              <w:bottom w:w="28" w:type="dxa"/>
              <w:right w:w="28" w:type="dxa"/>
            </w:tcMar>
            <w:vAlign w:val="center"/>
          </w:tcPr>
          <w:p>
            <w:pPr>
              <w:pStyle w:val="TableContents"/>
              <w:bidi w:val="0"/>
              <w:spacing w:before="0" w:after="283"/>
              <w:jc w:val="left"/>
              <w:rPr>
                <w:rFonts w:ascii="Times New Roman;Times;Serif" w:hAnsi="Times New Roman;Times;Serif"/>
                <w:sz w:val="20"/>
              </w:rPr>
            </w:pPr>
            <w:bookmarkStart w:id="21" w:name="xdx_90D_edei--SecurityExchangeName_c2026"/>
            <w:bookmarkEnd w:id="21"/>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Emerging growth company </w:t>
      </w:r>
      <w:bookmarkStart w:id="22" w:name="xdx_90B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02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Waste Management, Inc. (the “Company”) issued a press release today announcing its financial results for the first quarter of 2026, a copy of which is furnished as Exhibit 99.1 to this Form 8-K. The Company is conducting an audio webcast to discuss these results beginning at 10:00 a.m. Eastern Time on April 29, 2026. </w:t>
      </w:r>
      <w:r>
        <w:rPr>
          <w:rFonts w:ascii="Times New Roman;Times;Serif" w:hAnsi="Times New Roman;Times;Serif"/>
          <w:b w:val="false"/>
          <w:i w:val="false"/>
          <w:caps w:val="false"/>
          <w:smallCaps w:val="false"/>
          <w:color w:val="0A0A0A"/>
          <w:sz w:val="20"/>
        </w:rPr>
        <w:t xml:space="preserve">Listeners can access the live audio webcast by visiting investors.wm.com and selecting “Events &amp; Presentations” from the website menu. A replay of the audio webcast will be available at the same location.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webcast,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jc w:val="left"/>
        <w:rPr>
          <w:caps w:val="false"/>
          <w:smallCaps w:val="false"/>
        </w:rPr>
      </w:pPr>
      <w:r>
        <w:rPr>
          <w:caps w:val="false"/>
          <w:smallCaps w:val="false"/>
        </w:rPr>
        <w:t> </w:t>
      </w:r>
    </w:p>
    <w:tbl>
      <w:tblPr>
        <w:tblW w:w="8575" w:type="dxa"/>
        <w:jc w:val="left"/>
        <w:tblInd w:w="0" w:type="dxa"/>
        <w:tblLayout w:type="fixed"/>
        <w:tblCellMar>
          <w:top w:w="0" w:type="dxa"/>
          <w:left w:w="0" w:type="dxa"/>
          <w:bottom w:w="28" w:type="dxa"/>
          <w:right w:w="0" w:type="dxa"/>
        </w:tblCellMar>
      </w:tblPr>
      <w:tblGrid>
        <w:gridCol w:w="890"/>
        <w:gridCol w:w="60"/>
        <w:gridCol w:w="7625"/>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both"/>
              <w:rPr/>
            </w:pPr>
            <w:r>
              <w:rPr/>
              <w:t> </w:t>
            </w:r>
          </w:p>
        </w:tc>
        <w:tc>
          <w:tcPr>
            <w:tcW w:w="762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762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w:anchor="tm2612889d1_ex99-1.htm">
              <w:r>
                <w:rPr>
                  <w:rStyle w:val="InternetLink"/>
                </w:rPr>
                <w:t xml:space="preserve">99.1   </w:t>
              </w:r>
            </w:hyperlink>
          </w:p>
        </w:tc>
        <w:tc>
          <w:tcPr>
            <w:tcW w:w="60" w:type="dxa"/>
            <w:tcBorders/>
            <w:tcMar>
              <w:bottom w:w="0" w:type="dxa"/>
            </w:tcMar>
            <w:vAlign w:val="center"/>
          </w:tcPr>
          <w:p>
            <w:pPr>
              <w:pStyle w:val="TableContents"/>
              <w:bidi w:val="0"/>
              <w:spacing w:before="0" w:after="283"/>
              <w:jc w:val="both"/>
              <w:rPr/>
            </w:pPr>
            <w:r>
              <w:rPr/>
              <w:t> </w:t>
            </w:r>
          </w:p>
        </w:tc>
        <w:tc>
          <w:tcPr>
            <w:tcW w:w="7625" w:type="dxa"/>
            <w:tcBorders/>
            <w:tcMar>
              <w:bottom w:w="0" w:type="dxa"/>
            </w:tcMar>
            <w:vAlign w:val="center"/>
          </w:tcPr>
          <w:p>
            <w:pPr>
              <w:pStyle w:val="TableContents"/>
              <w:bidi w:val="0"/>
              <w:spacing w:before="0" w:after="283"/>
              <w:jc w:val="left"/>
              <w:rPr/>
            </w:pPr>
            <w:hyperlink w:anchor="tm2612889d1_ex99-1.htm">
              <w:r>
                <w:rPr>
                  <w:rStyle w:val="InternetLink"/>
                </w:rPr>
                <w:t xml:space="preserve">Press Release dated April 28, 2026   </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762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1700"/>
        <w:gridCol w:w="320"/>
        <w:gridCol w:w="4025"/>
      </w:tblGrid>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43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43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28,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Charles C. Boettcher</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C. Boettcher</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7AB800"/>
        </w:rPr>
      </w:pPr>
      <w:bookmarkStart w:id="23" w:name="tm2612889d1_ex99-1.htm"/>
      <w:bookmarkStart w:id="24" w:name="kstm2612889d1_ex991"/>
      <w:bookmarkEnd w:id="23"/>
      <w:bookmarkEnd w:id="24"/>
      <w:r>
        <w:rPr>
          <w:caps w:val="false"/>
          <w:smallCaps w:val="false"/>
          <w:color w:val="7AB8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color w:val="7AB800"/>
        </w:rPr>
      </w:pPr>
      <w:r>
        <w:rPr>
          <w:caps w:val="false"/>
          <w:smallCaps w:val="false"/>
          <w:color w:val="7AB800"/>
        </w:rPr>
        <w:t> </w:t>
      </w:r>
    </w:p>
    <w:p>
      <w:pPr>
        <w:pStyle w:val="TextBody"/>
        <w:bidi w:val="0"/>
        <w:spacing w:before="0" w:after="0"/>
        <w:ind w:left="0" w:right="0" w:hanging="0"/>
        <w:jc w:val="center"/>
        <w:rPr>
          <w:rFonts w:ascii="Arial;Helvetica;Sans-Serif" w:hAnsi="Arial;Helvetica;Sans-Serif"/>
          <w:b w:val="false"/>
          <w:i w:val="false"/>
          <w:caps w:val="false"/>
          <w:smallCaps w:val="false"/>
          <w:color w:val="7AB800"/>
          <w:sz w:val="44"/>
        </w:rPr>
      </w:pPr>
      <w:r>
        <w:rPr>
          <w:rFonts w:ascii="Arial;Helvetica;Sans-Serif" w:hAnsi="Arial;Helvetica;Sans-Serif"/>
          <w:b w:val="false"/>
          <w:i w:val="false"/>
          <w:caps w:val="false"/>
          <w:smallCaps w:val="false"/>
          <w:color w:val="7AB800"/>
          <w:sz w:val="44"/>
        </w:rPr>
        <w:t>WM Announces First Quarter 2026 Earnings</w:t>
      </w:r>
    </w:p>
    <w:p>
      <w:pPr>
        <w:pStyle w:val="TextBody"/>
        <w:bidi w:val="0"/>
        <w:spacing w:before="0" w:after="0"/>
        <w:ind w:left="0" w:right="0" w:hanging="0"/>
        <w:jc w:val="center"/>
        <w:rPr>
          <w:caps w:val="false"/>
          <w:smallCaps w:val="false"/>
          <w:color w:val="7AB800"/>
        </w:rPr>
      </w:pPr>
      <w:r>
        <w:rPr>
          <w:caps w:val="false"/>
          <w:smallCaps w:val="false"/>
          <w:color w:val="7AB800"/>
        </w:rPr>
        <w:t> </w:t>
      </w:r>
    </w:p>
    <w:p>
      <w:pPr>
        <w:pStyle w:val="TextBody"/>
        <w:bidi w:val="0"/>
        <w:spacing w:before="0" w:after="0"/>
        <w:ind w:left="0" w:right="0" w:hanging="0"/>
        <w:jc w:val="center"/>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Strong Performance Drives Cash Flow from Operations 24% Higher to $1.5 Billion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The Company Reaffirms its Full-Year Financial Outlook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WM Completes Three Recycling Facilities Adding Key Capacity in Growing Markets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2"/>
        </w:rPr>
      </w:pPr>
      <w:r>
        <w:rPr>
          <w:rFonts w:ascii="Arial;Helvetica;Sans-Serif" w:hAnsi="Arial;Helvetica;Sans-Serif"/>
          <w:b/>
          <w:i w:val="false"/>
          <w:caps/>
          <w:sz w:val="22"/>
        </w:rPr>
        <w:t>Houston</w:t>
      </w:r>
      <w:r>
        <w:rPr>
          <w:rFonts w:ascii="Arial;Helvetica;Sans-Serif" w:hAnsi="Arial;Helvetica;Sans-Serif"/>
          <w:b w:val="false"/>
          <w:i w:val="false"/>
          <w:caps w:val="false"/>
          <w:smallCaps w:val="false"/>
          <w:sz w:val="22"/>
        </w:rPr>
        <w:t xml:space="preserve"> — </w:t>
      </w:r>
      <w:r>
        <w:rPr>
          <w:rFonts w:ascii="Arial;Helvetica;Sans-Serif" w:hAnsi="Arial;Helvetica;Sans-Serif"/>
          <w:b/>
          <w:i w:val="false"/>
          <w:caps w:val="false"/>
          <w:smallCaps w:val="false"/>
          <w:sz w:val="22"/>
        </w:rPr>
        <w:t xml:space="preserve">April 28, 2026 </w:t>
      </w:r>
      <w:r>
        <w:rPr>
          <w:rFonts w:ascii="Arial;Helvetica;Sans-Serif" w:hAnsi="Arial;Helvetica;Sans-Serif"/>
          <w:b w:val="false"/>
          <w:i w:val="false"/>
          <w:caps w:val="false"/>
          <w:smallCaps w:val="false"/>
          <w:sz w:val="22"/>
        </w:rPr>
        <w:t>— WM (NYSE: WM) today announced financial results for the quarter ended March 31, 2026.</w:t>
      </w:r>
    </w:p>
    <w:p>
      <w:pPr>
        <w:pStyle w:val="TextBody"/>
        <w:bidi w:val="0"/>
        <w:spacing w:before="0" w:after="0"/>
        <w:ind w:left="0" w:right="0" w:hanging="0"/>
        <w:jc w:val="both"/>
        <w:rPr>
          <w:caps w:val="false"/>
          <w:smallCaps w:val="false"/>
        </w:rPr>
      </w:pPr>
      <w:r>
        <w:rPr>
          <w:caps w:val="false"/>
          <w:smallCaps w:val="false"/>
        </w:rPr>
        <w:t> </w:t>
      </w:r>
    </w:p>
    <w:tbl>
      <w:tblPr>
        <w:tblW w:w="8203" w:type="dxa"/>
        <w:jc w:val="left"/>
        <w:tblInd w:w="0" w:type="dxa"/>
        <w:tblLayout w:type="fixed"/>
        <w:tblCellMar>
          <w:top w:w="0" w:type="dxa"/>
          <w:left w:w="0" w:type="dxa"/>
          <w:bottom w:w="0" w:type="dxa"/>
          <w:right w:w="0" w:type="dxa"/>
        </w:tblCellMar>
      </w:tblPr>
      <w:tblGrid>
        <w:gridCol w:w="2150"/>
        <w:gridCol w:w="1403"/>
        <w:gridCol w:w="1586"/>
        <w:gridCol w:w="60"/>
        <w:gridCol w:w="1401"/>
        <w:gridCol w:w="1603"/>
      </w:tblGrid>
      <w:tr>
        <w:trPr/>
        <w:tc>
          <w:tcPr>
            <w:tcW w:w="2150" w:type="dxa"/>
            <w:tcBorders/>
            <w:vAlign w:val="center"/>
          </w:tcPr>
          <w:p>
            <w:pPr>
              <w:pStyle w:val="TableContents"/>
              <w:bidi w:val="0"/>
              <w:spacing w:before="0" w:after="283"/>
              <w:jc w:val="both"/>
              <w:rPr/>
            </w:pPr>
            <w:r>
              <w:rPr/>
              <w:t> </w:t>
            </w:r>
          </w:p>
        </w:tc>
        <w:tc>
          <w:tcPr>
            <w:tcW w:w="2989" w:type="dxa"/>
            <w:gridSpan w:val="2"/>
            <w:tcBorders/>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Three Months Ended</w:t>
            </w:r>
          </w:p>
        </w:tc>
        <w:tc>
          <w:tcPr>
            <w:tcW w:w="60" w:type="dxa"/>
            <w:tcBorders/>
            <w:vAlign w:val="center"/>
          </w:tcPr>
          <w:p>
            <w:pPr>
              <w:pStyle w:val="TableContents"/>
              <w:bidi w:val="0"/>
              <w:spacing w:before="0" w:after="283"/>
              <w:jc w:val="center"/>
              <w:rPr/>
            </w:pPr>
            <w:r>
              <w:rPr/>
              <w:t> </w:t>
            </w:r>
          </w:p>
        </w:tc>
        <w:tc>
          <w:tcPr>
            <w:tcW w:w="3004" w:type="dxa"/>
            <w:gridSpan w:val="2"/>
            <w:tcBorders/>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Three Months Ended</w:t>
            </w:r>
          </w:p>
        </w:tc>
      </w:tr>
      <w:tr>
        <w:trPr/>
        <w:tc>
          <w:tcPr>
            <w:tcW w:w="2150" w:type="dxa"/>
            <w:tcBorders/>
            <w:vAlign w:val="center"/>
          </w:tcPr>
          <w:p>
            <w:pPr>
              <w:pStyle w:val="TableContents"/>
              <w:bidi w:val="0"/>
              <w:spacing w:before="0" w:after="283"/>
              <w:jc w:val="both"/>
              <w:rPr/>
            </w:pPr>
            <w:r>
              <w:rPr/>
              <w:t> </w:t>
            </w:r>
          </w:p>
        </w:tc>
        <w:tc>
          <w:tcPr>
            <w:tcW w:w="2989" w:type="dxa"/>
            <w:gridSpan w:val="2"/>
            <w:tcBorders/>
            <w:vAlign w:val="center"/>
          </w:tcPr>
          <w:p>
            <w:pPr>
              <w:pStyle w:val="TableContents"/>
              <w:bidi w:val="0"/>
              <w:spacing w:before="0" w:after="283"/>
              <w:jc w:val="center"/>
              <w:rPr>
                <w:color w:val="272727"/>
                <w:sz w:val="18"/>
              </w:rPr>
            </w:pPr>
            <w:r>
              <w:rPr>
                <w:rFonts w:ascii="Arial;Helvetica;Sans-Serif" w:hAnsi="Arial;Helvetica;Sans-Serif"/>
                <w:b/>
                <w:color w:val="272727"/>
                <w:sz w:val="18"/>
                <w:u w:val="single"/>
              </w:rPr>
              <w:t>March 31, 2026</w:t>
              <w:br/>
            </w:r>
            <w:r>
              <w:rPr>
                <w:b/>
                <w:color w:val="272727"/>
                <w:sz w:val="18"/>
                <w:u w:val="single"/>
              </w:rPr>
              <w:t>(in millions, except per share amounts)</w:t>
            </w:r>
          </w:p>
        </w:tc>
        <w:tc>
          <w:tcPr>
            <w:tcW w:w="60" w:type="dxa"/>
            <w:tcBorders/>
            <w:vAlign w:val="center"/>
          </w:tcPr>
          <w:p>
            <w:pPr>
              <w:pStyle w:val="TableContents"/>
              <w:bidi w:val="0"/>
              <w:spacing w:before="0" w:after="283"/>
              <w:jc w:val="center"/>
              <w:rPr/>
            </w:pPr>
            <w:r>
              <w:rPr/>
              <w:t> </w:t>
            </w:r>
          </w:p>
        </w:tc>
        <w:tc>
          <w:tcPr>
            <w:tcW w:w="3004" w:type="dxa"/>
            <w:gridSpan w:val="2"/>
            <w:tcBorders/>
            <w:vAlign w:val="center"/>
          </w:tcPr>
          <w:p>
            <w:pPr>
              <w:pStyle w:val="TableContents"/>
              <w:bidi w:val="0"/>
              <w:spacing w:before="0" w:after="283"/>
              <w:jc w:val="center"/>
              <w:rPr>
                <w:b/>
                <w:sz w:val="18"/>
                <w:u w:val="single"/>
              </w:rPr>
            </w:pPr>
            <w:r>
              <w:rPr>
                <w:b/>
                <w:sz w:val="18"/>
                <w:u w:val="single"/>
              </w:rPr>
              <w:t xml:space="preserve">March 31, 2025 </w:t>
              <w:br/>
              <w:t>(in millions, except per share amounts)</w:t>
            </w:r>
          </w:p>
        </w:tc>
      </w:tr>
      <w:tr>
        <w:trPr/>
        <w:tc>
          <w:tcPr>
            <w:tcW w:w="8203" w:type="dxa"/>
            <w:gridSpan w:val="6"/>
            <w:tcBorders/>
            <w:vAlign w:val="center"/>
          </w:tcPr>
          <w:p>
            <w:pPr>
              <w:pStyle w:val="TableContents"/>
              <w:bidi w:val="0"/>
              <w:spacing w:before="0" w:after="283"/>
              <w:jc w:val="center"/>
              <w:rPr/>
            </w:pPr>
            <w:r>
              <w:rPr/>
              <w:t> </w:t>
            </w:r>
          </w:p>
        </w:tc>
      </w:tr>
      <w:tr>
        <w:trPr/>
        <w:tc>
          <w:tcPr>
            <w:tcW w:w="2150" w:type="dxa"/>
            <w:tcBorders/>
            <w:vAlign w:val="center"/>
          </w:tcPr>
          <w:p>
            <w:pPr>
              <w:pStyle w:val="TableContents"/>
              <w:bidi w:val="0"/>
              <w:spacing w:before="0" w:after="283"/>
              <w:jc w:val="both"/>
              <w:rPr/>
            </w:pPr>
            <w:r>
              <w:rPr/>
              <w:t> </w:t>
            </w:r>
          </w:p>
        </w:tc>
        <w:tc>
          <w:tcPr>
            <w:tcW w:w="1403"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As Reported</w:t>
            </w:r>
          </w:p>
        </w:tc>
        <w:tc>
          <w:tcPr>
            <w:tcW w:w="158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As Adjusted</w:t>
            </w:r>
            <w:r>
              <w:rPr>
                <w:rFonts w:ascii="Arial;Helvetica;Sans-Serif" w:hAnsi="Arial;Helvetica;Sans-Serif"/>
                <w:position w:val="6"/>
                <w:sz w:val="14"/>
                <w:sz w:val="18"/>
              </w:rPr>
              <w:t>(a)</w:t>
            </w:r>
          </w:p>
        </w:tc>
        <w:tc>
          <w:tcPr>
            <w:tcW w:w="60" w:type="dxa"/>
            <w:tcBorders/>
            <w:vAlign w:val="center"/>
          </w:tcPr>
          <w:p>
            <w:pPr>
              <w:pStyle w:val="TableContents"/>
              <w:bidi w:val="0"/>
              <w:spacing w:before="0" w:after="283"/>
              <w:jc w:val="center"/>
              <w:rPr/>
            </w:pPr>
            <w:r>
              <w:rPr/>
              <w:t> </w:t>
            </w:r>
          </w:p>
        </w:tc>
        <w:tc>
          <w:tcPr>
            <w:tcW w:w="140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As Reported</w:t>
            </w:r>
          </w:p>
        </w:tc>
        <w:tc>
          <w:tcPr>
            <w:tcW w:w="1603"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As Adjusted</w:t>
            </w:r>
            <w:r>
              <w:rPr>
                <w:rFonts w:ascii="Arial;Helvetica;Sans-Serif" w:hAnsi="Arial;Helvetica;Sans-Serif"/>
                <w:position w:val="6"/>
                <w:sz w:val="14"/>
                <w:sz w:val="18"/>
              </w:rPr>
              <w:t>(a)</w:t>
            </w:r>
          </w:p>
        </w:tc>
      </w:tr>
      <w:tr>
        <w:trPr/>
        <w:tc>
          <w:tcPr>
            <w:tcW w:w="215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center"/>
              <w:rPr/>
            </w:pPr>
            <w:r>
              <w:rPr/>
              <w:t> </w:t>
            </w:r>
          </w:p>
        </w:tc>
        <w:tc>
          <w:tcPr>
            <w:tcW w:w="15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1" w:type="dxa"/>
            <w:tcBorders/>
            <w:vAlign w:val="center"/>
          </w:tcPr>
          <w:p>
            <w:pPr>
              <w:pStyle w:val="TableContents"/>
              <w:bidi w:val="0"/>
              <w:spacing w:before="0" w:after="283"/>
              <w:jc w:val="center"/>
              <w:rPr/>
            </w:pPr>
            <w:r>
              <w:rPr/>
              <w:t> </w:t>
            </w:r>
          </w:p>
        </w:tc>
        <w:tc>
          <w:tcPr>
            <w:tcW w:w="1603" w:type="dxa"/>
            <w:tcBorders/>
            <w:vAlign w:val="center"/>
          </w:tcPr>
          <w:p>
            <w:pPr>
              <w:pStyle w:val="TableContents"/>
              <w:bidi w:val="0"/>
              <w:spacing w:before="0" w:after="283"/>
              <w:jc w:val="center"/>
              <w:rPr/>
            </w:pPr>
            <w:r>
              <w:rPr/>
              <w:t> </w:t>
            </w:r>
          </w:p>
        </w:tc>
      </w:tr>
      <w:tr>
        <w:trPr/>
        <w:tc>
          <w:tcPr>
            <w:tcW w:w="215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Revenue</w:t>
            </w:r>
          </w:p>
        </w:tc>
        <w:tc>
          <w:tcPr>
            <w:tcW w:w="1403"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$6,227</w:t>
            </w:r>
          </w:p>
        </w:tc>
        <w:tc>
          <w:tcPr>
            <w:tcW w:w="158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$6,227</w:t>
            </w:r>
          </w:p>
        </w:tc>
        <w:tc>
          <w:tcPr>
            <w:tcW w:w="60" w:type="dxa"/>
            <w:tcBorders/>
            <w:vAlign w:val="center"/>
          </w:tcPr>
          <w:p>
            <w:pPr>
              <w:pStyle w:val="TableContents"/>
              <w:bidi w:val="0"/>
              <w:spacing w:before="0" w:after="283"/>
              <w:jc w:val="center"/>
              <w:rPr/>
            </w:pPr>
            <w:r>
              <w:rPr/>
              <w:t> </w:t>
            </w:r>
          </w:p>
        </w:tc>
        <w:tc>
          <w:tcPr>
            <w:tcW w:w="140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$6,018</w:t>
            </w:r>
          </w:p>
        </w:tc>
        <w:tc>
          <w:tcPr>
            <w:tcW w:w="1603"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$6,018</w:t>
            </w:r>
          </w:p>
        </w:tc>
      </w:tr>
      <w:tr>
        <w:trPr/>
        <w:tc>
          <w:tcPr>
            <w:tcW w:w="215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center"/>
              <w:rPr/>
            </w:pPr>
            <w:r>
              <w:rPr/>
              <w:t> </w:t>
            </w:r>
          </w:p>
        </w:tc>
        <w:tc>
          <w:tcPr>
            <w:tcW w:w="15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1" w:type="dxa"/>
            <w:tcBorders/>
            <w:vAlign w:val="center"/>
          </w:tcPr>
          <w:p>
            <w:pPr>
              <w:pStyle w:val="TableContents"/>
              <w:bidi w:val="0"/>
              <w:spacing w:before="0" w:after="283"/>
              <w:jc w:val="center"/>
              <w:rPr/>
            </w:pPr>
            <w:r>
              <w:rPr/>
              <w:t> </w:t>
            </w:r>
          </w:p>
        </w:tc>
        <w:tc>
          <w:tcPr>
            <w:tcW w:w="1603" w:type="dxa"/>
            <w:tcBorders/>
            <w:vAlign w:val="center"/>
          </w:tcPr>
          <w:p>
            <w:pPr>
              <w:pStyle w:val="TableContents"/>
              <w:bidi w:val="0"/>
              <w:spacing w:before="0" w:after="283"/>
              <w:jc w:val="center"/>
              <w:rPr/>
            </w:pPr>
            <w:r>
              <w:rPr/>
              <w:t> </w:t>
            </w:r>
          </w:p>
        </w:tc>
      </w:tr>
      <w:tr>
        <w:trPr/>
        <w:tc>
          <w:tcPr>
            <w:tcW w:w="215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Income from Operations</w:t>
            </w:r>
          </w:p>
        </w:tc>
        <w:tc>
          <w:tcPr>
            <w:tcW w:w="1403"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$1,113</w:t>
            </w:r>
          </w:p>
        </w:tc>
        <w:tc>
          <w:tcPr>
            <w:tcW w:w="158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$1,118</w:t>
            </w:r>
          </w:p>
        </w:tc>
        <w:tc>
          <w:tcPr>
            <w:tcW w:w="60" w:type="dxa"/>
            <w:tcBorders/>
            <w:vAlign w:val="center"/>
          </w:tcPr>
          <w:p>
            <w:pPr>
              <w:pStyle w:val="TableContents"/>
              <w:bidi w:val="0"/>
              <w:spacing w:before="0" w:after="283"/>
              <w:jc w:val="center"/>
              <w:rPr/>
            </w:pPr>
            <w:r>
              <w:rPr/>
              <w:t> </w:t>
            </w:r>
          </w:p>
        </w:tc>
        <w:tc>
          <w:tcPr>
            <w:tcW w:w="140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$1,013</w:t>
            </w:r>
          </w:p>
        </w:tc>
        <w:tc>
          <w:tcPr>
            <w:tcW w:w="1603"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$1,059</w:t>
            </w:r>
          </w:p>
        </w:tc>
      </w:tr>
      <w:tr>
        <w:trPr/>
        <w:tc>
          <w:tcPr>
            <w:tcW w:w="215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center"/>
              <w:rPr/>
            </w:pPr>
            <w:r>
              <w:rPr/>
              <w:t> </w:t>
            </w:r>
          </w:p>
        </w:tc>
        <w:tc>
          <w:tcPr>
            <w:tcW w:w="15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1" w:type="dxa"/>
            <w:tcBorders/>
            <w:vAlign w:val="center"/>
          </w:tcPr>
          <w:p>
            <w:pPr>
              <w:pStyle w:val="TableContents"/>
              <w:bidi w:val="0"/>
              <w:spacing w:before="0" w:after="283"/>
              <w:jc w:val="center"/>
              <w:rPr/>
            </w:pPr>
            <w:r>
              <w:rPr/>
              <w:t> </w:t>
            </w:r>
          </w:p>
        </w:tc>
        <w:tc>
          <w:tcPr>
            <w:tcW w:w="1603" w:type="dxa"/>
            <w:tcBorders/>
            <w:vAlign w:val="center"/>
          </w:tcPr>
          <w:p>
            <w:pPr>
              <w:pStyle w:val="TableContents"/>
              <w:bidi w:val="0"/>
              <w:spacing w:before="0" w:after="283"/>
              <w:jc w:val="center"/>
              <w:rPr/>
            </w:pPr>
            <w:r>
              <w:rPr/>
              <w:t> </w:t>
            </w:r>
          </w:p>
        </w:tc>
      </w:tr>
      <w:tr>
        <w:trPr/>
        <w:tc>
          <w:tcPr>
            <w:tcW w:w="215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Operating EBITDA</w:t>
            </w:r>
            <w:r>
              <w:rPr>
                <w:rFonts w:ascii="Arial;Helvetica;Sans-Serif" w:hAnsi="Arial;Helvetica;Sans-Serif"/>
                <w:position w:val="6"/>
                <w:sz w:val="14"/>
                <w:sz w:val="18"/>
              </w:rPr>
              <w:t>(b) (c)</w:t>
            </w:r>
          </w:p>
        </w:tc>
        <w:tc>
          <w:tcPr>
            <w:tcW w:w="1403"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$1,848</w:t>
            </w:r>
          </w:p>
        </w:tc>
        <w:tc>
          <w:tcPr>
            <w:tcW w:w="158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$1,853</w:t>
            </w:r>
          </w:p>
        </w:tc>
        <w:tc>
          <w:tcPr>
            <w:tcW w:w="60" w:type="dxa"/>
            <w:tcBorders/>
            <w:vAlign w:val="center"/>
          </w:tcPr>
          <w:p>
            <w:pPr>
              <w:pStyle w:val="TableContents"/>
              <w:bidi w:val="0"/>
              <w:spacing w:before="0" w:after="283"/>
              <w:jc w:val="center"/>
              <w:rPr/>
            </w:pPr>
            <w:r>
              <w:rPr/>
              <w:t> </w:t>
            </w:r>
          </w:p>
        </w:tc>
        <w:tc>
          <w:tcPr>
            <w:tcW w:w="140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$1,704</w:t>
            </w:r>
          </w:p>
        </w:tc>
        <w:tc>
          <w:tcPr>
            <w:tcW w:w="1603"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$1,750</w:t>
            </w:r>
          </w:p>
        </w:tc>
      </w:tr>
      <w:tr>
        <w:trPr/>
        <w:tc>
          <w:tcPr>
            <w:tcW w:w="215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center"/>
              <w:rPr/>
            </w:pPr>
            <w:r>
              <w:rPr/>
              <w:t> </w:t>
            </w:r>
          </w:p>
        </w:tc>
        <w:tc>
          <w:tcPr>
            <w:tcW w:w="15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1" w:type="dxa"/>
            <w:tcBorders/>
            <w:vAlign w:val="center"/>
          </w:tcPr>
          <w:p>
            <w:pPr>
              <w:pStyle w:val="TableContents"/>
              <w:bidi w:val="0"/>
              <w:spacing w:before="0" w:after="283"/>
              <w:jc w:val="center"/>
              <w:rPr/>
            </w:pPr>
            <w:r>
              <w:rPr/>
              <w:t> </w:t>
            </w:r>
          </w:p>
        </w:tc>
        <w:tc>
          <w:tcPr>
            <w:tcW w:w="1603" w:type="dxa"/>
            <w:tcBorders/>
            <w:vAlign w:val="center"/>
          </w:tcPr>
          <w:p>
            <w:pPr>
              <w:pStyle w:val="TableContents"/>
              <w:bidi w:val="0"/>
              <w:spacing w:before="0" w:after="283"/>
              <w:jc w:val="center"/>
              <w:rPr/>
            </w:pPr>
            <w:r>
              <w:rPr/>
              <w:t> </w:t>
            </w:r>
          </w:p>
        </w:tc>
      </w:tr>
      <w:tr>
        <w:trPr/>
        <w:tc>
          <w:tcPr>
            <w:tcW w:w="215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Operating EBITDA Margin</w:t>
            </w:r>
          </w:p>
        </w:tc>
        <w:tc>
          <w:tcPr>
            <w:tcW w:w="1403"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29.7%</w:t>
            </w:r>
          </w:p>
        </w:tc>
        <w:tc>
          <w:tcPr>
            <w:tcW w:w="158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29.8%</w:t>
            </w:r>
          </w:p>
        </w:tc>
        <w:tc>
          <w:tcPr>
            <w:tcW w:w="60" w:type="dxa"/>
            <w:tcBorders/>
            <w:vAlign w:val="center"/>
          </w:tcPr>
          <w:p>
            <w:pPr>
              <w:pStyle w:val="TableContents"/>
              <w:bidi w:val="0"/>
              <w:spacing w:before="0" w:after="283"/>
              <w:jc w:val="center"/>
              <w:rPr/>
            </w:pPr>
            <w:r>
              <w:rPr/>
              <w:t> </w:t>
            </w:r>
          </w:p>
        </w:tc>
        <w:tc>
          <w:tcPr>
            <w:tcW w:w="140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28.3%</w:t>
            </w:r>
          </w:p>
        </w:tc>
        <w:tc>
          <w:tcPr>
            <w:tcW w:w="1603"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29.1%</w:t>
            </w:r>
          </w:p>
        </w:tc>
      </w:tr>
      <w:tr>
        <w:trPr/>
        <w:tc>
          <w:tcPr>
            <w:tcW w:w="215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center"/>
              <w:rPr/>
            </w:pPr>
            <w:r>
              <w:rPr/>
              <w:t> </w:t>
            </w:r>
          </w:p>
        </w:tc>
        <w:tc>
          <w:tcPr>
            <w:tcW w:w="15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1" w:type="dxa"/>
            <w:tcBorders/>
            <w:vAlign w:val="center"/>
          </w:tcPr>
          <w:p>
            <w:pPr>
              <w:pStyle w:val="TableContents"/>
              <w:bidi w:val="0"/>
              <w:spacing w:before="0" w:after="283"/>
              <w:jc w:val="center"/>
              <w:rPr/>
            </w:pPr>
            <w:r>
              <w:rPr/>
              <w:t> </w:t>
            </w:r>
          </w:p>
        </w:tc>
        <w:tc>
          <w:tcPr>
            <w:tcW w:w="1603" w:type="dxa"/>
            <w:tcBorders/>
            <w:vAlign w:val="center"/>
          </w:tcPr>
          <w:p>
            <w:pPr>
              <w:pStyle w:val="TableContents"/>
              <w:bidi w:val="0"/>
              <w:spacing w:before="0" w:after="283"/>
              <w:jc w:val="center"/>
              <w:rPr/>
            </w:pPr>
            <w:r>
              <w:rPr/>
              <w:t> </w:t>
            </w:r>
          </w:p>
        </w:tc>
      </w:tr>
      <w:tr>
        <w:trPr/>
        <w:tc>
          <w:tcPr>
            <w:tcW w:w="215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Net Income</w:t>
            </w:r>
            <w:r>
              <w:rPr>
                <w:rFonts w:ascii="Arial;Helvetica;Sans-Serif" w:hAnsi="Arial;Helvetica;Sans-Serif"/>
                <w:position w:val="6"/>
                <w:sz w:val="14"/>
                <w:sz w:val="18"/>
              </w:rPr>
              <w:t>(d)</w:t>
            </w:r>
          </w:p>
        </w:tc>
        <w:tc>
          <w:tcPr>
            <w:tcW w:w="1403"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$723</w:t>
            </w:r>
          </w:p>
        </w:tc>
        <w:tc>
          <w:tcPr>
            <w:tcW w:w="158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$731</w:t>
            </w:r>
          </w:p>
        </w:tc>
        <w:tc>
          <w:tcPr>
            <w:tcW w:w="60" w:type="dxa"/>
            <w:tcBorders/>
            <w:vAlign w:val="center"/>
          </w:tcPr>
          <w:p>
            <w:pPr>
              <w:pStyle w:val="TableContents"/>
              <w:bidi w:val="0"/>
              <w:spacing w:before="0" w:after="283"/>
              <w:jc w:val="center"/>
              <w:rPr/>
            </w:pPr>
            <w:r>
              <w:rPr/>
              <w:t> </w:t>
            </w:r>
          </w:p>
        </w:tc>
        <w:tc>
          <w:tcPr>
            <w:tcW w:w="140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$637</w:t>
            </w:r>
          </w:p>
        </w:tc>
        <w:tc>
          <w:tcPr>
            <w:tcW w:w="1603"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$673</w:t>
            </w:r>
          </w:p>
        </w:tc>
      </w:tr>
      <w:tr>
        <w:trPr/>
        <w:tc>
          <w:tcPr>
            <w:tcW w:w="215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center"/>
              <w:rPr/>
            </w:pPr>
            <w:r>
              <w:rPr/>
              <w:t> </w:t>
            </w:r>
          </w:p>
        </w:tc>
        <w:tc>
          <w:tcPr>
            <w:tcW w:w="15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1" w:type="dxa"/>
            <w:tcBorders/>
            <w:vAlign w:val="center"/>
          </w:tcPr>
          <w:p>
            <w:pPr>
              <w:pStyle w:val="TableContents"/>
              <w:bidi w:val="0"/>
              <w:spacing w:before="0" w:after="283"/>
              <w:jc w:val="center"/>
              <w:rPr/>
            </w:pPr>
            <w:r>
              <w:rPr/>
              <w:t> </w:t>
            </w:r>
          </w:p>
        </w:tc>
        <w:tc>
          <w:tcPr>
            <w:tcW w:w="1603" w:type="dxa"/>
            <w:tcBorders/>
            <w:vAlign w:val="center"/>
          </w:tcPr>
          <w:p>
            <w:pPr>
              <w:pStyle w:val="TableContents"/>
              <w:bidi w:val="0"/>
              <w:spacing w:before="0" w:after="283"/>
              <w:jc w:val="center"/>
              <w:rPr/>
            </w:pPr>
            <w:r>
              <w:rPr/>
              <w:t> </w:t>
            </w:r>
          </w:p>
        </w:tc>
      </w:tr>
      <w:tr>
        <w:trPr/>
        <w:tc>
          <w:tcPr>
            <w:tcW w:w="215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Diluted EPS</w:t>
            </w:r>
          </w:p>
        </w:tc>
        <w:tc>
          <w:tcPr>
            <w:tcW w:w="1403"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$1.79</w:t>
            </w:r>
          </w:p>
        </w:tc>
        <w:tc>
          <w:tcPr>
            <w:tcW w:w="1586"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$1.81</w:t>
            </w:r>
          </w:p>
        </w:tc>
        <w:tc>
          <w:tcPr>
            <w:tcW w:w="60" w:type="dxa"/>
            <w:tcBorders/>
            <w:vAlign w:val="center"/>
          </w:tcPr>
          <w:p>
            <w:pPr>
              <w:pStyle w:val="TableContents"/>
              <w:bidi w:val="0"/>
              <w:spacing w:before="0" w:after="283"/>
              <w:jc w:val="center"/>
              <w:rPr/>
            </w:pPr>
            <w:r>
              <w:rPr/>
              <w:t> </w:t>
            </w:r>
          </w:p>
        </w:tc>
        <w:tc>
          <w:tcPr>
            <w:tcW w:w="1401"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$1.58</w:t>
            </w:r>
          </w:p>
        </w:tc>
        <w:tc>
          <w:tcPr>
            <w:tcW w:w="1603"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$1.67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22"/>
        </w:rPr>
        <w:t>Strong earnings and cash flow results in the quarter achieved our expectations, reflecting the strength of the WM team and the resilience of our business model,” said Jim Fish, WM’s CEO. “Disciplined pricing, cost optimization and contributions from sustainability growth projects led to first quarter adjusted operating EBITDA growth of 5.9% and margin expansion of 70 basis points despite a challenging quarter of weather impacts.</w:t>
      </w:r>
      <w:r>
        <w:rPr>
          <w:rFonts w:ascii="Arial;Helvetica;Sans-Serif" w:hAnsi="Arial;Helvetica;Sans-Serif"/>
          <w:b w:val="false"/>
          <w:i w:val="false"/>
          <w:caps w:val="false"/>
          <w:smallCaps w:val="false"/>
          <w:position w:val="7"/>
          <w:sz w:val="18"/>
          <w:sz w:val="22"/>
        </w:rPr>
        <w:t>(a)</w:t>
      </w:r>
      <w:r>
        <w:rPr>
          <w:rFonts w:ascii="Arial;Helvetica;Sans-Serif" w:hAnsi="Arial;Helvetica;Sans-Serif"/>
          <w:b w:val="false"/>
          <w:i w:val="false"/>
          <w:caps w:val="false"/>
          <w:smallCaps w:val="false"/>
          <w:sz w:val="22"/>
        </w:rPr>
        <w:t xml:space="preserve"> The momentum in our business, combined with our confidence in our ability to execute on our plan for the balance of the year, sets us up to achieve the full-year financial outlook we provided last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Fish continued, “Our start to 2026 strengthens our conviction in the ability to harvest the benefits of our strategic investments in recycling, renewable energy, a medical waste platform, technology, and our fleet, as free cash flow nearly doubled in the quarter compared to prior year.</w:t>
      </w:r>
      <w:r>
        <w:rPr>
          <w:rFonts w:ascii="Arial;Helvetica;Sans-Serif" w:hAnsi="Arial;Helvetica;Sans-Serif"/>
          <w:b w:val="false"/>
          <w:i w:val="false"/>
          <w:caps w:val="false"/>
          <w:smallCaps w:val="false"/>
          <w:position w:val="7"/>
          <w:sz w:val="18"/>
          <w:sz w:val="22"/>
        </w:rPr>
        <w:t>(a)</w:t>
      </w:r>
      <w:r>
        <w:rPr>
          <w:rFonts w:ascii="Arial;Helvetica;Sans-Serif" w:hAnsi="Arial;Helvetica;Sans-Serif"/>
          <w:b w:val="false"/>
          <w:i w:val="false"/>
          <w:caps w:val="false"/>
          <w:smallCaps w:val="false"/>
          <w:sz w:val="22"/>
        </w:rPr>
        <w:t xml:space="preserve"> We allocated the majority of first quarter free cash flow to shareholders, returning nearly $730 million through dividends and share repurchases during the quarter. Our balance sheet remains flexible, reflecting our financial discipline and positioning WM to capitalize on opportunities in any economic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sz w:val="22"/>
        </w:rPr>
      </w:pPr>
      <w:r>
        <w:rPr>
          <w:rFonts w:ascii="Arial;Helvetica;Sans-Serif" w:hAnsi="Arial;Helvetica;Sans-Serif"/>
          <w:b/>
          <w:i w:val="false"/>
          <w:caps/>
          <w:sz w:val="22"/>
        </w:rPr>
        <w:t xml:space="preserve">KEY HIGHLIGHTS FOR the fIRST quarter OF 2026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Adjusted operating EBITDA grew 5.9%, with margin expanding 70 basis points.</w:t>
            </w:r>
            <w:r>
              <w:rPr>
                <w:position w:val="8"/>
                <w:sz w:val="19"/>
              </w:rPr>
              <w:t>(a)</w:t>
            </w:r>
            <w:r>
              <w:rPr/>
              <w:t xml:space="preserve"> Performance was led by the Collection and Disposal business, driven by disciplined price execution, operating cost control, and continued optimization of business mix.</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Collection and Disposal operating EBITDA grew by $154 million and margin expanded 190 basis points. On an adjusted basis, operating EBITDA grew by $118 million and margin expanded 110 basis points. The improvement was driven by favorable price-to-cost spread as the Company invests in making improvements in frontline retention and leverages technology and automation to reduce costs.</w:t>
            </w:r>
            <w:r>
              <w:rPr>
                <w:position w:val="8"/>
                <w:sz w:val="19"/>
              </w:rPr>
              <w:t>(a)</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Together, operating EBITDA in the Recycling and Renewable Energy businesses grew $51 million, or $49 million on an adjusted basis, driven by increased renewable natural gas production from growth projects as well as higher recycling volumes and benefits from automation projects.</w:t>
            </w:r>
            <w:r>
              <w:rPr>
                <w:position w:val="8"/>
                <w:sz w:val="19"/>
              </w:rPr>
              <w:t>(a)(e)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Operating EBITDA grew by 18.4%, or 11.6% on an adjusted basis, in the Healthcare Solutions business, driven by effective SG&amp;A cost management and synergy capture.</w:t>
            </w:r>
            <w:r>
              <w:rPr>
                <w:position w:val="8"/>
                <w:sz w:val="19"/>
              </w:rPr>
              <w:t>(a)</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Revenue grew 3.5%, driven by core price of 6.3% and collection and disposal yield of 3.9%. In addition to strong execution on pricing, revenue growth was driven by increased volumes in the Recycling and Renewable Energy businesses from completed growth projects.</w:t>
            </w:r>
            <w:r>
              <w:rPr>
                <w:position w:val="8"/>
                <w:sz w:val="19"/>
              </w:rPr>
              <w:t>(f)</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Collection and disposal volume declined 1.5%, primarily due to the impacts of harsh winter weather, intentional shedding of lower-margin residential business, and wildfire cleanup activities that benefitted the prior year period. These volume declines were partially offset by growth in MSW volume.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Operating expenses were 59.3% of revenue, or 59.2% on an adjusted basis, which was an improvement of 70 basis points both on a reported and adjusted basis from the prior year and reflects the Company’s commitment to using technology and automation to optimize its cost structure and enhance operational efficiency.</w:t>
            </w:r>
            <w:r>
              <w:rPr>
                <w:position w:val="8"/>
                <w:sz w:val="19"/>
              </w:rPr>
              <w:t>(a)(c)</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The Company generated $1.5 billion of net cash provided by operating activities compared to $1.21 billion in the prior year period, primarily driven by operating EBITDA growth and working capital improvements. Free cash flow was $920 million, compared to $475 million in the prior year period.</w:t>
            </w:r>
            <w:r>
              <w:rPr>
                <w:position w:val="8"/>
                <w:sz w:val="19"/>
              </w:rPr>
              <w:t>(a)</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The Company returned $729 million to shareholders in the first quarter, including $385 million in cash dividends and $344 million of share repurchases.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During the quarter, the Company’s leverage ratio returned to its target range of between 2.5 to 3.0 times total debt to EBITDA.</w:t>
            </w:r>
            <w:r>
              <w:rPr>
                <w:position w:val="8"/>
                <w:sz w:val="19"/>
              </w:rPr>
              <w:t>(g)</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The Company began operations at new recycling facilities in Ontario and Detroit and completed a recycling automation project in South Florida, which is now its largest single stream facility. Together, the projects added nearly 300,000 tons of processing capacity.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60" w:after="60"/>
        <w:ind w:left="72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954" w:type="dxa"/>
            <w:tcBorders/>
            <w:vAlign w:val="center"/>
          </w:tcPr>
          <w:p>
            <w:pPr>
              <w:pStyle w:val="TableContents"/>
              <w:bidi w:val="0"/>
              <w:spacing w:before="0" w:after="283"/>
              <w:jc w:val="both"/>
              <w:rPr>
                <w:sz w:val="20"/>
              </w:rPr>
            </w:pPr>
            <w:r>
              <w:rPr>
                <w:sz w:val="20"/>
              </w:rPr>
              <w:t xml:space="preserve">The information labeled as adjusted in this press release, as well as free cash flow, are non-GAAP measures. Please see “Non-GAAP Financial Measures” below and the reconciliations in the accompanying schedules for more information.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953" w:type="dxa"/>
            <w:tcBorders/>
            <w:vAlign w:val="center"/>
          </w:tcPr>
          <w:p>
            <w:pPr>
              <w:pStyle w:val="TableContents"/>
              <w:bidi w:val="0"/>
              <w:spacing w:before="0" w:after="283"/>
              <w:jc w:val="both"/>
              <w:rPr>
                <w:sz w:val="20"/>
              </w:rPr>
            </w:pPr>
            <w:r>
              <w:rPr>
                <w:sz w:val="20"/>
              </w:rPr>
              <w:t>Management defines operating EBITDA as GAAP income from operations before depreciation, depletion, amortization and accretion; this measure may not be comparable to similarly titled measures reported by other companies.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9964" w:type="dxa"/>
            <w:tcBorders/>
            <w:vAlign w:val="center"/>
          </w:tcPr>
          <w:p>
            <w:pPr>
              <w:pStyle w:val="TableContents"/>
              <w:bidi w:val="0"/>
              <w:spacing w:before="0" w:after="283"/>
              <w:jc w:val="both"/>
              <w:rPr>
                <w:sz w:val="20"/>
              </w:rPr>
            </w:pPr>
            <w:r>
              <w:rPr>
                <w:sz w:val="20"/>
              </w:rPr>
              <w:t>Beginning in 2026, landfill accretion expense was moved from operating expenses to depreciation, depletion, amortization, and accretion.  Landfill accretion expense in the three months ended March, 31 2026 and 2025 was $39 million and $35 million, respectively. For comparability purposes, 2025 actuals have been updated to reflect that change.</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w:t>
            </w:r>
          </w:p>
        </w:tc>
        <w:tc>
          <w:tcPr>
            <w:tcW w:w="9938" w:type="dxa"/>
            <w:tcBorders/>
            <w:vAlign w:val="center"/>
          </w:tcPr>
          <w:p>
            <w:pPr>
              <w:pStyle w:val="TableContents"/>
              <w:bidi w:val="0"/>
              <w:spacing w:before="0" w:after="283"/>
              <w:jc w:val="both"/>
              <w:rPr>
                <w:sz w:val="20"/>
              </w:rPr>
            </w:pPr>
            <w:r>
              <w:rPr>
                <w:sz w:val="20"/>
              </w:rPr>
              <w:t>For purposes of this press release, all references to “Net income” refer to the financial statement line item “Net income attributable to Waste Management, Inc.”</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(e)</w:t>
            </w:r>
          </w:p>
        </w:tc>
        <w:tc>
          <w:tcPr>
            <w:tcW w:w="9973" w:type="dxa"/>
            <w:tcBorders/>
            <w:vAlign w:val="center"/>
          </w:tcPr>
          <w:p>
            <w:pPr>
              <w:pStyle w:val="TableContents"/>
              <w:bidi w:val="0"/>
              <w:spacing w:before="0" w:after="283"/>
              <w:jc w:val="both"/>
              <w:rPr>
                <w:sz w:val="20"/>
              </w:rPr>
            </w:pPr>
            <w:r>
              <w:rPr>
                <w:sz w:val="20"/>
              </w:rPr>
              <w:t xml:space="preserve">The Company’s blended average price received for single stream recycled commodities sold during the quarter was about $65 per ton compared to about $88 per ton in the prior year period. The average price received for Renewable Fuel Standard credits was $2.32 during the quarter compared to $2.59 in the prior year period. The average price received for natural gas was $5.59 per MMBtu during the quarter compared to $3.93 per MMBtu in the prior year. The average price received for electricity was about $83 per megawatt hour in the quarter compared to about $74 per megawatt hour in the prior year period.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w:t>
            </w:r>
          </w:p>
        </w:tc>
        <w:tc>
          <w:tcPr>
            <w:tcW w:w="9993" w:type="dxa"/>
            <w:tcBorders/>
            <w:vAlign w:val="center"/>
          </w:tcPr>
          <w:p>
            <w:pPr>
              <w:pStyle w:val="TableContents"/>
              <w:bidi w:val="0"/>
              <w:spacing w:before="0" w:after="283"/>
              <w:jc w:val="both"/>
              <w:rPr>
                <w:sz w:val="20"/>
              </w:rPr>
            </w:pPr>
            <w:r>
              <w:rPr>
                <w:sz w:val="20"/>
              </w:rPr>
              <w:t xml:space="preserve">Core price is a performance metric used by management to evaluate the effectiveness of our pricing strategies; it is not derived from our financial statements and may not be comparable to measures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presented by other companies. Core price is based on certain historical assumptions, which may differ from actual results, to allow for comparability between reporting periods and to reveal trends in results over time.</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(g)</w:t>
            </w:r>
          </w:p>
        </w:tc>
        <w:tc>
          <w:tcPr>
            <w:tcW w:w="9959" w:type="dxa"/>
            <w:tcBorders/>
            <w:vAlign w:val="center"/>
          </w:tcPr>
          <w:p>
            <w:pPr>
              <w:pStyle w:val="TableContents"/>
              <w:bidi w:val="0"/>
              <w:spacing w:before="0" w:after="283"/>
              <w:jc w:val="both"/>
              <w:rPr>
                <w:sz w:val="20"/>
              </w:rPr>
            </w:pPr>
            <w:r>
              <w:rPr>
                <w:sz w:val="20"/>
              </w:rPr>
              <w:t>Leverage ratio is calculated based on the defined terms for this financial covenant in the Company’s revolving credit agreement, as amended. See Exhibits 10.8 and 10.9 to the Company’s Form 10-K filed Feb. 9, 2026, and Exhibit 10.1 to the Company’s Form 8-K filed Mar. 25, 2026.</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Company will host a conference call at 10 a.m. ET on April 29, 2026, to discuss the first quarter 2026 results. Information contained within this press release will be referenced and should be considered in conjunction with the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Listeners can access a live audio webcast of the conference call by visiting </w:t>
      </w:r>
      <w:r>
        <w:rPr>
          <w:rFonts w:ascii="Arial;Helvetica;Sans-Serif" w:hAnsi="Arial;Helvetica;Sans-Serif"/>
          <w:b w:val="false"/>
          <w:i w:val="false"/>
          <w:caps w:val="false"/>
          <w:smallCaps w:val="false"/>
          <w:color w:val="7AB800"/>
          <w:sz w:val="22"/>
          <w:u w:val="single"/>
        </w:rPr>
        <w:t>investors.wm.com</w:t>
      </w:r>
      <w:r>
        <w:rPr>
          <w:rFonts w:ascii="Arial;Helvetica;Sans-Serif" w:hAnsi="Arial;Helvetica;Sans-Serif"/>
          <w:b w:val="false"/>
          <w:i w:val="false"/>
          <w:caps w:val="false"/>
          <w:smallCaps w:val="false"/>
          <w:sz w:val="22"/>
        </w:rPr>
        <w:t xml:space="preserve"> and selecting “Events &amp; Presentations” from the website menu. A replay of the audio webcast will be available at the same location following the conclusion of the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Conference call participants should </w:t>
      </w:r>
      <w:r>
        <w:rPr>
          <w:rFonts w:ascii="Arial;Helvetica;Sans-Serif" w:hAnsi="Arial;Helvetica;Sans-Serif"/>
          <w:b w:val="false"/>
          <w:i w:val="false"/>
          <w:caps w:val="false"/>
          <w:smallCaps w:val="false"/>
          <w:color w:val="7AB800"/>
          <w:sz w:val="22"/>
          <w:u w:val="single"/>
        </w:rPr>
        <w:t>register</w:t>
      </w:r>
      <w:r>
        <w:rPr>
          <w:rFonts w:ascii="Arial;Helvetica;Sans-Serif" w:hAnsi="Arial;Helvetica;Sans-Serif"/>
          <w:b w:val="false"/>
          <w:i w:val="false"/>
          <w:caps w:val="false"/>
          <w:smallCaps w:val="false"/>
          <w:sz w:val="22"/>
        </w:rPr>
        <w:t xml:space="preserve"> to obtain their dial in and passcode details. This streamlined process improves security and eliminates wait times when joining the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sz w:val="22"/>
        </w:rPr>
      </w:pPr>
      <w:r>
        <w:rPr>
          <w:rFonts w:ascii="Arial;Helvetica;Sans-Serif" w:hAnsi="Arial;Helvetica;Sans-Serif"/>
          <w:b/>
          <w:i w:val="false"/>
          <w:caps/>
          <w:sz w:val="22"/>
        </w:rPr>
        <w:t>about wm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shd w:fill="FFFFFF" w:val="clear"/>
        </w:rPr>
        <w:t>WM (</w:t>
      </w:r>
      <w:r>
        <w:rPr>
          <w:rFonts w:ascii="Arial;Helvetica;Sans-Serif" w:hAnsi="Arial;Helvetica;Sans-Serif"/>
          <w:b w:val="false"/>
          <w:i w:val="false"/>
          <w:caps w:val="false"/>
          <w:smallCaps w:val="false"/>
          <w:color w:val="7AB800"/>
          <w:sz w:val="20"/>
          <w:u w:val="single"/>
          <w:shd w:fill="FFFFFF" w:val="clear"/>
        </w:rPr>
        <w:t>WM.com</w:t>
      </w:r>
      <w:r>
        <w:rPr>
          <w:rFonts w:ascii="Arial;Helvetica;Sans-Serif" w:hAnsi="Arial;Helvetica;Sans-Serif"/>
          <w:b w:val="false"/>
          <w:i w:val="false"/>
          <w:caps w:val="false"/>
          <w:smallCaps w:val="false"/>
          <w:sz w:val="20"/>
          <w:shd w:fill="FFFFFF" w:val="clear"/>
        </w:rPr>
        <w:t>)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medical and municipal customers throughout the U.S. and Canada. With innovative infrastructure and capabilities in recycling, organics and renewable energy, WM provides environmental solutions to and collaborates with its customers in helping them pursue their sustainability goals. In North America, WM has the largest disposal network and collection fleet, is the largest recycler and is a leader in beneficial use of landfill gas, with a growing network of renewable natural gas plants and the most landfill gas-to-electricity plants, as well as the largest heavy-duty natural gas truck fleet in the industry. WM also provides collection and disposal services of regulated medical waste and secure information destruction services in the U.S., Canada and Western Europe. To learn more about WM and the company's sustainability progress and solutions, visit </w:t>
      </w:r>
      <w:r>
        <w:rPr>
          <w:rFonts w:ascii="Arial;Helvetica;Sans-Serif" w:hAnsi="Arial;Helvetica;Sans-Serif"/>
          <w:b w:val="false"/>
          <w:i w:val="false"/>
          <w:caps w:val="false"/>
          <w:smallCaps w:val="false"/>
          <w:color w:val="7AB800"/>
          <w:sz w:val="20"/>
          <w:u w:val="single"/>
          <w:shd w:fill="FFFFFF" w:val="clear"/>
        </w:rPr>
        <w:t>Sustainability.WM.com</w:t>
      </w:r>
      <w:r>
        <w:rPr>
          <w:rFonts w:ascii="Arial;Helvetica;Sans-Serif" w:hAnsi="Arial;Helvetica;San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color w:val="57584F"/>
        </w:rPr>
      </w:pPr>
      <w:r>
        <w:rPr>
          <w:caps w:val="false"/>
          <w:smallCaps w:val="false"/>
          <w:color w:val="57584F"/>
        </w:rPr>
        <w:t> </w:t>
      </w:r>
    </w:p>
    <w:p>
      <w:pPr>
        <w:pStyle w:val="TextBody"/>
        <w:bidi w:val="0"/>
        <w:spacing w:before="0" w:after="0"/>
        <w:ind w:left="0" w:right="0" w:hanging="0"/>
        <w:jc w:val="left"/>
        <w:rPr>
          <w:rFonts w:ascii="Arial;Helvetica;Sans-Serif" w:hAnsi="Arial;Helvetica;Sans-Serif"/>
          <w:b/>
          <w:i w:val="false"/>
          <w:caps/>
          <w:sz w:val="22"/>
        </w:rPr>
      </w:pPr>
      <w:r>
        <w:rPr>
          <w:rFonts w:ascii="Arial;Helvetica;Sans-Serif" w:hAnsi="Arial;Helvetica;Sans-Serif"/>
          <w:b/>
          <w:i w:val="false"/>
          <w:caps/>
          <w:sz w:val="22"/>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from time to time, provides estimates or projections of financial and other data, comments on expectations relating to future periods and makes statements of opinion, view or belief about current and future events, circumstances or performance. This press release contains a number of such forward-looking statements, including all statements regarding future growth, earnings, value creation, performance and results of our business; targets, financial guidance and outlook; ability to achieve the Company’s 2026 outlook; and technology and automation investments and results.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including our ability to integrate the acquisition of Stericycle, Inc. (which is now presented as our Healthcare Solutions segment) and achieve the anticipated benefits therefrom, including synergies; legal, regulatory, operational, technological and other matters that may affect the costs and timing of our ability to integrate and deliver all of the expected benefits of the Stericycle, Inc. acquisition; existing or new environmental and other regulations, including developments related to emerging contaminants, gas emissions, renewable energy, recyclables, extended producer responsibility and our natural gas fleet;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and pricing pressure; impacts from international trade restrictions and tariffs; competitive disposal alternatives, diversion of waste from landfills and declining waste volumes; changes in general economic conditions, capital markets or consumer trends; changing conditions in the recycling industry, including impacts on demand, pricing and availability of counterparties; changing conditions in the healthcare industry; adoption of new tax legislation; fuel shortages; failure to develop and protect new technology; failure of technology to perform as expected; inability to adapt and manage the benefits and risks of artificial intelligence; failure to prevent, detect and address cybersecurity incidents or comply with privacy regulations; negative outcomes of litigation or governmental proceedings, including those acquired through transactions; failure to maintain an effective system of internal control over financial reporting; and operational or management decisions or developments that result in impairment charges. Please also see the Company’s filings with the SEC, including Part I, Item 1A of the Company’s most recently filed Annual Report on Form 10-K, as updated by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sz w:val="22"/>
        </w:rPr>
      </w:pPr>
      <w:r>
        <w:rPr>
          <w:rFonts w:ascii="Arial;Helvetica;Sans-Serif" w:hAnsi="Arial;Helvetica;Sans-Serif"/>
          <w:b/>
          <w:i w:val="false"/>
          <w:caps/>
          <w:sz w:val="22"/>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supplement its financial information, the Company has presented, and/or may discuss on the conference call, adjusted measures including adjusted earnings per diluted share, adjusted net income, adjusted income from operations and margin, adjusted operating EBITDA and margin, adjusted operating expense and margin, and adjusted SG&amp;A expenses and margin. All adjusted measures and free cash flow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quantitative reconciliations of non-GAAP measures to the most comparable GAAP measures are included in the accompanying schedules, with the exception of projected adjusted operating EBITDA and margin. Non-GAAP measures should not be considered a substitute for financial measures presented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7AB800"/>
          <w:sz w:val="24"/>
        </w:rPr>
      </w:pPr>
      <w:r>
        <w:rPr>
          <w:rFonts w:ascii="Arial;Helvetica;Sans-Serif" w:hAnsi="Arial;Helvetica;Sans-Serif"/>
          <w:b w:val="false"/>
          <w:i w:val="false"/>
          <w:caps w:val="false"/>
          <w:smallCaps w:val="false"/>
          <w:color w:val="7AB800"/>
          <w:sz w:val="24"/>
        </w:rPr>
        <w:t>FOR MORE INFORMATION</w:t>
      </w:r>
    </w:p>
    <w:p>
      <w:pPr>
        <w:pStyle w:val="TextBody"/>
        <w:bidi w:val="0"/>
        <w:spacing w:before="0" w:after="0"/>
        <w:ind w:left="0" w:right="0" w:hanging="0"/>
        <w:jc w:val="left"/>
        <w:rPr>
          <w:caps w:val="false"/>
          <w:smallCaps w:val="false"/>
          <w:color w:val="7AB800"/>
        </w:rPr>
      </w:pPr>
      <w:r>
        <w:rPr>
          <w:caps w:val="false"/>
          <w:smallCaps w:val="false"/>
          <w:color w:val="7AB8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Website</w:t>
      </w:r>
    </w:p>
    <w:p>
      <w:pPr>
        <w:pStyle w:val="TextBody"/>
        <w:bidi w:val="0"/>
        <w:spacing w:before="0" w:after="0"/>
        <w:ind w:left="0" w:right="0" w:hanging="0"/>
        <w:jc w:val="left"/>
        <w:rPr>
          <w:rFonts w:ascii="Arial;Helvetica;Sans-Serif" w:hAnsi="Arial;Helvetica;Sans-Serif"/>
          <w:b/>
          <w:i w:val="false"/>
          <w:caps w:val="false"/>
          <w:smallCaps w:val="false"/>
          <w:color w:val="7AB800"/>
          <w:sz w:val="20"/>
          <w:u w:val="single"/>
        </w:rPr>
      </w:pPr>
      <w:r>
        <w:rPr>
          <w:rFonts w:ascii="Arial;Helvetica;Sans-Serif" w:hAnsi="Arial;Helvetica;Sans-Serif"/>
          <w:b/>
          <w:i w:val="false"/>
          <w:caps w:val="false"/>
          <w:smallCaps w:val="false"/>
          <w:color w:val="7AB800"/>
          <w:sz w:val="20"/>
          <w:u w:val="single"/>
        </w:rPr>
        <w:t>www.wm.com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Analysts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Ed Egl</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713.265.1656</w:t>
      </w:r>
    </w:p>
    <w:p>
      <w:pPr>
        <w:pStyle w:val="TextBody"/>
        <w:bidi w:val="0"/>
        <w:spacing w:before="0" w:after="0"/>
        <w:ind w:left="0" w:right="0" w:hanging="0"/>
        <w:jc w:val="left"/>
        <w:rPr>
          <w:rFonts w:ascii="Arial;Helvetica;Sans-Serif" w:hAnsi="Arial;Helvetica;Sans-Serif"/>
          <w:b w:val="false"/>
          <w:i w:val="false"/>
          <w:caps w:val="false"/>
          <w:smallCaps w:val="false"/>
          <w:color w:val="7AB800"/>
          <w:sz w:val="20"/>
          <w:u w:val="single"/>
        </w:rPr>
      </w:pPr>
      <w:r>
        <w:rPr>
          <w:rFonts w:ascii="Arial;Helvetica;Sans-Serif" w:hAnsi="Arial;Helvetica;Sans-Serif"/>
          <w:b w:val="false"/>
          <w:i w:val="false"/>
          <w:caps w:val="false"/>
          <w:smallCaps w:val="false"/>
          <w:color w:val="7AB800"/>
          <w:sz w:val="20"/>
          <w:u w:val="single"/>
        </w:rPr>
        <w:t>eegl@wm.com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Media</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Toni Werner</w:t>
      </w:r>
    </w:p>
    <w:p>
      <w:pPr>
        <w:pStyle w:val="TextBody"/>
        <w:bidi w:val="0"/>
        <w:spacing w:before="0" w:after="0"/>
        <w:ind w:left="0" w:right="0" w:hanging="0"/>
        <w:jc w:val="left"/>
        <w:rPr>
          <w:rFonts w:ascii="Arial;Helvetica;Sans-Serif" w:hAnsi="Arial;Helvetica;Sans-Serif"/>
          <w:b w:val="false"/>
          <w:i w:val="false"/>
          <w:caps w:val="false"/>
          <w:smallCaps w:val="false"/>
          <w:color w:val="7AB800"/>
          <w:sz w:val="20"/>
          <w:u w:val="single"/>
        </w:rPr>
      </w:pPr>
      <w:r>
        <w:rPr>
          <w:rFonts w:ascii="Arial;Helvetica;Sans-Serif" w:hAnsi="Arial;Helvetica;Sans-Serif"/>
          <w:b w:val="false"/>
          <w:i w:val="false"/>
          <w:caps w:val="false"/>
          <w:smallCaps w:val="false"/>
          <w:color w:val="7AB800"/>
          <w:sz w:val="20"/>
          <w:u w:val="single"/>
        </w:rPr>
        <w:t>media@wm.com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STATEMENTS OF OPERATIONS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 Except per Share Amounts)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647" w:type="dxa"/>
        <w:jc w:val="left"/>
        <w:tblInd w:w="0" w:type="dxa"/>
        <w:tblLayout w:type="fixed"/>
        <w:tblCellMar>
          <w:top w:w="0" w:type="dxa"/>
          <w:left w:w="0" w:type="dxa"/>
          <w:bottom w:w="0" w:type="dxa"/>
          <w:right w:w="0" w:type="dxa"/>
        </w:tblCellMar>
      </w:tblPr>
      <w:tblGrid>
        <w:gridCol w:w="5705"/>
        <w:gridCol w:w="60"/>
        <w:gridCol w:w="164"/>
        <w:gridCol w:w="638"/>
        <w:gridCol w:w="105"/>
        <w:gridCol w:w="78"/>
        <w:gridCol w:w="164"/>
        <w:gridCol w:w="638"/>
        <w:gridCol w:w="95"/>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7"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6,227</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r>
              <w:rPr>
                <w:rFonts w:ascii="Times New Roman;Times;Serif" w:hAnsi="Times New Roman;Times;Serif"/>
                <w:b w:val="false"/>
                <w:i w:val="false"/>
                <w:caps w:val="false"/>
                <w:smallCaps w:val="false"/>
                <w:position w:val="7"/>
                <w:sz w:val="16"/>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3,694</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depletion, amortization, and accretion</w:t>
            </w:r>
            <w:r>
              <w:rPr>
                <w:rFonts w:ascii="Times New Roman;Times;Serif" w:hAnsi="Times New Roman;Times;Serif"/>
                <w:b w:val="false"/>
                <w:i w:val="false"/>
                <w:caps w:val="false"/>
                <w:smallCaps w:val="false"/>
                <w:position w:val="7"/>
                <w:sz w:val="16"/>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divestitures, asset impairments and unusual items,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5,114</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(loss)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Waste Management,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common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common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basic common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403.2</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diluted common shares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404.4</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Beginning in 2026, landfill accretion expense was moved from operating expenses to depreciation, depletion, amortization, and accretion. Landfill Accretion expense in the three months ended March, 31 2026 and 2025 was $39 million and $35 million, respectively. For comparability purposes, 2025 actuals have been updated to reflect that 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BALANCE SHEETS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168" w:type="dxa"/>
        <w:jc w:val="left"/>
        <w:tblInd w:w="0" w:type="dxa"/>
        <w:tblLayout w:type="fixed"/>
        <w:tblCellMar>
          <w:top w:w="0" w:type="dxa"/>
          <w:left w:w="0" w:type="dxa"/>
          <w:bottom w:w="0" w:type="dxa"/>
          <w:right w:w="0" w:type="dxa"/>
        </w:tblCellMar>
      </w:tblPr>
      <w:tblGrid>
        <w:gridCol w:w="4850"/>
        <w:gridCol w:w="60"/>
        <w:gridCol w:w="154"/>
        <w:gridCol w:w="735"/>
        <w:gridCol w:w="60"/>
        <w:gridCol w:w="60"/>
        <w:gridCol w:w="204"/>
        <w:gridCol w:w="970"/>
        <w:gridCol w:w="75"/>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accrued liabilities and deferred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 less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STATEMENTS OF CASH FLOWS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928" w:type="dxa"/>
        <w:jc w:val="left"/>
        <w:tblInd w:w="0" w:type="dxa"/>
        <w:tblLayout w:type="fixed"/>
        <w:tblCellMar>
          <w:top w:w="0" w:type="dxa"/>
          <w:left w:w="0" w:type="dxa"/>
          <w:bottom w:w="0" w:type="dxa"/>
          <w:right w:w="0" w:type="dxa"/>
        </w:tblCellMar>
      </w:tblPr>
      <w:tblGrid>
        <w:gridCol w:w="7985"/>
        <w:gridCol w:w="60"/>
        <w:gridCol w:w="151"/>
        <w:gridCol w:w="659"/>
        <w:gridCol w:w="96"/>
        <w:gridCol w:w="72"/>
        <w:gridCol w:w="151"/>
        <w:gridCol w:w="659"/>
        <w:gridCol w:w="95"/>
      </w:tblGrid>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8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consolidated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depletion, amortization and accretion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operating assets and liabilities, net of effects of acquisitions and divestitures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of businesses, net of cash acquired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divestitures of businesses and other assets, net of cash divested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6,048</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repayments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(6,125</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repurchase program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common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payments associated with equity-based compensation transactions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cash equivalents and restricted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cash, cash equivalents and restricted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and cash equivalents at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and cash equivalents at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SUMMARY DATA SHEET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Revenues by Line of Business</w:t>
      </w:r>
    </w:p>
    <w:p>
      <w:pPr>
        <w:pStyle w:val="TextBody"/>
        <w:bidi w:val="0"/>
        <w:spacing w:before="0" w:after="0"/>
        <w:ind w:left="0" w:right="0" w:hanging="0"/>
        <w:jc w:val="left"/>
        <w:rPr>
          <w:caps w:val="false"/>
          <w:smallCaps w:val="false"/>
        </w:rPr>
      </w:pPr>
      <w:r>
        <w:rPr>
          <w:caps w:val="false"/>
          <w:smallCaps w:val="false"/>
        </w:rPr>
        <w:t> </w:t>
      </w:r>
    </w:p>
    <w:tbl>
      <w:tblPr>
        <w:tblW w:w="9375" w:type="dxa"/>
        <w:jc w:val="left"/>
        <w:tblInd w:w="0" w:type="dxa"/>
        <w:tblLayout w:type="fixed"/>
        <w:tblCellMar>
          <w:top w:w="0" w:type="dxa"/>
          <w:left w:w="0" w:type="dxa"/>
          <w:bottom w:w="0" w:type="dxa"/>
          <w:right w:w="0" w:type="dxa"/>
        </w:tblCellMar>
      </w:tblPr>
      <w:tblGrid>
        <w:gridCol w:w="2600"/>
        <w:gridCol w:w="60"/>
        <w:gridCol w:w="182"/>
        <w:gridCol w:w="708"/>
        <w:gridCol w:w="60"/>
        <w:gridCol w:w="60"/>
        <w:gridCol w:w="227"/>
        <w:gridCol w:w="993"/>
        <w:gridCol w:w="80"/>
        <w:gridCol w:w="60"/>
        <w:gridCol w:w="182"/>
        <w:gridCol w:w="708"/>
        <w:gridCol w:w="60"/>
        <w:gridCol w:w="60"/>
        <w:gridCol w:w="182"/>
        <w:gridCol w:w="708"/>
        <w:gridCol w:w="60"/>
        <w:gridCol w:w="60"/>
        <w:gridCol w:w="227"/>
        <w:gridCol w:w="993"/>
        <w:gridCol w:w="80"/>
        <w:gridCol w:w="60"/>
        <w:gridCol w:w="182"/>
        <w:gridCol w:w="708"/>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40" w:type="dxa"/>
            <w:gridSpan w:val="2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40"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6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6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Intercompany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Intercompany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r>
              <w:rPr>
                <w:rFonts w:ascii="Times New Roman;Times;Serif" w:hAnsi="Times New Roman;Times;Serif"/>
                <w:b/>
                <w:i w:val="false"/>
                <w:caps w:val="false"/>
                <w:smallCaps w:val="false"/>
                <w:position w:val="7"/>
                <w:sz w:val="16"/>
                <w:sz w:val="20"/>
              </w:rPr>
              <w:t>(a)</w:t>
            </w:r>
            <w:r>
              <w:rPr>
                <w:rFonts w:ascii="Times New Roman;Times;Serif" w:hAnsi="Times New Roman;Times;Serif"/>
                <w:b/>
                <w:i w:val="false"/>
                <w:caps w:val="false"/>
                <w:smallCaps w:val="false"/>
                <w:sz w:val="20"/>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r>
              <w:rPr>
                <w:rFonts w:ascii="Times New Roman;Times;Serif" w:hAnsi="Times New Roman;Times;Serif"/>
                <w:b/>
                <w:i w:val="false"/>
                <w:caps w:val="false"/>
                <w:smallCaps w:val="false"/>
                <w:position w:val="7"/>
                <w:sz w:val="16"/>
                <w:sz w:val="20"/>
              </w:rPr>
              <w:t>(a)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collection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collection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Landfill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Collection and Disposal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Recycling Processing and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Renewable Energy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Solutions</w:t>
            </w:r>
            <w:r>
              <w:rPr>
                <w:rFonts w:ascii="Times New Roman;Times;Serif" w:hAnsi="Times New Roman;Times;Serif"/>
                <w:b w:val="false"/>
                <w:i w:val="false"/>
                <w:caps w:val="false"/>
                <w:smallCaps w:val="false"/>
                <w:position w:val="7"/>
                <w:sz w:val="16"/>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and 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283"/>
              <w:jc w:val="both"/>
              <w:rPr/>
            </w:pPr>
            <w:r>
              <w:rPr/>
              <w:t>Includes each segment’s intercompany activity, including transactions within a segment and between segments. Transactions within and between segments are generally made on a basis intended to reflect the market value of the service.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t>In the third quarter of 2025, as a result of continued integration efforts and to enhance transparency and accountability, the Company began reflecting intra-segment activity within the Healthcare Solutions segment. These charges were designed to measure profitability at more granular levels of the enterprise and to facilitate clearer financial accountability within operating units. Accordingly, adjustments to the three months ended March 31, 2025 activity were made to properly reflect intra-segment activity for the period. Intra-segment operating revenues and operating expenses within Healthcare Solutions for the three months ended March 31, 2026 and 2025 are $101 million and $94 million,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SUMMARY DATA SHEET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Revenue Growth</w:t>
      </w:r>
    </w:p>
    <w:p>
      <w:pPr>
        <w:pStyle w:val="TextBody"/>
        <w:bidi w:val="0"/>
        <w:spacing w:before="0" w:after="0"/>
        <w:ind w:left="0" w:right="0" w:hanging="0"/>
        <w:jc w:val="left"/>
        <w:rPr>
          <w:caps w:val="false"/>
          <w:smallCaps w:val="false"/>
        </w:rPr>
      </w:pPr>
      <w:r>
        <w:rPr>
          <w:caps w:val="false"/>
          <w:smallCaps w:val="false"/>
        </w:rPr>
        <w:t> </w:t>
      </w:r>
    </w:p>
    <w:tbl>
      <w:tblPr>
        <w:tblW w:w="9007" w:type="dxa"/>
        <w:jc w:val="left"/>
        <w:tblInd w:w="0" w:type="dxa"/>
        <w:tblLayout w:type="fixed"/>
        <w:tblCellMar>
          <w:top w:w="0" w:type="dxa"/>
          <w:left w:w="0" w:type="dxa"/>
          <w:bottom w:w="0" w:type="dxa"/>
          <w:right w:w="0" w:type="dxa"/>
        </w:tblCellMar>
      </w:tblPr>
      <w:tblGrid>
        <w:gridCol w:w="4715"/>
        <w:gridCol w:w="60"/>
        <w:gridCol w:w="188"/>
        <w:gridCol w:w="507"/>
        <w:gridCol w:w="97"/>
        <w:gridCol w:w="73"/>
        <w:gridCol w:w="144"/>
        <w:gridCol w:w="805"/>
        <w:gridCol w:w="226"/>
        <w:gridCol w:w="73"/>
        <w:gridCol w:w="188"/>
        <w:gridCol w:w="507"/>
        <w:gridCol w:w="97"/>
        <w:gridCol w:w="73"/>
        <w:gridCol w:w="159"/>
        <w:gridCol w:w="895"/>
        <w:gridCol w:w="200"/>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32"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Period-to-Period Change for the</w:t>
              <w:br/>
              <w:t>Three Months Ended</w:t>
              <w:br/>
              <w:t>March 31, 2026 vs. 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w:t>
            </w:r>
          </w:p>
        </w:tc>
        <w:tc>
          <w:tcPr>
            <w:tcW w:w="226"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w:t>
            </w:r>
          </w:p>
        </w:tc>
        <w:tc>
          <w:tcPr>
            <w:tcW w:w="226"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w:t>
            </w:r>
            <w:r>
              <w:rPr>
                <w:rFonts w:ascii="Times New Roman;Times;Serif" w:hAnsi="Times New Roman;Times;Serif"/>
                <w:b/>
                <w:i w:val="false"/>
                <w:caps w:val="false"/>
                <w:smallCaps w:val="false"/>
                <w:position w:val="7"/>
                <w:sz w:val="16"/>
                <w:sz w:val="20"/>
              </w:rPr>
              <w:t>(a)</w:t>
            </w:r>
          </w:p>
        </w:tc>
        <w:tc>
          <w:tcPr>
            <w:tcW w:w="226"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i w:val="false"/>
                <w:caps w:val="false"/>
                <w:smallCaps w:val="false"/>
                <w:position w:val="7"/>
                <w:sz w:val="16"/>
                <w:sz w:val="20"/>
              </w:rPr>
              <w:t>(b)</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and Disposal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2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sz w:val="4"/>
                <w:szCs w:val="4"/>
              </w:rPr>
            </w:pPr>
            <w:r>
              <w:rPr>
                <w:sz w:val="4"/>
                <w:szCs w:val="4"/>
              </w:rPr>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Recycling Processing and Sales and Renewable Energy</w:t>
            </w:r>
            <w:r>
              <w:rPr>
                <w:rFonts w:ascii="Times New Roman;Times;Serif" w:hAnsi="Times New Roman;Times;Serif"/>
                <w:b w:val="false"/>
                <w:i w:val="false"/>
                <w:caps w:val="false"/>
                <w:smallCaps w:val="false"/>
                <w:position w:val="7"/>
                <w:sz w:val="16"/>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2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surcharges and mandated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2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average yield</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Volume</w:t>
            </w:r>
            <w:r>
              <w:rPr>
                <w:rFonts w:ascii="Times New Roman;Times;Serif" w:hAnsi="Times New Roman;Times;Serif"/>
                <w:b w:val="false"/>
                <w:i w:val="false"/>
                <w:caps w:val="false"/>
                <w:smallCaps w:val="false"/>
                <w:position w:val="7"/>
                <w:sz w:val="16"/>
                <w:sz w:val="20"/>
              </w:rPr>
              <w:t>(d)</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22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Solutions</w:t>
            </w:r>
            <w:r>
              <w:rPr>
                <w:rFonts w:ascii="Times New Roman;Times;Serif" w:hAnsi="Times New Roman;Times;Serif"/>
                <w:b w:val="false"/>
                <w:i w:val="false"/>
                <w:caps w:val="false"/>
                <w:smallCaps w:val="false"/>
                <w:position w:val="7"/>
                <w:sz w:val="16"/>
                <w:sz w:val="20"/>
              </w:rPr>
              <w:t>(e)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revenue growth</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22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Divestitures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22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22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457" w:type="dxa"/>
        <w:jc w:val="left"/>
        <w:tblInd w:w="0" w:type="dxa"/>
        <w:tblLayout w:type="fixed"/>
        <w:tblCellMar>
          <w:top w:w="0" w:type="dxa"/>
          <w:left w:w="0" w:type="dxa"/>
          <w:bottom w:w="0" w:type="dxa"/>
          <w:right w:w="0" w:type="dxa"/>
        </w:tblCellMar>
      </w:tblPr>
      <w:tblGrid>
        <w:gridCol w:w="2405"/>
        <w:gridCol w:w="60"/>
        <w:gridCol w:w="166"/>
        <w:gridCol w:w="770"/>
        <w:gridCol w:w="518"/>
        <w:gridCol w:w="166"/>
        <w:gridCol w:w="166"/>
        <w:gridCol w:w="946"/>
        <w:gridCol w:w="260"/>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3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Period-to-Period Change for the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3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vs. 2025</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 Related Business</w:t>
            </w:r>
            <w:r>
              <w:rPr>
                <w:rFonts w:ascii="Times New Roman;Times;Serif" w:hAnsi="Times New Roman;Times;Serif"/>
                <w:b/>
                <w:i w:val="false"/>
                <w:caps w:val="false"/>
                <w:smallCaps w:val="false"/>
                <w:position w:val="7"/>
                <w:sz w:val="16"/>
                <w:sz w:val="20"/>
              </w:rPr>
              <w:t>(a)</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Yield</w:t>
            </w:r>
          </w:p>
        </w:tc>
        <w:tc>
          <w:tcPr>
            <w:tcW w:w="518"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11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Volume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5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5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5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collection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5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5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5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collection and disposal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5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1" w:type="dxa"/>
            <w:tcBorders/>
            <w:vAlign w:val="center"/>
          </w:tcPr>
          <w:p>
            <w:pPr>
              <w:pStyle w:val="TableContents"/>
              <w:bidi w:val="0"/>
              <w:spacing w:before="0" w:after="283"/>
              <w:jc w:val="both"/>
              <w:rPr/>
            </w:pPr>
            <w:r>
              <w:rPr/>
              <w:t>Calculated by dividing the increase or decrease for the current year period by the prior year period’s related business revenues adjusted to exclude the impacts of divestitures for the current year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Calculated by dividing the increase or decrease for the current year period by the prior year period’s total Company revenues adjusted to exclude the impacts of divestitures for the current year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(c)</w:t>
            </w:r>
          </w:p>
        </w:tc>
        <w:tc>
          <w:tcPr>
            <w:tcW w:w="9936" w:type="dxa"/>
            <w:tcBorders/>
            <w:vAlign w:val="center"/>
          </w:tcPr>
          <w:p>
            <w:pPr>
              <w:pStyle w:val="TableContents"/>
              <w:bidi w:val="0"/>
              <w:spacing w:before="0" w:after="283"/>
              <w:jc w:val="both"/>
              <w:rPr/>
            </w:pPr>
            <w:r>
              <w:rPr/>
              <w:t>Includes combined impact of commodity price variability in both our Recycling Processing and Sales and Renewable Energy segments, as well as changes in certain recycling fees charged by our collection and disposal operations.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489"/>
        <w:gridCol w:w="9652"/>
      </w:tblGrid>
      <w:tr>
        <w:trPr/>
        <w:tc>
          <w:tcPr>
            <w:tcW w:w="6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pPr>
            <w:r>
              <w:rPr/>
              <w:t>(d)</w:t>
            </w:r>
          </w:p>
        </w:tc>
        <w:tc>
          <w:tcPr>
            <w:tcW w:w="9652" w:type="dxa"/>
            <w:tcBorders/>
            <w:vAlign w:val="center"/>
          </w:tcPr>
          <w:p>
            <w:pPr>
              <w:pStyle w:val="TableContents"/>
              <w:bidi w:val="0"/>
              <w:spacing w:before="0" w:after="283"/>
              <w:jc w:val="both"/>
              <w:rPr/>
            </w:pPr>
            <w:r>
              <w:rPr/>
              <w:t>Includes activities from our Corporate and Other businesses.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(e)</w:t>
            </w:r>
          </w:p>
        </w:tc>
        <w:tc>
          <w:tcPr>
            <w:tcW w:w="9923" w:type="dxa"/>
            <w:tcBorders/>
            <w:vAlign w:val="center"/>
          </w:tcPr>
          <w:p>
            <w:pPr>
              <w:pStyle w:val="TableContents"/>
              <w:bidi w:val="0"/>
              <w:spacing w:before="0" w:after="283"/>
              <w:jc w:val="both"/>
              <w:rPr/>
            </w:pPr>
            <w:r>
              <w:rPr/>
              <w:t>The amounts reported herein represent the change in our revenues from the combined impacts of yield and volume attributable to our Healthcare Solutions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SUMMARY DATA SHEET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232" w:type="dxa"/>
        <w:jc w:val="left"/>
        <w:tblInd w:w="0" w:type="dxa"/>
        <w:tblLayout w:type="fixed"/>
        <w:tblCellMar>
          <w:top w:w="0" w:type="dxa"/>
          <w:left w:w="0" w:type="dxa"/>
          <w:bottom w:w="0" w:type="dxa"/>
          <w:right w:w="0" w:type="dxa"/>
        </w:tblCellMar>
      </w:tblPr>
      <w:tblGrid>
        <w:gridCol w:w="6290"/>
        <w:gridCol w:w="60"/>
        <w:gridCol w:w="164"/>
        <w:gridCol w:w="638"/>
        <w:gridCol w:w="105"/>
        <w:gridCol w:w="78"/>
        <w:gridCol w:w="164"/>
        <w:gridCol w:w="638"/>
        <w:gridCol w:w="95"/>
      </w:tblGrid>
      <w:tr>
        <w:trPr/>
        <w:tc>
          <w:tcPr>
            <w:tcW w:w="6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w:t>
            </w:r>
            <w:r>
              <w:rPr>
                <w:rFonts w:ascii="Times New Roman;Times;Serif" w:hAnsi="Times New Roman;Times;Serif"/>
                <w:b/>
                <w:i w:val="false"/>
                <w:caps w:val="false"/>
                <w:smallCaps w:val="false"/>
                <w:position w:val="7"/>
                <w:sz w:val="16"/>
                <w:sz w:val="20"/>
              </w:rPr>
              <w: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7"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to support the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divestitures of businesses and other assets, net of cash divested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before sustainability growth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 sustainability growth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43"/>
        <w:gridCol w:w="60"/>
        <w:gridCol w:w="169"/>
        <w:gridCol w:w="515"/>
        <w:gridCol w:w="250"/>
        <w:gridCol w:w="81"/>
        <w:gridCol w:w="169"/>
        <w:gridCol w:w="515"/>
        <w:gridCol w:w="203"/>
      </w:tblGrid>
      <w:tr>
        <w:trPr/>
        <w:tc>
          <w:tcPr>
            <w:tcW w:w="8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9"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50"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24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Data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03" w:type="dxa"/>
            <w:tcBorders/>
            <w:shd w:fill="CCEEFF" w:val="clear"/>
            <w:vAlign w:val="center"/>
          </w:tcPr>
          <w:p>
            <w:pPr>
              <w:pStyle w:val="TableContents"/>
              <w:bidi w:val="0"/>
              <w:spacing w:before="0" w:after="283"/>
              <w:jc w:val="left"/>
              <w:rPr/>
            </w:pPr>
            <w:r>
              <w:rPr/>
              <w:t> </w:t>
            </w:r>
          </w:p>
        </w:tc>
      </w:tr>
      <w:tr>
        <w:trPr/>
        <w:tc>
          <w:tcPr>
            <w:tcW w:w="82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Internalization of waste, based on disposal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w:t>
            </w:r>
          </w:p>
        </w:tc>
        <w:tc>
          <w:tcPr>
            <w:tcW w:w="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Landfill depletable tons (in millions)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4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Summary</w:t>
            </w:r>
            <w:r>
              <w:rPr>
                <w:rFonts w:ascii="Times New Roman;Times;Serif" w:hAnsi="Times New Roman;Times;Serif"/>
                <w:b/>
                <w:i w:val="false"/>
                <w:caps w:val="false"/>
                <w:smallCaps w:val="false"/>
                <w:position w:val="7"/>
                <w:sz w:val="16"/>
                <w:sz w:val="20"/>
              </w:rPr>
              <w:t>(b)</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r>
      <w:tr>
        <w:trPr/>
        <w:tc>
          <w:tcPr>
            <w:tcW w:w="8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annualized revenue acquired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consideration, net of cash acquired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03"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acquisitions consummated during the period, net of cash acquired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03"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82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acquisitions including contingent consideration and other items from prior periods, net of cash acquired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Landfill Amortization and Accretion Expenses:</w:t>
      </w:r>
    </w:p>
    <w:p>
      <w:pPr>
        <w:pStyle w:val="TextBody"/>
        <w:bidi w:val="0"/>
        <w:spacing w:before="0" w:after="0"/>
        <w:ind w:left="0" w:right="0" w:hanging="0"/>
        <w:jc w:val="left"/>
        <w:rPr>
          <w:caps w:val="false"/>
          <w:smallCaps w:val="false"/>
        </w:rPr>
      </w:pPr>
      <w:r>
        <w:rPr>
          <w:caps w:val="false"/>
          <w:smallCaps w:val="false"/>
        </w:rPr>
        <w:t> </w:t>
      </w:r>
    </w:p>
    <w:tbl>
      <w:tblPr>
        <w:tblW w:w="5288" w:type="dxa"/>
        <w:jc w:val="left"/>
        <w:tblInd w:w="0" w:type="dxa"/>
        <w:tblLayout w:type="fixed"/>
        <w:tblCellMar>
          <w:top w:w="0" w:type="dxa"/>
          <w:left w:w="0" w:type="dxa"/>
          <w:bottom w:w="0" w:type="dxa"/>
          <w:right w:w="0" w:type="dxa"/>
        </w:tblCellMar>
      </w:tblPr>
      <w:tblGrid>
        <w:gridCol w:w="3365"/>
        <w:gridCol w:w="60"/>
        <w:gridCol w:w="215"/>
        <w:gridCol w:w="576"/>
        <w:gridCol w:w="103"/>
        <w:gridCol w:w="103"/>
        <w:gridCol w:w="215"/>
        <w:gridCol w:w="576"/>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Landfill depletion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basis of landfill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retirement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landfill depletion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Landfill depletion and accretion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90" w:type="dxa"/>
            <w:tcBorders/>
            <w:vAlign w:val="center"/>
          </w:tcPr>
          <w:p>
            <w:pPr>
              <w:pStyle w:val="TableContents"/>
              <w:bidi w:val="0"/>
              <w:spacing w:before="0" w:after="283"/>
              <w:jc w:val="both"/>
              <w:rPr/>
            </w:pPr>
            <w:r>
              <w:rPr/>
              <w:t>Represents amounts associated with business acquisitions consummated during the applicable period except where noted.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RECONCILIATION OF CERTAIN NON-GAAP MEASURES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 Except Per Share Amounts)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70"/>
        <w:gridCol w:w="60"/>
        <w:gridCol w:w="228"/>
        <w:gridCol w:w="864"/>
        <w:gridCol w:w="215"/>
        <w:gridCol w:w="60"/>
        <w:gridCol w:w="176"/>
        <w:gridCol w:w="474"/>
        <w:gridCol w:w="80"/>
        <w:gridCol w:w="60"/>
        <w:gridCol w:w="197"/>
        <w:gridCol w:w="528"/>
        <w:gridCol w:w="221"/>
        <w:gridCol w:w="60"/>
        <w:gridCol w:w="226"/>
        <w:gridCol w:w="611"/>
        <w:gridCol w:w="80"/>
        <w:gridCol w:w="60"/>
        <w:gridCol w:w="292"/>
        <w:gridCol w:w="864"/>
        <w:gridCol w:w="79"/>
      </w:tblGrid>
      <w:tr>
        <w:trPr/>
        <w:tc>
          <w:tcPr>
            <w:tcW w:w="4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96"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Pre-tax</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Per</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r>
              <w:rPr>
                <w:rFonts w:ascii="Times New Roman;Times;Serif" w:hAnsi="Times New Roman;Times;Serif"/>
                <w:b/>
                <w:i w:val="false"/>
                <w:caps w:val="false"/>
                <w:smallCaps w:val="false"/>
                <w:position w:val="7"/>
                <w:sz w:val="16"/>
                <w:sz w:val="20"/>
              </w:rPr>
              <w:t>(a)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Amount</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 amounts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1,113</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7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47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Stericycle transaction and integration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44"/>
              <w:jc w:val="left"/>
              <w:rPr/>
            </w:pPr>
            <w:r>
              <w:rPr/>
              <w:t> </w:t>
            </w:r>
          </w:p>
        </w:tc>
      </w:tr>
      <w:tr>
        <w:trPr/>
        <w:tc>
          <w:tcPr>
            <w:tcW w:w="47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asset impairments, unusual items and other, net</w:t>
            </w:r>
            <w:r>
              <w:rPr>
                <w:rFonts w:ascii="Times New Roman;Times;Serif" w:hAnsi="Times New Roman;Times;Serif"/>
                <w:b w:val="false"/>
                <w:i w:val="false"/>
                <w:caps w:val="false"/>
                <w:smallCaps w:val="false"/>
                <w:position w:val="7"/>
                <w:sz w:val="16"/>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4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adjusted amounts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1,118</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w:t>
            </w:r>
          </w:p>
        </w:tc>
        <w:tc>
          <w:tcPr>
            <w:tcW w:w="22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position w:val="7"/>
                <w:sz w:val="16"/>
                <w:sz w:val="20"/>
              </w:rPr>
            </w:pPr>
            <w:r>
              <w:rPr>
                <w:rFonts w:ascii="Times New Roman;Times;Serif" w:hAnsi="Times New Roman;Times;Serif"/>
                <w:b/>
                <w:i w:val="false"/>
                <w:caps w:val="false"/>
                <w:smallCaps w:val="false"/>
                <w:position w:val="7"/>
                <w:sz w:val="16"/>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depletion, amortization, and accretion</w:t>
            </w:r>
            <w:r>
              <w:rPr>
                <w:rFonts w:ascii="Times New Roman;Times;Serif" w:hAnsi="Times New Roman;Times;Serif"/>
                <w:b w:val="false"/>
                <w:i w:val="false"/>
                <w:caps w:val="false"/>
                <w:smallCaps w:val="false"/>
                <w:position w:val="7"/>
                <w:sz w:val="16"/>
                <w:sz w:val="20"/>
              </w:rPr>
              <w: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47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adjusted operating EBITDA</w:t>
            </w:r>
            <w:r>
              <w:rPr>
                <w:rFonts w:ascii="Times New Roman;Times;Serif" w:hAnsi="Times New Roman;Times;Serif"/>
                <w:b/>
                <w:i w:val="false"/>
                <w:caps w:val="false"/>
                <w:smallCaps w:val="false"/>
                <w:position w:val="7"/>
                <w:sz w:val="16"/>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1,853</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4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47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29.8</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803"/>
        <w:gridCol w:w="60"/>
        <w:gridCol w:w="228"/>
        <w:gridCol w:w="865"/>
        <w:gridCol w:w="215"/>
        <w:gridCol w:w="60"/>
        <w:gridCol w:w="176"/>
        <w:gridCol w:w="474"/>
        <w:gridCol w:w="60"/>
        <w:gridCol w:w="60"/>
        <w:gridCol w:w="197"/>
        <w:gridCol w:w="528"/>
        <w:gridCol w:w="221"/>
        <w:gridCol w:w="60"/>
        <w:gridCol w:w="226"/>
        <w:gridCol w:w="612"/>
        <w:gridCol w:w="60"/>
        <w:gridCol w:w="60"/>
        <w:gridCol w:w="293"/>
        <w:gridCol w:w="868"/>
        <w:gridCol w:w="79"/>
      </w:tblGrid>
      <w:tr>
        <w:trPr/>
        <w:tc>
          <w:tcPr>
            <w:tcW w:w="4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63"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2025</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Pre-tax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Per</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r>
              <w:rPr>
                <w:rFonts w:ascii="Times New Roman;Times;Serif" w:hAnsi="Times New Roman;Times;Serif"/>
                <w:b/>
                <w:i w:val="false"/>
                <w:caps w:val="false"/>
                <w:smallCaps w:val="false"/>
                <w:position w:val="7"/>
                <w:sz w:val="16"/>
                <w:sz w:val="20"/>
              </w:rPr>
              <w: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Amount</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0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 amounts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1,013</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7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0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48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Stericycle transaction and integration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44"/>
              <w:jc w:val="left"/>
              <w:rPr/>
            </w:pPr>
            <w:r>
              <w:rPr/>
              <w:t> </w:t>
            </w:r>
          </w:p>
        </w:tc>
      </w:tr>
      <w:tr>
        <w:trPr/>
        <w:tc>
          <w:tcPr>
            <w:tcW w:w="48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asset impairments, unusual items and other, net</w:t>
            </w:r>
            <w:r>
              <w:rPr>
                <w:rFonts w:ascii="Times New Roman;Times;Serif" w:hAnsi="Times New Roman;Times;Serif"/>
                <w:b w:val="false"/>
                <w:i w:val="false"/>
                <w:caps w:val="false"/>
                <w:smallCaps w:val="false"/>
                <w:position w:val="7"/>
                <w:sz w:val="16"/>
                <w:sz w:val="20"/>
              </w:rPr>
              <w: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48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0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adjusted amounts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1,059</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w:t>
            </w:r>
          </w:p>
        </w:tc>
        <w:tc>
          <w:tcPr>
            <w:tcW w:w="22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position w:val="7"/>
                <w:sz w:val="16"/>
                <w:sz w:val="20"/>
              </w:rPr>
            </w:pPr>
            <w:r>
              <w:rPr>
                <w:rFonts w:ascii="Times New Roman;Times;Serif" w:hAnsi="Times New Roman;Times;Serif"/>
                <w:b/>
                <w:i w:val="false"/>
                <w:caps w:val="false"/>
                <w:smallCaps w:val="false"/>
                <w:position w:val="7"/>
                <w:sz w:val="16"/>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1.67</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depletion, amortization, and accretion</w:t>
            </w:r>
            <w:r>
              <w:rPr>
                <w:rFonts w:ascii="Times New Roman;Times;Serif" w:hAnsi="Times New Roman;Times;Serif"/>
                <w:b w:val="false"/>
                <w:i w:val="false"/>
                <w:caps w:val="false"/>
                <w:smallCaps w:val="false"/>
                <w:position w:val="7"/>
                <w:sz w:val="16"/>
                <w:sz w:val="20"/>
              </w:rPr>
              <w: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480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adjusted operating EBITDA</w:t>
            </w:r>
            <w:r>
              <w:rPr>
                <w:rFonts w:ascii="Times New Roman;Times;Serif" w:hAnsi="Times New Roman;Times;Serif"/>
                <w:b/>
                <w:i w:val="false"/>
                <w:caps w:val="false"/>
                <w:smallCaps w:val="false"/>
                <w:position w:val="7"/>
                <w:sz w:val="16"/>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1,750</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48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480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29.1</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283"/>
              <w:jc w:val="both"/>
              <w:rPr/>
            </w:pPr>
            <w:r>
              <w:rPr/>
              <w:t>For purposes of this press release table, all references to "Net Income" refer to the financial statement line item "Net income attributable to Waste Management, Inc."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(b)</w:t>
            </w:r>
          </w:p>
        </w:tc>
        <w:tc>
          <w:tcPr>
            <w:tcW w:w="9935" w:type="dxa"/>
            <w:tcBorders/>
            <w:vAlign w:val="center"/>
          </w:tcPr>
          <w:p>
            <w:pPr>
              <w:pStyle w:val="TableContents"/>
              <w:bidi w:val="0"/>
              <w:spacing w:before="0" w:after="283"/>
              <w:jc w:val="both"/>
              <w:rPr/>
            </w:pPr>
            <w:r>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first quarter 2026 and 2025 adjusted effective tax rates were 18.4% and 19.2%,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283"/>
              <w:jc w:val="both"/>
              <w:rPr/>
            </w:pPr>
            <w:r>
              <w:rPr/>
              <w:t>Primarily due to a $34 million gain related to a business divestiture in our West Tier, offset by loss contingency reserve adjustments and other restructuring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both"/>
              <w:rPr/>
            </w:pPr>
            <w:r>
              <w:rPr/>
              <w:t>Beginning in 2026, landfill accretion expense was moved from operating expenses to depreciation, depletion, amortization, and accretion. Landfill Accretion expense in the three months ended March, 31 2026 and 2025 was $39 million and $35 million, respectively. For comparability purposes, 2025 actuals have been updated to reflect that 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14"/>
        <w:gridCol w:w="9848"/>
      </w:tblGrid>
      <w:tr>
        <w:trPr/>
        <w:tc>
          <w:tcPr>
            <w:tcW w:w="4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(e)</w:t>
            </w:r>
          </w:p>
        </w:tc>
        <w:tc>
          <w:tcPr>
            <w:tcW w:w="9848" w:type="dxa"/>
            <w:tcBorders/>
            <w:vAlign w:val="center"/>
          </w:tcPr>
          <w:p>
            <w:pPr>
              <w:pStyle w:val="TableContents"/>
              <w:bidi w:val="0"/>
              <w:spacing w:before="0" w:after="283"/>
              <w:jc w:val="both"/>
              <w:rPr/>
            </w:pPr>
            <w:r>
              <w:rPr/>
              <w:t>Primarily due to a legacy loss contingency reserve adjustment and other restructuring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RECONCILIATION OF CERTAIN NON-GAAP MEASURES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34"/>
        <w:gridCol w:w="60"/>
        <w:gridCol w:w="235"/>
        <w:gridCol w:w="917"/>
        <w:gridCol w:w="215"/>
        <w:gridCol w:w="60"/>
        <w:gridCol w:w="239"/>
        <w:gridCol w:w="733"/>
        <w:gridCol w:w="215"/>
        <w:gridCol w:w="60"/>
        <w:gridCol w:w="231"/>
        <w:gridCol w:w="704"/>
        <w:gridCol w:w="215"/>
        <w:gridCol w:w="60"/>
        <w:gridCol w:w="238"/>
        <w:gridCol w:w="727"/>
        <w:gridCol w:w="215"/>
        <w:gridCol w:w="60"/>
        <w:gridCol w:w="217"/>
        <w:gridCol w:w="688"/>
        <w:gridCol w:w="80"/>
        <w:gridCol w:w="60"/>
        <w:gridCol w:w="125"/>
        <w:gridCol w:w="485"/>
        <w:gridCol w:w="232"/>
      </w:tblGrid>
      <w:tr>
        <w:trPr/>
        <w:tc>
          <w:tcPr>
            <w:tcW w:w="3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79"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w:t>
            </w:r>
          </w:p>
        </w:tc>
        <w:tc>
          <w:tcPr>
            <w:tcW w:w="2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2"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Recycling</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vAlign w:val="center"/>
          </w:tcPr>
          <w:p>
            <w:pPr>
              <w:pStyle w:val="TableContents"/>
              <w:bidi w:val="0"/>
              <w:spacing w:before="0" w:after="283"/>
              <w:jc w:val="center"/>
              <w:rPr/>
            </w:pPr>
            <w:r>
              <w:rPr/>
              <w:t> </w:t>
            </w:r>
          </w:p>
        </w:tc>
        <w:tc>
          <w:tcPr>
            <w:tcW w:w="232" w:type="dxa"/>
            <w:tcBorders/>
            <w:vAlign w:val="center"/>
          </w:tcPr>
          <w:p>
            <w:pPr>
              <w:pStyle w:val="TableContents"/>
              <w:bidi w:val="0"/>
              <w:spacing w:before="0" w:after="283"/>
              <w:jc w:val="left"/>
              <w:rPr/>
            </w:pPr>
            <w:r>
              <w:rPr/>
              <w:t> </w:t>
            </w:r>
          </w:p>
        </w:tc>
      </w:tr>
      <w:tr>
        <w:trPr/>
        <w:tc>
          <w:tcPr>
            <w:tcW w:w="3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Collection</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Processing</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Renewable</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Healthcare</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Disposal</w:t>
            </w:r>
            <w:r>
              <w:rPr>
                <w:rFonts w:ascii="Times New Roman;Times;Serif" w:hAnsi="Times New Roman;Times;Serif"/>
                <w:b/>
                <w:i w:val="false"/>
                <w:caps w:val="false"/>
                <w:smallCaps w:val="false"/>
                <w:position w:val="7"/>
                <w:sz w:val="16"/>
                <w:sz w:val="20"/>
              </w:rPr>
              <w:t>(a)(b)</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Sales</w:t>
            </w:r>
            <w:r>
              <w:rPr>
                <w:rFonts w:ascii="Times New Roman;Times;Serif" w:hAnsi="Times New Roman;Times;Serif"/>
                <w:b/>
                <w:i w:val="false"/>
                <w:caps w:val="false"/>
                <w:smallCaps w:val="false"/>
                <w:position w:val="7"/>
                <w:sz w:val="16"/>
                <w:sz w:val="20"/>
              </w:rPr>
              <w:t>(a)</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Energy</w:t>
            </w:r>
            <w:r>
              <w:rPr>
                <w:rFonts w:ascii="Times New Roman;Times;Serif" w:hAnsi="Times New Roman;Times;Serif"/>
                <w:b/>
                <w:i w:val="false"/>
                <w:caps w:val="false"/>
                <w:smallCaps w:val="false"/>
                <w:position w:val="7"/>
                <w:sz w:val="16"/>
                <w:sz w:val="20"/>
              </w:rPr>
              <w:t>(b)</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Solutions</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WM</w:t>
            </w:r>
          </w:p>
        </w:tc>
        <w:tc>
          <w:tcPr>
            <w:tcW w:w="2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4"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Operating EBITDA and Adjusted Operating EBITDA Margin</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3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31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revenues, as reported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5,081</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368</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614</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6,227</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31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 as reported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1,460</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1,113</w:t>
            </w:r>
          </w:p>
        </w:tc>
        <w:tc>
          <w:tcPr>
            <w:tcW w:w="232"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depletion, amortization, and accretion</w:t>
            </w:r>
            <w:r>
              <w:rPr>
                <w:rFonts w:ascii="Times New Roman;Times;Serif" w:hAnsi="Times New Roman;Times;Serif"/>
                <w:b w:val="false"/>
                <w:i w:val="false"/>
                <w:caps w:val="false"/>
                <w:smallCaps w:val="false"/>
                <w:position w:val="7"/>
                <w:sz w:val="16"/>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EBITDA, as reported</w:t>
            </w:r>
            <w:r>
              <w:rPr>
                <w:rFonts w:ascii="Times New Roman;Times;Serif" w:hAnsi="Times New Roman;Times;Serif"/>
                <w:b/>
                <w:i w:val="false"/>
                <w:caps w:val="false"/>
                <w:smallCaps w:val="false"/>
                <w:position w:val="7"/>
                <w:sz w:val="16"/>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1,991</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1,848</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31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3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Stericycle transaction and integration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32"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asset impairments, unusual items and other, net</w:t>
            </w:r>
            <w:r>
              <w:rPr>
                <w:rFonts w:ascii="Times New Roman;Times;Serif" w:hAnsi="Times New Roman;Times;Serif"/>
                <w:b w:val="false"/>
                <w:i w:val="false"/>
                <w:caps w:val="false"/>
                <w:smallCaps w:val="false"/>
                <w:position w:val="7"/>
                <w:sz w:val="16"/>
                <w:sz w:val="20"/>
              </w:rPr>
              <w: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EBITDA</w:t>
            </w:r>
            <w:r>
              <w:rPr>
                <w:rFonts w:ascii="Times New Roman;Times;Serif" w:hAnsi="Times New Roman;Times;Serif"/>
                <w:b/>
                <w:i w:val="false"/>
                <w:caps w:val="false"/>
                <w:smallCaps w:val="false"/>
                <w:position w:val="7"/>
                <w:sz w:val="16"/>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1,957</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1,853</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31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EBITDA margin, as reported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45.3</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14.7</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w:t>
            </w:r>
          </w:p>
        </w:tc>
        <w:tc>
          <w:tcPr>
            <w:tcW w:w="23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1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38.5</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19.6</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45.3</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29.8</w:t>
            </w:r>
          </w:p>
        </w:tc>
        <w:tc>
          <w:tcPr>
            <w:tcW w:w="2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34"/>
        <w:gridCol w:w="60"/>
        <w:gridCol w:w="235"/>
        <w:gridCol w:w="917"/>
        <w:gridCol w:w="215"/>
        <w:gridCol w:w="60"/>
        <w:gridCol w:w="239"/>
        <w:gridCol w:w="733"/>
        <w:gridCol w:w="215"/>
        <w:gridCol w:w="60"/>
        <w:gridCol w:w="231"/>
        <w:gridCol w:w="704"/>
        <w:gridCol w:w="215"/>
        <w:gridCol w:w="60"/>
        <w:gridCol w:w="238"/>
        <w:gridCol w:w="727"/>
        <w:gridCol w:w="215"/>
        <w:gridCol w:w="60"/>
        <w:gridCol w:w="217"/>
        <w:gridCol w:w="688"/>
        <w:gridCol w:w="80"/>
        <w:gridCol w:w="60"/>
        <w:gridCol w:w="125"/>
        <w:gridCol w:w="485"/>
        <w:gridCol w:w="232"/>
      </w:tblGrid>
      <w:tr>
        <w:trPr/>
        <w:tc>
          <w:tcPr>
            <w:tcW w:w="3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79"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2025</w:t>
            </w:r>
          </w:p>
        </w:tc>
        <w:tc>
          <w:tcPr>
            <w:tcW w:w="2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2"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Recycling</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Collection</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Processing</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Renewable</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Healthcare</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Disposal</w:t>
            </w:r>
            <w:r>
              <w:rPr>
                <w:rFonts w:ascii="Times New Roman;Times;Serif" w:hAnsi="Times New Roman;Times;Serif"/>
                <w:b/>
                <w:i w:val="false"/>
                <w:caps w:val="false"/>
                <w:smallCaps w:val="false"/>
                <w:position w:val="7"/>
                <w:sz w:val="16"/>
                <w:sz w:val="20"/>
              </w:rPr>
              <w:t>(a)(b)</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Sales</w:t>
            </w:r>
            <w:r>
              <w:rPr>
                <w:rFonts w:ascii="Times New Roman;Times;Serif" w:hAnsi="Times New Roman;Times;Serif"/>
                <w:b/>
                <w:i w:val="false"/>
                <w:caps w:val="false"/>
                <w:smallCaps w:val="false"/>
                <w:position w:val="7"/>
                <w:sz w:val="16"/>
                <w:sz w:val="20"/>
              </w:rPr>
              <w:t>(a)</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Energy</w:t>
            </w:r>
            <w:r>
              <w:rPr>
                <w:rFonts w:ascii="Times New Roman;Times;Serif" w:hAnsi="Times New Roman;Times;Serif"/>
                <w:b/>
                <w:i w:val="false"/>
                <w:caps w:val="false"/>
                <w:smallCaps w:val="false"/>
                <w:position w:val="7"/>
                <w:sz w:val="16"/>
                <w:sz w:val="20"/>
              </w:rPr>
              <w:t>(b)</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Solutions</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WM</w:t>
            </w:r>
          </w:p>
        </w:tc>
        <w:tc>
          <w:tcPr>
            <w:tcW w:w="2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4"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Operating EBITDA and Adjusted Operating EBITDA Margin</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3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31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revenues, as reported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4,922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384</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619</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6,018</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31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 as reported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1,328</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1,013</w:t>
            </w:r>
          </w:p>
        </w:tc>
        <w:tc>
          <w:tcPr>
            <w:tcW w:w="232"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depletion, amortization, and accretion</w:t>
            </w:r>
            <w:r>
              <w:rPr>
                <w:rFonts w:ascii="Times New Roman;Times;Serif" w:hAnsi="Times New Roman;Times;Serif"/>
                <w:b w:val="false"/>
                <w:i w:val="false"/>
                <w:caps w:val="false"/>
                <w:smallCaps w:val="false"/>
                <w:position w:val="7"/>
                <w:sz w:val="16"/>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EBITDA, as reported</w:t>
            </w:r>
            <w:r>
              <w:rPr>
                <w:rFonts w:ascii="Times New Roman;Times;Serif" w:hAnsi="Times New Roman;Times;Serif"/>
                <w:b/>
                <w:i w:val="false"/>
                <w:caps w:val="false"/>
                <w:smallCaps w:val="false"/>
                <w:position w:val="7"/>
                <w:sz w:val="16"/>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1,837</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1,704</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31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3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Stericycle transaction and integration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232"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asset impairments, unusual items and other, net</w:t>
            </w:r>
            <w:r>
              <w:rPr>
                <w:rFonts w:ascii="Times New Roman;Times;Serif" w:hAnsi="Times New Roman;Times;Serif"/>
                <w:b w:val="false"/>
                <w:i w:val="false"/>
                <w:caps w:val="false"/>
                <w:smallCaps w:val="false"/>
                <w:position w:val="7"/>
                <w:sz w:val="16"/>
                <w:sz w:val="20"/>
              </w:rPr>
              <w: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31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EBITDA</w:t>
            </w:r>
            <w:r>
              <w:rPr>
                <w:rFonts w:ascii="Times New Roman;Times;Serif" w:hAnsi="Times New Roman;Times;Serif"/>
                <w:b/>
                <w:i w:val="false"/>
                <w:caps w:val="false"/>
                <w:smallCaps w:val="false"/>
                <w:position w:val="7"/>
                <w:sz w:val="16"/>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1,839</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1,750</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31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EBITDA margin, as reported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37.3</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37.4</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w:t>
            </w:r>
          </w:p>
        </w:tc>
        <w:tc>
          <w:tcPr>
            <w:tcW w:w="2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1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EBITDA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37.4</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37.4</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29.1</w:t>
            </w:r>
          </w:p>
        </w:tc>
        <w:tc>
          <w:tcPr>
            <w:tcW w:w="23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(a)</w:t>
            </w:r>
          </w:p>
        </w:tc>
        <w:tc>
          <w:tcPr>
            <w:tcW w:w="9942" w:type="dxa"/>
            <w:tcBorders/>
            <w:vAlign w:val="center"/>
          </w:tcPr>
          <w:p>
            <w:pPr>
              <w:pStyle w:val="TableContents"/>
              <w:bidi w:val="0"/>
              <w:spacing w:before="0" w:after="283"/>
              <w:jc w:val="both"/>
              <w:rPr/>
            </w:pPr>
            <w:r>
              <w:rPr/>
              <w:t>Certain fees related to the processing of recycled material we collect are included within our Collection and Disposal business. The total amount of such fees in income from operations for the three months ended March 31, 2026 and 2025 is $18 million and $20 million,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both"/>
              <w:rPr/>
            </w:pPr>
            <w:r>
              <w:rPr/>
              <w:t>Renewable Energy pays a 15% intercompany royalty to our Collection and Disposal business and Corporate and Other for landfill gas. The total amount of royalties in income from operations for the three months ended March 31, 2026 and 2025 is $24 million and $14 million,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8" w:type="dxa"/>
            <w:tcBorders/>
            <w:vAlign w:val="center"/>
          </w:tcPr>
          <w:p>
            <w:pPr>
              <w:pStyle w:val="TableContents"/>
              <w:bidi w:val="0"/>
              <w:spacing w:before="0" w:after="283"/>
              <w:jc w:val="both"/>
              <w:rPr/>
            </w:pPr>
            <w:r>
              <w:rPr/>
              <w:t>Beginning in 2026, landfill accretion expense was moved from operating expenses to depreciation, depletion, amortization, and accretion. Landfill Accretion expense in the three months ended March, 31 2026 and 2025 was $39 million and $35 million, respectively. For comparability purposes, 2025 actuals have been updated to reflect that 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(d)</w:t>
            </w:r>
          </w:p>
        </w:tc>
        <w:tc>
          <w:tcPr>
            <w:tcW w:w="9907" w:type="dxa"/>
            <w:tcBorders/>
            <w:vAlign w:val="center"/>
          </w:tcPr>
          <w:p>
            <w:pPr>
              <w:pStyle w:val="TableContents"/>
              <w:bidi w:val="0"/>
              <w:spacing w:before="0" w:after="283"/>
              <w:jc w:val="both"/>
              <w:rPr/>
            </w:pPr>
            <w:r>
              <w:rPr/>
              <w:t>Primarily due to a $34 million gain related to a business divestiture in our West Tier, offset by loss contingency reserve adjustments and other restructuring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14"/>
        <w:gridCol w:w="9848"/>
      </w:tblGrid>
      <w:tr>
        <w:trPr/>
        <w:tc>
          <w:tcPr>
            <w:tcW w:w="4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(e)</w:t>
            </w:r>
          </w:p>
        </w:tc>
        <w:tc>
          <w:tcPr>
            <w:tcW w:w="9848" w:type="dxa"/>
            <w:tcBorders/>
            <w:vAlign w:val="center"/>
          </w:tcPr>
          <w:p>
            <w:pPr>
              <w:pStyle w:val="TableContents"/>
              <w:bidi w:val="0"/>
              <w:spacing w:before="0" w:after="283"/>
              <w:jc w:val="both"/>
              <w:rPr/>
            </w:pPr>
            <w:r>
              <w:rPr/>
              <w:t>Primarily due to a legacy loss contingency reserve adjustment and other restructuring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RECONCILIATION OF CERTAIN NON-GAAP MEASURES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 Except Per Share Amounts)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148" w:type="dxa"/>
        <w:jc w:val="left"/>
        <w:tblInd w:w="0" w:type="dxa"/>
        <w:tblLayout w:type="fixed"/>
        <w:tblCellMar>
          <w:top w:w="0" w:type="dxa"/>
          <w:left w:w="0" w:type="dxa"/>
          <w:bottom w:w="0" w:type="dxa"/>
          <w:right w:w="0" w:type="dxa"/>
        </w:tblCellMar>
      </w:tblPr>
      <w:tblGrid>
        <w:gridCol w:w="6005"/>
        <w:gridCol w:w="60"/>
        <w:gridCol w:w="366"/>
        <w:gridCol w:w="1423"/>
        <w:gridCol w:w="215"/>
        <w:gridCol w:w="60"/>
        <w:gridCol w:w="366"/>
        <w:gridCol w:w="1423"/>
        <w:gridCol w:w="230"/>
      </w:tblGrid>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Operating Expenses and Adjusted Operating Expenses Margin</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revenues, as reported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6,227</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6,018</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 as reported</w:t>
            </w:r>
            <w:r>
              <w:rPr>
                <w:rFonts w:ascii="Times New Roman;Times;Serif" w:hAnsi="Times New Roman;Times;Serif"/>
                <w:b/>
                <w:i w:val="false"/>
                <w:caps w:val="false"/>
                <w:smallCaps w:val="false"/>
                <w:position w:val="7"/>
                <w:sz w:val="16"/>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3,694</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3,612</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59.3</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loss contingency reserve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 as adjusted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3,684</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3,605</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59.2</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59.9</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518" w:type="dxa"/>
        <w:jc w:val="left"/>
        <w:tblInd w:w="0" w:type="dxa"/>
        <w:tblLayout w:type="fixed"/>
        <w:tblCellMar>
          <w:top w:w="0" w:type="dxa"/>
          <w:left w:w="0" w:type="dxa"/>
          <w:bottom w:w="0" w:type="dxa"/>
          <w:right w:w="0" w:type="dxa"/>
        </w:tblCellMar>
      </w:tblPr>
      <w:tblGrid>
        <w:gridCol w:w="5375"/>
        <w:gridCol w:w="60"/>
        <w:gridCol w:w="366"/>
        <w:gridCol w:w="1423"/>
        <w:gridCol w:w="215"/>
        <w:gridCol w:w="60"/>
        <w:gridCol w:w="366"/>
        <w:gridCol w:w="1423"/>
        <w:gridCol w:w="230"/>
      </w:tblGrid>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SG&amp;A Expenses and Adjusted SG&amp;A Expenses Margin</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revenues, as reported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6,227</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6,018</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SG&amp;A expenses, as reported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707</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687</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Stericycle acquisition and integration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SG&amp;A expenses, as adjusted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690</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663</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423" w:type="dxa"/>
        <w:jc w:val="left"/>
        <w:tblInd w:w="0" w:type="dxa"/>
        <w:tblLayout w:type="fixed"/>
        <w:tblCellMar>
          <w:top w:w="0" w:type="dxa"/>
          <w:left w:w="0" w:type="dxa"/>
          <w:bottom w:w="28" w:type="dxa"/>
          <w:right w:w="0" w:type="dxa"/>
        </w:tblCellMar>
      </w:tblPr>
      <w:tblGrid>
        <w:gridCol w:w="6290"/>
        <w:gridCol w:w="60"/>
        <w:gridCol w:w="170"/>
        <w:gridCol w:w="749"/>
        <w:gridCol w:w="80"/>
        <w:gridCol w:w="60"/>
        <w:gridCol w:w="170"/>
        <w:gridCol w:w="749"/>
        <w:gridCol w:w="95"/>
      </w:tblGrid>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 Projected Free Cash Flow Reconciliation</w:t>
            </w:r>
            <w:r>
              <w:rPr>
                <w:rFonts w:ascii="Times New Roman;Times;Serif" w:hAnsi="Times New Roman;Times;Serif"/>
                <w:b/>
                <w:i/>
                <w:caps w:val="false"/>
                <w:smallCaps w:val="false"/>
                <w:position w:val="7"/>
                <w:sz w:val="16"/>
                <w:sz w:val="20"/>
              </w:rPr>
              <w:t>(b)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Scenario 1</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Scenario 2</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to support the business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(2,550</w:t>
            </w:r>
          </w:p>
        </w:tc>
        <w:tc>
          <w:tcPr>
            <w:tcW w:w="95" w:type="dxa"/>
            <w:tcBorders/>
            <w:shd w:fill="FFFFFF" w:val="clear"/>
            <w:tcMar>
              <w:bottom w:w="0" w:type="dxa"/>
            </w:tcM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divestitures of businesses and other assets, net of cash divested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 before sustainability growth investments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9"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3,950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9"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4,050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 sustainability growth investments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9"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9"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3,850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Beginning in 2026, landfill accretion expense was moved from operating expenses to depreciation, depletion, amortization, and accretion. Landfill Accretion expense in the three months ended March, 31 2026 and 2025 was $39 million and $35 million, respectively. For comparability purposes, 2025 actuals have been updated to reflect that 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283"/>
              <w:jc w:val="both"/>
              <w:rPr/>
            </w:pPr>
            <w:r>
              <w:rPr/>
              <w:t>The reconciliation includes two scenarios that illustrate our projected free cash flow range for 2026. The amounts used in the reconciliation are subject to many variables, some of which are not under our control and, therefore, are not necessarily indicative of actual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SUPPLEMENTAL INFORMATION PROVIDED FOR ILLUSTRATIVE PURPOSES ONLY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Diversity in the structure of recycling contracts results in different accounting treatment for commodity rebates. In accordance with revenue recognition guidance, the Company records gross recycling revenue and records rebates paid to customers as cost of goods sold. Other contract structures allow for netting of rebates against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illustrates the impact that differing contract structures has on the Company’s adjusted operating EBITDA margin results. This information has been provided to enhance comparability and is not intended to replace or adjust GAAP reported results.</w:t>
      </w:r>
    </w:p>
    <w:p>
      <w:pPr>
        <w:pStyle w:val="TextBody"/>
        <w:bidi w:val="0"/>
        <w:spacing w:before="0" w:after="0"/>
        <w:ind w:left="0" w:right="0" w:hanging="0"/>
        <w:jc w:val="left"/>
        <w:rPr>
          <w:caps w:val="false"/>
          <w:smallCaps w:val="false"/>
        </w:rPr>
      </w:pPr>
      <w:r>
        <w:rPr>
          <w:caps w:val="false"/>
          <w:smallCaps w:val="false"/>
        </w:rPr>
        <w:t> </w:t>
      </w:r>
    </w:p>
    <w:tbl>
      <w:tblPr>
        <w:tblW w:w="7664" w:type="dxa"/>
        <w:jc w:val="left"/>
        <w:tblInd w:w="0" w:type="dxa"/>
        <w:tblLayout w:type="fixed"/>
        <w:tblCellMar>
          <w:top w:w="0" w:type="dxa"/>
          <w:left w:w="0" w:type="dxa"/>
          <w:bottom w:w="0" w:type="dxa"/>
          <w:right w:w="0" w:type="dxa"/>
        </w:tblCellMar>
      </w:tblPr>
      <w:tblGrid>
        <w:gridCol w:w="2465"/>
        <w:gridCol w:w="60"/>
        <w:gridCol w:w="188"/>
        <w:gridCol w:w="507"/>
        <w:gridCol w:w="78"/>
        <w:gridCol w:w="78"/>
        <w:gridCol w:w="260"/>
        <w:gridCol w:w="1199"/>
        <w:gridCol w:w="241"/>
        <w:gridCol w:w="78"/>
        <w:gridCol w:w="188"/>
        <w:gridCol w:w="507"/>
        <w:gridCol w:w="78"/>
        <w:gridCol w:w="78"/>
        <w:gridCol w:w="260"/>
        <w:gridCol w:w="1199"/>
        <w:gridCol w:w="20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3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 in </w:t>
              <w:br/>
              <w:t xml:space="preserve">Adjusted </w:t>
              <w:br/>
              <w:t xml:space="preserve">Operating </w:t>
              <w:br/>
              <w:t>EBITDA Margin</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 in </w:t>
              <w:br/>
              <w:t xml:space="preserve">Adjusted </w:t>
              <w:br/>
              <w:t xml:space="preserve">Operating </w:t>
              <w:br/>
              <w:t>EBITDA Margin</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Recycling commodity rebates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5783</Words>
  <Characters>31727</Characters>
  <CharactersWithSpaces>38847</CharactersWithSpaces>
  <Paragraphs>3927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