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207" w:lineRule="exact"/>
        <w:rPr>
          <w:sz w:val="24"/>
          <w:szCs w:val="24"/>
          <w:color w:val="auto"/>
        </w:rPr>
      </w:pPr>
    </w:p>
    <w:p>
      <w:pPr>
        <w:ind w:left="5620" w:right="1899" w:hanging="5401"/>
        <w:spacing w:after="0" w:line="248" w:lineRule="auto"/>
        <w:rPr>
          <w:sz w:val="20"/>
          <w:szCs w:val="20"/>
          <w:color w:val="auto"/>
        </w:rPr>
      </w:pPr>
      <w:r>
        <w:rPr>
          <w:rFonts w:ascii="Courier New" w:cs="Courier New" w:eastAsia="Courier New" w:hAnsi="Courier New"/>
          <w:sz w:val="17"/>
          <w:szCs w:val="17"/>
          <w:color w:val="auto"/>
        </w:rPr>
        <w:t>As filed with the Securities and Exchange Commission on September 7, 1995 Registration No. 33-59807</w:t>
      </w:r>
    </w:p>
    <w:p>
      <w:pPr>
        <w:spacing w:after="0" w:line="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ind w:left="240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7" w:lineRule="exact"/>
        <w:rPr>
          <w:sz w:val="24"/>
          <w:szCs w:val="24"/>
          <w:color w:val="auto"/>
        </w:rPr>
      </w:pPr>
    </w:p>
    <w:p>
      <w:pPr>
        <w:ind w:left="2920"/>
        <w:spacing w:after="0"/>
        <w:tabs>
          <w:tab w:leader="none" w:pos="4760" w:val="left"/>
        </w:tabs>
        <w:rPr>
          <w:sz w:val="20"/>
          <w:szCs w:val="20"/>
          <w:color w:val="auto"/>
        </w:rPr>
      </w:pPr>
      <w:r>
        <w:rPr>
          <w:rFonts w:ascii="Courier New" w:cs="Courier New" w:eastAsia="Courier New" w:hAnsi="Courier New"/>
          <w:sz w:val="17"/>
          <w:szCs w:val="17"/>
          <w:color w:val="auto"/>
        </w:rPr>
        <w:t>WASHINGTON, D.C.</w:t>
        <w:tab/>
        <w:t>20549</w:t>
      </w:r>
    </w:p>
    <w:p>
      <w:pPr>
        <w:spacing w:after="0" w:line="7"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___________________</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POST-EFFECTIVE AMENDMENT NO. 1</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TO</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FORM S-8</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REGISTRATION STATEMENT UNDER</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THE SECURITIES ACT OF 1933</w:t>
      </w:r>
    </w:p>
    <w:p>
      <w:pPr>
        <w:spacing w:after="0" w:line="7"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___________________</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8" w:right="1440" w:bottom="1440" w:gutter="0" w:footer="0" w:header="0"/>
        </w:sectPr>
      </w:pPr>
    </w:p>
    <w:p>
      <w:pPr>
        <w:spacing w:after="0" w:line="207" w:lineRule="exact"/>
        <w:rPr>
          <w:sz w:val="24"/>
          <w:szCs w:val="24"/>
          <w:color w:val="auto"/>
        </w:rPr>
      </w:pPr>
    </w:p>
    <w:p>
      <w:pPr>
        <w:ind w:left="1260"/>
        <w:spacing w:after="0"/>
        <w:rPr>
          <w:sz w:val="20"/>
          <w:szCs w:val="20"/>
          <w:color w:val="auto"/>
        </w:rPr>
      </w:pPr>
      <w:r>
        <w:rPr>
          <w:rFonts w:ascii="Courier New" w:cs="Courier New" w:eastAsia="Courier New" w:hAnsi="Courier New"/>
          <w:sz w:val="17"/>
          <w:szCs w:val="17"/>
          <w:color w:val="auto"/>
        </w:rPr>
        <w:t>DELAWARE</w:t>
      </w:r>
    </w:p>
    <w:p>
      <w:pPr>
        <w:spacing w:after="0" w:line="7"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(State or other jurisdiction</w:t>
      </w:r>
    </w:p>
    <w:p>
      <w:pPr>
        <w:spacing w:after="0" w:line="7" w:lineRule="exact"/>
        <w:rPr>
          <w:sz w:val="24"/>
          <w:szCs w:val="24"/>
          <w:color w:val="auto"/>
        </w:rPr>
      </w:pPr>
    </w:p>
    <w:p>
      <w:pPr>
        <w:ind w:left="64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73-1309529</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2">
            <w:col w:w="5000" w:space="720"/>
            <w:col w:w="4499"/>
          </w:cols>
          <w:pgMar w:left="240" w:top="248" w:right="1440" w:bottom="1440" w:gutter="0" w:footer="0" w:header="0"/>
          <w:type w:val="continuous"/>
        </w:sectPr>
      </w:pP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5000 QUORUM DRIVE, SUITE 300</w:t>
      </w:r>
    </w:p>
    <w:p>
      <w:pPr>
        <w:spacing w:after="0" w:line="7" w:lineRule="exact"/>
        <w:rPr>
          <w:sz w:val="24"/>
          <w:szCs w:val="24"/>
          <w:color w:val="auto"/>
        </w:rPr>
      </w:pPr>
    </w:p>
    <w:p>
      <w:pPr>
        <w:jc w:val="center"/>
        <w:ind w:right="1899"/>
        <w:spacing w:after="0"/>
        <w:tabs>
          <w:tab w:leader="none" w:pos="180" w:val="left"/>
        </w:tabs>
        <w:rPr>
          <w:sz w:val="20"/>
          <w:szCs w:val="20"/>
          <w:color w:val="auto"/>
        </w:rPr>
      </w:pPr>
      <w:r>
        <w:rPr>
          <w:rFonts w:ascii="Courier New" w:cs="Courier New" w:eastAsia="Courier New" w:hAnsi="Courier New"/>
          <w:sz w:val="17"/>
          <w:szCs w:val="17"/>
          <w:color w:val="auto"/>
        </w:rPr>
        <w:t>DALLAS, TEXAS</w:t>
        <w:tab/>
        <w:t>75240</w:t>
      </w:r>
    </w:p>
    <w:p>
      <w:pPr>
        <w:sectPr>
          <w:pgSz w:w="11900" w:h="16838" w:orient="portrait"/>
          <w:cols w:equalWidth="0" w:num="1">
            <w:col w:w="10219"/>
          </w:cols>
          <w:pgMar w:left="240" w:top="248" w:right="1440" w:bottom="1440" w:gutter="0" w:footer="0" w:header="0"/>
          <w:type w:val="continuous"/>
        </w:sectPr>
      </w:pP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0" w:lineRule="exact"/>
        <w:rPr>
          <w:sz w:val="24"/>
          <w:szCs w:val="24"/>
          <w:color w:val="auto"/>
        </w:rPr>
      </w:pPr>
    </w:p>
    <w:p>
      <w:pPr>
        <w:spacing w:after="0" w:line="207" w:lineRule="exact"/>
        <w:rPr>
          <w:sz w:val="24"/>
          <w:szCs w:val="24"/>
          <w:color w:val="auto"/>
        </w:rPr>
      </w:pPr>
    </w:p>
    <w:p>
      <w:pPr>
        <w:ind w:left="3020"/>
        <w:spacing w:after="0"/>
        <w:rPr>
          <w:sz w:val="20"/>
          <w:szCs w:val="20"/>
          <w:color w:val="auto"/>
        </w:rPr>
      </w:pPr>
      <w:r>
        <w:rPr>
          <w:rFonts w:ascii="Courier New" w:cs="Courier New" w:eastAsia="Courier New" w:hAnsi="Courier New"/>
          <w:sz w:val="17"/>
          <w:szCs w:val="17"/>
          <w:color w:val="auto"/>
        </w:rPr>
        <w:t>EMPLOYEE SAVINGS PLAN</w:t>
      </w:r>
    </w:p>
    <w:p>
      <w:pPr>
        <w:spacing w:after="0" w:line="7" w:lineRule="exact"/>
        <w:rPr>
          <w:sz w:val="24"/>
          <w:szCs w:val="24"/>
          <w:color w:val="auto"/>
        </w:rPr>
      </w:pPr>
    </w:p>
    <w:p>
      <w:pPr>
        <w:ind w:left="2920"/>
        <w:spacing w:after="0"/>
        <w:rPr>
          <w:sz w:val="20"/>
          <w:szCs w:val="20"/>
          <w:color w:val="auto"/>
        </w:rPr>
      </w:pPr>
      <w:r>
        <w:rPr>
          <w:rFonts w:ascii="Courier New" w:cs="Courier New" w:eastAsia="Courier New" w:hAnsi="Courier New"/>
          <w:sz w:val="17"/>
          <w:szCs w:val="17"/>
          <w:color w:val="auto"/>
        </w:rPr>
        <w:t>(Full title of the plan)</w:t>
      </w:r>
    </w:p>
    <w:p>
      <w:pPr>
        <w:spacing w:after="0" w:line="207"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GREGORY T. SANGALIS</w:t>
      </w:r>
    </w:p>
    <w:p>
      <w:pPr>
        <w:spacing w:after="0" w:line="7" w:lineRule="exact"/>
        <w:rPr>
          <w:sz w:val="24"/>
          <w:szCs w:val="24"/>
          <w:color w:val="auto"/>
        </w:rPr>
      </w:pPr>
    </w:p>
    <w:p>
      <w:pPr>
        <w:ind w:left="2920"/>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4"/>
          <w:szCs w:val="24"/>
          <w:color w:val="auto"/>
        </w:rPr>
      </w:pPr>
    </w:p>
    <w:p>
      <w:pPr>
        <w:ind w:left="2700"/>
        <w:spacing w:after="0"/>
        <w:rPr>
          <w:sz w:val="20"/>
          <w:szCs w:val="20"/>
          <w:color w:val="auto"/>
        </w:rPr>
      </w:pPr>
      <w:r>
        <w:rPr>
          <w:rFonts w:ascii="Courier New" w:cs="Courier New" w:eastAsia="Courier New" w:hAnsi="Courier New"/>
          <w:sz w:val="17"/>
          <w:szCs w:val="17"/>
          <w:color w:val="auto"/>
        </w:rPr>
        <w:t>5000 QUORUM DRIVE, SUITE 300</w:t>
      </w:r>
    </w:p>
    <w:p>
      <w:pPr>
        <w:spacing w:after="0" w:line="7" w:lineRule="exact"/>
        <w:rPr>
          <w:sz w:val="24"/>
          <w:szCs w:val="24"/>
          <w:color w:val="auto"/>
        </w:rPr>
      </w:pPr>
    </w:p>
    <w:p>
      <w:pPr>
        <w:ind w:left="3120"/>
        <w:spacing w:after="0"/>
        <w:tabs>
          <w:tab w:leader="none" w:pos="4660" w:val="left"/>
        </w:tabs>
        <w:rPr>
          <w:sz w:val="20"/>
          <w:szCs w:val="20"/>
          <w:color w:val="auto"/>
        </w:rPr>
      </w:pPr>
      <w:r>
        <w:rPr>
          <w:rFonts w:ascii="Courier New" w:cs="Courier New" w:eastAsia="Courier New" w:hAnsi="Courier New"/>
          <w:sz w:val="17"/>
          <w:szCs w:val="17"/>
          <w:color w:val="auto"/>
        </w:rPr>
        <w:t>DALLAS, TEXAS</w:t>
        <w:tab/>
        <w:t>75240</w:t>
      </w:r>
    </w:p>
    <w:p>
      <w:pPr>
        <w:spacing w:after="0" w:line="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(214) 233-4212</w:t>
      </w:r>
    </w:p>
    <w:p>
      <w:pPr>
        <w:spacing w:after="0" w:line="7"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(Name, address and telephone number of agent for service)</w:t>
      </w:r>
    </w:p>
    <w:p>
      <w:pPr>
        <w:spacing w:after="0" w:line="207"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Copies to:</w:t>
      </w:r>
    </w:p>
    <w:p>
      <w:pPr>
        <w:spacing w:after="0" w:line="20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JOHN T. UNGER</w:t>
      </w:r>
    </w:p>
    <w:p>
      <w:pPr>
        <w:spacing w:after="0" w:line="7" w:lineRule="exact"/>
        <w:rPr>
          <w:sz w:val="24"/>
          <w:szCs w:val="24"/>
          <w:color w:val="auto"/>
        </w:rPr>
      </w:pPr>
    </w:p>
    <w:p>
      <w:pPr>
        <w:ind w:left="1980"/>
        <w:spacing w:after="0"/>
        <w:rPr>
          <w:sz w:val="20"/>
          <w:szCs w:val="20"/>
          <w:color w:val="auto"/>
        </w:rPr>
      </w:pPr>
      <w:r>
        <w:rPr>
          <w:rFonts w:ascii="Courier New" w:cs="Courier New" w:eastAsia="Courier New" w:hAnsi="Courier New"/>
          <w:sz w:val="17"/>
          <w:szCs w:val="17"/>
          <w:color w:val="auto"/>
        </w:rPr>
        <w:t>SNELL &amp; SMITH, A PROFESSIONAL CORPORATION</w:t>
      </w:r>
    </w:p>
    <w:p>
      <w:pPr>
        <w:spacing w:after="0" w:line="7" w:lineRule="exact"/>
        <w:rPr>
          <w:sz w:val="24"/>
          <w:szCs w:val="24"/>
          <w:color w:val="auto"/>
        </w:rPr>
      </w:pPr>
    </w:p>
    <w:p>
      <w:pPr>
        <w:ind w:left="2820"/>
        <w:spacing w:after="0"/>
        <w:rPr>
          <w:sz w:val="20"/>
          <w:szCs w:val="20"/>
          <w:color w:val="auto"/>
        </w:rPr>
      </w:pPr>
      <w:r>
        <w:rPr>
          <w:rFonts w:ascii="Courier New" w:cs="Courier New" w:eastAsia="Courier New" w:hAnsi="Courier New"/>
          <w:sz w:val="17"/>
          <w:szCs w:val="17"/>
          <w:color w:val="auto"/>
        </w:rPr>
        <w:t>1000 LOUISIANA, SUITE 3650</w:t>
      </w:r>
    </w:p>
    <w:p>
      <w:pPr>
        <w:spacing w:after="0" w:line="7" w:lineRule="exact"/>
        <w:rPr>
          <w:sz w:val="24"/>
          <w:szCs w:val="24"/>
          <w:color w:val="auto"/>
        </w:rPr>
      </w:pPr>
    </w:p>
    <w:p>
      <w:pPr>
        <w:ind w:left="3020"/>
        <w:spacing w:after="0"/>
        <w:tabs>
          <w:tab w:leader="none" w:pos="4660" w:val="left"/>
        </w:tabs>
        <w:rPr>
          <w:sz w:val="20"/>
          <w:szCs w:val="20"/>
          <w:color w:val="auto"/>
        </w:rPr>
      </w:pPr>
      <w:r>
        <w:rPr>
          <w:rFonts w:ascii="Courier New" w:cs="Courier New" w:eastAsia="Courier New" w:hAnsi="Courier New"/>
          <w:sz w:val="17"/>
          <w:szCs w:val="17"/>
          <w:color w:val="auto"/>
        </w:rPr>
        <w:t>HOUSTON, TEXAS</w:t>
        <w:tab/>
        <w:t>77002</w:t>
      </w:r>
    </w:p>
    <w:p>
      <w:pPr>
        <w:spacing w:after="0" w:line="7"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___________________</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right="2099" w:firstLine="623"/>
        <w:spacing w:after="0" w:line="249" w:lineRule="auto"/>
        <w:rPr>
          <w:sz w:val="20"/>
          <w:szCs w:val="20"/>
          <w:color w:val="auto"/>
        </w:rPr>
      </w:pPr>
      <w:r>
        <w:rPr>
          <w:rFonts w:ascii="Courier New" w:cs="Courier New" w:eastAsia="Courier New" w:hAnsi="Courier New"/>
          <w:sz w:val="17"/>
          <w:szCs w:val="17"/>
          <w:color w:val="auto"/>
        </w:rPr>
        <w:t>THIS POST-EFFECTIVE AMENDMENT IS BEING FILED PURSUANT TO RULE 414 UNDER THE SECURITIES ACT OF 1933, AS AMENDED (THE "ACT"), BY USA WASTE SERVICES, INC., A DELAWARE CORPORATION ("USA WASTE DELAWARE"), AS SUCCESSOR TO USA WASTE SERVICES, INC., AN OKLAHOMA CORPORATION. USA WASTE DELAWARE HEREBY EXPRESSLY ADOPTS THIS REGISTRATION STATEMENT ON FORM S-8 (FILE NO. 33-59807) AS ITS OWN REGISTRATION STATEMENT FOR ALL PURPOSES OF THE ACT AND THE SECURITIES EXCHANGE ACT OF 1934.</w:t>
      </w: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248"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PART II</w:t>
      </w:r>
    </w:p>
    <w:p>
      <w:pPr>
        <w:spacing w:after="0" w:line="20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INFORMATION REQUIRED IN THE REGISTRATION STATEMENT</w:t>
      </w:r>
    </w:p>
    <w:p>
      <w:pPr>
        <w:spacing w:after="0" w:line="200" w:lineRule="exact"/>
        <w:rPr>
          <w:sz w:val="20"/>
          <w:szCs w:val="20"/>
          <w:color w:val="auto"/>
        </w:rPr>
      </w:pP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3.</w:t>
        <w:tab/>
        <w:t>INCORPORATION OF CERTAIN DOCUMENTS BY REFERENCE</w:t>
      </w:r>
    </w:p>
    <w:p>
      <w:pPr>
        <w:spacing w:after="0" w:line="207" w:lineRule="exact"/>
        <w:rPr>
          <w:sz w:val="20"/>
          <w:szCs w:val="20"/>
          <w:color w:val="auto"/>
        </w:rPr>
      </w:pPr>
    </w:p>
    <w:p>
      <w:pPr>
        <w:ind w:right="1999" w:firstLine="623"/>
        <w:spacing w:after="0" w:line="251" w:lineRule="auto"/>
        <w:rPr>
          <w:sz w:val="20"/>
          <w:szCs w:val="20"/>
          <w:color w:val="auto"/>
        </w:rPr>
      </w:pPr>
      <w:r>
        <w:rPr>
          <w:rFonts w:ascii="Courier New" w:cs="Courier New" w:eastAsia="Courier New" w:hAnsi="Courier New"/>
          <w:sz w:val="17"/>
          <w:szCs w:val="17"/>
          <w:color w:val="auto"/>
        </w:rPr>
        <w:t>The following documents are incorporated by reference in the registration statement:</w:t>
      </w:r>
    </w:p>
    <w:p>
      <w:pPr>
        <w:spacing w:after="0" w:line="197" w:lineRule="exact"/>
        <w:rPr>
          <w:sz w:val="20"/>
          <w:szCs w:val="20"/>
          <w:color w:val="auto"/>
        </w:rPr>
      </w:pPr>
    </w:p>
    <w:p>
      <w:pPr>
        <w:ind w:right="2099" w:firstLine="630"/>
        <w:spacing w:after="0" w:line="249" w:lineRule="auto"/>
        <w:tabs>
          <w:tab w:leader="none" w:pos="1247"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latest annual report on Form 10-K, or, if the financial statements therein are more current, the registrant's latest prospectus, other than the prospectus of which this document is a part, filed pursuant to rule 424(b) or (c) of the Securities Exchange Commission under the Securities Act of 1933.</w:t>
      </w:r>
    </w:p>
    <w:p>
      <w:pPr>
        <w:spacing w:after="0" w:line="199" w:lineRule="exact"/>
        <w:rPr>
          <w:rFonts w:ascii="Courier New" w:cs="Courier New" w:eastAsia="Courier New" w:hAnsi="Courier New"/>
          <w:sz w:val="17"/>
          <w:szCs w:val="17"/>
          <w:color w:val="auto"/>
        </w:rPr>
      </w:pPr>
    </w:p>
    <w:p>
      <w:pPr>
        <w:jc w:val="both"/>
        <w:ind w:right="2219" w:firstLine="630"/>
        <w:spacing w:after="0" w:line="249" w:lineRule="auto"/>
        <w:tabs>
          <w:tab w:leader="none" w:pos="1247"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reports filed by the registrant pursuant to Sections 13(a) or 15(d) of the Securities Exchange Act of 1934 since the end of the fiscal year covered by the annual report or the prospectus referred to in (a) above.</w:t>
      </w:r>
    </w:p>
    <w:p>
      <w:pPr>
        <w:spacing w:after="0" w:line="199" w:lineRule="exact"/>
        <w:rPr>
          <w:rFonts w:ascii="Courier New" w:cs="Courier New" w:eastAsia="Courier New" w:hAnsi="Courier New"/>
          <w:sz w:val="17"/>
          <w:szCs w:val="17"/>
          <w:color w:val="auto"/>
        </w:rPr>
      </w:pPr>
    </w:p>
    <w:p>
      <w:pPr>
        <w:ind w:right="2099" w:firstLine="630"/>
        <w:spacing w:after="0" w:line="249" w:lineRule="auto"/>
        <w:tabs>
          <w:tab w:leader="none" w:pos="1247"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descriptions of the registrant's Common Stock which are contained in the registrant's registration statement filed under Section 12 of the Securities Exchange Act of 1934, including any amendment or reports filed for the purpose of updating such descriptions.</w:t>
      </w:r>
    </w:p>
    <w:p>
      <w:pPr>
        <w:spacing w:after="0" w:line="200" w:lineRule="exact"/>
        <w:rPr>
          <w:sz w:val="20"/>
          <w:szCs w:val="20"/>
          <w:color w:val="auto"/>
        </w:rPr>
      </w:pPr>
    </w:p>
    <w:p>
      <w:pPr>
        <w:ind w:right="1999" w:firstLine="623"/>
        <w:spacing w:after="0" w:line="249" w:lineRule="auto"/>
        <w:rPr>
          <w:sz w:val="20"/>
          <w:szCs w:val="20"/>
          <w:color w:val="auto"/>
        </w:rPr>
      </w:pPr>
      <w:r>
        <w:rPr>
          <w:rFonts w:ascii="Courier New" w:cs="Courier New" w:eastAsia="Courier New" w:hAnsi="Courier New"/>
          <w:sz w:val="17"/>
          <w:szCs w:val="17"/>
          <w:color w:val="auto"/>
        </w:rPr>
        <w:t>All documents subsequently filed by the registrant pursuant to Sections 13(a), 13(c), 14 and 15(d) of the Securities Exchange Act of 1934, prior to the filing of a post-effective amendment to the registration statement which indicates that all of the shares of common stock offered have been sold or which deregisters all of such shares then remaining unsold, shall be deemed to be incorporated by reference in the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4.</w:t>
        <w:tab/>
        <w:t>DESCRIPTION OF SECURITIES.</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Not applicable</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5.</w:t>
        <w:tab/>
        <w:t>INTERESTS OF NAMED EXPERTS AND COUNSEL.</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Not applicable</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6.</w:t>
        <w:tab/>
        <w:t>INDEMNIFICATION OF DIRECTORS AND OFFICERS.</w:t>
      </w:r>
    </w:p>
    <w:p>
      <w:pPr>
        <w:spacing w:after="0" w:line="207" w:lineRule="exact"/>
        <w:rPr>
          <w:sz w:val="20"/>
          <w:szCs w:val="20"/>
          <w:color w:val="auto"/>
        </w:rPr>
      </w:pPr>
    </w:p>
    <w:p>
      <w:pPr>
        <w:ind w:right="1999" w:firstLine="623"/>
        <w:spacing w:after="0" w:line="249" w:lineRule="auto"/>
        <w:rPr>
          <w:sz w:val="20"/>
          <w:szCs w:val="20"/>
          <w:color w:val="auto"/>
        </w:rPr>
      </w:pPr>
      <w:r>
        <w:rPr>
          <w:rFonts w:ascii="Courier New" w:cs="Courier New" w:eastAsia="Courier New" w:hAnsi="Courier New"/>
          <w:sz w:val="17"/>
          <w:szCs w:val="17"/>
          <w:color w:val="auto"/>
        </w:rPr>
        <w:t>Section 102(b)(7) of the Delaware General Corporation Law provides that the certificate of incorporated of a Delaware 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involved intentional misconduct or a knowing violation of law, (iii) under Section 174 of this title,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200" w:lineRule="exact"/>
        <w:rPr>
          <w:sz w:val="20"/>
          <w:szCs w:val="20"/>
          <w:color w:val="auto"/>
        </w:rPr>
      </w:pPr>
    </w:p>
    <w:p>
      <w:pPr>
        <w:ind w:right="1999" w:firstLine="623"/>
        <w:spacing w:after="0" w:line="251" w:lineRule="auto"/>
        <w:rPr>
          <w:sz w:val="20"/>
          <w:szCs w:val="20"/>
          <w:color w:val="auto"/>
        </w:rPr>
      </w:pPr>
      <w:r>
        <w:rPr>
          <w:rFonts w:ascii="Courier New" w:cs="Courier New" w:eastAsia="Courier New" w:hAnsi="Courier New"/>
          <w:sz w:val="17"/>
          <w:szCs w:val="17"/>
          <w:color w:val="auto"/>
        </w:rPr>
        <w:t>The Certificate of Incorporation of the registrant includes the following provisions:</w:t>
      </w:r>
    </w:p>
    <w:p>
      <w:pPr>
        <w:spacing w:after="0" w:line="197" w:lineRule="exact"/>
        <w:rPr>
          <w:sz w:val="20"/>
          <w:szCs w:val="20"/>
          <w:color w:val="auto"/>
        </w:rPr>
      </w:pPr>
    </w:p>
    <w:p>
      <w:pPr>
        <w:ind w:left="840"/>
        <w:spacing w:after="0"/>
        <w:tabs>
          <w:tab w:leader="none" w:pos="1860" w:val="left"/>
        </w:tabs>
        <w:rPr>
          <w:sz w:val="20"/>
          <w:szCs w:val="20"/>
          <w:color w:val="auto"/>
        </w:rPr>
      </w:pPr>
      <w:r>
        <w:rPr>
          <w:rFonts w:ascii="Courier New" w:cs="Courier New" w:eastAsia="Courier New" w:hAnsi="Courier New"/>
          <w:sz w:val="17"/>
          <w:szCs w:val="17"/>
          <w:color w:val="auto"/>
        </w:rPr>
        <w:t>Seventh:</w:t>
        <w:tab/>
        <w:t>No director of the Corporation shall be personally liable</w:t>
      </w:r>
    </w:p>
    <w:p>
      <w:pPr>
        <w:spacing w:after="0" w:line="7" w:lineRule="exact"/>
        <w:rPr>
          <w:sz w:val="20"/>
          <w:szCs w:val="20"/>
          <w:color w:val="auto"/>
        </w:rPr>
      </w:pPr>
    </w:p>
    <w:p>
      <w:pPr>
        <w:ind w:left="640" w:right="1999"/>
        <w:spacing w:after="0" w:line="249" w:lineRule="auto"/>
        <w:rPr>
          <w:sz w:val="20"/>
          <w:szCs w:val="20"/>
          <w:color w:val="auto"/>
        </w:rPr>
      </w:pPr>
      <w:r>
        <w:rPr>
          <w:rFonts w:ascii="Courier New" w:cs="Courier New" w:eastAsia="Courier New" w:hAnsi="Courier New"/>
          <w:sz w:val="17"/>
          <w:szCs w:val="17"/>
          <w:color w:val="auto"/>
        </w:rPr>
        <w:t>to the Corporation or its stockholders for monetary damages for breach of fiduciary duty as a director, provided that this provision shall not eliminate or limit the liability of a director for liability (i) for any breach of the director's duty of loyalty to the Corporation or its stockholders, (ii) for acts or omissions not in good faith or which involve intentional misconduct or a knowing violation of law, (iii) under Section 174 of the General Corporation Law of Delaware or (iv) for any transaction from which the director derived an improper</w:t>
      </w:r>
    </w:p>
    <w:p>
      <w:pPr>
        <w:sectPr>
          <w:pgSz w:w="11900" w:h="16838" w:orient="portrait"/>
          <w:cols w:equalWidth="0" w:num="1">
            <w:col w:w="10219"/>
          </w:cols>
          <w:pgMar w:left="240" w:top="315" w:right="1440" w:bottom="574" w:gutter="0" w:footer="0" w:header="0"/>
        </w:sectPr>
      </w:pPr>
    </w:p>
    <w:bookmarkStart w:id="2" w:name="page3"/>
    <w:bookmarkEnd w:id="2"/>
    <w:p>
      <w:pPr>
        <w:ind w:left="276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9019"/>
          </w:cols>
          <w:pgMar w:left="1440" w:top="342" w:right="1440" w:bottom="1440" w:gutter="0" w:footer="0" w:header="0"/>
        </w:sectPr>
      </w:pPr>
    </w:p>
    <w:bookmarkStart w:id="3" w:name="page4"/>
    <w:bookmarkEnd w:id="3"/>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w:t>
      </w:r>
    </w:p>
    <w:p>
      <w:pPr>
        <w:spacing w:after="0" w:line="7" w:lineRule="exact"/>
        <w:rPr>
          <w:sz w:val="20"/>
          <w:szCs w:val="20"/>
          <w:color w:val="auto"/>
        </w:rPr>
      </w:pPr>
    </w:p>
    <w:p>
      <w:pPr>
        <w:ind w:left="320" w:right="1999"/>
        <w:spacing w:after="0" w:line="249" w:lineRule="auto"/>
        <w:rPr>
          <w:sz w:val="20"/>
          <w:szCs w:val="20"/>
          <w:color w:val="auto"/>
        </w:rPr>
      </w:pPr>
      <w:r>
        <w:rPr>
          <w:rFonts w:ascii="Courier New" w:cs="Courier New" w:eastAsia="Courier New" w:hAnsi="Courier New"/>
          <w:sz w:val="17"/>
          <w:szCs w:val="17"/>
          <w:color w:val="auto"/>
        </w:rPr>
        <w:t>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Any repeal or modification of this paragraph by the stockholders of the Corporation shall be prospective only, and shall not adversely affect any limitation on the personal liability of a director of the Corporation existing at the time of such repeal or modification.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40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Section 145 of the Delaware General Corporation Law provides as follows:</w:t>
      </w:r>
    </w:p>
    <w:p>
      <w:pPr>
        <w:spacing w:after="0" w:line="207" w:lineRule="exact"/>
        <w:rPr>
          <w:sz w:val="20"/>
          <w:szCs w:val="20"/>
          <w:color w:val="auto"/>
        </w:rPr>
      </w:pPr>
    </w:p>
    <w:p>
      <w:pPr>
        <w:ind w:left="-320" w:right="1999" w:firstLine="630"/>
        <w:spacing w:after="0" w:line="249" w:lineRule="auto"/>
        <w:tabs>
          <w:tab w:leader="none" w:pos="92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OF OFFICERS DIRECTORS, EMPLOYEES AND AGENTS; INSURANCE. -- (a)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200" w:lineRule="exact"/>
        <w:rPr>
          <w:sz w:val="20"/>
          <w:szCs w:val="20"/>
          <w:color w:val="auto"/>
        </w:rPr>
      </w:pPr>
    </w:p>
    <w:p>
      <w:pPr>
        <w:ind w:left="-320" w:right="1999" w:firstLine="630"/>
        <w:spacing w:after="0" w:line="249" w:lineRule="auto"/>
        <w:tabs>
          <w:tab w:leader="none" w:pos="92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9" w:lineRule="exact"/>
        <w:rPr>
          <w:rFonts w:ascii="Courier New" w:cs="Courier New" w:eastAsia="Courier New" w:hAnsi="Courier New"/>
          <w:sz w:val="17"/>
          <w:szCs w:val="17"/>
          <w:color w:val="auto"/>
        </w:rPr>
      </w:pPr>
    </w:p>
    <w:p>
      <w:pPr>
        <w:ind w:left="-320" w:right="2319" w:firstLine="630"/>
        <w:spacing w:after="0" w:line="249" w:lineRule="auto"/>
        <w:tabs>
          <w:tab w:leader="none" w:pos="92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a director, officer, employee or agent of a corporation has been successful on the merits or otherwise in defense of any action, suit or proceeding referred to in subsection (a) or (b) of this section, or in defense of any claim, issue or matter therein, he shall be indemnified against expenses (including attorneys' fees), actually and reasonably incurred by him in connection therewith.</w:t>
      </w:r>
    </w:p>
    <w:p>
      <w:pPr>
        <w:spacing w:after="0" w:line="199" w:lineRule="exact"/>
        <w:rPr>
          <w:rFonts w:ascii="Courier New" w:cs="Courier New" w:eastAsia="Courier New" w:hAnsi="Courier New"/>
          <w:sz w:val="17"/>
          <w:szCs w:val="17"/>
          <w:color w:val="auto"/>
        </w:rPr>
      </w:pPr>
    </w:p>
    <w:p>
      <w:pPr>
        <w:ind w:left="-320" w:right="1999" w:firstLine="630"/>
        <w:spacing w:after="0" w:line="249" w:lineRule="auto"/>
        <w:tabs>
          <w:tab w:leader="none" w:pos="92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indemnification under the provisions of subsection (a) or (b) 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 (a) or (b) of this section. Such determination shall be made (1) by a majority vote of directors who were not parties to such action suit or</w:t>
      </w:r>
    </w:p>
    <w:p>
      <w:pPr>
        <w:sectPr>
          <w:pgSz w:w="11900" w:h="16899" w:orient="portrait"/>
          <w:cols w:equalWidth="0" w:num="1">
            <w:col w:w="9899"/>
          </w:cols>
          <w:pgMar w:left="560" w:top="315" w:right="1440" w:bottom="0" w:gutter="0" w:footer="0" w:header="0"/>
        </w:sectPr>
      </w:pPr>
    </w:p>
    <w:bookmarkStart w:id="4" w:name="page5"/>
    <w:bookmarkEnd w:id="4"/>
    <w:p>
      <w:pPr>
        <w:ind w:right="2319"/>
        <w:spacing w:after="0" w:line="250" w:lineRule="auto"/>
        <w:rPr>
          <w:sz w:val="20"/>
          <w:szCs w:val="20"/>
          <w:color w:val="auto"/>
        </w:rPr>
      </w:pPr>
      <w:r>
        <w:rPr>
          <w:rFonts w:ascii="Courier New" w:cs="Courier New" w:eastAsia="Courier New" w:hAnsi="Courier New"/>
          <w:sz w:val="17"/>
          <w:szCs w:val="17"/>
          <w:color w:val="auto"/>
        </w:rPr>
        <w:t>proceeding even though less than a quorum, or (2) if there are no such directors, or if such directors so direct, by independent legal counsel in a written opinion, or (3) by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142" w:right="1440" w:bottom="1440" w:gutter="0" w:footer="0" w:header="0"/>
        </w:sectPr>
      </w:pPr>
    </w:p>
    <w:bookmarkStart w:id="5" w:name="page6"/>
    <w:bookmarkEnd w:id="5"/>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4</w:t>
      </w:r>
    </w:p>
    <w:p>
      <w:pPr>
        <w:spacing w:after="0" w:line="7" w:lineRule="exact"/>
        <w:rPr>
          <w:sz w:val="20"/>
          <w:szCs w:val="20"/>
          <w:color w:val="auto"/>
        </w:rPr>
      </w:pPr>
    </w:p>
    <w:p>
      <w:pPr>
        <w:ind w:right="1999" w:firstLine="630"/>
        <w:spacing w:after="0" w:line="249" w:lineRule="auto"/>
        <w:tabs>
          <w:tab w:leader="none" w:pos="124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by the provisions of this section. Such expenses (including attorneys' fees) incurred by other employees and agents may be so paid upon such terms and conditions, if any, as the board of directors deems appropriate.</w:t>
      </w:r>
    </w:p>
    <w:p>
      <w:pPr>
        <w:spacing w:after="0" w:line="199" w:lineRule="exact"/>
        <w:rPr>
          <w:rFonts w:ascii="Courier New" w:cs="Courier New" w:eastAsia="Courier New" w:hAnsi="Courier New"/>
          <w:sz w:val="17"/>
          <w:szCs w:val="17"/>
          <w:color w:val="auto"/>
        </w:rPr>
      </w:pPr>
    </w:p>
    <w:p>
      <w:pPr>
        <w:ind w:right="2099" w:firstLine="630"/>
        <w:spacing w:after="0" w:line="249" w:lineRule="auto"/>
        <w:tabs>
          <w:tab w:leader="none" w:pos="124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indemnification and advancement of expense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99" w:lineRule="exact"/>
        <w:rPr>
          <w:rFonts w:ascii="Courier New" w:cs="Courier New" w:eastAsia="Courier New" w:hAnsi="Courier New"/>
          <w:sz w:val="17"/>
          <w:szCs w:val="17"/>
          <w:color w:val="auto"/>
        </w:rPr>
      </w:pPr>
    </w:p>
    <w:p>
      <w:pPr>
        <w:ind w:right="1999" w:firstLine="630"/>
        <w:spacing w:after="0" w:line="249" w:lineRule="auto"/>
        <w:tabs>
          <w:tab w:leader="none" w:pos="124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corporation shall have power to purchase and maintain insurance on behalf of any person who is or was a director, officer, employee or agent of the corporation, or is or was servicing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199" w:lineRule="exact"/>
        <w:rPr>
          <w:rFonts w:ascii="Courier New" w:cs="Courier New" w:eastAsia="Courier New" w:hAnsi="Courier New"/>
          <w:sz w:val="17"/>
          <w:szCs w:val="17"/>
          <w:color w:val="auto"/>
        </w:rPr>
      </w:pPr>
    </w:p>
    <w:p>
      <w:pPr>
        <w:ind w:right="1999" w:firstLine="630"/>
        <w:spacing w:after="0" w:line="249" w:lineRule="auto"/>
        <w:tabs>
          <w:tab w:leader="none" w:pos="124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99" w:lineRule="exact"/>
        <w:rPr>
          <w:rFonts w:ascii="Courier New" w:cs="Courier New" w:eastAsia="Courier New" w:hAnsi="Courier New"/>
          <w:sz w:val="17"/>
          <w:szCs w:val="17"/>
          <w:color w:val="auto"/>
        </w:rPr>
      </w:pPr>
    </w:p>
    <w:p>
      <w:pPr>
        <w:ind w:right="1999" w:firstLine="630"/>
        <w:spacing w:after="0" w:line="249" w:lineRule="auto"/>
        <w:tabs>
          <w:tab w:leader="none" w:pos="124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99" w:lineRule="exact"/>
        <w:rPr>
          <w:rFonts w:ascii="Courier New" w:cs="Courier New" w:eastAsia="Courier New" w:hAnsi="Courier New"/>
          <w:sz w:val="17"/>
          <w:szCs w:val="17"/>
          <w:color w:val="auto"/>
        </w:rPr>
      </w:pPr>
    </w:p>
    <w:p>
      <w:pPr>
        <w:ind w:right="1999" w:firstLine="630"/>
        <w:spacing w:after="0" w:line="249" w:lineRule="auto"/>
        <w:tabs>
          <w:tab w:leader="none" w:pos="124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indemnification and advancement of expenses provided by, or granted pursuant to, this section, unless otherwise provided when authorized or ratified, shall continue as to a person who has ceased to be a director, officer, employee or agent and shall inure to the benefit of the heirs, executors and administrators of such a person.</w:t>
      </w:r>
    </w:p>
    <w:p>
      <w:pPr>
        <w:spacing w:after="0" w:line="199" w:lineRule="exact"/>
        <w:rPr>
          <w:rFonts w:ascii="Courier New" w:cs="Courier New" w:eastAsia="Courier New" w:hAnsi="Courier New"/>
          <w:sz w:val="17"/>
          <w:szCs w:val="17"/>
          <w:color w:val="auto"/>
        </w:rPr>
      </w:pPr>
    </w:p>
    <w:p>
      <w:pPr>
        <w:ind w:right="1999" w:firstLine="630"/>
        <w:spacing w:after="0" w:line="249" w:lineRule="auto"/>
        <w:tabs>
          <w:tab w:leader="none" w:pos="124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200" w:lineRule="exact"/>
        <w:rPr>
          <w:sz w:val="20"/>
          <w:szCs w:val="20"/>
          <w:color w:val="auto"/>
        </w:rPr>
      </w:pPr>
    </w:p>
    <w:p>
      <w:pPr>
        <w:ind w:right="1999" w:firstLine="623"/>
        <w:spacing w:after="0" w:line="251" w:lineRule="auto"/>
        <w:rPr>
          <w:sz w:val="20"/>
          <w:szCs w:val="20"/>
          <w:color w:val="auto"/>
        </w:rPr>
      </w:pPr>
      <w:r>
        <w:rPr>
          <w:rFonts w:ascii="Courier New" w:cs="Courier New" w:eastAsia="Courier New" w:hAnsi="Courier New"/>
          <w:sz w:val="17"/>
          <w:szCs w:val="17"/>
          <w:color w:val="auto"/>
        </w:rPr>
        <w:t>The Certificate of Incorporation of the registrant includes the following provision:</w:t>
      </w:r>
    </w:p>
    <w:p>
      <w:pPr>
        <w:spacing w:after="0" w:line="197" w:lineRule="exact"/>
        <w:rPr>
          <w:sz w:val="20"/>
          <w:szCs w:val="20"/>
          <w:color w:val="auto"/>
        </w:rPr>
      </w:pPr>
    </w:p>
    <w:p>
      <w:pPr>
        <w:ind w:left="640" w:right="1999" w:firstLine="208"/>
        <w:spacing w:after="0" w:line="249" w:lineRule="auto"/>
        <w:rPr>
          <w:sz w:val="20"/>
          <w:szCs w:val="20"/>
          <w:color w:val="auto"/>
        </w:rPr>
      </w:pPr>
      <w:r>
        <w:rPr>
          <w:rFonts w:ascii="Courier New" w:cs="Courier New" w:eastAsia="Courier New" w:hAnsi="Courier New"/>
          <w:sz w:val="17"/>
          <w:szCs w:val="17"/>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w:t>
      </w:r>
    </w:p>
    <w:p>
      <w:pPr>
        <w:sectPr>
          <w:pgSz w:w="11900" w:h="16899" w:orient="portrait"/>
          <w:cols w:equalWidth="0" w:num="1">
            <w:col w:w="10219"/>
          </w:cols>
          <w:pgMar w:left="240" w:top="315" w:right="1440" w:bottom="0" w:gutter="0" w:footer="0" w:header="0"/>
        </w:sectPr>
      </w:pPr>
    </w:p>
    <w:bookmarkStart w:id="6" w:name="page7"/>
    <w:bookmarkEnd w:id="6"/>
    <w:p>
      <w:pPr>
        <w:ind w:right="2099"/>
        <w:spacing w:after="0" w:line="249" w:lineRule="auto"/>
        <w:rPr>
          <w:sz w:val="20"/>
          <w:szCs w:val="20"/>
          <w:color w:val="auto"/>
        </w:rPr>
      </w:pPr>
      <w:r>
        <w:rPr>
          <w:rFonts w:ascii="Courier New" w:cs="Courier New" w:eastAsia="Courier New" w:hAnsi="Courier New"/>
          <w:sz w:val="17"/>
          <w:szCs w:val="17"/>
          <w:color w:val="auto"/>
        </w:rPr>
        <w:t>including service with respect to employee benefit plans, against expenses (including attorney's fees and expenses), judgments, fines, penalties and amounts paid in settlement incurred in connection with the investigation, preparation to defend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9579"/>
          </w:cols>
          <w:pgMar w:left="880" w:top="14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5</w:t>
      </w:r>
    </w:p>
    <w:p>
      <w:pPr>
        <w:spacing w:after="0" w:line="7" w:lineRule="exact"/>
        <w:rPr>
          <w:sz w:val="20"/>
          <w:szCs w:val="20"/>
          <w:color w:val="auto"/>
        </w:rPr>
      </w:pPr>
    </w:p>
    <w:p>
      <w:pPr>
        <w:ind w:left="640" w:right="1999"/>
        <w:spacing w:after="0" w:line="249" w:lineRule="auto"/>
        <w:rPr>
          <w:sz w:val="20"/>
          <w:szCs w:val="20"/>
          <w:color w:val="auto"/>
        </w:rPr>
      </w:pPr>
      <w:r>
        <w:rPr>
          <w:rFonts w:ascii="Courier New" w:cs="Courier New" w:eastAsia="Courier New" w:hAnsi="Courier New"/>
          <w:sz w:val="17"/>
          <w:szCs w:val="17"/>
          <w:color w:val="auto"/>
        </w:rPr>
        <w:t>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spacing w:after="0" w:line="200" w:lineRule="exact"/>
        <w:rPr>
          <w:sz w:val="20"/>
          <w:szCs w:val="20"/>
          <w:color w:val="auto"/>
        </w:rPr>
      </w:pPr>
    </w:p>
    <w:p>
      <w:pPr>
        <w:ind w:right="2219" w:firstLine="623"/>
        <w:spacing w:after="0" w:line="249" w:lineRule="auto"/>
        <w:rPr>
          <w:sz w:val="20"/>
          <w:szCs w:val="20"/>
          <w:color w:val="auto"/>
        </w:rPr>
      </w:pPr>
      <w:r>
        <w:rPr>
          <w:rFonts w:ascii="Courier New" w:cs="Courier New" w:eastAsia="Courier New" w:hAnsi="Courier New"/>
          <w:sz w:val="17"/>
          <w:szCs w:val="17"/>
          <w:color w:val="auto"/>
        </w:rPr>
        <w:t>The Bylaws of the registrant include indemnification provisions that generally provide indemnification to directors and officers of the registrant in the manner and to the extent permitted by Section 145 of the Delaware General Corporation Law. However, the provisions corresponding to subsections 145(a) and (b) are mandatory rather than permissive.</w:t>
      </w:r>
    </w:p>
    <w:p>
      <w:pPr>
        <w:spacing w:after="0" w:line="200" w:lineRule="exact"/>
        <w:rPr>
          <w:sz w:val="20"/>
          <w:szCs w:val="20"/>
          <w:color w:val="auto"/>
        </w:rPr>
      </w:pPr>
    </w:p>
    <w:p>
      <w:pPr>
        <w:ind w:right="1999" w:firstLine="623"/>
        <w:spacing w:after="0" w:line="249" w:lineRule="auto"/>
        <w:rPr>
          <w:sz w:val="20"/>
          <w:szCs w:val="20"/>
          <w:color w:val="auto"/>
        </w:rPr>
      </w:pPr>
      <w:r>
        <w:rPr>
          <w:rFonts w:ascii="Courier New" w:cs="Courier New" w:eastAsia="Courier New" w:hAnsi="Courier New"/>
          <w:sz w:val="17"/>
          <w:szCs w:val="17"/>
          <w:color w:val="auto"/>
        </w:rPr>
        <w:t>The registrant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7.</w:t>
        <w:tab/>
        <w:t>EXEMPTION FROM REGISTRATION CLAIMED.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560" w:type="dxa"/>
            <w:vAlign w:val="bottom"/>
          </w:tcPr>
          <w:p>
            <w:pPr>
              <w:spacing w:after="0"/>
              <w:rPr>
                <w:sz w:val="16"/>
                <w:szCs w:val="16"/>
                <w:color w:val="auto"/>
              </w:rPr>
            </w:pPr>
          </w:p>
        </w:tc>
        <w:tc>
          <w:tcPr>
            <w:tcW w:w="6660" w:type="dxa"/>
            <w:vAlign w:val="bottom"/>
          </w:tcPr>
          <w:p>
            <w:pPr>
              <w:ind w:left="1780"/>
              <w:spacing w:after="0"/>
              <w:rPr>
                <w:sz w:val="20"/>
                <w:szCs w:val="20"/>
                <w:color w:val="auto"/>
              </w:rPr>
            </w:pPr>
            <w:r>
              <w:rPr>
                <w:rFonts w:ascii="Courier New" w:cs="Courier New" w:eastAsia="Courier New" w:hAnsi="Courier New"/>
                <w:sz w:val="17"/>
                <w:szCs w:val="17"/>
                <w:color w:val="auto"/>
              </w:rPr>
              <w:t>Not applicable.</w:t>
            </w:r>
          </w:p>
        </w:tc>
      </w:tr>
      <w:tr>
        <w:trPr>
          <w:trHeight w:val="599"/>
        </w:trPr>
        <w:tc>
          <w:tcPr>
            <w:tcW w:w="8220" w:type="dxa"/>
            <w:vAlign w:val="bottom"/>
            <w:gridSpan w:val="2"/>
          </w:tcPr>
          <w:p>
            <w:pPr>
              <w:spacing w:after="0"/>
              <w:rPr>
                <w:sz w:val="20"/>
                <w:szCs w:val="20"/>
                <w:color w:val="auto"/>
              </w:rPr>
            </w:pPr>
            <w:r>
              <w:rPr>
                <w:rFonts w:ascii="Courier New" w:cs="Courier New" w:eastAsia="Courier New" w:hAnsi="Courier New"/>
                <w:sz w:val="17"/>
                <w:szCs w:val="17"/>
                <w:color w:val="auto"/>
              </w:rPr>
              <w:t>ITEM 8.  EXHIBITS.</w:t>
            </w:r>
          </w:p>
        </w:tc>
      </w:tr>
      <w:tr>
        <w:trPr>
          <w:trHeight w:val="4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4.1</w:t>
            </w: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Restated Certificate of Incorporation of the Registrant</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[Incorporated by reference to Exhibit 3.1 of the Registrant's</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Registration Statement on Form S-4, File No. 33-60103]</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4.2</w:t>
            </w: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Bylaws of the Registrant [Incorporated by reference to Exhibit</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3.2 of the Registrant's Registration Statement on Form S-4,</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File No. 33-60103]</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4.3</w:t>
            </w: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Specimen Stock Certificate [Incorporated by reference to</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Exhibit 4.3 of the Registrant's Registration Statement on Form</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S-3, File No. 33-76224]</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4.4</w:t>
            </w: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USA Waste Services, Inc. 1993 Stock Incentive Plan</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5.1</w:t>
            </w: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Opinion of Snell &amp; Smith, A Professional Corporation</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23.1</w:t>
            </w: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Consent of Snell &amp; Smith, A Professional Corporation [Included</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in Exhibit 5.1]</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23.2</w:t>
            </w: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Consent of Coopers &amp; Lybrand, L.L.P. [Incorporated by</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reference to Exhibit 23.1 to the Registrant's Annual Report on</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Form 10-K for the year ended December 31, 1994 and Exhibit</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23.2 to Registrant's Current Report on Form 8-K dated June 30,</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23.3</w:t>
            </w: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Consent of Arthur Andersen LLP [Incorporated by reference to</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Exhibit 23.2 to Registrant's Annual Report on Form 10-K for</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the year ended December 31, 1994]</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23.4</w:t>
            </w: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Consent of Deloitte &amp; Touche LLP [Incorporated by reference to</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Exhibit 23.2 to Registrant's Registration Statement on Form</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S-4 (File No. 33-59259) and Exhibit 23.1 to Registrant's</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Current Report on Form 8-K dated June 30, 1995]</w:t>
            </w:r>
          </w:p>
        </w:tc>
      </w:tr>
    </w:tbl>
    <w:p>
      <w:pPr>
        <w:spacing w:after="0" w:line="6" w:lineRule="exact"/>
        <w:rPr>
          <w:sz w:val="20"/>
          <w:szCs w:val="20"/>
          <w:color w:val="auto"/>
        </w:rPr>
      </w:pPr>
    </w:p>
    <w:p>
      <w:pPr>
        <w:ind w:left="940" w:hanging="933"/>
        <w:spacing w:after="0"/>
        <w:tabs>
          <w:tab w:leader="none" w:pos="9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24.1Powers of Attorney (Included on Page II-7)</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7" w:lineRule="exact"/>
        <w:rPr>
          <w:rFonts w:ascii="Courier New" w:cs="Courier New" w:eastAsia="Courier New" w:hAnsi="Courier New"/>
          <w:sz w:val="17"/>
          <w:szCs w:val="17"/>
          <w:color w:val="auto"/>
        </w:rPr>
      </w:pPr>
    </w:p>
    <w:p>
      <w:pPr>
        <w:ind w:left="940" w:hanging="933"/>
        <w:spacing w:after="0"/>
        <w:tabs>
          <w:tab w:leader="none" w:pos="9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herewith</w:t>
      </w:r>
    </w:p>
    <w:p>
      <w:pPr>
        <w:sectPr>
          <w:pgSz w:w="11900" w:h="16838" w:orient="portrait"/>
          <w:cols w:equalWidth="0" w:num="1">
            <w:col w:w="10219"/>
          </w:cols>
          <w:pgMar w:left="240" w:top="31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219"/>
          </w:cols>
          <w:pgMar w:left="240" w:top="315" w:right="1440" w:bottom="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6</w:t>
      </w:r>
    </w:p>
    <w:p>
      <w:pPr>
        <w:spacing w:after="0" w:line="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9.</w:t>
        <w:tab/>
        <w:t>UNDERTAKINGS.</w:t>
      </w:r>
    </w:p>
    <w:p>
      <w:pPr>
        <w:spacing w:after="0" w:line="207" w:lineRule="exact"/>
        <w:rPr>
          <w:sz w:val="20"/>
          <w:szCs w:val="20"/>
          <w:color w:val="auto"/>
        </w:rPr>
      </w:pPr>
    </w:p>
    <w:p>
      <w:pPr>
        <w:ind w:left="1780" w:hanging="838"/>
        <w:spacing w:after="0"/>
        <w:tabs>
          <w:tab w:leader="none" w:pos="178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w:t>
      </w:r>
    </w:p>
    <w:p>
      <w:pPr>
        <w:spacing w:after="0" w:line="207" w:lineRule="exact"/>
        <w:rPr>
          <w:rFonts w:ascii="Courier New" w:cs="Courier New" w:eastAsia="Courier New" w:hAnsi="Courier New"/>
          <w:sz w:val="17"/>
          <w:szCs w:val="17"/>
          <w:color w:val="auto"/>
        </w:rPr>
      </w:pPr>
    </w:p>
    <w:p>
      <w:pPr>
        <w:ind w:left="940" w:right="2219" w:firstLine="833"/>
        <w:spacing w:after="0" w:line="250" w:lineRule="auto"/>
        <w:tabs>
          <w:tab w:leader="none" w:pos="2706"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7" w:lineRule="exact"/>
        <w:rPr>
          <w:rFonts w:ascii="Courier New" w:cs="Courier New" w:eastAsia="Courier New" w:hAnsi="Courier New"/>
          <w:sz w:val="17"/>
          <w:szCs w:val="17"/>
          <w:color w:val="auto"/>
        </w:rPr>
      </w:pPr>
    </w:p>
    <w:p>
      <w:pPr>
        <w:ind w:left="1780" w:right="1999" w:firstLine="928"/>
        <w:spacing w:after="0" w:line="251" w:lineRule="auto"/>
        <w:tabs>
          <w:tab w:leader="none" w:pos="3546" w:val="left"/>
        </w:tabs>
        <w:numPr>
          <w:ilvl w:val="2"/>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w:t>
      </w:r>
    </w:p>
    <w:p>
      <w:pPr>
        <w:spacing w:after="0" w:line="196" w:lineRule="exact"/>
        <w:rPr>
          <w:rFonts w:ascii="Courier New" w:cs="Courier New" w:eastAsia="Courier New" w:hAnsi="Courier New"/>
          <w:sz w:val="17"/>
          <w:szCs w:val="17"/>
          <w:color w:val="auto"/>
        </w:rPr>
      </w:pPr>
    </w:p>
    <w:p>
      <w:pPr>
        <w:ind w:left="1780" w:right="2099" w:firstLine="928"/>
        <w:spacing w:after="0" w:line="249" w:lineRule="auto"/>
        <w:tabs>
          <w:tab w:leader="none" w:pos="3546" w:val="left"/>
        </w:tabs>
        <w:numPr>
          <w:ilvl w:val="2"/>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99" w:lineRule="exact"/>
        <w:rPr>
          <w:rFonts w:ascii="Courier New" w:cs="Courier New" w:eastAsia="Courier New" w:hAnsi="Courier New"/>
          <w:sz w:val="17"/>
          <w:szCs w:val="17"/>
          <w:color w:val="auto"/>
        </w:rPr>
      </w:pPr>
    </w:p>
    <w:p>
      <w:pPr>
        <w:ind w:left="1780" w:right="2219" w:firstLine="928"/>
        <w:spacing w:after="0" w:line="249" w:lineRule="auto"/>
        <w:tabs>
          <w:tab w:leader="none" w:pos="3546" w:val="left"/>
        </w:tabs>
        <w:numPr>
          <w:ilvl w:val="2"/>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ind w:left="1780" w:right="1999"/>
        <w:spacing w:after="0" w:line="249" w:lineRule="auto"/>
        <w:rPr>
          <w:sz w:val="20"/>
          <w:szCs w:val="20"/>
          <w:color w:val="auto"/>
        </w:rPr>
      </w:pPr>
      <w:r>
        <w:rPr>
          <w:rFonts w:ascii="Courier New" w:cs="Courier New" w:eastAsia="Courier New" w:hAnsi="Courier New"/>
          <w:sz w:val="17"/>
          <w:szCs w:val="17"/>
          <w:color w:val="auto"/>
        </w:rPr>
        <w:t>Provided, however, that paragraph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400" w:lineRule="exact"/>
        <w:rPr>
          <w:sz w:val="20"/>
          <w:szCs w:val="20"/>
          <w:color w:val="auto"/>
        </w:rPr>
      </w:pPr>
    </w:p>
    <w:p>
      <w:pPr>
        <w:ind w:left="940" w:right="2219" w:firstLine="833"/>
        <w:spacing w:after="0" w:line="249" w:lineRule="auto"/>
        <w:tabs>
          <w:tab w:leader="none" w:pos="2706"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9" w:lineRule="exact"/>
        <w:rPr>
          <w:rFonts w:ascii="Courier New" w:cs="Courier New" w:eastAsia="Courier New" w:hAnsi="Courier New"/>
          <w:sz w:val="17"/>
          <w:szCs w:val="17"/>
          <w:color w:val="auto"/>
        </w:rPr>
      </w:pPr>
    </w:p>
    <w:p>
      <w:pPr>
        <w:ind w:left="2700" w:hanging="927"/>
        <w:spacing w:after="0"/>
        <w:tabs>
          <w:tab w:leader="none" w:pos="27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w:t>
      </w:r>
    </w:p>
    <w:p>
      <w:pPr>
        <w:spacing w:after="0" w:line="7" w:lineRule="exact"/>
        <w:rPr>
          <w:sz w:val="20"/>
          <w:szCs w:val="20"/>
          <w:color w:val="auto"/>
        </w:rPr>
      </w:pPr>
    </w:p>
    <w:p>
      <w:pPr>
        <w:ind w:left="940" w:right="2099"/>
        <w:spacing w:after="0" w:line="251" w:lineRule="auto"/>
        <w:rPr>
          <w:sz w:val="20"/>
          <w:szCs w:val="20"/>
          <w:color w:val="auto"/>
        </w:rPr>
      </w:pPr>
      <w:r>
        <w:rPr>
          <w:rFonts w:ascii="Courier New" w:cs="Courier New" w:eastAsia="Courier New" w:hAnsi="Courier New"/>
          <w:sz w:val="17"/>
          <w:szCs w:val="17"/>
          <w:color w:val="auto"/>
        </w:rPr>
        <w:t>post-effective amendment any of the securities being registered which remain unsold at the termination of the offering.</w:t>
      </w:r>
    </w:p>
    <w:p>
      <w:pPr>
        <w:spacing w:after="0" w:line="197" w:lineRule="exact"/>
        <w:rPr>
          <w:sz w:val="20"/>
          <w:szCs w:val="20"/>
          <w:color w:val="auto"/>
        </w:rPr>
      </w:pPr>
    </w:p>
    <w:p>
      <w:pPr>
        <w:ind w:right="1999" w:firstLine="942"/>
        <w:spacing w:after="0" w:line="249" w:lineRule="auto"/>
        <w:tabs>
          <w:tab w:leader="none" w:pos="176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200" w:lineRule="exact"/>
        <w:rPr>
          <w:sz w:val="20"/>
          <w:szCs w:val="20"/>
          <w:color w:val="auto"/>
        </w:rPr>
      </w:pPr>
    </w:p>
    <w:p>
      <w:pPr>
        <w:ind w:right="2099" w:firstLine="942"/>
        <w:spacing w:after="0" w:line="249" w:lineRule="auto"/>
        <w:tabs>
          <w:tab w:leader="none" w:pos="1766"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to deliver or cause to be delivered with the prospectus, to each person to whom the prospectus is sent or given, the latest annual report to security holders that is incorporated by reference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200" w:lineRule="exact"/>
        <w:rPr>
          <w:sz w:val="20"/>
          <w:szCs w:val="20"/>
          <w:color w:val="auto"/>
        </w:rPr>
      </w:pPr>
    </w:p>
    <w:p>
      <w:pPr>
        <w:ind w:right="1999" w:firstLine="942"/>
        <w:spacing w:after="0" w:line="249" w:lineRule="auto"/>
        <w:tabs>
          <w:tab w:leader="none" w:pos="1766"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of 1933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219"/>
          </w:cols>
          <w:pgMar w:left="240" w:top="315" w:right="1440" w:bottom="175" w:gutter="0" w:footer="0" w:header="0"/>
        </w:sectPr>
      </w:pPr>
    </w:p>
    <w:bookmarkStart w:id="9" w:name="page10"/>
    <w:bookmarkEnd w:id="9"/>
    <w:p>
      <w:pPr>
        <w:ind w:left="2760"/>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9019"/>
          </w:cols>
          <w:pgMar w:left="1440" w:top="741"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7</w:t>
      </w:r>
    </w:p>
    <w:p>
      <w:pPr>
        <w:spacing w:after="0" w:line="7" w:lineRule="exact"/>
        <w:rPr>
          <w:sz w:val="20"/>
          <w:szCs w:val="20"/>
          <w:color w:val="auto"/>
        </w:rPr>
      </w:pPr>
    </w:p>
    <w:p>
      <w:pPr>
        <w:ind w:right="2219" w:firstLine="935"/>
        <w:spacing w:after="0" w:line="249"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or amendment thereto to be signed on its behalf by the undersigned, thereunto duly authorized, in the City of Dallas, State of Texas on September 7, 1995.</w:t>
      </w:r>
    </w:p>
    <w:p>
      <w:pPr>
        <w:spacing w:after="0" w:line="2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USA Waste Services, Inc.</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/s/ John E. Drury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John E. Drury, Chief Executive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Officer</w:t>
      </w:r>
    </w:p>
    <w:p>
      <w:pPr>
        <w:spacing w:after="0" w:line="200" w:lineRule="exact"/>
        <w:rPr>
          <w:sz w:val="20"/>
          <w:szCs w:val="20"/>
          <w:color w:val="auto"/>
        </w:rPr>
      </w:pPr>
    </w:p>
    <w:p>
      <w:pPr>
        <w:sectPr>
          <w:pgSz w:w="11900" w:h="16838" w:orient="portrait"/>
          <w:cols w:equalWidth="0" w:num="2">
            <w:col w:w="4480" w:space="0"/>
            <w:col w:w="5739"/>
          </w:cols>
          <w:pgMar w:left="240" w:top="31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II-6</w:t>
      </w:r>
    </w:p>
    <w:p>
      <w:pPr>
        <w:sectPr>
          <w:pgSz w:w="11900" w:h="16838" w:orient="portrait"/>
          <w:cols w:equalWidth="0" w:num="1">
            <w:col w:w="10219"/>
          </w:cols>
          <w:pgMar w:left="240" w:top="315"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8</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3120" w:firstLine="935"/>
        <w:spacing w:after="0" w:line="249" w:lineRule="auto"/>
        <w:rPr>
          <w:sz w:val="20"/>
          <w:szCs w:val="20"/>
          <w:color w:val="auto"/>
        </w:rPr>
      </w:pPr>
      <w:r>
        <w:rPr>
          <w:rFonts w:ascii="Courier New" w:cs="Courier New" w:eastAsia="Courier New" w:hAnsi="Courier New"/>
          <w:sz w:val="17"/>
          <w:szCs w:val="17"/>
          <w:color w:val="auto"/>
        </w:rPr>
        <w:t>We, the undersigned officers and directors of USA Waste Services, Inc., hereby severally constitute Earl E. DeFrates and Gregory T. Sangalis, and each of them singly, our true and lawful attorneys with full power to them, and each of them singly, to sign for us and in our names, in the capacities indicated below, the Registration Statement on Form S-8 (File No. 33-59807) filed herewith and any amendments to said Registration Statement, and generally to do all such things in our name and behalf in our capacities as officers and directors to enable USA Waste Services,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Witness our hands on the date set forth below.</w:t>
      </w:r>
    </w:p>
    <w:p>
      <w:pPr>
        <w:spacing w:after="0" w:line="207" w:lineRule="exact"/>
        <w:rPr>
          <w:sz w:val="20"/>
          <w:szCs w:val="20"/>
          <w:color w:val="auto"/>
        </w:rPr>
      </w:pPr>
    </w:p>
    <w:p>
      <w:pPr>
        <w:ind w:right="3440" w:firstLine="935"/>
        <w:spacing w:after="0" w:line="250"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or amendment thereto has been signed by the following persons in the capacities and on September 7, 1995.</w:t>
      </w:r>
    </w:p>
    <w:p>
      <w:pPr>
        <w:spacing w:after="0" w:line="200" w:lineRule="exact"/>
        <w:rPr>
          <w:sz w:val="20"/>
          <w:szCs w:val="20"/>
          <w:color w:val="auto"/>
        </w:rPr>
      </w:pPr>
    </w:p>
    <w:p>
      <w:pPr>
        <w:spacing w:after="0" w:line="397" w:lineRule="exact"/>
        <w:rPr>
          <w:sz w:val="20"/>
          <w:szCs w:val="20"/>
          <w:color w:val="auto"/>
        </w:rPr>
      </w:pPr>
    </w:p>
    <w:p>
      <w:pPr>
        <w:ind w:left="2180"/>
        <w:spacing w:after="0"/>
        <w:tabs>
          <w:tab w:leader="none" w:pos="860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Title</w:t>
      </w:r>
    </w:p>
    <w:p>
      <w:pPr>
        <w:spacing w:after="0" w:line="7" w:lineRule="exact"/>
        <w:rPr>
          <w:sz w:val="20"/>
          <w:szCs w:val="20"/>
          <w:color w:val="auto"/>
        </w:rPr>
      </w:pPr>
    </w:p>
    <w:p>
      <w:pPr>
        <w:ind w:left="2180"/>
        <w:spacing w:after="0"/>
        <w:tabs>
          <w:tab w:leader="none" w:pos="86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John E. Drury</w:t>
      </w:r>
      <w:r>
        <w:rPr>
          <w:sz w:val="20"/>
          <w:szCs w:val="20"/>
          <w:color w:val="auto"/>
        </w:rPr>
        <w:tab/>
      </w:r>
      <w:r>
        <w:rPr>
          <w:rFonts w:ascii="Courier New" w:cs="Courier New" w:eastAsia="Courier New" w:hAnsi="Courier New"/>
          <w:sz w:val="17"/>
          <w:szCs w:val="17"/>
          <w:color w:val="auto"/>
        </w:rPr>
        <w:t>Chairman of the Board and Chief Executive Officer</w:t>
      </w:r>
    </w:p>
    <w:p>
      <w:pPr>
        <w:spacing w:after="0" w:line="7" w:lineRule="exact"/>
        <w:rPr>
          <w:sz w:val="20"/>
          <w:szCs w:val="20"/>
          <w:color w:val="auto"/>
        </w:rPr>
      </w:pPr>
    </w:p>
    <w:p>
      <w:pPr>
        <w:ind w:left="220" w:hanging="213"/>
        <w:spacing w:after="0"/>
        <w:tabs>
          <w:tab w:leader="none" w:pos="2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E. Drury</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Donald F. Moorehead, Jr.</w:t>
      </w:r>
      <w:r>
        <w:rPr>
          <w:sz w:val="20"/>
          <w:szCs w:val="20"/>
          <w:color w:val="auto"/>
        </w:rPr>
        <w:tab/>
      </w:r>
      <w:r>
        <w:rPr>
          <w:rFonts w:ascii="Courier New" w:cs="Courier New" w:eastAsia="Courier New" w:hAnsi="Courier New"/>
          <w:sz w:val="17"/>
          <w:szCs w:val="17"/>
          <w:color w:val="auto"/>
        </w:rPr>
        <w:t>Vice Chairman of the Board and Chief Development</w:t>
      </w:r>
    </w:p>
    <w:p>
      <w:pPr>
        <w:spacing w:after="0" w:line="7"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Donald F. Moorehead, Jr.</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David Sutherland-Yoest</w:t>
      </w:r>
      <w:r>
        <w:rPr>
          <w:sz w:val="20"/>
          <w:szCs w:val="20"/>
          <w:color w:val="auto"/>
        </w:rPr>
        <w:tab/>
      </w:r>
      <w:r>
        <w:rPr>
          <w:rFonts w:ascii="Courier New" w:cs="Courier New" w:eastAsia="Courier New" w:hAnsi="Courier New"/>
          <w:sz w:val="17"/>
          <w:szCs w:val="17"/>
          <w:color w:val="auto"/>
        </w:rPr>
        <w:t>President, Chief Operating Officer, and Director</w:t>
      </w:r>
    </w:p>
    <w:p>
      <w:pPr>
        <w:spacing w:after="0" w:line="7" w:lineRule="exact"/>
        <w:rPr>
          <w:sz w:val="20"/>
          <w:szCs w:val="20"/>
          <w:color w:val="auto"/>
        </w:rPr>
      </w:pPr>
    </w:p>
    <w:p>
      <w:pPr>
        <w:ind w:left="220" w:hanging="213"/>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David Sutherland-Yoest</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Earl E. DeFrates</w:t>
      </w:r>
      <w:r>
        <w:rPr>
          <w:sz w:val="20"/>
          <w:szCs w:val="20"/>
          <w:color w:val="auto"/>
        </w:rPr>
        <w:tab/>
      </w:r>
      <w:r>
        <w:rPr>
          <w:rFonts w:ascii="Courier New" w:cs="Courier New" w:eastAsia="Courier New" w:hAnsi="Courier New"/>
          <w:sz w:val="17"/>
          <w:szCs w:val="17"/>
          <w:color w:val="auto"/>
        </w:rPr>
        <w:t>Executive Vice President, Chief Financial Officer</w:t>
      </w:r>
    </w:p>
    <w:p>
      <w:pPr>
        <w:spacing w:after="0" w:line="7"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and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Earl E. DeFrates</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Bruce E. Snyder</w:t>
      </w:r>
      <w:r>
        <w:rPr>
          <w:sz w:val="20"/>
          <w:szCs w:val="20"/>
          <w:color w:val="auto"/>
        </w:rPr>
        <w:tab/>
      </w:r>
      <w:r>
        <w:rPr>
          <w:rFonts w:ascii="Courier New" w:cs="Courier New" w:eastAsia="Courier New" w:hAnsi="Courier New"/>
          <w:sz w:val="17"/>
          <w:szCs w:val="17"/>
          <w:color w:val="auto"/>
        </w:rPr>
        <w:t>Vice President and Corporate Controller (Chief</w:t>
      </w:r>
    </w:p>
    <w:p>
      <w:pPr>
        <w:spacing w:after="0" w:line="7"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Accounting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E. Snyder</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John G. Rangos, Sr.</w:t>
      </w:r>
      <w:r>
        <w:rPr>
          <w:sz w:val="20"/>
          <w:szCs w:val="20"/>
          <w:color w:val="auto"/>
        </w:rPr>
        <w:tab/>
      </w:r>
      <w:r>
        <w:rPr>
          <w:rFonts w:ascii="Courier New" w:cs="Courier New" w:eastAsia="Courier New" w:hAnsi="Courier New"/>
          <w:sz w:val="17"/>
          <w:szCs w:val="17"/>
          <w:color w:val="auto"/>
        </w:rPr>
        <w:t>Vice Chairman of the Board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G. Rangos, Sr.</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Alexander W. Rangos</w:t>
      </w:r>
      <w:r>
        <w:rPr>
          <w:sz w:val="20"/>
          <w:szCs w:val="20"/>
          <w:color w:val="auto"/>
        </w:rPr>
        <w:tab/>
      </w:r>
      <w:r>
        <w:rPr>
          <w:rFonts w:ascii="Courier New" w:cs="Courier New" w:eastAsia="Courier New" w:hAnsi="Courier New"/>
          <w:sz w:val="17"/>
          <w:szCs w:val="17"/>
          <w:color w:val="auto"/>
        </w:rPr>
        <w:t>Executive Vice President for Development and</w:t>
      </w:r>
    </w:p>
    <w:p>
      <w:pPr>
        <w:spacing w:after="0" w:line="7"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Alexander W. Rangos</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George L. Ball</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George L. Ball</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Richard J. Heckmann</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ind w:left="220" w:hanging="213"/>
        <w:spacing w:after="0"/>
        <w:tabs>
          <w:tab w:leader="none" w:pos="2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Richard J. Heckmann</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William E. Moffett</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ind w:left="220" w:hanging="213"/>
        <w:spacing w:after="0"/>
        <w:tabs>
          <w:tab w:leader="none" w:pos="2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William E. Moffett</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Peter J. Gibbons</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ind w:left="220" w:hanging="213"/>
        <w:spacing w:after="0"/>
        <w:tabs>
          <w:tab w:leader="none" w:pos="2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Peter J. Gibbons</w:t>
      </w:r>
    </w:p>
    <w:p>
      <w:pPr>
        <w:sectPr>
          <w:pgSz w:w="11900" w:h="16838" w:orient="portrait"/>
          <w:cols w:equalWidth="0" w:num="1">
            <w:col w:w="11340"/>
          </w:cols>
          <w:pgMar w:left="240" w:top="315" w:right="319" w:bottom="5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II-7</w:t>
      </w:r>
    </w:p>
    <w:sectPr>
      <w:pgSz w:w="11900" w:h="16838" w:orient="portrait"/>
      <w:cols w:equalWidth="0" w:num="1">
        <w:col w:w="11340"/>
      </w:cols>
      <w:pgMar w:left="240" w:top="315" w:right="319" w:bottom="58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lowerLetter"/>
      <w:start w:val="1"/>
    </w:lvl>
  </w:abstractNum>
  <w:abstractNum w:abstractNumId="1">
    <w:nsid w:val="515F007C"/>
    <w:multiLevelType w:val="hybridMultilevel"/>
    <w:lvl w:ilvl="0">
      <w:lvlJc w:val="left"/>
      <w:lvlText w:val="%1."/>
      <w:numFmt w:val="decimal"/>
      <w:start w:val="145"/>
    </w:lvl>
  </w:abstractNum>
  <w:abstractNum w:abstractNumId="2">
    <w:nsid w:val="5BD062C2"/>
    <w:multiLevelType w:val="hybridMultilevel"/>
    <w:lvl w:ilvl="0">
      <w:lvlJc w:val="left"/>
      <w:lvlText w:val="(%1)"/>
      <w:numFmt w:val="lowerLetter"/>
      <w:start w:val="2"/>
    </w:lvl>
  </w:abstractNum>
  <w:abstractNum w:abstractNumId="3">
    <w:nsid w:val="12200854"/>
    <w:multiLevelType w:val="hybridMultilevel"/>
    <w:lvl w:ilvl="0">
      <w:lvlJc w:val="left"/>
      <w:lvlText w:val="(%1)"/>
      <w:numFmt w:val="lowerLetter"/>
      <w:start w:val="5"/>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1F16E9E8"/>
    <w:multiLevelType w:val="hybridMultilevel"/>
    <w:lvl w:ilvl="0">
      <w:lvlJc w:val="left"/>
      <w:lvlText w:val="(%1)"/>
      <w:numFmt w:val="decimal"/>
      <w:start w:val="2"/>
    </w:lvl>
  </w:abstractNum>
  <w:abstractNum w:abstractNumId="7">
    <w:nsid w:val="1190CDE7"/>
    <w:multiLevelType w:val="hybridMultilevel"/>
    <w:lvl w:ilvl="0">
      <w:lvlJc w:val="left"/>
      <w:lvlText w:val="(%1)"/>
      <w:numFmt w:val="lowerLetter"/>
      <w:start w:val="2"/>
    </w:lvl>
  </w:abstractNum>
  <w:abstractNum w:abstractNumId="8">
    <w:nsid w:val="66EF438D"/>
    <w:multiLevelType w:val="hybridMultilevel"/>
    <w:lvl w:ilvl="0">
      <w:lvlJc w:val="left"/>
      <w:lvlText w:val="(%1)"/>
      <w:numFmt w:val="lowerLetter"/>
      <w:start w:val="5"/>
    </w:lvl>
  </w:abstractNum>
  <w:abstractNum w:abstractNumId="9">
    <w:nsid w:val="140E0F76"/>
    <w:multiLevelType w:val="hybridMultilevel"/>
    <w:lvl w:ilvl="0">
      <w:lvlJc w:val="left"/>
      <w:lvlText w:val="(%1)"/>
      <w:numFmt w:val="lowerLetter"/>
      <w:start w:val="8"/>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2019-12-20T04:44:19Z</dcterms:created>
  <dcterms:modified xsi:type="dcterms:W3CDTF">2019-12-20T04:44:19Z</dcterms:modified>
</cp:coreProperties>
</file>