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25,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00" w:firstLine="8"/>
        <w:spacing w:after="0" w:line="496" w:lineRule="auto"/>
        <w:tabs>
          <w:tab w:leader="none" w:pos="576"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gridSpan w:val="2"/>
          </w:tcPr>
          <w:p>
            <w:pPr>
              <w:ind w:left="1280"/>
              <w:spacing w:after="0"/>
              <w:rPr>
                <w:sz w:val="20"/>
                <w:szCs w:val="20"/>
                <w:color w:val="auto"/>
              </w:rPr>
            </w:pPr>
            <w:r>
              <w:rPr>
                <w:rFonts w:ascii="Arial" w:cs="Arial" w:eastAsia="Arial" w:hAnsi="Arial"/>
                <w:sz w:val="14"/>
                <w:szCs w:val="14"/>
                <w:b w:val="1"/>
                <w:bCs w:val="1"/>
                <w:color w:val="auto"/>
              </w:rPr>
              <w:t>Title of each class</w:t>
            </w:r>
          </w:p>
        </w:tc>
        <w:tc>
          <w:tcPr>
            <w:tcW w:w="800" w:type="dxa"/>
            <w:vAlign w:val="bottom"/>
          </w:tcPr>
          <w:p>
            <w:pPr>
              <w:spacing w:after="0"/>
              <w:rPr>
                <w:sz w:val="14"/>
                <w:szCs w:val="14"/>
                <w:color w:val="auto"/>
              </w:rPr>
            </w:pPr>
          </w:p>
        </w:tc>
        <w:tc>
          <w:tcPr>
            <w:tcW w:w="3080" w:type="dxa"/>
            <w:vAlign w:val="bottom"/>
            <w:gridSpan w:val="2"/>
          </w:tcPr>
          <w:p>
            <w:pPr>
              <w:ind w:left="460"/>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tcPr>
          <w:p>
            <w:pPr>
              <w:ind w:left="4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w:t>
            </w:r>
          </w:p>
        </w:tc>
        <w:tc>
          <w:tcPr>
            <w:tcW w:w="2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second quarter of 2019,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4598118. A replay of the call will be available on the Company’s website and by telephone until August 8, 2019. To access a replay telephonically, please dial (855) 859-2056 and use the replay conference ID number 4598118.</w:t>
      </w:r>
    </w:p>
    <w:p>
      <w:pPr>
        <w:spacing w:after="0" w:line="158"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240" w:type="dxa"/>
            <w:vAlign w:val="bottom"/>
            <w:gridSpan w:val="2"/>
          </w:tcPr>
          <w:p>
            <w:pPr>
              <w:jc w:val="center"/>
              <w:ind w:right="518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5"/>
          </w:tcPr>
          <w:p>
            <w:pPr>
              <w:ind w:left="340"/>
              <w:spacing w:after="0"/>
              <w:rPr>
                <w:rFonts w:ascii="Arial" w:cs="Arial" w:eastAsia="Arial" w:hAnsi="Arial"/>
                <w:sz w:val="18"/>
                <w:szCs w:val="18"/>
                <w:color w:val="0000EE"/>
              </w:rPr>
            </w:pPr>
            <w:hyperlink w:anchor="page3">
              <w:r>
                <w:rPr>
                  <w:rFonts w:ascii="Arial" w:cs="Arial" w:eastAsia="Arial" w:hAnsi="Arial"/>
                  <w:sz w:val="18"/>
                  <w:szCs w:val="18"/>
                  <w:color w:val="0000EE"/>
                </w:rPr>
                <w:t>Press Release dated July 25, 2019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Borders>
              <w:top w:val="single" w:sz="8" w:color="0000EE"/>
            </w:tcBorders>
          </w:tcPr>
          <w:p>
            <w:pPr>
              <w:spacing w:after="0"/>
              <w:rPr>
                <w:sz w:val="24"/>
                <w:szCs w:val="24"/>
                <w:color w:val="auto"/>
              </w:rPr>
            </w:pPr>
          </w:p>
        </w:tc>
        <w:tc>
          <w:tcPr>
            <w:tcW w:w="2300" w:type="dxa"/>
            <w:vAlign w:val="bottom"/>
            <w:gridSpan w:val="2"/>
          </w:tcPr>
          <w:p>
            <w:pPr>
              <w:jc w:val="right"/>
              <w:ind w:right="399"/>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July 25, 2019</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Senior Vice President, Corporate Development</w:t>
            </w:r>
          </w:p>
        </w:tc>
        <w:tc>
          <w:tcPr>
            <w:tcW w:w="4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20"/>
              <w:spacing w:after="0"/>
              <w:rPr>
                <w:sz w:val="20"/>
                <w:szCs w:val="20"/>
                <w:color w:val="auto"/>
              </w:rPr>
            </w:pPr>
            <w:r>
              <w:rPr>
                <w:rFonts w:ascii="Arial" w:cs="Arial" w:eastAsia="Arial" w:hAnsi="Arial"/>
                <w:sz w:val="18"/>
                <w:szCs w:val="18"/>
                <w:color w:val="auto"/>
              </w:rPr>
              <w:t>and Chief Legal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64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5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640" w:type="dxa"/>
            <w:vAlign w:val="bottom"/>
            <w:tcBorders>
              <w:bottom w:val="single" w:sz="8" w:color="808080"/>
            </w:tcBorders>
          </w:tcPr>
          <w:p>
            <w:pPr>
              <w:spacing w:after="0"/>
              <w:rPr>
                <w:sz w:val="11"/>
                <w:szCs w:val="11"/>
                <w:color w:val="auto"/>
              </w:rPr>
            </w:pPr>
          </w:p>
        </w:tc>
        <w:tc>
          <w:tcPr>
            <w:tcW w:w="5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ind w:left="20" w:right="220"/>
        <w:spacing w:after="0" w:line="248" w:lineRule="auto"/>
        <w:rPr>
          <w:sz w:val="20"/>
          <w:szCs w:val="20"/>
          <w:color w:val="auto"/>
        </w:rPr>
      </w:pPr>
      <w:r>
        <w:rPr>
          <w:rFonts w:ascii="Arial" w:cs="Arial" w:eastAsia="Arial" w:hAnsi="Arial"/>
          <w:sz w:val="40"/>
          <w:szCs w:val="40"/>
          <w:color w:val="7AB800"/>
        </w:rPr>
        <w:t>Waste Management Announces Second Quarter Earnings</w:t>
      </w:r>
    </w:p>
    <w:p>
      <w:pPr>
        <w:spacing w:after="0" w:line="158" w:lineRule="exact"/>
        <w:rPr>
          <w:sz w:val="20"/>
          <w:szCs w:val="20"/>
          <w:color w:val="auto"/>
        </w:rPr>
      </w:pPr>
    </w:p>
    <w:p>
      <w:pPr>
        <w:jc w:val="center"/>
        <w:ind w:left="20" w:right="100"/>
        <w:spacing w:after="0" w:line="238" w:lineRule="auto"/>
        <w:rPr>
          <w:sz w:val="20"/>
          <w:szCs w:val="20"/>
          <w:color w:val="auto"/>
        </w:rPr>
      </w:pPr>
      <w:r>
        <w:rPr>
          <w:rFonts w:ascii="Arial" w:cs="Arial" w:eastAsia="Arial" w:hAnsi="Arial"/>
          <w:sz w:val="22"/>
          <w:szCs w:val="22"/>
          <w:color w:val="auto"/>
        </w:rPr>
        <w:t>Strength of Collection and Disposal Business Drives Overall Revenue Growth of More Than 5%</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Company Reaffirms Guidance</w:t>
      </w:r>
    </w:p>
    <w:p>
      <w:pPr>
        <w:spacing w:after="0" w:line="217" w:lineRule="exact"/>
        <w:rPr>
          <w:sz w:val="20"/>
          <w:szCs w:val="20"/>
          <w:color w:val="auto"/>
        </w:rPr>
      </w:pPr>
    </w:p>
    <w:p>
      <w:pPr>
        <w:jc w:val="both"/>
        <w:spacing w:after="0" w:line="242"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July 25, 2019</w:t>
      </w:r>
      <w:r>
        <w:rPr>
          <w:rFonts w:ascii="Arial" w:cs="Arial" w:eastAsia="Arial" w:hAnsi="Arial"/>
          <w:sz w:val="16"/>
          <w:szCs w:val="16"/>
          <w:b w:val="1"/>
          <w:bCs w:val="1"/>
          <w:color w:val="auto"/>
        </w:rPr>
        <w:t xml:space="preserve"> </w:t>
      </w:r>
      <w:r>
        <w:rPr>
          <w:rFonts w:ascii="Arial" w:cs="Arial" w:eastAsia="Arial" w:hAnsi="Arial"/>
          <w:sz w:val="18"/>
          <w:szCs w:val="18"/>
          <w:color w:val="auto"/>
        </w:rPr>
        <w:t>— 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8"/>
          <w:szCs w:val="18"/>
          <w:color w:val="auto"/>
        </w:rPr>
        <w:t>quarter ended June 30, 2019. Revenues for the second quarter of 2019 were $3.95 billion compared with $3.74 billion for the same 2018 period. Net income for the quarter was $ 381 million, or $0.89 per diluted share, compared with $499 million, or $1.15 per diluted share, for the second quarter of 2018.</w:t>
      </w:r>
      <w:r>
        <w:rPr>
          <w:rFonts w:ascii="Arial" w:cs="Arial" w:eastAsia="Arial" w:hAnsi="Arial"/>
          <w:sz w:val="18"/>
          <w:szCs w:val="18"/>
          <w:color w:val="auto"/>
          <w:vertAlign w:val="superscript"/>
        </w:rPr>
        <w:t>(a)</w:t>
      </w:r>
      <w:r>
        <w:rPr>
          <w:rFonts w:ascii="Arial" w:cs="Arial" w:eastAsia="Arial" w:hAnsi="Arial"/>
          <w:sz w:val="18"/>
          <w:szCs w:val="18"/>
          <w:color w:val="auto"/>
        </w:rPr>
        <w:t xml:space="preserve"> On an adjusted basis, in the second quarter of 2019, net income was $470 million, or $1.11 per diluted share.</w:t>
      </w:r>
      <w:r>
        <w:rPr>
          <w:rFonts w:ascii="Arial" w:cs="Arial" w:eastAsia="Arial" w:hAnsi="Arial"/>
          <w:sz w:val="18"/>
          <w:szCs w:val="18"/>
          <w:color w:val="auto"/>
          <w:vertAlign w:val="superscript"/>
        </w:rPr>
        <w:t>(b)</w:t>
      </w:r>
      <w:r>
        <w:rPr>
          <w:rFonts w:ascii="Arial" w:cs="Arial" w:eastAsia="Arial" w:hAnsi="Arial"/>
          <w:sz w:val="18"/>
          <w:szCs w:val="18"/>
          <w:color w:val="auto"/>
        </w:rPr>
        <w:t xml:space="preserve"> On an adjusted basis, in the second quarter of 2018, net income was $438 million, or $1.01 per diluted share.</w:t>
      </w:r>
      <w:r>
        <w:rPr>
          <w:rFonts w:ascii="Arial" w:cs="Arial" w:eastAsia="Arial" w:hAnsi="Arial"/>
          <w:sz w:val="18"/>
          <w:szCs w:val="18"/>
          <w:color w:val="auto"/>
          <w:vertAlign w:val="superscript"/>
        </w:rPr>
        <w:t>(b)</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adjusted second quarter of 2019 results exclude: a $0.15 per diluted share loss on the early extinguishment of debt, $0.04 per diluted share of non-cash charges to write-off certain assets, and $0.03 per diluted share related to the planned acquisition of Advanced Disposal Services, Inc.</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adjusted second quarter of 2018 results exclude a $0.07 per diluted share tax benefit related to income tax audit settlements and a net $0.07 per diluted share benefit primarily related to the gain on divestiture of an ancillary business.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employees continued to produce outstanding results in the second quarter, underpinned by organic revenue growth in the collection and disposal business of more than 7%,” said Jim Fish, President and Chief Executive Officer of Waste Management. “We leveraged growth in our collection and disposal business to expand operating EBITDA margins by 60 basis points.”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SECOND QUARTER OF 2019</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Profitability</w:t>
      </w:r>
    </w:p>
    <w:p>
      <w:pPr>
        <w:spacing w:after="0" w:line="220" w:lineRule="exact"/>
        <w:rPr>
          <w:sz w:val="20"/>
          <w:szCs w:val="20"/>
          <w:color w:val="auto"/>
        </w:rPr>
      </w:pPr>
    </w:p>
    <w:p>
      <w:pPr>
        <w:jc w:val="both"/>
        <w:ind w:left="660" w:hanging="328"/>
        <w:spacing w:after="0" w:line="238" w:lineRule="auto"/>
        <w:tabs>
          <w:tab w:leader="none" w:pos="705"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Company operating EBITDA was $1.11 billion for the second quarter of 2019, an increase of $6 million from the second quarter of 2018.</w:t>
      </w:r>
      <w:r>
        <w:rPr>
          <w:rFonts w:ascii="Arial" w:cs="Arial" w:eastAsia="Arial" w:hAnsi="Arial"/>
          <w:sz w:val="18"/>
          <w:szCs w:val="18"/>
          <w:color w:val="auto"/>
          <w:vertAlign w:val="superscript"/>
        </w:rPr>
        <w:t>(c)</w:t>
      </w:r>
      <w:r>
        <w:rPr>
          <w:rFonts w:ascii="Arial" w:cs="Arial" w:eastAsia="Arial" w:hAnsi="Arial"/>
          <w:sz w:val="18"/>
          <w:szCs w:val="18"/>
          <w:color w:val="auto"/>
        </w:rPr>
        <w:t xml:space="preserve"> On an adjusted basis, total Company operating EBITDA was $1.13 billion for the second quarter of 2019, an increase of $73 million, or 6.9%, from the second quarter of 2018.</w:t>
      </w:r>
      <w:r>
        <w:rPr>
          <w:rFonts w:ascii="Arial" w:cs="Arial" w:eastAsia="Arial" w:hAnsi="Arial"/>
          <w:sz w:val="18"/>
          <w:szCs w:val="18"/>
          <w:color w:val="auto"/>
          <w:vertAlign w:val="superscript"/>
        </w:rPr>
        <w:t>(b)</w:t>
      </w:r>
    </w:p>
    <w:p>
      <w:pPr>
        <w:spacing w:after="0" w:line="2" w:lineRule="exact"/>
        <w:rPr>
          <w:rFonts w:ascii="Arial" w:cs="Arial" w:eastAsia="Arial" w:hAnsi="Arial"/>
          <w:sz w:val="18"/>
          <w:szCs w:val="18"/>
          <w:color w:val="auto"/>
        </w:rPr>
      </w:pPr>
    </w:p>
    <w:p>
      <w:pPr>
        <w:ind w:left="660" w:hanging="328"/>
        <w:spacing w:after="0" w:line="262" w:lineRule="auto"/>
        <w:tabs>
          <w:tab w:leader="none" w:pos="61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EBITDA in the Company’s collection and disposal business increased $112 million, or 9.3%, in the second quarter of 2019 when compared to the second quarter of 2018.</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Revenue Growth</w:t>
      </w:r>
    </w:p>
    <w:p>
      <w:pPr>
        <w:spacing w:after="0" w:line="220" w:lineRule="exact"/>
        <w:rPr>
          <w:sz w:val="20"/>
          <w:szCs w:val="20"/>
          <w:color w:val="auto"/>
        </w:rPr>
      </w:pPr>
    </w:p>
    <w:p>
      <w:pPr>
        <w:jc w:val="both"/>
        <w:ind w:left="660" w:hanging="328"/>
        <w:spacing w:after="0" w:line="243" w:lineRule="auto"/>
        <w:tabs>
          <w:tab w:leader="none" w:pos="73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second quarter of 2019, revenue growth was driven by strong yield and volume growth in the Company’s collection and disposal business, which contributed $230 million of incremental revenue. This was partially offset by a $38 million year-over-year decline in revenue from the Company’s recycling 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420"/>
        <w:spacing w:after="0" w:line="261" w:lineRule="auto"/>
        <w:rPr>
          <w:sz w:val="20"/>
          <w:szCs w:val="20"/>
          <w:color w:val="auto"/>
        </w:rPr>
      </w:pPr>
      <w:r>
        <w:rPr>
          <w:rFonts w:ascii="Arial" w:cs="Arial" w:eastAsia="Arial" w:hAnsi="Arial"/>
          <w:sz w:val="17"/>
          <w:szCs w:val="17"/>
          <w:color w:val="57584F"/>
        </w:rPr>
        <w:t xml:space="preserve">Andy Izquierdo 832.710.5287 </w:t>
      </w:r>
      <w:r>
        <w:rPr>
          <w:rFonts w:ascii="Arial" w:cs="Arial" w:eastAsia="Arial" w:hAnsi="Arial"/>
          <w:sz w:val="17"/>
          <w:szCs w:val="17"/>
          <w:u w:val="single" w:color="auto"/>
          <w:color w:val="0000FF"/>
        </w:rPr>
        <w:t>aizquierdo@wm.com</w:t>
      </w:r>
    </w:p>
    <w:p>
      <w:pPr>
        <w:sectPr>
          <w:pgSz w:w="11900" w:h="16838" w:orient="portrait"/>
          <w:cols w:equalWidth="0" w:num="2">
            <w:col w:w="8980" w:space="340"/>
            <w:col w:w="2100"/>
          </w:cols>
          <w:pgMar w:left="240" w:top="118" w:right="239" w:bottom="1440" w:gutter="0" w:footer="0" w:header="0"/>
          <w:type w:val="continuous"/>
        </w:sectPr>
      </w:pPr>
    </w:p>
    <w:bookmarkStart w:id="4" w:name="page5"/>
    <w:bookmarkEnd w:id="4"/>
    <w:p>
      <w:pPr>
        <w:ind w:left="600" w:hanging="268"/>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Core price for the second quarter of 2019 was 5.4%, compared to 5.3% in the second quarter of 2018.</w:t>
      </w:r>
      <w:r>
        <w:rPr>
          <w:rFonts w:ascii="Arial" w:cs="Arial" w:eastAsia="Arial" w:hAnsi="Arial"/>
          <w:sz w:val="18"/>
          <w:szCs w:val="18"/>
          <w:color w:val="auto"/>
          <w:vertAlign w:val="superscript"/>
        </w:rPr>
        <w:t>(d)</w:t>
      </w:r>
    </w:p>
    <w:p>
      <w:pPr>
        <w:spacing w:after="0" w:line="22" w:lineRule="exact"/>
        <w:rPr>
          <w:rFonts w:ascii="Arial" w:cs="Arial" w:eastAsia="Arial" w:hAnsi="Arial"/>
          <w:sz w:val="18"/>
          <w:szCs w:val="18"/>
          <w:color w:val="auto"/>
        </w:rPr>
      </w:pPr>
    </w:p>
    <w:p>
      <w:pPr>
        <w:ind w:left="660" w:right="1239" w:hanging="328"/>
        <w:spacing w:after="0" w:line="242" w:lineRule="auto"/>
        <w:tabs>
          <w:tab w:leader="none" w:pos="73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Internal revenue growth from yield for the collection and disposal business was 2.7% for the second quarter of 2019 versus 2.3% in the second quarter of 2018.</w:t>
      </w:r>
    </w:p>
    <w:p>
      <w:pPr>
        <w:spacing w:after="0" w:line="1" w:lineRule="exact"/>
        <w:rPr>
          <w:rFonts w:ascii="Arial" w:cs="Arial" w:eastAsia="Arial" w:hAnsi="Arial"/>
          <w:sz w:val="18"/>
          <w:szCs w:val="18"/>
          <w:color w:val="auto"/>
        </w:rPr>
      </w:pPr>
    </w:p>
    <w:p>
      <w:pPr>
        <w:jc w:val="both"/>
        <w:ind w:left="660" w:right="1239" w:hanging="328"/>
        <w:spacing w:after="0" w:line="248" w:lineRule="auto"/>
        <w:tabs>
          <w:tab w:leader="none" w:pos="61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Collection and disposal business internal revenue growth from volume was 4.4% in the second quarter of 2019. Total Company internal revenue growth from volume, which includes the Company’s recycling line of business, was 4.0% in the second quarter of 2019.</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Recycling</w:t>
      </w:r>
    </w:p>
    <w:p>
      <w:pPr>
        <w:spacing w:after="0" w:line="220" w:lineRule="exact"/>
        <w:rPr>
          <w:sz w:val="20"/>
          <w:szCs w:val="20"/>
          <w:color w:val="auto"/>
        </w:rPr>
      </w:pPr>
    </w:p>
    <w:p>
      <w:pPr>
        <w:jc w:val="both"/>
        <w:ind w:left="660" w:right="1239" w:hanging="328"/>
        <w:spacing w:after="0" w:line="238"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EBITDA in the Company’s recycling line of business improved by $6 million compared to the second quarter of 2018, despite a $38 million decline in revenue. The Company was able to overcome pressure from a 33% year-over-year drop in recycling commodity prices by working to develop a sustainable business model that also meets customers’ environmental needs.</w:t>
      </w:r>
    </w:p>
    <w:p>
      <w:pPr>
        <w:spacing w:after="0" w:line="2" w:lineRule="exact"/>
        <w:rPr>
          <w:rFonts w:ascii="Arial" w:cs="Arial" w:eastAsia="Arial" w:hAnsi="Arial"/>
          <w:sz w:val="18"/>
          <w:szCs w:val="18"/>
          <w:color w:val="auto"/>
        </w:rPr>
      </w:pPr>
    </w:p>
    <w:p>
      <w:pPr>
        <w:ind w:left="660" w:right="1239" w:hanging="328"/>
        <w:spacing w:after="0" w:line="262" w:lineRule="auto"/>
        <w:tabs>
          <w:tab w:leader="none" w:pos="65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now expects the recycling business to be a $0.01 to $0.02 per diluted share headwind in 2019 compared to 2018, due to continued expected weakness in recycling commodity prices.</w:t>
      </w:r>
    </w:p>
    <w:p>
      <w:pPr>
        <w:spacing w:after="0" w:line="14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Cost Management</w:t>
      </w:r>
    </w:p>
    <w:p>
      <w:pPr>
        <w:spacing w:after="0" w:line="220" w:lineRule="exact"/>
        <w:rPr>
          <w:rFonts w:ascii="Arial" w:cs="Arial" w:eastAsia="Arial" w:hAnsi="Arial"/>
          <w:sz w:val="18"/>
          <w:szCs w:val="18"/>
          <w:color w:val="auto"/>
        </w:rPr>
      </w:pPr>
    </w:p>
    <w:p>
      <w:pPr>
        <w:ind w:left="660" w:right="1239" w:hanging="328"/>
        <w:spacing w:after="0" w:line="242" w:lineRule="auto"/>
        <w:tabs>
          <w:tab w:leader="none" w:pos="70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percentage of revenue, operating expenses were 61.9% in the second quarter of both 2019 and 2018. On an adjusted basis, operating expenses were 61.5% for the second quarter of 2019.</w:t>
      </w:r>
      <w:r>
        <w:rPr>
          <w:rFonts w:ascii="Arial" w:cs="Arial" w:eastAsia="Arial" w:hAnsi="Arial"/>
          <w:sz w:val="18"/>
          <w:szCs w:val="18"/>
          <w:color w:val="auto"/>
          <w:vertAlign w:val="superscript"/>
        </w:rPr>
        <w:t>(b)</w:t>
      </w:r>
    </w:p>
    <w:p>
      <w:pPr>
        <w:spacing w:after="0" w:line="1" w:lineRule="exact"/>
        <w:rPr>
          <w:rFonts w:ascii="Arial" w:cs="Arial" w:eastAsia="Arial" w:hAnsi="Arial"/>
          <w:sz w:val="18"/>
          <w:szCs w:val="18"/>
          <w:color w:val="auto"/>
        </w:rPr>
      </w:pPr>
    </w:p>
    <w:p>
      <w:pPr>
        <w:ind w:left="660" w:right="1239" w:hanging="328"/>
        <w:spacing w:after="0" w:line="262"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a percentage of revenue, SG&amp;A expenses were 9.9%, or 9.8% on an adjusted basis, in the second quarter of 2019 compared to 9.8% in the second quarter of 2018.</w:t>
      </w:r>
      <w:r>
        <w:rPr>
          <w:rFonts w:ascii="Arial" w:cs="Arial" w:eastAsia="Arial" w:hAnsi="Arial"/>
          <w:sz w:val="18"/>
          <w:szCs w:val="18"/>
          <w:color w:val="auto"/>
          <w:vertAlign w:val="superscript"/>
        </w:rPr>
        <w:t>(b)</w:t>
      </w:r>
    </w:p>
    <w:p>
      <w:pPr>
        <w:spacing w:after="0" w:line="14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Free Cash Flow &amp; Capital Allocation</w:t>
      </w:r>
    </w:p>
    <w:p>
      <w:pPr>
        <w:spacing w:after="0" w:line="220" w:lineRule="exact"/>
        <w:rPr>
          <w:rFonts w:ascii="Arial" w:cs="Arial" w:eastAsia="Arial" w:hAnsi="Arial"/>
          <w:sz w:val="18"/>
          <w:szCs w:val="18"/>
          <w:color w:val="auto"/>
        </w:rPr>
      </w:pPr>
    </w:p>
    <w:p>
      <w:pPr>
        <w:jc w:val="both"/>
        <w:ind w:left="660" w:right="1239" w:hanging="328"/>
        <w:spacing w:after="0" w:line="238" w:lineRule="auto"/>
        <w:tabs>
          <w:tab w:leader="none" w:pos="637"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 was $1.01 billion in the second quarter of 2019, an increase of $35 million, or 3.6%, when compared to the second quarter of 2018. The growth in net cash provided by operating activities was driven by operating EBITDA growth and the Company’s focus on improving working capital, partially offset by higher taxes and interest.</w:t>
      </w:r>
    </w:p>
    <w:p>
      <w:pPr>
        <w:spacing w:after="0" w:line="2" w:lineRule="exact"/>
        <w:rPr>
          <w:rFonts w:ascii="Arial" w:cs="Arial" w:eastAsia="Arial" w:hAnsi="Arial"/>
          <w:sz w:val="18"/>
          <w:szCs w:val="18"/>
          <w:color w:val="auto"/>
        </w:rPr>
      </w:pPr>
    </w:p>
    <w:p>
      <w:pPr>
        <w:jc w:val="both"/>
        <w:ind w:left="660" w:right="1239" w:hanging="328"/>
        <w:spacing w:after="0"/>
        <w:tabs>
          <w:tab w:leader="none" w:pos="678"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 were $578 million in the second quarter of 2019, a $142 million increase from the second quarter of 2018, due to an intentional focus on accelerating certain fleet and landfill spending to support the Company’s strong collection and disposal growth.</w:t>
      </w:r>
    </w:p>
    <w:p>
      <w:pPr>
        <w:jc w:val="both"/>
        <w:ind w:left="660" w:right="1239" w:hanging="328"/>
        <w:spacing w:after="0" w:line="238"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was $440 million in the second quarter of 2019 compared to $621 million in the second quarter of 2018.</w:t>
      </w:r>
      <w:r>
        <w:rPr>
          <w:rFonts w:ascii="Arial" w:cs="Arial" w:eastAsia="Arial" w:hAnsi="Arial"/>
          <w:sz w:val="18"/>
          <w:szCs w:val="18"/>
          <w:color w:val="auto"/>
          <w:vertAlign w:val="superscript"/>
        </w:rPr>
        <w:t>(b)</w:t>
      </w:r>
      <w:r>
        <w:rPr>
          <w:rFonts w:ascii="Arial" w:cs="Arial" w:eastAsia="Arial" w:hAnsi="Arial"/>
          <w:sz w:val="18"/>
          <w:szCs w:val="18"/>
          <w:color w:val="auto"/>
        </w:rPr>
        <w:t xml:space="preserve"> The decline in free cash flow was primarily driven by the increase in capital expenditures in the quarter attributable to year-over-year timing differences in fleet and landfill spending and a reduction in proceeds from divestitures.</w:t>
      </w:r>
    </w:p>
    <w:p>
      <w:pPr>
        <w:spacing w:after="0" w:line="2" w:lineRule="exact"/>
        <w:rPr>
          <w:rFonts w:ascii="Arial" w:cs="Arial" w:eastAsia="Arial" w:hAnsi="Arial"/>
          <w:sz w:val="18"/>
          <w:szCs w:val="18"/>
          <w:color w:val="auto"/>
        </w:rPr>
      </w:pPr>
    </w:p>
    <w:p>
      <w:pPr>
        <w:ind w:left="660" w:right="1239" w:hanging="328"/>
        <w:spacing w:after="0" w:line="242" w:lineRule="auto"/>
        <w:tabs>
          <w:tab w:leader="none" w:pos="63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paid $217 million of dividends to shareholders and repurchased $180 million of its shares in the second quarter of 2019.</w:t>
      </w:r>
    </w:p>
    <w:p>
      <w:pPr>
        <w:spacing w:after="0" w:line="1" w:lineRule="exact"/>
        <w:rPr>
          <w:rFonts w:ascii="Arial" w:cs="Arial" w:eastAsia="Arial" w:hAnsi="Arial"/>
          <w:sz w:val="18"/>
          <w:szCs w:val="18"/>
          <w:color w:val="auto"/>
        </w:rPr>
      </w:pPr>
    </w:p>
    <w:p>
      <w:pPr>
        <w:ind w:left="660" w:right="1239" w:hanging="328"/>
        <w:spacing w:after="0" w:line="262" w:lineRule="auto"/>
        <w:tabs>
          <w:tab w:leader="none" w:pos="66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spent $48 million on acquisitions of traditional solid waste businesses during the second quarter of 2019.</w:t>
      </w:r>
    </w:p>
    <w:p>
      <w:pPr>
        <w:spacing w:after="0" w:line="14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p>
    <w:p>
      <w:pPr>
        <w:spacing w:after="0" w:line="220" w:lineRule="exact"/>
        <w:rPr>
          <w:rFonts w:ascii="Arial" w:cs="Arial" w:eastAsia="Arial" w:hAnsi="Arial"/>
          <w:sz w:val="18"/>
          <w:szCs w:val="18"/>
          <w:color w:val="auto"/>
        </w:rPr>
      </w:pPr>
    </w:p>
    <w:p>
      <w:pPr>
        <w:ind w:left="600" w:hanging="268"/>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effective tax rate for the second quarter of 2019 was approximately 23.3%.</w:t>
      </w:r>
    </w:p>
    <w:p>
      <w:pPr>
        <w:spacing w:after="0" w:line="212" w:lineRule="exact"/>
        <w:rPr>
          <w:sz w:val="20"/>
          <w:szCs w:val="20"/>
          <w:color w:val="auto"/>
        </w:rPr>
      </w:pPr>
    </w:p>
    <w:p>
      <w:pPr>
        <w:jc w:val="both"/>
        <w:ind w:right="1239"/>
        <w:spacing w:after="0"/>
        <w:rPr>
          <w:sz w:val="20"/>
          <w:szCs w:val="20"/>
          <w:color w:val="auto"/>
        </w:rPr>
      </w:pPr>
      <w:r>
        <w:rPr>
          <w:rFonts w:ascii="Arial" w:cs="Arial" w:eastAsia="Arial" w:hAnsi="Arial"/>
          <w:sz w:val="18"/>
          <w:szCs w:val="18"/>
          <w:color w:val="auto"/>
        </w:rPr>
        <w:t>Fish concluded, “Through the first six months of 2019 we are on track to achieve our full-year goals. In the second half of 2019, we expect that our collection and disposal business will continue to generate strong earnings and more than offset an anticipated decline in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42" w:right="1440" w:bottom="1440" w:gutter="0" w:footer="0" w:header="0"/>
        </w:sectPr>
      </w:pPr>
    </w:p>
    <w:bookmarkStart w:id="5" w:name="page6"/>
    <w:bookmarkEnd w:id="5"/>
    <w:p>
      <w:pPr>
        <w:jc w:val="both"/>
        <w:ind w:right="1239"/>
        <w:spacing w:after="0" w:line="239" w:lineRule="auto"/>
        <w:rPr>
          <w:sz w:val="20"/>
          <w:szCs w:val="20"/>
          <w:color w:val="auto"/>
        </w:rPr>
      </w:pPr>
      <w:r>
        <w:rPr>
          <w:rFonts w:ascii="Arial" w:cs="Arial" w:eastAsia="Arial" w:hAnsi="Arial"/>
          <w:sz w:val="18"/>
          <w:szCs w:val="18"/>
          <w:color w:val="auto"/>
        </w:rPr>
        <w:t xml:space="preserve">recycling business from depressed commodity prices. Despite our updated expectation for a full-year recycling headwind of $0.01 to $0.02 per diluted share we are reaffirming our full-year 2019 guidance of adjusted earnings per diluted share of $4.28 to $4.38, adjusted operating EBITDA of $4.40 to $4.45 billion, and free cash flow of $2.025 to $2.075 billion.” </w:t>
      </w:r>
      <w:r>
        <w:rPr>
          <w:rFonts w:ascii="Arial" w:cs="Arial" w:eastAsia="Arial" w:hAnsi="Arial"/>
          <w:sz w:val="18"/>
          <w:szCs w:val="18"/>
          <w:color w:val="auto"/>
          <w:vertAlign w:val="superscript"/>
        </w:rPr>
        <w:t>(b)</w:t>
      </w:r>
    </w:p>
    <w:p>
      <w:pPr>
        <w:spacing w:after="0" w:line="208" w:lineRule="exact"/>
        <w:rPr>
          <w:sz w:val="20"/>
          <w:szCs w:val="20"/>
          <w:color w:val="auto"/>
        </w:rPr>
      </w:pPr>
    </w:p>
    <w:p>
      <w:pPr>
        <w:ind w:left="660" w:right="1239" w:hanging="328"/>
        <w:spacing w:after="0" w:line="298" w:lineRule="auto"/>
        <w:tabs>
          <w:tab w:leader="none" w:pos="669"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94" w:lineRule="exact"/>
        <w:rPr>
          <w:rFonts w:ascii="Arial" w:cs="Arial" w:eastAsia="Arial" w:hAnsi="Arial"/>
          <w:sz w:val="14"/>
          <w:szCs w:val="14"/>
          <w:color w:val="auto"/>
        </w:rPr>
      </w:pPr>
    </w:p>
    <w:p>
      <w:pPr>
        <w:ind w:left="700" w:hanging="368"/>
        <w:spacing w:after="0"/>
        <w:tabs>
          <w:tab w:leader="none" w:pos="7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earnings per diluted share, adjusted net income, adjusted operating EBITDA, adjusted operating expenses, adjusted</w:t>
      </w:r>
    </w:p>
    <w:p>
      <w:pPr>
        <w:spacing w:after="0" w:line="28" w:lineRule="exact"/>
        <w:rPr>
          <w:rFonts w:ascii="Arial" w:cs="Arial" w:eastAsia="Arial" w:hAnsi="Arial"/>
          <w:sz w:val="14"/>
          <w:szCs w:val="14"/>
          <w:color w:val="auto"/>
        </w:rPr>
      </w:pPr>
    </w:p>
    <w:p>
      <w:pPr>
        <w:ind w:left="660" w:right="1239"/>
        <w:spacing w:after="0" w:line="258" w:lineRule="auto"/>
        <w:rPr>
          <w:rFonts w:ascii="Arial" w:cs="Arial" w:eastAsia="Arial" w:hAnsi="Arial"/>
          <w:sz w:val="14"/>
          <w:szCs w:val="14"/>
          <w:color w:val="auto"/>
        </w:rPr>
      </w:pPr>
      <w:r>
        <w:rPr>
          <w:rFonts w:ascii="Arial" w:cs="Arial" w:eastAsia="Arial" w:hAnsi="Arial"/>
          <w:sz w:val="14"/>
          <w:szCs w:val="14"/>
          <w:color w:val="auto"/>
        </w:rPr>
        <w:t>SG&amp;A expenses and free cash flow are non-GAAP measures. Please see “Non-GAAP Financial Measures” below and the reconciliations in the accompanying schedules for more information.</w:t>
      </w:r>
    </w:p>
    <w:p>
      <w:pPr>
        <w:spacing w:after="0" w:line="221" w:lineRule="exact"/>
        <w:rPr>
          <w:rFonts w:ascii="Arial" w:cs="Arial" w:eastAsia="Arial" w:hAnsi="Arial"/>
          <w:sz w:val="14"/>
          <w:szCs w:val="14"/>
          <w:color w:val="auto"/>
        </w:rPr>
      </w:pPr>
    </w:p>
    <w:p>
      <w:pPr>
        <w:ind w:left="660" w:right="1239" w:hanging="328"/>
        <w:spacing w:after="0" w:line="298" w:lineRule="auto"/>
        <w:tabs>
          <w:tab w:leader="none" w:pos="661" w:val="left"/>
        </w:tabs>
        <w:numPr>
          <w:ilvl w:val="0"/>
          <w:numId w:val="6"/>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40" w:lineRule="exact"/>
        <w:rPr>
          <w:rFonts w:ascii="Arial" w:cs="Arial" w:eastAsia="Arial" w:hAnsi="Arial"/>
          <w:sz w:val="14"/>
          <w:szCs w:val="14"/>
          <w:color w:val="auto"/>
        </w:rPr>
      </w:pPr>
    </w:p>
    <w:p>
      <w:pPr>
        <w:ind w:left="640" w:hanging="308"/>
        <w:spacing w:after="0"/>
        <w:tabs>
          <w:tab w:leader="none" w:pos="6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Core price consists of price increases net of rollbacks and fees, excluding the Company’s fuel surcharge. It is a performance metric</w:t>
      </w:r>
    </w:p>
    <w:p>
      <w:pPr>
        <w:spacing w:after="0" w:line="28" w:lineRule="exact"/>
        <w:rPr>
          <w:rFonts w:ascii="Arial" w:cs="Arial" w:eastAsia="Arial" w:hAnsi="Arial"/>
          <w:sz w:val="14"/>
          <w:szCs w:val="14"/>
          <w:color w:val="auto"/>
        </w:rPr>
      </w:pPr>
    </w:p>
    <w:p>
      <w:pPr>
        <w:jc w:val="both"/>
        <w:ind w:left="660" w:right="1239"/>
        <w:spacing w:after="0" w:line="250" w:lineRule="auto"/>
        <w:rPr>
          <w:rFonts w:ascii="Arial" w:cs="Arial" w:eastAsia="Arial" w:hAnsi="Arial"/>
          <w:sz w:val="14"/>
          <w:szCs w:val="14"/>
          <w:color w:val="auto"/>
        </w:rPr>
      </w:pPr>
      <w:r>
        <w:rPr>
          <w:rFonts w:ascii="Arial" w:cs="Arial" w:eastAsia="Arial" w:hAnsi="Arial"/>
          <w:sz w:val="14"/>
          <w:szCs w:val="14"/>
          <w:color w:val="auto"/>
        </w:rPr>
        <w:t>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80" w:lineRule="exact"/>
        <w:rPr>
          <w:sz w:val="20"/>
          <w:szCs w:val="20"/>
          <w:color w:val="auto"/>
        </w:rPr>
      </w:pPr>
    </w:p>
    <w:p>
      <w:pPr>
        <w:jc w:val="both"/>
        <w:ind w:right="1239"/>
        <w:spacing w:after="0"/>
        <w:rPr>
          <w:sz w:val="20"/>
          <w:szCs w:val="20"/>
          <w:color w:val="auto"/>
        </w:rPr>
      </w:pPr>
      <w:r>
        <w:rPr>
          <w:rFonts w:ascii="Arial" w:cs="Arial" w:eastAsia="Arial" w:hAnsi="Arial"/>
          <w:sz w:val="18"/>
          <w:szCs w:val="18"/>
          <w:color w:val="auto"/>
        </w:rPr>
        <w:t>The Company will host a conference call at 10 a.m. (Eastern) today to discuss the second quarter results. Information contained within this press release will be referenced and should be considered in conjunction with the call.</w:t>
      </w:r>
    </w:p>
    <w:p>
      <w:pPr>
        <w:spacing w:after="0" w:line="189" w:lineRule="exact"/>
        <w:rPr>
          <w:sz w:val="20"/>
          <w:szCs w:val="20"/>
          <w:color w:val="auto"/>
        </w:rPr>
      </w:pPr>
    </w:p>
    <w:p>
      <w:pPr>
        <w:jc w:val="both"/>
        <w:ind w:right="1239"/>
        <w:spacing w:after="0" w:line="238" w:lineRule="auto"/>
        <w:rPr>
          <w:sz w:val="20"/>
          <w:szCs w:val="20"/>
          <w:color w:val="auto"/>
        </w:rPr>
      </w:pPr>
      <w:r>
        <w:rPr>
          <w:rFonts w:ascii="Arial" w:cs="Arial" w:eastAsia="Arial" w:hAnsi="Arial"/>
          <w:sz w:val="18"/>
          <w:szCs w:val="18"/>
          <w:color w:val="auto"/>
        </w:rPr>
        <w:t xml:space="preserve">The conference call will be webcast live from the Investor Relations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4598118 when prompted by the conference call operator.</w:t>
      </w:r>
    </w:p>
    <w:p>
      <w:pPr>
        <w:spacing w:after="0" w:line="189" w:lineRule="exact"/>
        <w:rPr>
          <w:sz w:val="20"/>
          <w:szCs w:val="20"/>
          <w:color w:val="auto"/>
        </w:rPr>
      </w:pPr>
    </w:p>
    <w:p>
      <w:pPr>
        <w:jc w:val="both"/>
        <w:ind w:right="1239"/>
        <w:spacing w:after="0" w:line="23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today through 5:00 PM (Eastern) on Thursday, August 8, 2019. To access the replay telephonically, please dial (855) 859-2056, or from outside of the United States or Canada dial (404) 537-3406 and use the replay conference ID number 4598118.</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23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239"/>
        <w:spacing w:after="0" w:line="236"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2019 earnings per diluted share; 2019 operating EBITDA; 2019 free cash flow; and all statements regarding future performance of our collection and disposal business, recycling business or otherwise.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6" w:name="page7"/>
    <w:bookmarkEnd w:id="6"/>
    <w:p>
      <w:pPr>
        <w:jc w:val="both"/>
        <w:ind w:right="1239"/>
        <w:spacing w:after="0" w:line="236" w:lineRule="auto"/>
        <w:rPr>
          <w:sz w:val="20"/>
          <w:szCs w:val="20"/>
          <w:color w:val="auto"/>
        </w:rPr>
      </w:pPr>
      <w:r>
        <w:rPr>
          <w:rFonts w:ascii="Arial" w:cs="Arial" w:eastAsia="Arial" w:hAnsi="Arial"/>
          <w:sz w:val="18"/>
          <w:szCs w:val="18"/>
          <w:color w:val="auto"/>
        </w:rPr>
        <w:t>acquisition of Advanced Disposal Services, Inc. or other acquisitions; failure to obtain the results anticipated from the acquisition of Advanced Disposal Services, Inc. or other acquisitions; environmental and other regulations; commodity price fluctuations; international trade restrictions; disposal alternatives and waste diversion; declining waste volumes; failure to develop and protect new technology; failure of technology to perform as expected; preventing, detecting and addressing cybersecurity incidents;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as updated by our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1239"/>
        <w:spacing w:after="0" w:line="234" w:lineRule="auto"/>
        <w:rPr>
          <w:sz w:val="20"/>
          <w:szCs w:val="20"/>
          <w:color w:val="auto"/>
        </w:rPr>
      </w:pPr>
      <w:r>
        <w:rPr>
          <w:rFonts w:ascii="Arial" w:cs="Arial" w:eastAsia="Arial" w:hAnsi="Arial"/>
          <w:sz w:val="18"/>
          <w:szCs w:val="18"/>
          <w:color w:val="auto"/>
        </w:rPr>
        <w:t>To supplement its financial information, the Company, in some instances, has presented adjusted earnings per diluted share, adjusted net income, adjusted operating EBTIDA, adjusted operating expenses, adjusted SG&amp;A expenses and free cash flow, and has also presented projections of adjusted earnings per diluted share, adjusted operating EBITDA, and free cash flow; these are non-GAAP financial measures, as defined in Regulation G of the Securities Exchange Act of 1934, as amended. The Company reports its financial results in compliance with GAAP but believes that also discussing non-GAAP measures provides investors with</w:t>
      </w:r>
    </w:p>
    <w:p>
      <w:pPr>
        <w:spacing w:after="0" w:line="5" w:lineRule="exact"/>
        <w:rPr>
          <w:sz w:val="20"/>
          <w:szCs w:val="20"/>
          <w:color w:val="auto"/>
        </w:rPr>
      </w:pPr>
    </w:p>
    <w:p>
      <w:pPr>
        <w:jc w:val="both"/>
        <w:ind w:right="1239" w:firstLine="8"/>
        <w:spacing w:after="0"/>
        <w:tabs>
          <w:tab w:leader="none" w:pos="242"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w:t>
      </w:r>
    </w:p>
    <w:p>
      <w:pPr>
        <w:spacing w:after="0" w:line="189" w:lineRule="exact"/>
        <w:rPr>
          <w:sz w:val="20"/>
          <w:szCs w:val="20"/>
          <w:color w:val="auto"/>
        </w:rPr>
      </w:pPr>
    </w:p>
    <w:p>
      <w:pPr>
        <w:jc w:val="both"/>
        <w:ind w:right="1239"/>
        <w:spacing w:after="0" w:line="236" w:lineRule="auto"/>
        <w:rPr>
          <w:sz w:val="20"/>
          <w:szCs w:val="20"/>
          <w:color w:val="auto"/>
        </w:rPr>
      </w:pPr>
      <w:r>
        <w:rPr>
          <w:rFonts w:ascii="Arial" w:cs="Arial" w:eastAsia="Arial" w:hAnsi="Arial"/>
          <w:sz w:val="18"/>
          <w:szCs w:val="18"/>
          <w:color w:val="auto"/>
        </w:rPr>
        <w:t>The Company’s projected full year 2019 earnings per diluted share, and operating EBITDA are anticipated to exclude the effects of events or circumstances in 2019 that are not representative or indicative of the Company’s results of operations. Such excluded items are not currently determinable, but may be significant, such as asset impairments and one-time items, charges, gains or losses from divestitures or litigation, and other items, including transaction costs related to the pending acquisition of Advanced Disposal Services, Inc. Due to the uncertainty of the likelihood, amount and timing of any such items, the Company does not have information available to provide a quantitative reconciliation of adjusted projected full-year earnings per diluted share or operating EBITDA to the comparable GAAP measures.</w:t>
      </w:r>
    </w:p>
    <w:p>
      <w:pPr>
        <w:spacing w:after="0" w:line="195" w:lineRule="exact"/>
        <w:rPr>
          <w:sz w:val="20"/>
          <w:szCs w:val="20"/>
          <w:color w:val="auto"/>
        </w:rPr>
      </w:pPr>
    </w:p>
    <w:p>
      <w:pPr>
        <w:jc w:val="both"/>
        <w:ind w:right="1239"/>
        <w:spacing w:after="0" w:line="236" w:lineRule="auto"/>
        <w:rPr>
          <w:sz w:val="20"/>
          <w:szCs w:val="20"/>
          <w:color w:val="auto"/>
        </w:rPr>
      </w:pPr>
      <w:r>
        <w:rPr>
          <w:rFonts w:ascii="Arial" w:cs="Arial" w:eastAsia="Arial" w:hAnsi="Arial"/>
          <w:sz w:val="18"/>
          <w:szCs w:val="18"/>
          <w:color w:val="auto"/>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93" w:lineRule="exact"/>
        <w:rPr>
          <w:sz w:val="20"/>
          <w:szCs w:val="20"/>
          <w:color w:val="auto"/>
        </w:rPr>
      </w:pPr>
    </w:p>
    <w:p>
      <w:pPr>
        <w:ind w:right="1299"/>
        <w:spacing w:after="0" w:line="239" w:lineRule="auto"/>
        <w:rPr>
          <w:sz w:val="20"/>
          <w:szCs w:val="20"/>
          <w:color w:val="auto"/>
        </w:rPr>
      </w:pPr>
      <w:r>
        <w:rPr>
          <w:rFonts w:ascii="Arial" w:cs="Arial" w:eastAsia="Arial" w:hAnsi="Arial"/>
          <w:sz w:val="18"/>
          <w:szCs w:val="18"/>
          <w:color w:val="auto"/>
        </w:rPr>
        <w:t>The quantitative reconciliations of non-GAAP measures used herein to the most comparable GAAP measures are included in the accompanying schedules, with the exception of projected earnings per diluted share and projected operating EBITDA. Non-GAAP measures should not be considered a substitute for financial measures presented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55" w:right="1440" w:bottom="1440" w:gutter="0" w:footer="0" w:header="0"/>
        </w:sectPr>
      </w:pPr>
    </w:p>
    <w:bookmarkStart w:id="7" w:name="page8"/>
    <w:bookmarkEnd w:id="7"/>
    <w:p>
      <w:pPr>
        <w:ind w:left="4480"/>
        <w:spacing w:after="0"/>
        <w:rPr>
          <w:sz w:val="20"/>
          <w:szCs w:val="20"/>
          <w:color w:val="auto"/>
        </w:rPr>
      </w:pPr>
      <w:r>
        <w:rPr>
          <w:rFonts w:ascii="Arial" w:cs="Arial" w:eastAsia="Arial" w:hAnsi="Arial"/>
          <w:sz w:val="18"/>
          <w:szCs w:val="18"/>
          <w:b w:val="1"/>
          <w:bCs w:val="1"/>
          <w:color w:val="auto"/>
        </w:rPr>
        <w:t>WASTE MANAGEMENT, INC.</w:t>
      </w:r>
    </w:p>
    <w:p>
      <w:pPr>
        <w:spacing w:after="0" w:line="10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5"/>
          </w:tcPr>
          <w:p>
            <w:pPr>
              <w:jc w:val="right"/>
              <w:ind w:right="451"/>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7,642</w:t>
            </w:r>
          </w:p>
        </w:tc>
        <w:tc>
          <w:tcPr>
            <w:tcW w:w="160" w:type="dxa"/>
            <w:vAlign w:val="bottom"/>
            <w:gridSpan w:val="2"/>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900" w:type="dxa"/>
            <w:vAlign w:val="bottom"/>
          </w:tcPr>
          <w:p>
            <w:pPr>
              <w:spacing w:after="0" w:line="182" w:lineRule="exact"/>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4,497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Restructuring</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(Gain) loss from divestitures, asset impairments and unusual items, net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5,927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00" w:type="dxa"/>
            <w:vAlign w:val="bottom"/>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1,323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6900" w:type="dxa"/>
            <w:vAlign w:val="bottom"/>
          </w:tcPr>
          <w:p>
            <w:pPr>
              <w:spacing w:after="0" w:line="182" w:lineRule="exact"/>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Loss on early extinguishment of debt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ind w:left="140"/>
              <w:spacing w:after="0"/>
              <w:rPr>
                <w:sz w:val="20"/>
                <w:szCs w:val="20"/>
                <w:color w:val="auto"/>
              </w:rPr>
            </w:pPr>
            <w:r>
              <w:rPr>
                <w:rFonts w:ascii="Arial" w:cs="Arial" w:eastAsia="Arial" w:hAnsi="Arial"/>
                <w:sz w:val="18"/>
                <w:szCs w:val="18"/>
                <w:color w:val="auto"/>
              </w:rPr>
              <w:t>Equity in net losses of unconsolidated entities</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9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497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609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959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51"/>
              <w:spacing w:after="0" w:line="195" w:lineRule="exact"/>
              <w:rPr>
                <w:sz w:val="20"/>
                <w:szCs w:val="20"/>
                <w:color w:val="auto"/>
              </w:rPr>
            </w:pPr>
            <w:r>
              <w:rPr>
                <w:rFonts w:ascii="Arial" w:cs="Arial" w:eastAsia="Arial" w:hAnsi="Arial"/>
                <w:sz w:val="18"/>
                <w:szCs w:val="18"/>
                <w:color w:val="auto"/>
              </w:rPr>
              <w:t>1,120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226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90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220" w:type="dxa"/>
            <w:vAlign w:val="bottom"/>
          </w:tcPr>
          <w:p>
            <w:pPr>
              <w:spacing w:after="0"/>
              <w:rPr>
                <w:sz w:val="16"/>
                <w:szCs w:val="16"/>
                <w:color w:val="auto"/>
              </w:rPr>
            </w:pPr>
          </w:p>
        </w:tc>
        <w:tc>
          <w:tcPr>
            <w:tcW w:w="760" w:type="dxa"/>
            <w:vAlign w:val="bottom"/>
          </w:tcPr>
          <w:p>
            <w:pPr>
              <w:jc w:val="right"/>
              <w:spacing w:after="0" w:line="195" w:lineRule="exact"/>
              <w:rPr>
                <w:sz w:val="20"/>
                <w:szCs w:val="20"/>
                <w:color w:val="auto"/>
              </w:rPr>
            </w:pPr>
            <w:r>
              <w:rPr>
                <w:rFonts w:ascii="Arial" w:cs="Arial" w:eastAsia="Arial" w:hAnsi="Arial"/>
                <w:sz w:val="18"/>
                <w:szCs w:val="18"/>
                <w:color w:val="auto"/>
              </w:rPr>
              <w:t>382</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line="195" w:lineRule="exact"/>
              <w:rPr>
                <w:sz w:val="20"/>
                <w:szCs w:val="20"/>
                <w:color w:val="auto"/>
              </w:rPr>
            </w:pPr>
            <w:r>
              <w:rPr>
                <w:rFonts w:ascii="Arial" w:cs="Arial" w:eastAsia="Arial" w:hAnsi="Arial"/>
                <w:sz w:val="18"/>
                <w:szCs w:val="18"/>
                <w:color w:val="auto"/>
              </w:rPr>
              <w:t>499</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729</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jc w:val="right"/>
              <w:ind w:right="51"/>
              <w:spacing w:after="0" w:line="195" w:lineRule="exact"/>
              <w:rPr>
                <w:sz w:val="20"/>
                <w:szCs w:val="20"/>
                <w:color w:val="auto"/>
              </w:rPr>
            </w:pPr>
            <w:r>
              <w:rPr>
                <w:rFonts w:ascii="Arial" w:cs="Arial" w:eastAsia="Arial" w:hAnsi="Arial"/>
                <w:sz w:val="18"/>
                <w:szCs w:val="18"/>
                <w:color w:val="auto"/>
              </w:rPr>
              <w:t>894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 interests</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0.90</w:t>
            </w: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2.07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0.89</w:t>
            </w:r>
          </w:p>
        </w:tc>
        <w:tc>
          <w:tcPr>
            <w:tcW w:w="14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w:t>
            </w:r>
          </w:p>
        </w:tc>
        <w:tc>
          <w:tcPr>
            <w:tcW w:w="16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2.06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Weighted average basic common shares outstanding</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424.8</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429.9</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431.6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0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427.5</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432.3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1"/>
              <w:spacing w:after="0" w:line="196" w:lineRule="exact"/>
              <w:rPr>
                <w:sz w:val="20"/>
                <w:szCs w:val="20"/>
                <w:color w:val="auto"/>
              </w:rPr>
            </w:pPr>
            <w:r>
              <w:rPr>
                <w:rFonts w:ascii="Arial" w:cs="Arial" w:eastAsia="Arial" w:hAnsi="Arial"/>
                <w:sz w:val="18"/>
                <w:szCs w:val="18"/>
                <w:color w:val="auto"/>
              </w:rPr>
              <w:t>434.1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240" w:type="dxa"/>
            <w:vAlign w:val="bottom"/>
            <w:vMerge w:val="restart"/>
          </w:tcPr>
          <w:p>
            <w:pPr>
              <w:ind w:left="4020"/>
              <w:spacing w:after="0"/>
              <w:rPr>
                <w:sz w:val="20"/>
                <w:szCs w:val="20"/>
                <w:color w:val="auto"/>
              </w:rPr>
            </w:pPr>
            <w:r>
              <w:rPr>
                <w:rFonts w:ascii="Arial" w:cs="Arial" w:eastAsia="Arial" w:hAnsi="Arial"/>
                <w:sz w:val="18"/>
                <w:szCs w:val="18"/>
                <w:b w:val="1"/>
                <w:bCs w:val="1"/>
                <w:color w:val="auto"/>
              </w:rPr>
              <w:t>ASSETS</w:t>
            </w: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2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2,250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Arial" w:cs="Arial" w:eastAsia="Arial" w:hAnsi="Arial"/>
                <w:sz w:val="18"/>
                <w:szCs w:val="18"/>
                <w:color w:val="auto"/>
              </w:rPr>
              <w:t>Receivables, net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2,260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240" w:type="dxa"/>
            <w:vAlign w:val="bottom"/>
          </w:tcPr>
          <w:p>
            <w:pPr>
              <w:ind w:left="260"/>
              <w:spacing w:after="0" w:line="195" w:lineRule="exact"/>
              <w:rPr>
                <w:sz w:val="20"/>
                <w:szCs w:val="20"/>
                <w:color w:val="auto"/>
              </w:rPr>
            </w:pPr>
            <w:r>
              <w:rPr>
                <w:rFonts w:ascii="Arial" w:cs="Arial" w:eastAsia="Arial" w:hAnsi="Arial"/>
                <w:sz w:val="18"/>
                <w:szCs w:val="18"/>
                <w:color w:val="auto"/>
              </w:rPr>
              <w:t>Total current assets</w:t>
            </w: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52"/>
              <w:spacing w:after="0" w:line="195" w:lineRule="exact"/>
              <w:rPr>
                <w:sz w:val="20"/>
                <w:szCs w:val="20"/>
                <w:color w:val="auto"/>
              </w:rPr>
            </w:pPr>
            <w:r>
              <w:rPr>
                <w:rFonts w:ascii="Arial" w:cs="Arial" w:eastAsia="Arial" w:hAnsi="Arial"/>
                <w:sz w:val="18"/>
                <w:szCs w:val="18"/>
                <w:color w:val="auto"/>
              </w:rPr>
              <w:t>4,836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2,645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12,665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6,512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1,426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7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25,986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ind w:left="3200"/>
              <w:spacing w:after="0" w:line="195" w:lineRule="exact"/>
              <w:rPr>
                <w:sz w:val="20"/>
                <w:szCs w:val="20"/>
                <w:color w:val="auto"/>
              </w:rPr>
            </w:pPr>
            <w:r>
              <w:rPr>
                <w:rFonts w:ascii="Arial" w:cs="Arial" w:eastAsia="Arial" w:hAnsi="Arial"/>
                <w:sz w:val="18"/>
                <w:szCs w:val="18"/>
                <w:b w:val="1"/>
                <w:bCs w:val="1"/>
                <w:color w:val="auto"/>
              </w:rPr>
              <w:t>LIABILITIES AND EQUITY</w:t>
            </w: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240" w:type="dxa"/>
            <w:vAlign w:val="bottom"/>
            <w:vMerge w:val="continue"/>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Current liabilities:</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Arial" w:cs="Arial" w:eastAsia="Arial" w:hAnsi="Arial"/>
                <w:sz w:val="18"/>
                <w:szCs w:val="18"/>
                <w:color w:val="auto"/>
              </w:rPr>
              <w:t>Accounts payable, accrued liabilities and deferred revenues</w:t>
            </w:r>
          </w:p>
        </w:tc>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2,730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240" w:type="dxa"/>
            <w:vAlign w:val="bottom"/>
          </w:tcPr>
          <w:p>
            <w:pPr>
              <w:ind w:left="260"/>
              <w:spacing w:after="0" w:line="195" w:lineRule="exact"/>
              <w:rPr>
                <w:sz w:val="20"/>
                <w:szCs w:val="20"/>
                <w:color w:val="auto"/>
              </w:rPr>
            </w:pPr>
            <w:r>
              <w:rPr>
                <w:rFonts w:ascii="Arial" w:cs="Arial" w:eastAsia="Arial" w:hAnsi="Arial"/>
                <w:sz w:val="18"/>
                <w:szCs w:val="18"/>
                <w:color w:val="auto"/>
              </w:rPr>
              <w:t>Total current liabilities</w:t>
            </w: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52"/>
              <w:spacing w:after="0" w:line="195" w:lineRule="exact"/>
              <w:rPr>
                <w:sz w:val="20"/>
                <w:szCs w:val="20"/>
                <w:color w:val="auto"/>
              </w:rPr>
            </w:pPr>
            <w:r>
              <w:rPr>
                <w:rFonts w:ascii="Arial" w:cs="Arial" w:eastAsia="Arial" w:hAnsi="Arial"/>
                <w:sz w:val="18"/>
                <w:szCs w:val="18"/>
                <w:color w:val="auto"/>
              </w:rPr>
              <w:t>2,846</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12"/>
              <w:spacing w:after="0" w:line="195" w:lineRule="exact"/>
              <w:rPr>
                <w:sz w:val="20"/>
                <w:szCs w:val="20"/>
                <w:color w:val="auto"/>
              </w:rPr>
            </w:pPr>
            <w:r>
              <w:rPr>
                <w:rFonts w:ascii="Arial" w:cs="Arial" w:eastAsia="Arial" w:hAnsi="Arial"/>
                <w:sz w:val="18"/>
                <w:szCs w:val="18"/>
                <w:color w:val="auto"/>
              </w:rPr>
              <w:t>3,108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12,623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4,050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19,519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16,374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7240" w:type="dxa"/>
            <w:vAlign w:val="bottom"/>
          </w:tcPr>
          <w:p>
            <w:pPr>
              <w:spacing w:after="0" w:line="182" w:lineRule="exact"/>
              <w:rPr>
                <w:sz w:val="20"/>
                <w:szCs w:val="20"/>
                <w:color w:val="auto"/>
              </w:rPr>
            </w:pPr>
            <w:r>
              <w:rPr>
                <w:rFonts w:ascii="Arial" w:cs="Arial" w:eastAsia="Arial" w:hAnsi="Arial"/>
                <w:sz w:val="18"/>
                <w:szCs w:val="18"/>
                <w:color w:val="auto"/>
              </w:rPr>
              <w:t>Equity:</w:t>
            </w: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40"/>
              <w:spacing w:after="0"/>
              <w:rPr>
                <w:sz w:val="20"/>
                <w:szCs w:val="20"/>
                <w:color w:val="auto"/>
              </w:rPr>
            </w:pPr>
            <w:r>
              <w:rPr>
                <w:rFonts w:ascii="Arial" w:cs="Arial" w:eastAsia="Arial" w:hAnsi="Arial"/>
                <w:sz w:val="18"/>
                <w:szCs w:val="18"/>
                <w:color w:val="auto"/>
              </w:rPr>
              <w:t>Waste Management, Inc. stockholders’ equity</w:t>
            </w:r>
          </w:p>
        </w:tc>
        <w:tc>
          <w:tcPr>
            <w:tcW w:w="1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6,466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6,275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1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260"/>
              <w:spacing w:after="0"/>
              <w:rPr>
                <w:sz w:val="20"/>
                <w:szCs w:val="20"/>
                <w:color w:val="auto"/>
              </w:rPr>
            </w:pPr>
            <w:r>
              <w:rPr>
                <w:rFonts w:ascii="Arial" w:cs="Arial" w:eastAsia="Arial" w:hAnsi="Arial"/>
                <w:sz w:val="18"/>
                <w:szCs w:val="18"/>
                <w:color w:val="auto"/>
              </w:rPr>
              <w:t>Total equity</w:t>
            </w:r>
          </w:p>
        </w:tc>
        <w:tc>
          <w:tcPr>
            <w:tcW w:w="17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40" w:type="dxa"/>
            <w:vAlign w:val="bottom"/>
          </w:tcPr>
          <w:p>
            <w:pPr>
              <w:ind w:left="260"/>
              <w:spacing w:after="0"/>
              <w:rPr>
                <w:sz w:val="20"/>
                <w:szCs w:val="20"/>
                <w:color w:val="auto"/>
              </w:rPr>
            </w:pPr>
            <w:r>
              <w:rPr>
                <w:rFonts w:ascii="Arial" w:cs="Arial" w:eastAsia="Arial" w:hAnsi="Arial"/>
                <w:sz w:val="18"/>
                <w:szCs w:val="18"/>
                <w:color w:val="auto"/>
              </w:rPr>
              <w:t>Total liabilities and equity</w:t>
            </w:r>
          </w:p>
        </w:tc>
        <w:tc>
          <w:tcPr>
            <w:tcW w:w="17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25,986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724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ind w:left="9480"/>
        <w:spacing w:after="0"/>
        <w:rPr>
          <w:sz w:val="20"/>
          <w:szCs w:val="20"/>
          <w:color w:val="auto"/>
        </w:rPr>
      </w:pPr>
      <w:r>
        <w:rPr>
          <w:rFonts w:ascii="Arial" w:cs="Arial" w:eastAsia="Arial" w:hAnsi="Arial"/>
          <w:sz w:val="14"/>
          <w:szCs w:val="14"/>
          <w:b w:val="1"/>
          <w:bCs w:val="1"/>
          <w:color w:val="auto"/>
        </w:rPr>
        <w:t>Six Months Ended</w:t>
      </w:r>
    </w:p>
    <w:p>
      <w:pPr>
        <w:ind w:left="978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800" w:type="dxa"/>
            <w:vAlign w:val="bottom"/>
            <w:vMerge w:val="restart"/>
          </w:tcPr>
          <w:p>
            <w:pPr>
              <w:spacing w:after="0"/>
              <w:rPr>
                <w:sz w:val="20"/>
                <w:szCs w:val="20"/>
                <w:color w:val="auto"/>
              </w:rPr>
            </w:pPr>
            <w:r>
              <w:rPr>
                <w:rFonts w:ascii="Arial" w:cs="Arial" w:eastAsia="Arial" w:hAnsi="Arial"/>
                <w:sz w:val="17"/>
                <w:szCs w:val="17"/>
                <w:color w:val="auto"/>
              </w:rPr>
              <w:t>Cash flows from operating activities:</w:t>
            </w: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729</w:t>
            </w:r>
          </w:p>
        </w:tc>
        <w:tc>
          <w:tcPr>
            <w:tcW w:w="220" w:type="dxa"/>
            <w:vAlign w:val="bottom"/>
          </w:tcPr>
          <w:p>
            <w:pPr>
              <w:spacing w:after="0"/>
              <w:rPr>
                <w:sz w:val="17"/>
                <w:szCs w:val="17"/>
                <w:color w:val="auto"/>
              </w:rPr>
            </w:pPr>
          </w:p>
        </w:tc>
        <w:tc>
          <w:tcPr>
            <w:tcW w:w="260" w:type="dxa"/>
            <w:vAlign w:val="bottom"/>
            <w:gridSpan w:val="2"/>
          </w:tcPr>
          <w:p>
            <w:pPr>
              <w:jc w:val="right"/>
              <w:ind w:right="13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rPr>
                <w:sz w:val="20"/>
                <w:szCs w:val="20"/>
                <w:color w:val="auto"/>
              </w:rPr>
            </w:pPr>
            <w:r>
              <w:rPr>
                <w:rFonts w:ascii="Arial" w:cs="Arial" w:eastAsia="Arial" w:hAnsi="Arial"/>
                <w:sz w:val="17"/>
                <w:szCs w:val="17"/>
                <w:color w:val="auto"/>
              </w:rPr>
              <w:t>Adjustments to reconcile consolidated net income to net cash provided by operating activities: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775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Loss on early extinguishment of debt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Other</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195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00" w:type="dxa"/>
            <w:vAlign w:val="bottom"/>
          </w:tcPr>
          <w:p>
            <w:pPr>
              <w:ind w:left="14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line="185" w:lineRule="exact"/>
              <w:rPr>
                <w:sz w:val="20"/>
                <w:szCs w:val="20"/>
                <w:color w:val="auto"/>
              </w:rPr>
            </w:pPr>
            <w:r>
              <w:rPr>
                <w:rFonts w:ascii="Arial" w:cs="Arial" w:eastAsia="Arial" w:hAnsi="Arial"/>
                <w:sz w:val="17"/>
                <w:szCs w:val="17"/>
                <w:color w:val="auto"/>
              </w:rPr>
              <w:t>Net cash provided by operating activities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1,900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1,784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800" w:type="dxa"/>
            <w:vAlign w:val="bottom"/>
          </w:tcPr>
          <w:p>
            <w:pPr>
              <w:spacing w:after="0" w:line="172" w:lineRule="exact"/>
              <w:rPr>
                <w:sz w:val="20"/>
                <w:szCs w:val="20"/>
                <w:color w:val="auto"/>
              </w:rPr>
            </w:pPr>
            <w:r>
              <w:rPr>
                <w:rFonts w:ascii="Arial" w:cs="Arial" w:eastAsia="Arial" w:hAnsi="Arial"/>
                <w:sz w:val="17"/>
                <w:szCs w:val="17"/>
                <w:color w:val="auto"/>
              </w:rPr>
              <w:t>Cash flows from investing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Acquisitions of businesses, net of cash acquired</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(440)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(1,049)</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0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line="185" w:lineRule="exact"/>
              <w:rPr>
                <w:sz w:val="20"/>
                <w:szCs w:val="20"/>
                <w:color w:val="auto"/>
              </w:rPr>
            </w:pPr>
            <w:r>
              <w:rPr>
                <w:rFonts w:ascii="Arial" w:cs="Arial" w:eastAsia="Arial" w:hAnsi="Arial"/>
                <w:sz w:val="17"/>
                <w:szCs w:val="17"/>
                <w:color w:val="auto"/>
              </w:rPr>
              <w:t>Net cash used in investing activities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(1,565)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(1,010)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800" w:type="dxa"/>
            <w:vAlign w:val="bottom"/>
          </w:tcPr>
          <w:p>
            <w:pPr>
              <w:spacing w:after="0" w:line="172" w:lineRule="exact"/>
              <w:rPr>
                <w:sz w:val="20"/>
                <w:szCs w:val="20"/>
                <w:color w:val="auto"/>
              </w:rPr>
            </w:pPr>
            <w:r>
              <w:rPr>
                <w:rFonts w:ascii="Arial" w:cs="Arial" w:eastAsia="Arial" w:hAnsi="Arial"/>
                <w:sz w:val="17"/>
                <w:szCs w:val="17"/>
                <w:color w:val="auto"/>
              </w:rPr>
              <w:t>Cash flows from financing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New borrowings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3,971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Debt repayments</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(385)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Premiums paid on early extinguishment of debt</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Net commercial paper borrowings (repayments)</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(1,001)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443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Common stock repurchase program</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(248)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Cash dividends</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(440)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Exercise of common stock options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800" w:type="dxa"/>
            <w:vAlign w:val="bottom"/>
          </w:tcPr>
          <w:p>
            <w:pPr>
              <w:ind w:left="14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26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00" w:type="dxa"/>
            <w:vAlign w:val="bottom"/>
          </w:tcPr>
          <w:p>
            <w:pPr>
              <w:ind w:left="14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line="185" w:lineRule="exact"/>
              <w:rPr>
                <w:sz w:val="20"/>
                <w:szCs w:val="20"/>
                <w:color w:val="auto"/>
              </w:rPr>
            </w:pPr>
            <w:r>
              <w:rPr>
                <w:rFonts w:ascii="Arial" w:cs="Arial" w:eastAsia="Arial" w:hAnsi="Arial"/>
                <w:sz w:val="17"/>
                <w:szCs w:val="17"/>
                <w:color w:val="auto"/>
              </w:rPr>
              <w:t>Net cash provided by (used in) financing activities</w:t>
            </w: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1,822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(647)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0" w:type="dxa"/>
            <w:vAlign w:val="bottom"/>
          </w:tcPr>
          <w:p>
            <w:pPr>
              <w:spacing w:after="0" w:line="185" w:lineRule="exact"/>
              <w:rPr>
                <w:sz w:val="20"/>
                <w:szCs w:val="20"/>
                <w:color w:val="auto"/>
              </w:rPr>
            </w:pPr>
            <w:r>
              <w:rPr>
                <w:rFonts w:ascii="Arial" w:cs="Arial" w:eastAsia="Arial" w:hAnsi="Arial"/>
                <w:sz w:val="17"/>
                <w:szCs w:val="17"/>
                <w:color w:val="auto"/>
              </w:rPr>
              <w:t>Effect of exchange rate changes on cash, cash equivalents and restricted cash and cash equivalents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85" w:lineRule="exact"/>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8800" w:type="dxa"/>
            <w:vAlign w:val="bottom"/>
          </w:tcPr>
          <w:p>
            <w:pPr>
              <w:spacing w:after="0" w:line="185" w:lineRule="exact"/>
              <w:rPr>
                <w:sz w:val="20"/>
                <w:szCs w:val="20"/>
                <w:color w:val="auto"/>
              </w:rPr>
            </w:pPr>
            <w:r>
              <w:rPr>
                <w:rFonts w:ascii="Arial" w:cs="Arial" w:eastAsia="Arial" w:hAnsi="Arial"/>
                <w:sz w:val="17"/>
                <w:szCs w:val="17"/>
                <w:color w:val="auto"/>
              </w:rPr>
              <w:t>Increase (decrease) in cash, cash equivalents and restricted cash and cash equivalents</w:t>
            </w:r>
          </w:p>
        </w:tc>
        <w:tc>
          <w:tcPr>
            <w:tcW w:w="260" w:type="dxa"/>
            <w:vAlign w:val="bottom"/>
          </w:tcPr>
          <w:p>
            <w:pPr>
              <w:spacing w:after="0"/>
              <w:rPr>
                <w:sz w:val="16"/>
                <w:szCs w:val="16"/>
                <w:color w:val="auto"/>
              </w:rPr>
            </w:pP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auto"/>
              </w:rPr>
              <w:t>2,159</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line="185" w:lineRule="exact"/>
              <w:rPr>
                <w:sz w:val="20"/>
                <w:szCs w:val="20"/>
                <w:color w:val="auto"/>
              </w:rPr>
            </w:pPr>
            <w:r>
              <w:rPr>
                <w:rFonts w:ascii="Arial" w:cs="Arial" w:eastAsia="Arial" w:hAnsi="Arial"/>
                <w:sz w:val="17"/>
                <w:szCs w:val="17"/>
                <w:color w:val="auto"/>
              </w:rPr>
              <w:t>126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800" w:type="dxa"/>
            <w:vAlign w:val="bottom"/>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0" w:type="dxa"/>
            <w:vAlign w:val="bottom"/>
          </w:tcPr>
          <w:p>
            <w:pPr>
              <w:spacing w:after="0" w:line="185" w:lineRule="exact"/>
              <w:rPr>
                <w:sz w:val="20"/>
                <w:szCs w:val="20"/>
                <w:color w:val="auto"/>
              </w:rPr>
            </w:pPr>
            <w:r>
              <w:rPr>
                <w:rFonts w:ascii="Arial" w:cs="Arial" w:eastAsia="Arial" w:hAnsi="Arial"/>
                <w:sz w:val="17"/>
                <w:szCs w:val="17"/>
                <w:color w:val="auto"/>
              </w:rPr>
              <w:t>Cash, cash equivalents and restricted cash and cash equivalents at end of period</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88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8"/>
          <w:szCs w:val="18"/>
          <w:b w:val="1"/>
          <w:bCs w:val="1"/>
          <w:color w:val="auto"/>
        </w:rPr>
        <w:t>WASTE MANAGEMENT,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(In Millions)</w:t>
      </w:r>
    </w:p>
    <w:p>
      <w:pPr>
        <w:spacing w:after="0" w:line="13"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Revenues by Line of Business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9"/>
          </w:tcPr>
          <w:p>
            <w:pPr>
              <w:jc w:val="center"/>
              <w:ind w:left="48"/>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7"/>
          </w:tcPr>
          <w:p>
            <w:pPr>
              <w:jc w:val="center"/>
              <w:ind w:left="103"/>
              <w:spacing w:after="0"/>
              <w:rPr>
                <w:sz w:val="20"/>
                <w:szCs w:val="20"/>
                <w:color w:val="auto"/>
              </w:rPr>
            </w:pPr>
            <w:r>
              <w:rPr>
                <w:rFonts w:ascii="Arial" w:cs="Arial" w:eastAsia="Arial" w:hAnsi="Arial"/>
                <w:sz w:val="14"/>
                <w:szCs w:val="14"/>
                <w:b w:val="1"/>
                <w:bCs w:val="1"/>
                <w:color w:val="auto"/>
                <w:w w:val="92"/>
              </w:rPr>
              <w:t>Six Months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89"/>
              </w:rPr>
              <w:t>June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5"/>
          </w:tcPr>
          <w:p>
            <w:pPr>
              <w:jc w:val="center"/>
              <w:ind w:right="42"/>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7"/>
          </w:tcPr>
          <w:p>
            <w:pPr>
              <w:jc w:val="right"/>
              <w:ind w:right="423"/>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4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85"/>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1,052</w:t>
            </w:r>
          </w:p>
        </w:tc>
        <w:tc>
          <w:tcPr>
            <w:tcW w:w="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986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5"/>
          </w:tcPr>
          <w:p>
            <w:pPr>
              <w:jc w:val="right"/>
              <w:spacing w:after="0"/>
              <w:rPr>
                <w:sz w:val="20"/>
                <w:szCs w:val="20"/>
                <w:color w:val="auto"/>
              </w:rPr>
            </w:pPr>
            <w:r>
              <w:rPr>
                <w:rFonts w:ascii="Arial" w:cs="Arial" w:eastAsia="Arial" w:hAnsi="Arial"/>
                <w:sz w:val="16"/>
                <w:szCs w:val="16"/>
                <w:color w:val="auto"/>
              </w:rPr>
              <w:t>2,078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Borders>
              <w:top w:val="single" w:sz="8" w:color="auto"/>
            </w:tcBorders>
          </w:tcPr>
          <w:p>
            <w:pPr>
              <w:jc w:val="center"/>
              <w:ind w:right="24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9"/>
              </w:rPr>
              <w:t>1,941</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Residential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655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1,295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1,246</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Industrial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744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1,424</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1,345</w:t>
            </w:r>
          </w:p>
        </w:tc>
        <w:tc>
          <w:tcPr>
            <w:tcW w:w="0" w:type="dxa"/>
            <w:vAlign w:val="bottom"/>
          </w:tcPr>
          <w:p>
            <w:pPr>
              <w:spacing w:after="0"/>
              <w:rPr>
                <w:sz w:val="1"/>
                <w:szCs w:val="1"/>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122</w:t>
            </w:r>
          </w:p>
        </w:tc>
        <w:tc>
          <w:tcPr>
            <w:tcW w:w="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rPr>
              <w:t>231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92"/>
        </w:trPr>
        <w:tc>
          <w:tcPr>
            <w:tcW w:w="2280" w:type="dxa"/>
            <w:vAlign w:val="bottom"/>
          </w:tcPr>
          <w:p>
            <w:pPr>
              <w:ind w:left="120"/>
              <w:spacing w:after="0"/>
              <w:rPr>
                <w:sz w:val="20"/>
                <w:szCs w:val="20"/>
                <w:color w:val="auto"/>
              </w:rPr>
            </w:pPr>
            <w:r>
              <w:rPr>
                <w:rFonts w:ascii="Arial" w:cs="Arial" w:eastAsia="Arial" w:hAnsi="Arial"/>
                <w:sz w:val="16"/>
                <w:szCs w:val="16"/>
                <w:color w:val="auto"/>
              </w:rPr>
              <w:t>Total collection</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2,573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2,441</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5,028</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4,748</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Landfill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1,023</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1,887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1,720</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Transfer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474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886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Recycling</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264</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555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617</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right"/>
              <w:spacing w:after="0"/>
              <w:rPr>
                <w:sz w:val="20"/>
                <w:szCs w:val="20"/>
                <w:color w:val="auto"/>
              </w:rPr>
            </w:pPr>
            <w:r>
              <w:rPr>
                <w:rFonts w:ascii="Arial" w:cs="Arial" w:eastAsia="Arial" w:hAnsi="Arial"/>
                <w:sz w:val="16"/>
                <w:szCs w:val="16"/>
                <w:color w:val="auto"/>
              </w:rPr>
              <w:t>445</w:t>
            </w: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5"/>
          </w:tcPr>
          <w:p>
            <w:pPr>
              <w:jc w:val="right"/>
              <w:spacing w:after="0"/>
              <w:rPr>
                <w:sz w:val="20"/>
                <w:szCs w:val="20"/>
                <w:color w:val="auto"/>
              </w:rPr>
            </w:pPr>
            <w:r>
              <w:rPr>
                <w:rFonts w:ascii="Arial" w:cs="Arial" w:eastAsia="Arial" w:hAnsi="Arial"/>
                <w:sz w:val="16"/>
                <w:szCs w:val="16"/>
                <w:color w:val="auto"/>
              </w:rPr>
              <w:t>876</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Intercompany (a)</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6"/>
          </w:tcPr>
          <w:p>
            <w:pPr>
              <w:jc w:val="right"/>
              <w:ind w:right="260"/>
              <w:spacing w:after="0"/>
              <w:rPr>
                <w:sz w:val="20"/>
                <w:szCs w:val="20"/>
                <w:color w:val="auto"/>
              </w:rPr>
            </w:pPr>
            <w:r>
              <w:rPr>
                <w:rFonts w:ascii="Arial" w:cs="Arial" w:eastAsia="Arial" w:hAnsi="Arial"/>
                <w:sz w:val="16"/>
                <w:szCs w:val="16"/>
                <w:color w:val="auto"/>
              </w:rPr>
              <w:t>(833)</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gridSpan w:val="6"/>
          </w:tcPr>
          <w:p>
            <w:pPr>
              <w:jc w:val="right"/>
              <w:ind w:right="40"/>
              <w:spacing w:after="0"/>
              <w:rPr>
                <w:sz w:val="20"/>
                <w:szCs w:val="20"/>
                <w:color w:val="auto"/>
              </w:rPr>
            </w:pPr>
            <w:r>
              <w:rPr>
                <w:rFonts w:ascii="Arial" w:cs="Arial" w:eastAsia="Arial" w:hAnsi="Arial"/>
                <w:sz w:val="16"/>
                <w:szCs w:val="16"/>
                <w:color w:val="auto"/>
              </w:rPr>
              <w:t>(1,590)</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6"/>
                <w:szCs w:val="16"/>
                <w:color w:val="auto"/>
                <w:w w:val="90"/>
              </w:rPr>
              <w:t>(1,513)</w:t>
            </w:r>
          </w:p>
        </w:tc>
        <w:tc>
          <w:tcPr>
            <w:tcW w:w="0" w:type="dxa"/>
            <w:vAlign w:val="bottom"/>
          </w:tcPr>
          <w:p>
            <w:pPr>
              <w:spacing w:after="0"/>
              <w:rPr>
                <w:sz w:val="1"/>
                <w:szCs w:val="1"/>
                <w:color w:val="auto"/>
              </w:rPr>
            </w:pPr>
          </w:p>
        </w:tc>
      </w:tr>
      <w:tr>
        <w:trPr>
          <w:trHeight w:val="202"/>
        </w:trPr>
        <w:tc>
          <w:tcPr>
            <w:tcW w:w="2280" w:type="dxa"/>
            <w:vAlign w:val="bottom"/>
          </w:tcPr>
          <w:p>
            <w:pPr>
              <w:ind w:left="20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3,946</w:t>
            </w:r>
          </w:p>
        </w:tc>
        <w:tc>
          <w:tcPr>
            <w:tcW w:w="40" w:type="dxa"/>
            <w:vAlign w:val="bottom"/>
            <w:tcBorders>
              <w:top w:val="single" w:sz="8" w:color="auto"/>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color w:val="auto"/>
              </w:rPr>
              <w:t>7,642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center"/>
              <w:ind w:right="242"/>
              <w:spacing w:after="0"/>
              <w:rPr>
                <w:sz w:val="20"/>
                <w:szCs w:val="20"/>
                <w:color w:val="auto"/>
              </w:rPr>
            </w:pPr>
            <w:r>
              <w:rPr>
                <w:rFonts w:ascii="Arial" w:cs="Arial" w:eastAsia="Arial" w:hAnsi="Arial"/>
                <w:sz w:val="16"/>
                <w:szCs w:val="16"/>
                <w:color w:val="auto"/>
                <w:w w:val="89"/>
              </w:rPr>
              <w:t>$</w:t>
            </w:r>
          </w:p>
        </w:tc>
        <w:tc>
          <w:tcPr>
            <w:tcW w:w="2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7,250</w:t>
            </w: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Arial" w:cs="Arial" w:eastAsia="Arial" w:hAnsi="Arial"/>
                <w:sz w:val="16"/>
                <w:szCs w:val="16"/>
                <w:b w:val="1"/>
                <w:bCs w:val="1"/>
                <w:color w:val="auto"/>
              </w:rPr>
              <w:t>Internal Revenue Growth</w:t>
            </w: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28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4"/>
              </w:rPr>
              <w:t>Period-to-Period Change for the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93"/>
              </w:rPr>
              <w:t>Period-to-Period Change for the</w:t>
            </w: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6"/>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11"/>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0"/>
              </w:rPr>
              <w:t>June 30, 2019 vs. 2018</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11"/>
          </w:tcPr>
          <w:p>
            <w:pPr>
              <w:jc w:val="center"/>
              <w:ind w:right="60"/>
              <w:spacing w:after="0"/>
              <w:rPr>
                <w:sz w:val="20"/>
                <w:szCs w:val="20"/>
                <w:color w:val="auto"/>
              </w:rPr>
            </w:pPr>
            <w:r>
              <w:rPr>
                <w:rFonts w:ascii="Arial" w:cs="Arial" w:eastAsia="Arial" w:hAnsi="Arial"/>
                <w:sz w:val="14"/>
                <w:szCs w:val="14"/>
                <w:b w:val="1"/>
                <w:bCs w:val="1"/>
                <w:color w:val="auto"/>
                <w:w w:val="90"/>
              </w:rPr>
              <w:t>June 30, 2019 vs. 2018</w:t>
            </w: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4"/>
          </w:tcPr>
          <w:p>
            <w:pPr>
              <w:jc w:val="center"/>
              <w:ind w:right="204"/>
              <w:spacing w:after="0" w:line="119" w:lineRule="exact"/>
              <w:rPr>
                <w:sz w:val="20"/>
                <w:szCs w:val="20"/>
                <w:color w:val="auto"/>
              </w:rPr>
            </w:pPr>
            <w:r>
              <w:rPr>
                <w:rFonts w:ascii="Arial" w:cs="Arial" w:eastAsia="Arial" w:hAnsi="Arial"/>
                <w:sz w:val="13"/>
                <w:szCs w:val="13"/>
                <w:b w:val="1"/>
                <w:bCs w:val="1"/>
                <w:color w:val="auto"/>
              </w:rPr>
              <w:t>As a % of</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4"/>
          </w:tcPr>
          <w:p>
            <w:pPr>
              <w:jc w:val="center"/>
              <w:ind w:right="48"/>
              <w:spacing w:after="0" w:line="119" w:lineRule="exact"/>
              <w:rPr>
                <w:sz w:val="20"/>
                <w:szCs w:val="20"/>
                <w:color w:val="auto"/>
              </w:rPr>
            </w:pPr>
            <w:r>
              <w:rPr>
                <w:rFonts w:ascii="Arial" w:cs="Arial" w:eastAsia="Arial" w:hAnsi="Arial"/>
                <w:sz w:val="13"/>
                <w:szCs w:val="13"/>
                <w:b w:val="1"/>
                <w:bCs w:val="1"/>
                <w:color w:val="auto"/>
              </w:rPr>
              <w:t>As a %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4"/>
          </w:tcPr>
          <w:p>
            <w:pPr>
              <w:jc w:val="center"/>
              <w:ind w:right="59"/>
              <w:spacing w:after="0" w:line="119" w:lineRule="exact"/>
              <w:rPr>
                <w:sz w:val="20"/>
                <w:szCs w:val="20"/>
                <w:color w:val="auto"/>
              </w:rPr>
            </w:pPr>
            <w:r>
              <w:rPr>
                <w:rFonts w:ascii="Arial" w:cs="Arial" w:eastAsia="Arial" w:hAnsi="Arial"/>
                <w:sz w:val="13"/>
                <w:szCs w:val="13"/>
                <w:b w:val="1"/>
                <w:bCs w:val="1"/>
                <w:color w:val="auto"/>
              </w:rPr>
              <w:t>As a % of</w:t>
            </w: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8"/>
              </w:rPr>
              <w:t>Amount</w:t>
            </w:r>
          </w:p>
        </w:tc>
        <w:tc>
          <w:tcPr>
            <w:tcW w:w="1180" w:type="dxa"/>
            <w:vAlign w:val="bottom"/>
            <w:gridSpan w:val="4"/>
          </w:tcPr>
          <w:p>
            <w:pPr>
              <w:jc w:val="center"/>
              <w:ind w:right="204"/>
              <w:spacing w:after="0" w:line="149" w:lineRule="exact"/>
              <w:rPr>
                <w:sz w:val="20"/>
                <w:szCs w:val="20"/>
                <w:color w:val="auto"/>
              </w:rPr>
            </w:pPr>
            <w:r>
              <w:rPr>
                <w:rFonts w:ascii="Arial" w:cs="Arial" w:eastAsia="Arial" w:hAnsi="Arial"/>
                <w:sz w:val="14"/>
                <w:szCs w:val="14"/>
                <w:b w:val="1"/>
                <w:bCs w:val="1"/>
                <w:color w:val="auto"/>
                <w:w w:val="90"/>
              </w:rPr>
              <w:t>Related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40" w:type="dxa"/>
            <w:vAlign w:val="bottom"/>
            <w:gridSpan w:val="6"/>
          </w:tcPr>
          <w:p>
            <w:pPr>
              <w:jc w:val="center"/>
              <w:ind w:right="446"/>
              <w:spacing w:after="0" w:line="149" w:lineRule="exact"/>
              <w:rPr>
                <w:sz w:val="20"/>
                <w:szCs w:val="20"/>
                <w:color w:val="auto"/>
              </w:rPr>
            </w:pPr>
            <w:r>
              <w:rPr>
                <w:rFonts w:ascii="Arial" w:cs="Arial" w:eastAsia="Arial" w:hAnsi="Arial"/>
                <w:sz w:val="14"/>
                <w:szCs w:val="14"/>
                <w:b w:val="1"/>
                <w:bCs w:val="1"/>
                <w:color w:val="auto"/>
                <w:w w:val="95"/>
              </w:rPr>
              <w:t>Total</w:t>
            </w:r>
          </w:p>
        </w:tc>
        <w:tc>
          <w:tcPr>
            <w:tcW w:w="9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Related</w:t>
            </w:r>
          </w:p>
        </w:tc>
        <w:tc>
          <w:tcPr>
            <w:tcW w:w="200" w:type="dxa"/>
            <w:vAlign w:val="bottom"/>
          </w:tcPr>
          <w:p>
            <w:pPr>
              <w:spacing w:after="0"/>
              <w:rPr>
                <w:sz w:val="12"/>
                <w:szCs w:val="12"/>
                <w:color w:val="auto"/>
              </w:rPr>
            </w:pPr>
          </w:p>
        </w:tc>
        <w:tc>
          <w:tcPr>
            <w:tcW w:w="1100" w:type="dxa"/>
            <w:vAlign w:val="bottom"/>
            <w:gridSpan w:val="7"/>
            <w:vMerge w:val="restart"/>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vMerge w:val="restart"/>
          </w:tcPr>
          <w:p>
            <w:pPr>
              <w:spacing w:after="0"/>
              <w:rPr>
                <w:sz w:val="20"/>
                <w:szCs w:val="20"/>
                <w:color w:val="auto"/>
              </w:rPr>
            </w:pPr>
            <w:r>
              <w:rPr>
                <w:rFonts w:ascii="Arial" w:cs="Arial" w:eastAsia="Arial" w:hAnsi="Arial"/>
                <w:sz w:val="16"/>
                <w:szCs w:val="16"/>
                <w:color w:val="auto"/>
              </w:rPr>
              <w:t>Collection and disposal</w:t>
            </w: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180" w:type="dxa"/>
            <w:vAlign w:val="bottom"/>
            <w:gridSpan w:val="4"/>
          </w:tcPr>
          <w:p>
            <w:pPr>
              <w:jc w:val="center"/>
              <w:ind w:right="204"/>
              <w:spacing w:after="0"/>
              <w:rPr>
                <w:sz w:val="20"/>
                <w:szCs w:val="20"/>
                <w:color w:val="auto"/>
              </w:rPr>
            </w:pPr>
            <w:r>
              <w:rPr>
                <w:rFonts w:ascii="Arial" w:cs="Arial" w:eastAsia="Arial" w:hAnsi="Arial"/>
                <w:sz w:val="14"/>
                <w:szCs w:val="14"/>
                <w:b w:val="1"/>
                <w:bCs w:val="1"/>
                <w:color w:val="auto"/>
                <w:w w:val="87"/>
              </w:rPr>
              <w:t>Business(b)</w:t>
            </w:r>
          </w:p>
        </w:tc>
        <w:tc>
          <w:tcPr>
            <w:tcW w:w="880" w:type="dxa"/>
            <w:vAlign w:val="bottom"/>
            <w:gridSpan w:val="2"/>
            <w:vMerge w:val="continue"/>
          </w:tcPr>
          <w:p>
            <w:pPr>
              <w:spacing w:after="0"/>
              <w:rPr>
                <w:sz w:val="14"/>
                <w:szCs w:val="14"/>
                <w:color w:val="auto"/>
              </w:rPr>
            </w:pPr>
          </w:p>
        </w:tc>
        <w:tc>
          <w:tcPr>
            <w:tcW w:w="1360" w:type="dxa"/>
            <w:vAlign w:val="bottom"/>
            <w:gridSpan w:val="7"/>
          </w:tcPr>
          <w:p>
            <w:pPr>
              <w:jc w:val="center"/>
              <w:ind w:right="326"/>
              <w:spacing w:after="0"/>
              <w:rPr>
                <w:sz w:val="20"/>
                <w:szCs w:val="20"/>
                <w:color w:val="auto"/>
              </w:rPr>
            </w:pPr>
            <w:r>
              <w:rPr>
                <w:rFonts w:ascii="Arial" w:cs="Arial" w:eastAsia="Arial" w:hAnsi="Arial"/>
                <w:sz w:val="14"/>
                <w:szCs w:val="14"/>
                <w:b w:val="1"/>
                <w:bCs w:val="1"/>
                <w:color w:val="auto"/>
                <w:w w:val="93"/>
              </w:rPr>
              <w:t>Company(c)</w:t>
            </w:r>
          </w:p>
        </w:tc>
        <w:tc>
          <w:tcPr>
            <w:tcW w:w="900" w:type="dxa"/>
            <w:vAlign w:val="bottom"/>
            <w:gridSpan w:val="6"/>
            <w:vMerge w:val="continue"/>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Business(b)</w:t>
            </w:r>
          </w:p>
        </w:tc>
        <w:tc>
          <w:tcPr>
            <w:tcW w:w="200" w:type="dxa"/>
            <w:vAlign w:val="bottom"/>
          </w:tcPr>
          <w:p>
            <w:pPr>
              <w:spacing w:after="0"/>
              <w:rPr>
                <w:sz w:val="14"/>
                <w:szCs w:val="14"/>
                <w:color w:val="auto"/>
              </w:rPr>
            </w:pPr>
          </w:p>
        </w:tc>
        <w:tc>
          <w:tcPr>
            <w:tcW w:w="1100" w:type="dxa"/>
            <w:vAlign w:val="bottom"/>
            <w:gridSpan w:val="7"/>
            <w:vMerge w:val="continue"/>
          </w:tcPr>
          <w:p>
            <w:pPr>
              <w:spacing w:after="0"/>
              <w:rPr>
                <w:sz w:val="14"/>
                <w:szCs w:val="14"/>
                <w:color w:val="auto"/>
              </w:rPr>
            </w:pPr>
          </w:p>
        </w:tc>
        <w:tc>
          <w:tcPr>
            <w:tcW w:w="980" w:type="dxa"/>
            <w:vAlign w:val="bottom"/>
            <w:gridSpan w:val="4"/>
          </w:tcPr>
          <w:p>
            <w:pPr>
              <w:jc w:val="center"/>
              <w:ind w:right="59"/>
              <w:spacing w:after="0"/>
              <w:rPr>
                <w:sz w:val="20"/>
                <w:szCs w:val="20"/>
                <w:color w:val="auto"/>
              </w:rPr>
            </w:pPr>
            <w:r>
              <w:rPr>
                <w:rFonts w:ascii="Arial" w:cs="Arial" w:eastAsia="Arial" w:hAnsi="Arial"/>
                <w:sz w:val="14"/>
                <w:szCs w:val="14"/>
                <w:b w:val="1"/>
                <w:bCs w:val="1"/>
                <w:color w:val="auto"/>
                <w:w w:val="93"/>
              </w:rPr>
              <w:t>Company(c)</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280" w:type="dxa"/>
            <w:vAlign w:val="bottom"/>
            <w:vMerge w:val="continue"/>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22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6"/>
                <w:szCs w:val="16"/>
                <w:color w:val="auto"/>
              </w:rPr>
              <w:t>2.7</w:t>
            </w:r>
          </w:p>
        </w:tc>
        <w:tc>
          <w:tcPr>
            <w:tcW w:w="18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gridSpan w:val="4"/>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84"/>
              </w:rPr>
              <w:t>%</w:t>
            </w: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Recycling commodities</w:t>
            </w: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(41)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5"/>
          </w:tcPr>
          <w:p>
            <w:pPr>
              <w:jc w:val="right"/>
              <w:ind w:right="120"/>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Fuel surcharges and mandated</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80"/>
              <w:spacing w:after="0"/>
              <w:rPr>
                <w:sz w:val="20"/>
                <w:szCs w:val="20"/>
                <w:color w:val="auto"/>
              </w:rPr>
            </w:pPr>
            <w:r>
              <w:rPr>
                <w:rFonts w:ascii="Arial" w:cs="Arial" w:eastAsia="Arial" w:hAnsi="Arial"/>
                <w:sz w:val="16"/>
                <w:szCs w:val="16"/>
                <w:color w:val="auto"/>
              </w:rPr>
              <w:t>fees</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7"/>
                <w:szCs w:val="17"/>
                <w:color w:val="auto"/>
              </w:rPr>
            </w:pP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280" w:type="dxa"/>
            <w:vAlign w:val="bottom"/>
          </w:tcPr>
          <w:p>
            <w:pPr>
              <w:ind w:left="160"/>
              <w:spacing w:after="0" w:line="179" w:lineRule="exact"/>
              <w:rPr>
                <w:sz w:val="20"/>
                <w:szCs w:val="20"/>
                <w:color w:val="auto"/>
              </w:rPr>
            </w:pPr>
            <w:r>
              <w:rPr>
                <w:rFonts w:ascii="Arial" w:cs="Arial" w:eastAsia="Arial" w:hAnsi="Arial"/>
                <w:sz w:val="16"/>
                <w:szCs w:val="16"/>
                <w:color w:val="auto"/>
              </w:rPr>
              <w:t>Total average yield (d)</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4"/>
          </w:tcPr>
          <w:p>
            <w:pPr>
              <w:jc w:val="right"/>
              <w:spacing w:after="0" w:line="179" w:lineRule="exact"/>
              <w:rPr>
                <w:sz w:val="20"/>
                <w:szCs w:val="20"/>
                <w:color w:val="auto"/>
              </w:rPr>
            </w:pPr>
            <w:r>
              <w:rPr>
                <w:rFonts w:ascii="Arial" w:cs="Arial" w:eastAsia="Arial" w:hAnsi="Arial"/>
                <w:sz w:val="16"/>
                <w:szCs w:val="16"/>
                <w:color w:val="auto"/>
              </w:rPr>
              <w:t>$</w:t>
            </w:r>
          </w:p>
        </w:tc>
        <w:tc>
          <w:tcPr>
            <w:tcW w:w="660" w:type="dxa"/>
            <w:vAlign w:val="bottom"/>
          </w:tcPr>
          <w:p>
            <w:pPr>
              <w:jc w:val="right"/>
              <w:ind w:right="2"/>
              <w:spacing w:after="0" w:line="179" w:lineRule="exact"/>
              <w:rPr>
                <w:sz w:val="20"/>
                <w:szCs w:val="20"/>
                <w:color w:val="auto"/>
              </w:rPr>
            </w:pPr>
            <w:r>
              <w:rPr>
                <w:rFonts w:ascii="Arial" w:cs="Arial" w:eastAsia="Arial" w:hAnsi="Arial"/>
                <w:sz w:val="16"/>
                <w:szCs w:val="16"/>
                <w:color w:val="auto"/>
              </w:rPr>
              <w:t>48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3"/>
          </w:tcPr>
          <w:p>
            <w:pPr>
              <w:jc w:val="right"/>
              <w:ind w:right="43"/>
              <w:spacing w:after="0" w:line="179" w:lineRule="exact"/>
              <w:rPr>
                <w:sz w:val="20"/>
                <w:szCs w:val="20"/>
                <w:color w:val="auto"/>
              </w:rPr>
            </w:pPr>
            <w:r>
              <w:rPr>
                <w:rFonts w:ascii="Arial" w:cs="Arial" w:eastAsia="Arial" w:hAnsi="Arial"/>
                <w:sz w:val="16"/>
                <w:szCs w:val="16"/>
                <w:color w:val="auto"/>
              </w:rPr>
              <w:t>1.3 %</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tcPr>
          <w:p>
            <w:pPr>
              <w:jc w:val="right"/>
              <w:ind w:right="23"/>
              <w:spacing w:after="0" w:line="179" w:lineRule="exact"/>
              <w:rPr>
                <w:sz w:val="20"/>
                <w:szCs w:val="20"/>
                <w:color w:val="auto"/>
              </w:rPr>
            </w:pPr>
            <w:r>
              <w:rPr>
                <w:rFonts w:ascii="Arial" w:cs="Arial" w:eastAsia="Arial" w:hAnsi="Arial"/>
                <w:sz w:val="16"/>
                <w:szCs w:val="16"/>
                <w:color w:val="auto"/>
              </w:rPr>
              <w:t>$</w:t>
            </w:r>
          </w:p>
        </w:tc>
        <w:tc>
          <w:tcPr>
            <w:tcW w:w="520" w:type="dxa"/>
            <w:vAlign w:val="bottom"/>
            <w:gridSpan w:val="2"/>
          </w:tcPr>
          <w:p>
            <w:pPr>
              <w:jc w:val="right"/>
              <w:spacing w:after="0" w:line="179" w:lineRule="exact"/>
              <w:rPr>
                <w:sz w:val="20"/>
                <w:szCs w:val="20"/>
                <w:color w:val="auto"/>
              </w:rPr>
            </w:pPr>
            <w:r>
              <w:rPr>
                <w:rFonts w:ascii="Arial" w:cs="Arial" w:eastAsia="Arial" w:hAnsi="Arial"/>
                <w:sz w:val="16"/>
                <w:szCs w:val="16"/>
                <w:color w:val="auto"/>
              </w:rPr>
              <w:t>110</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gridSpan w:val="2"/>
          </w:tcPr>
          <w:p>
            <w:pPr>
              <w:jc w:val="right"/>
              <w:spacing w:after="0" w:line="179" w:lineRule="exact"/>
              <w:rPr>
                <w:sz w:val="20"/>
                <w:szCs w:val="20"/>
                <w:color w:val="auto"/>
              </w:rPr>
            </w:pPr>
            <w:r>
              <w:rPr>
                <w:rFonts w:ascii="Arial" w:cs="Arial" w:eastAsia="Arial" w:hAnsi="Arial"/>
                <w:sz w:val="16"/>
                <w:szCs w:val="16"/>
                <w:color w:val="auto"/>
              </w:rPr>
              <w:t>1.5</w:t>
            </w:r>
          </w:p>
        </w:tc>
        <w:tc>
          <w:tcPr>
            <w:tcW w:w="480" w:type="dxa"/>
            <w:vAlign w:val="bottom"/>
          </w:tcPr>
          <w:p>
            <w:pPr>
              <w:spacing w:after="0" w:line="17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280" w:type="dxa"/>
            <w:vAlign w:val="bottom"/>
          </w:tcPr>
          <w:p>
            <w:pPr>
              <w:ind w:left="160"/>
              <w:spacing w:after="0"/>
              <w:rPr>
                <w:sz w:val="20"/>
                <w:szCs w:val="20"/>
                <w:color w:val="auto"/>
              </w:rPr>
            </w:pPr>
            <w:r>
              <w:rPr>
                <w:rFonts w:ascii="Arial" w:cs="Arial" w:eastAsia="Arial" w:hAnsi="Arial"/>
                <w:sz w:val="16"/>
                <w:szCs w:val="16"/>
                <w:color w:val="auto"/>
              </w:rPr>
              <w:t>Volume</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263</w:t>
            </w:r>
          </w:p>
        </w:tc>
        <w:tc>
          <w:tcPr>
            <w:tcW w:w="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280" w:type="dxa"/>
            <w:vAlign w:val="bottom"/>
          </w:tcPr>
          <w:p>
            <w:pPr>
              <w:ind w:left="160"/>
              <w:spacing w:after="0"/>
              <w:rPr>
                <w:sz w:val="20"/>
                <w:szCs w:val="20"/>
                <w:color w:val="auto"/>
              </w:rPr>
            </w:pPr>
            <w:r>
              <w:rPr>
                <w:rFonts w:ascii="Arial" w:cs="Arial" w:eastAsia="Arial" w:hAnsi="Arial"/>
                <w:sz w:val="16"/>
                <w:szCs w:val="16"/>
                <w:color w:val="auto"/>
              </w:rPr>
              <w:t>Internal revenue growth</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194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373</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60"/>
              <w:spacing w:after="0"/>
              <w:rPr>
                <w:sz w:val="20"/>
                <w:szCs w:val="20"/>
                <w:color w:val="auto"/>
              </w:rPr>
            </w:pPr>
            <w:r>
              <w:rPr>
                <w:rFonts w:ascii="Arial" w:cs="Arial" w:eastAsia="Arial" w:hAnsi="Arial"/>
                <w:sz w:val="16"/>
                <w:szCs w:val="16"/>
                <w:color w:val="auto"/>
              </w:rPr>
              <w:t>Acquisitions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116</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60"/>
              <w:spacing w:after="0"/>
              <w:rPr>
                <w:sz w:val="20"/>
                <w:szCs w:val="20"/>
                <w:color w:val="auto"/>
              </w:rPr>
            </w:pPr>
            <w:r>
              <w:rPr>
                <w:rFonts w:ascii="Arial" w:cs="Arial" w:eastAsia="Arial" w:hAnsi="Arial"/>
                <w:sz w:val="16"/>
                <w:szCs w:val="16"/>
                <w:color w:val="auto"/>
              </w:rPr>
              <w:t>Divestitures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4"/>
          </w:tcPr>
          <w:p>
            <w:pPr>
              <w:jc w:val="right"/>
              <w:ind w:right="148"/>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(1.2)</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Pr>
          <w:p>
            <w:pPr>
              <w:ind w:left="160"/>
              <w:spacing w:after="0"/>
              <w:rPr>
                <w:sz w:val="20"/>
                <w:szCs w:val="20"/>
                <w:color w:val="auto"/>
              </w:rPr>
            </w:pPr>
            <w:r>
              <w:rPr>
                <w:rFonts w:ascii="Arial" w:cs="Arial" w:eastAsia="Arial" w:hAnsi="Arial"/>
                <w:sz w:val="16"/>
                <w:szCs w:val="16"/>
                <w:color w:val="auto"/>
              </w:rPr>
              <w:t>Foreign currency translation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4"/>
          </w:tcPr>
          <w:p>
            <w:pPr>
              <w:jc w:val="right"/>
              <w:ind w:right="148"/>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(0.2)</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tcPr>
          <w:p>
            <w:pPr>
              <w:ind w:left="160"/>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207</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jc w:val="right"/>
              <w:ind w:right="43"/>
              <w:spacing w:after="0"/>
              <w:rPr>
                <w:sz w:val="20"/>
                <w:szCs w:val="20"/>
                <w:color w:val="auto"/>
              </w:rPr>
            </w:pPr>
            <w:r>
              <w:rPr>
                <w:rFonts w:ascii="Arial" w:cs="Arial" w:eastAsia="Arial" w:hAnsi="Arial"/>
                <w:sz w:val="16"/>
                <w:szCs w:val="16"/>
                <w:color w:val="auto"/>
                <w:w w:val="84"/>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392</w:t>
            </w: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5.4</w:t>
            </w:r>
          </w:p>
        </w:tc>
        <w:tc>
          <w:tcPr>
            <w:tcW w:w="48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gridSpan w:val="4"/>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9"/>
          </w:tcPr>
          <w:p>
            <w:pPr>
              <w:jc w:val="center"/>
              <w:ind w:right="106"/>
              <w:spacing w:after="0"/>
              <w:rPr>
                <w:sz w:val="20"/>
                <w:szCs w:val="20"/>
                <w:color w:val="auto"/>
              </w:rPr>
            </w:pPr>
            <w:r>
              <w:rPr>
                <w:rFonts w:ascii="Arial" w:cs="Arial" w:eastAsia="Arial" w:hAnsi="Arial"/>
                <w:sz w:val="14"/>
                <w:szCs w:val="14"/>
                <w:b w:val="1"/>
                <w:bCs w:val="1"/>
                <w:color w:val="auto"/>
                <w:w w:val="93"/>
              </w:rPr>
              <w:t>Period-to-Period Change for the</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60" w:type="dxa"/>
            <w:vAlign w:val="bottom"/>
            <w:gridSpan w:val="13"/>
          </w:tcPr>
          <w:p>
            <w:pPr>
              <w:jc w:val="center"/>
              <w:ind w:left="83"/>
              <w:spacing w:after="0"/>
              <w:rPr>
                <w:sz w:val="20"/>
                <w:szCs w:val="20"/>
                <w:color w:val="auto"/>
              </w:rPr>
            </w:pPr>
            <w:r>
              <w:rPr>
                <w:rFonts w:ascii="Arial" w:cs="Arial" w:eastAsia="Arial" w:hAnsi="Arial"/>
                <w:sz w:val="14"/>
                <w:szCs w:val="14"/>
                <w:b w:val="1"/>
                <w:bCs w:val="1"/>
                <w:color w:val="auto"/>
                <w:w w:val="93"/>
              </w:rPr>
              <w:t>Period-to-Period Change for the</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20" w:type="dxa"/>
            <w:vAlign w:val="bottom"/>
            <w:gridSpan w:val="18"/>
          </w:tcPr>
          <w:p>
            <w:pPr>
              <w:jc w:val="center"/>
              <w:ind w:right="400"/>
              <w:spacing w:after="0"/>
              <w:rPr>
                <w:sz w:val="20"/>
                <w:szCs w:val="20"/>
                <w:color w:val="auto"/>
              </w:rPr>
            </w:pPr>
            <w:r>
              <w:rPr>
                <w:rFonts w:ascii="Arial" w:cs="Arial" w:eastAsia="Arial" w:hAnsi="Arial"/>
                <w:sz w:val="14"/>
                <w:szCs w:val="14"/>
                <w:b w:val="1"/>
                <w:bCs w:val="1"/>
                <w:color w:val="auto"/>
                <w:w w:val="92"/>
              </w:rPr>
              <w:t>Three Months Ended June 30, 2019 vs. 2018</w:t>
            </w:r>
          </w:p>
        </w:tc>
        <w:tc>
          <w:tcPr>
            <w:tcW w:w="2860" w:type="dxa"/>
            <w:vAlign w:val="bottom"/>
            <w:gridSpan w:val="13"/>
          </w:tcPr>
          <w:p>
            <w:pPr>
              <w:jc w:val="center"/>
              <w:ind w:left="83"/>
              <w:spacing w:after="0"/>
              <w:rPr>
                <w:sz w:val="20"/>
                <w:szCs w:val="20"/>
                <w:color w:val="auto"/>
              </w:rPr>
            </w:pPr>
            <w:r>
              <w:rPr>
                <w:rFonts w:ascii="Arial" w:cs="Arial" w:eastAsia="Arial" w:hAnsi="Arial"/>
                <w:sz w:val="14"/>
                <w:szCs w:val="14"/>
                <w:b w:val="1"/>
                <w:bCs w:val="1"/>
                <w:color w:val="auto"/>
                <w:w w:val="92"/>
              </w:rPr>
              <w:t>Six Months Ended June 30, 2019 vs. 2018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40" w:type="dxa"/>
            <w:vAlign w:val="bottom"/>
            <w:tcBorders>
              <w:top w:val="single" w:sz="8" w:color="auto"/>
              <w:bottom w:val="single" w:sz="8" w:color="auto"/>
            </w:tcBorders>
            <w:gridSpan w:val="9"/>
          </w:tcPr>
          <w:p>
            <w:pPr>
              <w:jc w:val="center"/>
              <w:ind w:right="106"/>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860" w:type="dxa"/>
            <w:vAlign w:val="bottom"/>
            <w:tcBorders>
              <w:top w:val="single" w:sz="8" w:color="auto"/>
              <w:bottom w:val="single" w:sz="8" w:color="auto"/>
            </w:tcBorders>
            <w:gridSpan w:val="13"/>
          </w:tcPr>
          <w:p>
            <w:pPr>
              <w:jc w:val="center"/>
              <w:ind w:left="83"/>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2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vMerge w:val="restart"/>
          </w:tcPr>
          <w:p>
            <w:pPr>
              <w:spacing w:after="0"/>
              <w:rPr>
                <w:sz w:val="20"/>
                <w:szCs w:val="20"/>
                <w:color w:val="auto"/>
              </w:rPr>
            </w:pPr>
            <w:r>
              <w:rPr>
                <w:rFonts w:ascii="Arial" w:cs="Arial" w:eastAsia="Arial" w:hAnsi="Arial"/>
                <w:sz w:val="16"/>
                <w:szCs w:val="16"/>
                <w:color w:val="auto"/>
              </w:rPr>
              <w:t>Commercial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Yield</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5"/>
          </w:tcPr>
          <w:p>
            <w:pPr>
              <w:jc w:val="right"/>
              <w:ind w:right="259"/>
              <w:spacing w:after="0" w:line="142" w:lineRule="exact"/>
              <w:rPr>
                <w:sz w:val="20"/>
                <w:szCs w:val="20"/>
                <w:color w:val="auto"/>
              </w:rPr>
            </w:pPr>
            <w:r>
              <w:rPr>
                <w:rFonts w:ascii="Arial" w:cs="Arial" w:eastAsia="Arial" w:hAnsi="Arial"/>
                <w:sz w:val="14"/>
                <w:szCs w:val="14"/>
                <w:b w:val="1"/>
                <w:bCs w:val="1"/>
                <w:color w:val="auto"/>
              </w:rPr>
              <w:t>Volume</w:t>
            </w:r>
          </w:p>
        </w:tc>
        <w:tc>
          <w:tcPr>
            <w:tcW w:w="32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ind w:left="560"/>
              <w:spacing w:after="0" w:line="142" w:lineRule="exact"/>
              <w:rPr>
                <w:sz w:val="20"/>
                <w:szCs w:val="20"/>
                <w:color w:val="auto"/>
              </w:rPr>
            </w:pPr>
            <w:r>
              <w:rPr>
                <w:rFonts w:ascii="Arial" w:cs="Arial" w:eastAsia="Arial" w:hAnsi="Arial"/>
                <w:sz w:val="14"/>
                <w:szCs w:val="14"/>
                <w:b w:val="1"/>
                <w:bCs w:val="1"/>
                <w:color w:val="auto"/>
              </w:rPr>
              <w:t>Yield</w:t>
            </w: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Volume(e)</w:t>
            </w:r>
          </w:p>
        </w:tc>
        <w:tc>
          <w:tcPr>
            <w:tcW w:w="2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ind w:left="180"/>
              <w:spacing w:after="0"/>
              <w:rPr>
                <w:sz w:val="20"/>
                <w:szCs w:val="20"/>
                <w:color w:val="auto"/>
              </w:rPr>
            </w:pPr>
            <w:r>
              <w:rPr>
                <w:rFonts w:ascii="Arial" w:cs="Arial" w:eastAsia="Arial" w:hAnsi="Arial"/>
                <w:sz w:val="16"/>
                <w:szCs w:val="16"/>
                <w:color w:val="auto"/>
                <w:w w:val="80"/>
              </w:rPr>
              <w:t>2.3</w:t>
            </w:r>
          </w:p>
        </w:tc>
        <w:tc>
          <w:tcPr>
            <w:tcW w:w="200" w:type="dxa"/>
            <w:vAlign w:val="bottom"/>
          </w:tcPr>
          <w:p>
            <w:pPr>
              <w:jc w:val="center"/>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6"/>
                <w:szCs w:val="16"/>
                <w:color w:val="auto"/>
              </w:rPr>
              <w:t>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2.3</w:t>
            </w:r>
          </w:p>
        </w:tc>
        <w:tc>
          <w:tcPr>
            <w:tcW w:w="2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2.5</w:t>
            </w:r>
          </w:p>
        </w:tc>
        <w:tc>
          <w:tcPr>
            <w:tcW w:w="560" w:type="dxa"/>
            <w:vAlign w:val="bottom"/>
            <w:gridSpan w:val="2"/>
          </w:tcPr>
          <w:p>
            <w:pPr>
              <w:jc w:val="right"/>
              <w:ind w:right="29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Industrial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180"/>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1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Residential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180"/>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59"/>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1"/>
              </w:rPr>
              <w:t>(0.5)</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Total collection</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18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119"/>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MSW</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180"/>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1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6.0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20"/>
                <w:szCs w:val="20"/>
                <w:color w:val="auto"/>
              </w:rPr>
            </w:pPr>
            <w:r>
              <w:rPr>
                <w:rFonts w:ascii="Arial" w:cs="Arial" w:eastAsia="Arial" w:hAnsi="Arial"/>
                <w:sz w:val="16"/>
                <w:szCs w:val="16"/>
                <w:color w:val="auto"/>
              </w:rPr>
              <w:t>Transfer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18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1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tcPr>
          <w:p>
            <w:pPr>
              <w:spacing w:after="0"/>
              <w:rPr>
                <w:sz w:val="20"/>
                <w:szCs w:val="20"/>
                <w:color w:val="auto"/>
              </w:rPr>
            </w:pPr>
            <w:r>
              <w:rPr>
                <w:rFonts w:ascii="Arial" w:cs="Arial" w:eastAsia="Arial" w:hAnsi="Arial"/>
                <w:sz w:val="16"/>
                <w:szCs w:val="16"/>
                <w:color w:val="auto"/>
              </w:rPr>
              <w:t>Total collection and disposal</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gridSpan w:val="3"/>
          </w:tcPr>
          <w:p>
            <w:pPr>
              <w:ind w:left="18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4"/>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00"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6"/>
          <w:szCs w:val="16"/>
          <w:color w:val="auto"/>
        </w:rPr>
        <w:t>Intercompany revenues between lines of business are eliminated in the Condensed Consolidated Financial Statements included herein.</w:t>
      </w:r>
    </w:p>
    <w:p>
      <w:pPr>
        <w:spacing w:after="0" w:line="50" w:lineRule="exact"/>
        <w:rPr>
          <w:rFonts w:ascii="Arial" w:cs="Arial" w:eastAsia="Arial" w:hAnsi="Arial"/>
          <w:sz w:val="18"/>
          <w:szCs w:val="18"/>
          <w:color w:val="auto"/>
        </w:rPr>
      </w:pPr>
    </w:p>
    <w:p>
      <w:pPr>
        <w:ind w:left="540" w:right="400" w:hanging="532"/>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6"/>
          <w:szCs w:val="16"/>
          <w:color w:val="auto"/>
        </w:rPr>
        <w:t>Calculated by dividing the increase or decrease for the current year period by the prior year period’s related business revenue adjusted to exclude the impacts of divestitures for the current year period.</w:t>
      </w:r>
    </w:p>
    <w:p>
      <w:pPr>
        <w:spacing w:after="0" w:line="17" w:lineRule="exact"/>
        <w:rPr>
          <w:rFonts w:ascii="Arial" w:cs="Arial" w:eastAsia="Arial" w:hAnsi="Arial"/>
          <w:sz w:val="18"/>
          <w:szCs w:val="18"/>
          <w:color w:val="auto"/>
        </w:rPr>
      </w:pPr>
    </w:p>
    <w:p>
      <w:pPr>
        <w:ind w:left="540" w:right="460" w:hanging="532"/>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6"/>
          <w:szCs w:val="16"/>
          <w:color w:val="auto"/>
        </w:rPr>
        <w:t>Calculated by dividing the increase or decrease for the current year period by the prior year period’s total Company revenue adjusted to exclude the impacts of divestitures for the current year period.</w:t>
      </w:r>
    </w:p>
    <w:p>
      <w:pPr>
        <w:spacing w:after="0" w:line="16"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6"/>
          <w:szCs w:val="16"/>
          <w:color w:val="auto"/>
        </w:rPr>
        <w:t>The amounts reported herein represent the changes in our revenue attributable to average yield for the total Company.</w:t>
      </w:r>
    </w:p>
    <w:p>
      <w:pPr>
        <w:spacing w:after="0" w:line="49" w:lineRule="exact"/>
        <w:rPr>
          <w:rFonts w:ascii="Arial" w:cs="Arial" w:eastAsia="Arial" w:hAnsi="Arial"/>
          <w:sz w:val="18"/>
          <w:szCs w:val="18"/>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6"/>
          <w:szCs w:val="16"/>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7" w:right="35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20"/>
          <w:szCs w:val="20"/>
          <w:b w:val="1"/>
          <w:bCs w:val="1"/>
          <w:color w:val="auto"/>
        </w:rPr>
        <w:t>WASTE MANAGEMENT, INC.</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SUMMARY DATA SHEET</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(In Millions)</w:t>
      </w:r>
    </w:p>
    <w:p>
      <w:pPr>
        <w:ind w:left="5200"/>
        <w:spacing w:after="0"/>
        <w:rPr>
          <w:sz w:val="20"/>
          <w:szCs w:val="20"/>
          <w:color w:val="auto"/>
        </w:rPr>
      </w:pPr>
      <w:r>
        <w:rPr>
          <w:rFonts w:ascii="Arial" w:cs="Arial" w:eastAsia="Arial" w:hAnsi="Arial"/>
          <w:sz w:val="20"/>
          <w:szCs w:val="20"/>
          <w:b w:val="1"/>
          <w:bCs w:val="1"/>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 (a)</w:t>
      </w:r>
    </w:p>
    <w:p>
      <w:pPr>
        <w:spacing w:after="0" w:line="235" w:lineRule="exact"/>
        <w:rPr>
          <w:sz w:val="20"/>
          <w:szCs w:val="20"/>
          <w:color w:val="auto"/>
        </w:rPr>
      </w:pPr>
    </w:p>
    <w:tbl>
      <w:tblPr>
        <w:tblLayout w:type="fixed"/>
        <w:tblInd w:w="5000" w:type="dxa"/>
        <w:tblCellMar>
          <w:top w:w="0" w:type="dxa"/>
          <w:left w:w="0" w:type="dxa"/>
          <w:bottom w:w="0" w:type="dxa"/>
          <w:right w:w="0" w:type="dxa"/>
        </w:tblCellMar>
      </w:tblPr>
      <w:tr>
        <w:trPr>
          <w:trHeight w:val="203"/>
        </w:trPr>
        <w:tc>
          <w:tcPr>
            <w:tcW w:w="33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860" w:type="dxa"/>
            <w:vAlign w:val="bottom"/>
          </w:tcPr>
          <w:p>
            <w:pPr>
              <w:spacing w:after="0"/>
              <w:rPr>
                <w:sz w:val="17"/>
                <w:szCs w:val="17"/>
                <w:color w:val="auto"/>
              </w:rPr>
            </w:pPr>
          </w:p>
        </w:tc>
        <w:tc>
          <w:tcPr>
            <w:tcW w:w="2160" w:type="dxa"/>
            <w:vAlign w:val="bottom"/>
          </w:tcPr>
          <w:p>
            <w:pPr>
              <w:jc w:val="center"/>
              <w:ind w:right="799"/>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1020" w:type="dxa"/>
            <w:vAlign w:val="bottom"/>
          </w:tcPr>
          <w:p>
            <w:pPr>
              <w:spacing w:after="0"/>
              <w:rPr>
                <w:sz w:val="18"/>
                <w:szCs w:val="18"/>
                <w:color w:val="auto"/>
              </w:rPr>
            </w:pPr>
          </w:p>
        </w:tc>
        <w:tc>
          <w:tcPr>
            <w:tcW w:w="2280" w:type="dxa"/>
            <w:vAlign w:val="bottom"/>
            <w:gridSpan w:val="2"/>
          </w:tcPr>
          <w:p>
            <w:pPr>
              <w:jc w:val="center"/>
              <w:ind w:right="1300"/>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Pr>
          <w:p>
            <w:pPr>
              <w:spacing w:after="0"/>
              <w:rPr>
                <w:sz w:val="18"/>
                <w:szCs w:val="18"/>
                <w:color w:val="auto"/>
              </w:rPr>
            </w:pPr>
          </w:p>
        </w:tc>
        <w:tc>
          <w:tcPr>
            <w:tcW w:w="2160" w:type="dxa"/>
            <w:vAlign w:val="bottom"/>
          </w:tcPr>
          <w:p>
            <w:pPr>
              <w:jc w:val="center"/>
              <w:ind w:right="779"/>
              <w:spacing w:after="0"/>
              <w:rPr>
                <w:sz w:val="20"/>
                <w:szCs w:val="20"/>
                <w:color w:val="auto"/>
              </w:rPr>
            </w:pPr>
            <w:r>
              <w:rPr>
                <w:rFonts w:ascii="Arial" w:cs="Arial" w:eastAsia="Arial" w:hAnsi="Arial"/>
                <w:sz w:val="16"/>
                <w:szCs w:val="16"/>
                <w:b w:val="1"/>
                <w:bCs w:val="1"/>
                <w:color w:val="auto"/>
                <w:w w:val="90"/>
              </w:rPr>
              <w:t>June 30,</w:t>
            </w:r>
          </w:p>
        </w:tc>
      </w:tr>
      <w:tr>
        <w:trPr>
          <w:trHeight w:val="202"/>
        </w:trPr>
        <w:tc>
          <w:tcPr>
            <w:tcW w:w="10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200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21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bl>
    <w:p>
      <w:pPr>
        <w:spacing w:after="0" w:line="1" w:lineRule="exact"/>
        <w:rPr>
          <w:sz w:val="20"/>
          <w:szCs w:val="20"/>
          <w:color w:val="auto"/>
        </w:rPr>
      </w:pPr>
    </w:p>
    <w:p>
      <w:pPr>
        <w:sectPr>
          <w:pgSz w:w="11900" w:h="16838" w:orient="portrait"/>
          <w:cols w:equalWidth="0" w:num="1">
            <w:col w:w="11320"/>
          </w:cols>
          <w:pgMar w:left="240" w:top="333" w:right="339" w:bottom="1440" w:gutter="0" w:footer="0" w:header="0"/>
        </w:sectPr>
      </w:pPr>
    </w:p>
    <w:p>
      <w:pPr>
        <w:ind w:right="1840"/>
        <w:spacing w:after="0" w:line="269" w:lineRule="auto"/>
        <w:rPr>
          <w:sz w:val="20"/>
          <w:szCs w:val="20"/>
          <w:color w:val="auto"/>
        </w:rPr>
      </w:pPr>
      <w:r>
        <w:rPr>
          <w:rFonts w:ascii="Arial" w:cs="Arial" w:eastAsia="Arial" w:hAnsi="Arial"/>
          <w:sz w:val="16"/>
          <w:szCs w:val="16"/>
          <w:color w:val="auto"/>
        </w:rPr>
        <w:t>Net cash provided by operating activities Capital expenditures</w:t>
      </w:r>
    </w:p>
    <w:p>
      <w:pPr>
        <w:ind w:left="260" w:hanging="258"/>
        <w:spacing w:after="0" w:line="264" w:lineRule="auto"/>
        <w:rPr>
          <w:sz w:val="20"/>
          <w:szCs w:val="20"/>
          <w:color w:val="auto"/>
        </w:rPr>
      </w:pPr>
      <w:r>
        <w:rPr>
          <w:rFonts w:ascii="Arial" w:cs="Arial" w:eastAsia="Arial" w:hAnsi="Arial"/>
          <w:sz w:val="16"/>
          <w:szCs w:val="16"/>
          <w:color w:val="auto"/>
        </w:rPr>
        <w:t>Proceeds from divestitures of businesses and other assets (net of cash divested)</w:t>
      </w:r>
    </w:p>
    <w:p>
      <w:pPr>
        <w:spacing w:after="0"/>
        <w:rPr>
          <w:sz w:val="20"/>
          <w:szCs w:val="20"/>
          <w:color w:val="auto"/>
        </w:rPr>
      </w:pPr>
      <w:r>
        <w:rPr>
          <w:rFonts w:ascii="Arial" w:cs="Arial" w:eastAsia="Arial" w:hAnsi="Arial"/>
          <w:sz w:val="16"/>
          <w:szCs w:val="16"/>
          <w:color w:val="auto"/>
        </w:rPr>
        <w:t>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Data</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1,010</w:t>
            </w:r>
          </w:p>
        </w:tc>
        <w:tc>
          <w:tcPr>
            <w:tcW w:w="300" w:type="dxa"/>
            <w:vAlign w:val="bottom"/>
          </w:tcPr>
          <w:p>
            <w:pPr>
              <w:spacing w:after="0"/>
              <w:rPr>
                <w:sz w:val="16"/>
                <w:szCs w:val="16"/>
                <w:color w:val="auto"/>
              </w:rPr>
            </w:pPr>
          </w:p>
        </w:tc>
        <w:tc>
          <w:tcPr>
            <w:tcW w:w="56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280" w:type="dxa"/>
            <w:vAlign w:val="bottom"/>
          </w:tcPr>
          <w:p>
            <w:pPr>
              <w:spacing w:after="0"/>
              <w:rPr>
                <w:sz w:val="16"/>
                <w:szCs w:val="16"/>
                <w:color w:val="auto"/>
              </w:rPr>
            </w:pPr>
          </w:p>
        </w:tc>
        <w:tc>
          <w:tcPr>
            <w:tcW w:w="5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1,900</w:t>
            </w:r>
          </w:p>
        </w:tc>
        <w:tc>
          <w:tcPr>
            <w:tcW w:w="280" w:type="dxa"/>
            <w:vAlign w:val="bottom"/>
          </w:tcPr>
          <w:p>
            <w:pPr>
              <w:spacing w:after="0"/>
              <w:rPr>
                <w:sz w:val="16"/>
                <w:szCs w:val="16"/>
                <w:color w:val="auto"/>
              </w:rPr>
            </w:pPr>
          </w:p>
        </w:tc>
        <w:tc>
          <w:tcPr>
            <w:tcW w:w="54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1,784</w:t>
            </w:r>
          </w:p>
        </w:tc>
      </w:tr>
      <w:tr>
        <w:trPr>
          <w:trHeight w:val="206"/>
        </w:trPr>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(578)</w:t>
            </w: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(436)</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(1,049)</w:t>
            </w: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(836)</w:t>
            </w:r>
          </w:p>
        </w:tc>
      </w:tr>
      <w:tr>
        <w:trPr>
          <w:trHeight w:val="408"/>
        </w:trPr>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2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r>
      <w:tr>
        <w:trPr>
          <w:trHeight w:val="199"/>
        </w:trPr>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300" w:type="dxa"/>
            <w:vAlign w:val="bottom"/>
          </w:tcPr>
          <w:p>
            <w:pPr>
              <w:spacing w:after="0"/>
              <w:rPr>
                <w:sz w:val="17"/>
                <w:szCs w:val="17"/>
                <w:color w:val="auto"/>
              </w:rPr>
            </w:pPr>
          </w:p>
        </w:tc>
        <w:tc>
          <w:tcPr>
            <w:tcW w:w="5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280" w:type="dxa"/>
            <w:vAlign w:val="bottom"/>
          </w:tcPr>
          <w:p>
            <w:pPr>
              <w:spacing w:after="0"/>
              <w:rPr>
                <w:sz w:val="17"/>
                <w:szCs w:val="17"/>
                <w:color w:val="auto"/>
              </w:rPr>
            </w:pPr>
          </w:p>
        </w:tc>
        <w:tc>
          <w:tcPr>
            <w:tcW w:w="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w:t>
            </w:r>
          </w:p>
        </w:tc>
        <w:tc>
          <w:tcPr>
            <w:tcW w:w="280" w:type="dxa"/>
            <w:vAlign w:val="bottom"/>
          </w:tcPr>
          <w:p>
            <w:pPr>
              <w:spacing w:after="0"/>
              <w:rPr>
                <w:sz w:val="17"/>
                <w:szCs w:val="17"/>
                <w:color w:val="auto"/>
              </w:rPr>
            </w:pPr>
          </w:p>
        </w:tc>
        <w:tc>
          <w:tcPr>
            <w:tcW w:w="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0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Three Months Ended</w:t>
            </w:r>
          </w:p>
        </w:tc>
        <w:tc>
          <w:tcPr>
            <w:tcW w:w="860" w:type="dxa"/>
            <w:vAlign w:val="bottom"/>
          </w:tcPr>
          <w:p>
            <w:pPr>
              <w:spacing w:after="0"/>
              <w:rPr>
                <w:sz w:val="17"/>
                <w:szCs w:val="17"/>
                <w:color w:val="auto"/>
              </w:rPr>
            </w:pPr>
          </w:p>
        </w:tc>
        <w:tc>
          <w:tcPr>
            <w:tcW w:w="2160" w:type="dxa"/>
            <w:vAlign w:val="bottom"/>
            <w:gridSpan w:val="3"/>
          </w:tcPr>
          <w:p>
            <w:pPr>
              <w:jc w:val="center"/>
              <w:ind w:right="799"/>
              <w:spacing w:after="0"/>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1020" w:type="dxa"/>
            <w:vAlign w:val="bottom"/>
          </w:tcPr>
          <w:p>
            <w:pPr>
              <w:spacing w:after="0"/>
              <w:rPr>
                <w:sz w:val="18"/>
                <w:szCs w:val="18"/>
                <w:color w:val="auto"/>
              </w:rPr>
            </w:pPr>
          </w:p>
        </w:tc>
        <w:tc>
          <w:tcPr>
            <w:tcW w:w="2280" w:type="dxa"/>
            <w:vAlign w:val="bottom"/>
            <w:gridSpan w:val="4"/>
          </w:tcPr>
          <w:p>
            <w:pPr>
              <w:jc w:val="center"/>
              <w:ind w:right="1300"/>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Pr>
          <w:p>
            <w:pPr>
              <w:spacing w:after="0"/>
              <w:rPr>
                <w:sz w:val="18"/>
                <w:szCs w:val="18"/>
                <w:color w:val="auto"/>
              </w:rPr>
            </w:pPr>
          </w:p>
        </w:tc>
        <w:tc>
          <w:tcPr>
            <w:tcW w:w="2160" w:type="dxa"/>
            <w:vAlign w:val="bottom"/>
            <w:gridSpan w:val="3"/>
          </w:tcPr>
          <w:p>
            <w:pPr>
              <w:jc w:val="center"/>
              <w:ind w:right="779"/>
              <w:spacing w:after="0"/>
              <w:rPr>
                <w:sz w:val="20"/>
                <w:szCs w:val="20"/>
                <w:color w:val="auto"/>
              </w:rPr>
            </w:pPr>
            <w:r>
              <w:rPr>
                <w:rFonts w:ascii="Arial" w:cs="Arial" w:eastAsia="Arial" w:hAnsi="Arial"/>
                <w:sz w:val="16"/>
                <w:szCs w:val="16"/>
                <w:b w:val="1"/>
                <w:bCs w:val="1"/>
                <w:color w:val="auto"/>
                <w:w w:val="90"/>
              </w:rPr>
              <w:t>June 30,</w:t>
            </w:r>
          </w:p>
        </w:tc>
      </w:tr>
      <w:tr>
        <w:trPr>
          <w:trHeight w:val="199"/>
        </w:trPr>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2019</w:t>
            </w:r>
          </w:p>
        </w:tc>
        <w:tc>
          <w:tcPr>
            <w:tcW w:w="34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r>
    </w:tbl>
    <w:p>
      <w:pPr>
        <w:spacing w:after="0" w:line="356" w:lineRule="exact"/>
        <w:rPr>
          <w:sz w:val="20"/>
          <w:szCs w:val="20"/>
          <w:color w:val="auto"/>
        </w:rPr>
      </w:pPr>
    </w:p>
    <w:p>
      <w:pPr>
        <w:sectPr>
          <w:pgSz w:w="11900" w:h="16838" w:orient="portrait"/>
          <w:cols w:equalWidth="0" w:num="2">
            <w:col w:w="4500" w:space="500"/>
            <w:col w:w="6320"/>
          </w:cols>
          <w:pgMar w:left="240" w:top="333" w:right="33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Internalization of waste, based on disposal costs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66.4%</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Landfill amortizable tons (in millions)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29.7</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b w:val="1"/>
                <w:bCs w:val="1"/>
                <w:color w:val="auto"/>
              </w:rPr>
              <w:t>Acquisition Summary (b)</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Gross annualized revenue acquired</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119</w:t>
            </w: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Total consideration , net of cash acquired</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401"/>
        </w:trPr>
        <w:tc>
          <w:tcPr>
            <w:tcW w:w="5000" w:type="dxa"/>
            <w:vAlign w:val="bottom"/>
          </w:tcPr>
          <w:p>
            <w:pPr>
              <w:spacing w:after="0"/>
              <w:rPr>
                <w:sz w:val="20"/>
                <w:szCs w:val="20"/>
                <w:color w:val="auto"/>
              </w:rPr>
            </w:pPr>
            <w:r>
              <w:rPr>
                <w:rFonts w:ascii="Arial" w:cs="Arial" w:eastAsia="Arial" w:hAnsi="Arial"/>
                <w:sz w:val="16"/>
                <w:szCs w:val="16"/>
                <w:color w:val="auto"/>
                <w:w w:val="99"/>
              </w:rPr>
              <w:t>Cash paid for acquisitions consummated during the period, net of cash</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180"/>
              <w:spacing w:after="0"/>
              <w:rPr>
                <w:sz w:val="20"/>
                <w:szCs w:val="20"/>
                <w:color w:val="auto"/>
              </w:rPr>
            </w:pPr>
            <w:r>
              <w:rPr>
                <w:rFonts w:ascii="Arial" w:cs="Arial" w:eastAsia="Arial" w:hAnsi="Arial"/>
                <w:sz w:val="16"/>
                <w:szCs w:val="16"/>
                <w:color w:val="auto"/>
              </w:rPr>
              <w:t>acquired</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431</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401"/>
        </w:trPr>
        <w:tc>
          <w:tcPr>
            <w:tcW w:w="5000" w:type="dxa"/>
            <w:vAlign w:val="bottom"/>
          </w:tcPr>
          <w:p>
            <w:pPr>
              <w:spacing w:after="0"/>
              <w:rPr>
                <w:sz w:val="20"/>
                <w:szCs w:val="20"/>
                <w:color w:val="auto"/>
              </w:rPr>
            </w:pPr>
            <w:r>
              <w:rPr>
                <w:rFonts w:ascii="Arial" w:cs="Arial" w:eastAsia="Arial" w:hAnsi="Arial"/>
                <w:sz w:val="16"/>
                <w:szCs w:val="16"/>
                <w:color w:val="auto"/>
                <w:w w:val="99"/>
              </w:rPr>
              <w:t>Cash paid for acquisitions including contingent consideration and other</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260"/>
              <w:spacing w:after="0"/>
              <w:rPr>
                <w:sz w:val="20"/>
                <w:szCs w:val="20"/>
                <w:color w:val="auto"/>
              </w:rPr>
            </w:pPr>
            <w:r>
              <w:rPr>
                <w:rFonts w:ascii="Arial" w:cs="Arial" w:eastAsia="Arial" w:hAnsi="Arial"/>
                <w:sz w:val="16"/>
                <w:szCs w:val="16"/>
                <w:color w:val="auto"/>
              </w:rPr>
              <w:t>items from prior periods, net of cash acquired</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442</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w:t>
            </w:r>
          </w:p>
        </w:tc>
        <w:tc>
          <w:tcPr>
            <w:tcW w:w="0" w:type="dxa"/>
            <w:vAlign w:val="bottom"/>
          </w:tcPr>
          <w:p>
            <w:pPr>
              <w:spacing w:after="0"/>
              <w:rPr>
                <w:sz w:val="1"/>
                <w:szCs w:val="1"/>
                <w:color w:val="auto"/>
              </w:rPr>
            </w:pPr>
          </w:p>
        </w:tc>
      </w:tr>
      <w:tr>
        <w:trPr>
          <w:trHeight w:val="397"/>
        </w:trPr>
        <w:tc>
          <w:tcPr>
            <w:tcW w:w="5000" w:type="dxa"/>
            <w:vAlign w:val="bottom"/>
          </w:tcPr>
          <w:p>
            <w:pPr>
              <w:spacing w:after="0"/>
              <w:rPr>
                <w:sz w:val="20"/>
                <w:szCs w:val="20"/>
                <w:color w:val="auto"/>
              </w:rPr>
            </w:pPr>
            <w:r>
              <w:rPr>
                <w:rFonts w:ascii="Arial" w:cs="Arial" w:eastAsia="Arial" w:hAnsi="Arial"/>
                <w:sz w:val="16"/>
                <w:szCs w:val="16"/>
                <w:b w:val="1"/>
                <w:bCs w:val="1"/>
                <w:color w:val="auto"/>
              </w:rPr>
              <w:t>Amortization, Accretion and Other Expenses for Landfills:</w:t>
            </w:r>
          </w:p>
        </w:tc>
        <w:tc>
          <w:tcPr>
            <w:tcW w:w="320" w:type="dxa"/>
            <w:vAlign w:val="bottom"/>
          </w:tcPr>
          <w:p>
            <w:pPr>
              <w:spacing w:after="0"/>
              <w:rPr>
                <w:sz w:val="24"/>
                <w:szCs w:val="24"/>
                <w:color w:val="auto"/>
              </w:rPr>
            </w:pPr>
          </w:p>
        </w:tc>
        <w:tc>
          <w:tcPr>
            <w:tcW w:w="298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vMerge w:val="restart"/>
          </w:tcPr>
          <w:p>
            <w:pPr>
              <w:spacing w:after="0"/>
              <w:rPr>
                <w:sz w:val="20"/>
                <w:szCs w:val="20"/>
                <w:color w:val="auto"/>
              </w:rPr>
            </w:pPr>
            <w:r>
              <w:rPr>
                <w:rFonts w:ascii="Arial" w:cs="Arial" w:eastAsia="Arial" w:hAnsi="Arial"/>
                <w:sz w:val="16"/>
                <w:szCs w:val="16"/>
                <w:color w:val="auto"/>
              </w:rPr>
              <w:t>Landfill amortization expense: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173"/>
        </w:trPr>
        <w:tc>
          <w:tcPr>
            <w:tcW w:w="50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60"/>
              <w:spacing w:after="0"/>
              <w:rPr>
                <w:sz w:val="20"/>
                <w:szCs w:val="20"/>
                <w:color w:val="auto"/>
              </w:rPr>
            </w:pPr>
            <w:r>
              <w:rPr>
                <w:rFonts w:ascii="Arial" w:cs="Arial" w:eastAsia="Arial" w:hAnsi="Arial"/>
                <w:sz w:val="16"/>
                <w:szCs w:val="16"/>
                <w:color w:val="auto"/>
              </w:rPr>
              <w:t>Cost basis of landfill assets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133</w:t>
            </w:r>
          </w:p>
        </w:tc>
        <w:tc>
          <w:tcPr>
            <w:tcW w:w="300" w:type="dxa"/>
            <w:vAlign w:val="bottom"/>
          </w:tcPr>
          <w:p>
            <w:pPr>
              <w:spacing w:after="0"/>
              <w:rPr>
                <w:sz w:val="17"/>
                <w:szCs w:val="17"/>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c>
          <w:tcPr>
            <w:tcW w:w="280" w:type="dxa"/>
            <w:vAlign w:val="bottom"/>
          </w:tcPr>
          <w:p>
            <w:pPr>
              <w:spacing w:after="0"/>
              <w:rPr>
                <w:sz w:val="17"/>
                <w:szCs w:val="17"/>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243</w:t>
            </w:r>
          </w:p>
        </w:tc>
        <w:tc>
          <w:tcPr>
            <w:tcW w:w="280" w:type="dxa"/>
            <w:vAlign w:val="bottom"/>
          </w:tcPr>
          <w:p>
            <w:pPr>
              <w:spacing w:after="0"/>
              <w:rPr>
                <w:sz w:val="17"/>
                <w:szCs w:val="17"/>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06"/>
        </w:trPr>
        <w:tc>
          <w:tcPr>
            <w:tcW w:w="5000" w:type="dxa"/>
            <w:vAlign w:val="bottom"/>
          </w:tcPr>
          <w:p>
            <w:pPr>
              <w:ind w:left="260"/>
              <w:spacing w:after="0"/>
              <w:rPr>
                <w:sz w:val="20"/>
                <w:szCs w:val="20"/>
                <w:color w:val="auto"/>
              </w:rPr>
            </w:pPr>
            <w:r>
              <w:rPr>
                <w:rFonts w:ascii="Arial" w:cs="Arial" w:eastAsia="Arial" w:hAnsi="Arial"/>
                <w:sz w:val="16"/>
                <w:szCs w:val="16"/>
                <w:color w:val="auto"/>
              </w:rPr>
              <w:t>Asset retirement costs</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2"/>
        </w:trPr>
        <w:tc>
          <w:tcPr>
            <w:tcW w:w="5000" w:type="dxa"/>
            <w:vAlign w:val="bottom"/>
          </w:tcPr>
          <w:p>
            <w:pPr>
              <w:ind w:left="420"/>
              <w:spacing w:after="0"/>
              <w:rPr>
                <w:sz w:val="20"/>
                <w:szCs w:val="20"/>
                <w:color w:val="auto"/>
              </w:rPr>
            </w:pPr>
            <w:r>
              <w:rPr>
                <w:rFonts w:ascii="Arial" w:cs="Arial" w:eastAsia="Arial" w:hAnsi="Arial"/>
                <w:sz w:val="16"/>
                <w:szCs w:val="16"/>
                <w:color w:val="auto"/>
              </w:rPr>
              <w:t>Total landfill amortization expense</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288</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Accretion and other related expense</w:t>
            </w: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2"/>
        </w:trPr>
        <w:tc>
          <w:tcPr>
            <w:tcW w:w="5000" w:type="dxa"/>
            <w:vAlign w:val="bottom"/>
          </w:tcPr>
          <w:p>
            <w:pPr>
              <w:ind w:left="260"/>
              <w:spacing w:after="0"/>
              <w:rPr>
                <w:sz w:val="20"/>
                <w:szCs w:val="20"/>
                <w:color w:val="auto"/>
              </w:rPr>
            </w:pPr>
            <w:r>
              <w:rPr>
                <w:rFonts w:ascii="Arial" w:cs="Arial" w:eastAsia="Arial" w:hAnsi="Arial"/>
                <w:sz w:val="16"/>
                <w:szCs w:val="16"/>
                <w:color w:val="auto"/>
              </w:rPr>
              <w:t>Landfill amortization, accretion and other related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300" w:type="dxa"/>
            <w:vAlign w:val="bottom"/>
          </w:tcPr>
          <w:p>
            <w:pPr>
              <w:spacing w:after="0"/>
              <w:rPr>
                <w:sz w:val="17"/>
                <w:szCs w:val="17"/>
                <w:color w:val="auto"/>
              </w:rPr>
            </w:pP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280" w:type="dxa"/>
            <w:vAlign w:val="bottom"/>
          </w:tcPr>
          <w:p>
            <w:pPr>
              <w:spacing w:after="0"/>
              <w:rPr>
                <w:sz w:val="17"/>
                <w:szCs w:val="17"/>
                <w:color w:val="auto"/>
              </w:rPr>
            </w:pP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340" w:right="500" w:hanging="332"/>
        <w:spacing w:after="0" w:line="265" w:lineRule="auto"/>
        <w:tabs>
          <w:tab w:leader="none" w:pos="3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2" w:lineRule="exact"/>
        <w:rPr>
          <w:rFonts w:ascii="Arial" w:cs="Arial" w:eastAsia="Arial" w:hAnsi="Arial"/>
          <w:sz w:val="16"/>
          <w:szCs w:val="16"/>
          <w:b w:val="1"/>
          <w:bCs w:val="1"/>
          <w:color w:val="auto"/>
        </w:rPr>
      </w:pPr>
    </w:p>
    <w:p>
      <w:pPr>
        <w:ind w:left="320" w:hanging="312"/>
        <w:spacing w:after="0"/>
        <w:tabs>
          <w:tab w:leader="none" w:pos="32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219075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3" w:right="339" w:bottom="1440" w:gutter="0" w:footer="0" w:header="0"/>
          <w:type w:val="continuous"/>
        </w:sectPr>
      </w:pPr>
    </w:p>
    <w:bookmarkStart w:id="12" w:name="page13"/>
    <w:bookmarkEnd w:id="12"/>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320"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50"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8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Income from</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10"/>
              <w:spacing w:after="0"/>
              <w:rPr>
                <w:sz w:val="20"/>
                <w:szCs w:val="20"/>
                <w:color w:val="auto"/>
              </w:rPr>
            </w:pPr>
            <w:r>
              <w:rPr>
                <w:rFonts w:ascii="Arial" w:cs="Arial" w:eastAsia="Arial" w:hAnsi="Arial"/>
                <w:sz w:val="18"/>
                <w:szCs w:val="18"/>
                <w:b w:val="1"/>
                <w:bCs w:val="1"/>
                <w:color w:val="auto"/>
              </w:rPr>
              <w:t>Pre-tax</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90"/>
              </w:rPr>
              <w:t>Tax</w:t>
            </w: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As reported amounts</w:t>
            </w:r>
          </w:p>
        </w:tc>
        <w:tc>
          <w:tcPr>
            <w:tcW w:w="18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Operations</w:t>
            </w:r>
          </w:p>
        </w:tc>
        <w:tc>
          <w:tcPr>
            <w:tcW w:w="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Income (a)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6"/>
              </w:rPr>
              <w:t>Expense</w:t>
            </w:r>
          </w:p>
        </w:tc>
        <w:tc>
          <w:tcPr>
            <w:tcW w:w="120" w:type="dxa"/>
            <w:vAlign w:val="bottom"/>
          </w:tcPr>
          <w:p>
            <w:pPr>
              <w:spacing w:after="0"/>
              <w:rPr>
                <w:sz w:val="20"/>
                <w:szCs w:val="20"/>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Income (b)</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191"/>
        </w:trPr>
        <w:tc>
          <w:tcPr>
            <w:tcW w:w="4460" w:type="dxa"/>
            <w:vAlign w:val="bottom"/>
            <w:vMerge w:val="continue"/>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696</w:t>
            </w:r>
          </w:p>
        </w:tc>
        <w:tc>
          <w:tcPr>
            <w:tcW w:w="220" w:type="dxa"/>
            <w:vAlign w:val="bottom"/>
          </w:tcPr>
          <w:p>
            <w:pPr>
              <w:spacing w:after="0"/>
              <w:rPr>
                <w:sz w:val="16"/>
                <w:szCs w:val="16"/>
                <w:color w:val="auto"/>
              </w:rPr>
            </w:pPr>
          </w:p>
        </w:tc>
        <w:tc>
          <w:tcPr>
            <w:tcW w:w="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496</w:t>
            </w:r>
          </w:p>
        </w:tc>
        <w:tc>
          <w:tcPr>
            <w:tcW w:w="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ind w:left="80"/>
              <w:spacing w:after="0" w:line="191" w:lineRule="exact"/>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115</w:t>
            </w:r>
          </w:p>
        </w:tc>
        <w:tc>
          <w:tcPr>
            <w:tcW w:w="2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381</w:t>
            </w:r>
          </w:p>
        </w:tc>
        <w:tc>
          <w:tcPr>
            <w:tcW w:w="22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rPr>
              <w:t>0.89</w:t>
            </w:r>
          </w:p>
        </w:tc>
        <w:tc>
          <w:tcPr>
            <w:tcW w:w="0" w:type="dxa"/>
            <w:vAlign w:val="bottom"/>
          </w:tcPr>
          <w:p>
            <w:pPr>
              <w:spacing w:after="0"/>
              <w:rPr>
                <w:sz w:val="1"/>
                <w:szCs w:val="1"/>
                <w:color w:val="auto"/>
              </w:rPr>
            </w:pPr>
          </w:p>
        </w:tc>
      </w:tr>
      <w:tr>
        <w:trPr>
          <w:trHeight w:val="220"/>
        </w:trPr>
        <w:tc>
          <w:tcPr>
            <w:tcW w:w="446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Non-cash charges to write-off certain assets</w:t>
            </w: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Arial" w:cs="Arial" w:eastAsia="Arial" w:hAnsi="Arial"/>
                <w:sz w:val="18"/>
                <w:szCs w:val="18"/>
                <w:color w:val="auto"/>
              </w:rPr>
              <w:t>Advanced Disposal acquisition-related costs (c)</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725</w:t>
            </w:r>
          </w:p>
        </w:tc>
        <w:tc>
          <w:tcPr>
            <w:tcW w:w="2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w:t>
            </w:r>
          </w:p>
        </w:tc>
        <w:tc>
          <w:tcPr>
            <w:tcW w:w="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470</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1.11</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line="20" w:lineRule="exact"/>
              <w:rPr>
                <w:sz w:val="1"/>
                <w:szCs w:val="1"/>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46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Adjusted operating EBITDA</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1,134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714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June 30, 2018</w:t>
      </w:r>
    </w:p>
    <w:p>
      <w:pPr>
        <w:sectPr>
          <w:pgSz w:w="11900" w:h="16838" w:orient="portrait"/>
          <w:cols w:equalWidth="0" w:num="1">
            <w:col w:w="11320"/>
          </w:cols>
          <w:pgMar w:left="24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As reported amounts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Adjustments:</w:t>
      </w:r>
    </w:p>
    <w:p>
      <w:pPr>
        <w:spacing w:after="0" w:line="23" w:lineRule="exact"/>
        <w:rPr>
          <w:sz w:val="20"/>
          <w:szCs w:val="20"/>
          <w:color w:val="auto"/>
        </w:rPr>
      </w:pPr>
    </w:p>
    <w:p>
      <w:pPr>
        <w:ind w:left="260"/>
        <w:spacing w:after="0" w:line="250" w:lineRule="auto"/>
        <w:rPr>
          <w:sz w:val="20"/>
          <w:szCs w:val="20"/>
          <w:color w:val="auto"/>
        </w:rPr>
      </w:pPr>
      <w:r>
        <w:rPr>
          <w:rFonts w:ascii="Arial" w:cs="Arial" w:eastAsia="Arial" w:hAnsi="Arial"/>
          <w:sz w:val="18"/>
          <w:szCs w:val="18"/>
          <w:color w:val="auto"/>
        </w:rPr>
        <w:t>Benefit primarily related to the gain on divestiture of an ancillary business</w:t>
      </w:r>
    </w:p>
    <w:p>
      <w:pPr>
        <w:spacing w:after="0" w:line="1" w:lineRule="exact"/>
        <w:rPr>
          <w:sz w:val="20"/>
          <w:szCs w:val="20"/>
          <w:color w:val="auto"/>
        </w:rPr>
      </w:pPr>
    </w:p>
    <w:p>
      <w:pPr>
        <w:ind w:left="140" w:right="400" w:firstLine="130"/>
        <w:spacing w:after="0" w:line="257" w:lineRule="auto"/>
        <w:rPr>
          <w:sz w:val="20"/>
          <w:szCs w:val="20"/>
          <w:color w:val="auto"/>
        </w:rPr>
      </w:pPr>
      <w:r>
        <w:rPr>
          <w:rFonts w:ascii="Arial" w:cs="Arial" w:eastAsia="Arial" w:hAnsi="Arial"/>
          <w:sz w:val="18"/>
          <w:szCs w:val="18"/>
          <w:color w:val="auto"/>
        </w:rPr>
        <w:t xml:space="preserve">Tax benefit related to income tax audit settlements </w:t>
      </w:r>
      <w:r>
        <w:rPr>
          <w:rFonts w:ascii="Arial" w:cs="Arial" w:eastAsia="Arial" w:hAnsi="Arial"/>
          <w:sz w:val="18"/>
          <w:szCs w:val="18"/>
          <w:b w:val="1"/>
          <w:bCs w:val="1"/>
          <w:color w:val="auto"/>
        </w:rPr>
        <w:t>As adjusted amounts</w:t>
      </w:r>
    </w:p>
    <w:p>
      <w:pPr>
        <w:spacing w:after="0" w:line="2" w:lineRule="exact"/>
        <w:rPr>
          <w:sz w:val="20"/>
          <w:szCs w:val="20"/>
          <w:color w:val="auto"/>
        </w:rPr>
      </w:pPr>
    </w:p>
    <w:p>
      <w:pPr>
        <w:ind w:left="140" w:right="1840" w:firstLine="130"/>
        <w:spacing w:after="0" w:line="342" w:lineRule="auto"/>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16"/>
          <w:szCs w:val="16"/>
          <w:b w:val="1"/>
          <w:bCs w:val="1"/>
          <w:color w:val="auto"/>
        </w:rPr>
        <w:t>Adjusted operating EBITDA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Projected Free Cash Flow Reconciliation (d)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110"/>
              <w:spacing w:after="0" w:line="191" w:lineRule="exact"/>
              <w:rPr>
                <w:sz w:val="20"/>
                <w:szCs w:val="20"/>
                <w:color w:val="auto"/>
              </w:rPr>
            </w:pPr>
            <w:r>
              <w:rPr>
                <w:rFonts w:ascii="Arial" w:cs="Arial" w:eastAsia="Arial" w:hAnsi="Arial"/>
                <w:sz w:val="18"/>
                <w:szCs w:val="18"/>
                <w:b w:val="1"/>
                <w:bCs w:val="1"/>
                <w:color w:val="auto"/>
                <w:w w:val="91"/>
              </w:rPr>
              <w:t>Diluted</w:t>
            </w:r>
          </w:p>
        </w:tc>
        <w:tc>
          <w:tcPr>
            <w:tcW w:w="0" w:type="dxa"/>
            <w:vAlign w:val="bottom"/>
          </w:tcPr>
          <w:p>
            <w:pPr>
              <w:spacing w:after="0"/>
              <w:rPr>
                <w:sz w:val="1"/>
                <w:szCs w:val="1"/>
                <w:color w:val="auto"/>
              </w:rPr>
            </w:pPr>
          </w:p>
        </w:tc>
      </w:tr>
      <w:tr>
        <w:trPr>
          <w:trHeight w:val="216"/>
        </w:trPr>
        <w:tc>
          <w:tcPr>
            <w:tcW w:w="148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Income from</w:t>
            </w:r>
          </w:p>
        </w:tc>
        <w:tc>
          <w:tcPr>
            <w:tcW w:w="20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Pre-tax</w:t>
            </w:r>
          </w:p>
        </w:tc>
        <w:tc>
          <w:tcPr>
            <w:tcW w:w="2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Tax</w:t>
            </w:r>
          </w:p>
        </w:tc>
        <w:tc>
          <w:tcPr>
            <w:tcW w:w="140" w:type="dxa"/>
            <w:vAlign w:val="bottom"/>
          </w:tcPr>
          <w:p>
            <w:pPr>
              <w:spacing w:after="0"/>
              <w:rPr>
                <w:sz w:val="18"/>
                <w:szCs w:val="18"/>
                <w:color w:val="auto"/>
              </w:rPr>
            </w:pPr>
          </w:p>
        </w:tc>
        <w:tc>
          <w:tcPr>
            <w:tcW w:w="1220" w:type="dxa"/>
            <w:vAlign w:val="bottom"/>
            <w:gridSpan w:val="2"/>
          </w:tcPr>
          <w:p>
            <w:pPr>
              <w:ind w:left="300"/>
              <w:spacing w:after="0"/>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Operations</w:t>
            </w:r>
          </w:p>
        </w:tc>
        <w:tc>
          <w:tcPr>
            <w:tcW w:w="20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Income</w:t>
            </w:r>
          </w:p>
        </w:tc>
        <w:tc>
          <w:tcPr>
            <w:tcW w:w="22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6"/>
              </w:rPr>
              <w:t>Expense</w:t>
            </w:r>
          </w:p>
        </w:tc>
        <w:tc>
          <w:tcPr>
            <w:tcW w:w="14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Income (b)</w:t>
            </w: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8"/>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715</w:t>
            </w:r>
          </w:p>
        </w:tc>
        <w:tc>
          <w:tcPr>
            <w:tcW w:w="22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609</w:t>
            </w:r>
          </w:p>
        </w:tc>
        <w:tc>
          <w:tcPr>
            <w:tcW w:w="200" w:type="dxa"/>
            <w:vAlign w:val="bottom"/>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ind w:left="620"/>
              <w:spacing w:after="0"/>
              <w:rPr>
                <w:sz w:val="20"/>
                <w:szCs w:val="20"/>
                <w:color w:val="auto"/>
              </w:rPr>
            </w:pPr>
            <w:r>
              <w:rPr>
                <w:rFonts w:ascii="Arial" w:cs="Arial" w:eastAsia="Arial" w:hAnsi="Arial"/>
                <w:sz w:val="18"/>
                <w:szCs w:val="18"/>
                <w:b w:val="1"/>
                <w:bCs w:val="1"/>
                <w:color w:val="auto"/>
              </w:rPr>
              <w:t>499</w:t>
            </w:r>
          </w:p>
        </w:tc>
        <w:tc>
          <w:tcPr>
            <w:tcW w:w="2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5"/>
              </w:rPr>
              <w:t>1.15</w:t>
            </w:r>
          </w:p>
        </w:tc>
        <w:tc>
          <w:tcPr>
            <w:tcW w:w="0" w:type="dxa"/>
            <w:vAlign w:val="bottom"/>
          </w:tcPr>
          <w:p>
            <w:pPr>
              <w:spacing w:after="0"/>
              <w:rPr>
                <w:sz w:val="1"/>
                <w:szCs w:val="1"/>
                <w:color w:val="auto"/>
              </w:rPr>
            </w:pPr>
          </w:p>
        </w:tc>
      </w:tr>
      <w:tr>
        <w:trPr>
          <w:trHeight w:val="616"/>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center"/>
              <w:ind w:left="350"/>
              <w:spacing w:after="0"/>
              <w:rPr>
                <w:sz w:val="20"/>
                <w:szCs w:val="20"/>
                <w:color w:val="auto"/>
              </w:rPr>
            </w:pPr>
            <w:r>
              <w:rPr>
                <w:rFonts w:ascii="Arial" w:cs="Arial" w:eastAsia="Arial" w:hAnsi="Arial"/>
                <w:sz w:val="18"/>
                <w:szCs w:val="18"/>
                <w:color w:val="auto"/>
                <w:w w:val="93"/>
              </w:rPr>
              <w:t>(0.07)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left="350"/>
              <w:spacing w:after="0"/>
              <w:rPr>
                <w:sz w:val="20"/>
                <w:szCs w:val="20"/>
                <w:color w:val="auto"/>
              </w:rPr>
            </w:pPr>
            <w:r>
              <w:rPr>
                <w:rFonts w:ascii="Arial" w:cs="Arial" w:eastAsia="Arial" w:hAnsi="Arial"/>
                <w:sz w:val="18"/>
                <w:szCs w:val="18"/>
                <w:color w:val="auto"/>
                <w:w w:val="93"/>
              </w:rPr>
              <w:t>(0.07)</w:t>
            </w:r>
          </w:p>
        </w:tc>
        <w:tc>
          <w:tcPr>
            <w:tcW w:w="0" w:type="dxa"/>
            <w:vAlign w:val="bottom"/>
          </w:tcPr>
          <w:p>
            <w:pPr>
              <w:spacing w:after="0"/>
              <w:rPr>
                <w:sz w:val="1"/>
                <w:szCs w:val="1"/>
                <w:color w:val="auto"/>
              </w:rPr>
            </w:pPr>
          </w:p>
        </w:tc>
      </w:tr>
      <w:tr>
        <w:trPr>
          <w:trHeight w:val="210"/>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677</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571</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b w:val="1"/>
                <w:bCs w:val="1"/>
                <w:color w:val="auto"/>
              </w:rPr>
              <w:t>438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85"/>
              </w:rPr>
              <w:t>1.01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384</w:t>
            </w:r>
          </w:p>
        </w:tc>
        <w:tc>
          <w:tcPr>
            <w:tcW w:w="2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797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ind w:left="740" w:hanging="675"/>
        <w:spacing w:after="0"/>
        <w:tabs>
          <w:tab w:leader="none" w:pos="7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1,061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31115</wp:posOffset>
            </wp:positionV>
            <wp:extent cx="797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926" w:lineRule="exact"/>
        <w:rPr>
          <w:sz w:val="20"/>
          <w:szCs w:val="20"/>
          <w:color w:val="auto"/>
        </w:rPr>
      </w:pPr>
    </w:p>
    <w:p>
      <w:pPr>
        <w:sectPr>
          <w:pgSz w:w="11900" w:h="16838" w:orient="portrait"/>
          <w:cols w:equalWidth="0" w:num="2">
            <w:col w:w="4300" w:space="300"/>
            <w:col w:w="6720"/>
          </w:cols>
          <w:pgMar w:left="240" w:top="337" w:right="339" w:bottom="1440" w:gutter="0" w:footer="0" w:header="0"/>
          <w:type w:val="continuous"/>
        </w:sectPr>
      </w:pPr>
    </w:p>
    <w:tbl>
      <w:tblPr>
        <w:tblLayout w:type="fixed"/>
        <w:tblInd w:w="140" w:type="dxa"/>
        <w:tblCellMar>
          <w:top w:w="0" w:type="dxa"/>
          <w:left w:w="0" w:type="dxa"/>
          <w:bottom w:w="0" w:type="dxa"/>
          <w:right w:w="0" w:type="dxa"/>
        </w:tblCellMar>
      </w:tblPr>
      <w:tr>
        <w:trPr>
          <w:trHeight w:val="216"/>
        </w:trPr>
        <w:tc>
          <w:tcPr>
            <w:tcW w:w="4460" w:type="dxa"/>
            <w:vAlign w:val="bottom"/>
            <w:vMerge w:val="restart"/>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rPr>
              <w:t>Scenario 1</w:t>
            </w:r>
          </w:p>
        </w:tc>
        <w:tc>
          <w:tcPr>
            <w:tcW w:w="140" w:type="dxa"/>
            <w:vAlign w:val="bottom"/>
          </w:tcPr>
          <w:p>
            <w:pPr>
              <w:spacing w:after="0"/>
              <w:rPr>
                <w:sz w:val="18"/>
                <w:szCs w:val="18"/>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Scenario 2</w:t>
            </w:r>
          </w:p>
        </w:tc>
        <w:tc>
          <w:tcPr>
            <w:tcW w:w="0" w:type="dxa"/>
            <w:vAlign w:val="bottom"/>
          </w:tcPr>
          <w:p>
            <w:pPr>
              <w:spacing w:after="0"/>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2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rPr>
              <w:t>3,675</w:t>
            </w: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line="195" w:lineRule="exact"/>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4460" w:type="dxa"/>
            <w:vAlign w:val="bottom"/>
          </w:tcPr>
          <w:p>
            <w:pPr>
              <w:ind w:left="120"/>
              <w:spacing w:after="0"/>
              <w:rPr>
                <w:sz w:val="20"/>
                <w:szCs w:val="20"/>
                <w:color w:val="auto"/>
              </w:rPr>
            </w:pPr>
            <w:r>
              <w:rPr>
                <w:rFonts w:ascii="Arial" w:cs="Arial" w:eastAsia="Arial" w:hAnsi="Arial"/>
                <w:sz w:val="18"/>
                <w:szCs w:val="18"/>
                <w:color w:val="auto"/>
                <w:w w:val="92"/>
              </w:rPr>
              <w:t>Proceeds from divestitures of businesses and other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00"/>
              <w:spacing w:after="0"/>
              <w:rPr>
                <w:sz w:val="20"/>
                <w:szCs w:val="20"/>
                <w:color w:val="auto"/>
              </w:rPr>
            </w:pPr>
            <w:r>
              <w:rPr>
                <w:rFonts w:ascii="Arial" w:cs="Arial" w:eastAsia="Arial" w:hAnsi="Arial"/>
                <w:sz w:val="18"/>
                <w:szCs w:val="18"/>
                <w:color w:val="auto"/>
              </w:rPr>
              <w:t>(net of cash divested)</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2,075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3644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Pre-tax income excludes $1 million related to net income attributable to noncontrolling interests.</w:t>
      </w:r>
    </w:p>
    <w:p>
      <w:pPr>
        <w:spacing w:after="0" w:line="23" w:lineRule="exact"/>
        <w:rPr>
          <w:rFonts w:ascii="Arial" w:cs="Arial" w:eastAsia="Arial" w:hAnsi="Arial"/>
          <w:sz w:val="18"/>
          <w:szCs w:val="18"/>
          <w:b w:val="1"/>
          <w:bCs w:val="1"/>
          <w:color w:val="auto"/>
        </w:rPr>
      </w:pPr>
    </w:p>
    <w:p>
      <w:pPr>
        <w:ind w:left="260" w:right="560" w:hanging="252"/>
        <w:spacing w:after="0" w:line="250" w:lineRule="auto"/>
        <w:tabs>
          <w:tab w:leader="none" w:pos="27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For purposes of this press release table, all references to “Net income” refer to the financial statement line item “Net income attributable to Waste Management, Inc.”</w:t>
      </w:r>
    </w:p>
    <w:p>
      <w:pPr>
        <w:ind w:left="260" w:right="820" w:hanging="252"/>
        <w:spacing w:after="0" w:line="250" w:lineRule="auto"/>
        <w:tabs>
          <w:tab w:leader="none" w:pos="268"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Includes impact of reducing our common stock repurchases in 2019 from planned levels due to the pending acquisition of Advanced Disposal Services, Inc. (“Advanced Disposal”).</w:t>
      </w:r>
    </w:p>
    <w:p>
      <w:pPr>
        <w:ind w:left="260" w:hanging="252"/>
        <w:spacing w:after="0" w:line="261" w:lineRule="auto"/>
        <w:tabs>
          <w:tab w:leader="none" w:pos="27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 reconciliation includes two scenarios that illustrate our projected free cash flow range for 2019.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type w:val="continuous"/>
        </w:sectPr>
      </w:pPr>
    </w:p>
    <w:bookmarkStart w:id="13" w:name="page14"/>
    <w:bookmarkEnd w:id="13"/>
    <w:p>
      <w:pPr>
        <w:jc w:val="center"/>
        <w:ind w:right="4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8"/>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6"/>
          </w:tcPr>
          <w:p>
            <w:pPr>
              <w:ind w:left="50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5"/>
          </w:tcPr>
          <w:p>
            <w:pPr>
              <w:jc w:val="right"/>
              <w:ind w:right="570"/>
              <w:spacing w:after="0"/>
              <w:rPr>
                <w:sz w:val="20"/>
                <w:szCs w:val="20"/>
                <w:color w:val="auto"/>
              </w:rPr>
            </w:pPr>
            <w:r>
              <w:rPr>
                <w:rFonts w:ascii="Arial" w:cs="Arial" w:eastAsia="Arial" w:hAnsi="Arial"/>
                <w:sz w:val="18"/>
                <w:szCs w:val="18"/>
                <w:b w:val="1"/>
                <w:bCs w:val="1"/>
                <w:color w:val="auto"/>
              </w:rPr>
              <w:t>June 30, 2018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4"/>
          </w:tcPr>
          <w:p>
            <w:pPr>
              <w:ind w:left="200"/>
              <w:spacing w:after="0"/>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As a %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Adjusted Operating Expenses and Adjusted Operating Expenses Margin</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Revenues</w:t>
            </w:r>
          </w:p>
        </w:tc>
        <w:tc>
          <w:tcPr>
            <w:tcW w:w="12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120" w:type="dxa"/>
            <w:vAlign w:val="bottom"/>
            <w:gridSpan w:val="2"/>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540" w:type="dxa"/>
            <w:vAlign w:val="bottom"/>
          </w:tcPr>
          <w:p>
            <w:pPr>
              <w:ind w:left="180"/>
              <w:spacing w:after="0"/>
              <w:rPr>
                <w:sz w:val="20"/>
                <w:szCs w:val="20"/>
                <w:color w:val="auto"/>
              </w:rPr>
            </w:pPr>
            <w:r>
              <w:rPr>
                <w:rFonts w:ascii="Arial" w:cs="Arial" w:eastAsia="Arial" w:hAnsi="Arial"/>
                <w:sz w:val="18"/>
                <w:szCs w:val="18"/>
                <w:b w:val="1"/>
                <w:bCs w:val="1"/>
                <w:color w:val="auto"/>
              </w:rPr>
              <w:t>Operating revenues, as reported</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3,946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3,739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540" w:type="dxa"/>
            <w:vAlign w:val="bottom"/>
          </w:tcPr>
          <w:p>
            <w:pPr>
              <w:ind w:left="180"/>
              <w:spacing w:after="0"/>
              <w:rPr>
                <w:sz w:val="20"/>
                <w:szCs w:val="20"/>
                <w:color w:val="auto"/>
              </w:rPr>
            </w:pPr>
            <w:r>
              <w:rPr>
                <w:rFonts w:ascii="Arial" w:cs="Arial" w:eastAsia="Arial" w:hAnsi="Arial"/>
                <w:sz w:val="18"/>
                <w:szCs w:val="18"/>
                <w:b w:val="1"/>
                <w:bCs w:val="1"/>
                <w:color w:val="auto"/>
              </w:rPr>
              <w:t>Operating expenses, as reported</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2,443</w:t>
            </w:r>
          </w:p>
        </w:tc>
        <w:tc>
          <w:tcPr>
            <w:tcW w:w="1260" w:type="dxa"/>
            <w:vAlign w:val="bottom"/>
            <w:gridSpan w:val="4"/>
          </w:tcPr>
          <w:p>
            <w:pPr>
              <w:ind w:left="760"/>
              <w:spacing w:after="0"/>
              <w:rPr>
                <w:sz w:val="20"/>
                <w:szCs w:val="20"/>
                <w:color w:val="auto"/>
              </w:rPr>
            </w:pPr>
            <w:r>
              <w:rPr>
                <w:rFonts w:ascii="Arial" w:cs="Arial" w:eastAsia="Arial" w:hAnsi="Arial"/>
                <w:sz w:val="18"/>
                <w:szCs w:val="18"/>
                <w:b w:val="1"/>
                <w:bCs w:val="1"/>
                <w:color w:val="auto"/>
                <w:w w:val="93"/>
              </w:rPr>
              <w:t>61.9%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2,313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61.9%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180"/>
              <w:spacing w:after="0"/>
              <w:rPr>
                <w:sz w:val="20"/>
                <w:szCs w:val="20"/>
                <w:color w:val="auto"/>
              </w:rPr>
            </w:pPr>
            <w:r>
              <w:rPr>
                <w:rFonts w:ascii="Arial" w:cs="Arial" w:eastAsia="Arial" w:hAnsi="Arial"/>
                <w:sz w:val="18"/>
                <w:szCs w:val="18"/>
                <w:b w:val="1"/>
                <w:bCs w:val="1"/>
                <w:color w:val="auto"/>
              </w:rPr>
              <w:t>Adjustment: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60"/>
              <w:spacing w:after="0"/>
              <w:rPr>
                <w:sz w:val="20"/>
                <w:szCs w:val="20"/>
                <w:color w:val="auto"/>
              </w:rPr>
            </w:pPr>
            <w:r>
              <w:rPr>
                <w:rFonts w:ascii="Arial" w:cs="Arial" w:eastAsia="Arial" w:hAnsi="Arial"/>
                <w:sz w:val="18"/>
                <w:szCs w:val="18"/>
                <w:color w:val="auto"/>
              </w:rPr>
              <w:t>Non-cash charges to write-off certain assets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180"/>
              <w:spacing w:after="0"/>
              <w:rPr>
                <w:sz w:val="20"/>
                <w:szCs w:val="20"/>
                <w:color w:val="auto"/>
              </w:rPr>
            </w:pPr>
            <w:r>
              <w:rPr>
                <w:rFonts w:ascii="Arial" w:cs="Arial" w:eastAsia="Arial" w:hAnsi="Arial"/>
                <w:sz w:val="18"/>
                <w:szCs w:val="18"/>
                <w:b w:val="1"/>
                <w:bCs w:val="1"/>
                <w:color w:val="auto"/>
              </w:rPr>
              <w:t>Adjusted operating expenses</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b w:val="1"/>
                <w:bCs w:val="1"/>
                <w:color w:val="auto"/>
                <w:w w:val="88"/>
              </w:rPr>
              <w:t>2,427</w:t>
            </w:r>
          </w:p>
        </w:tc>
        <w:tc>
          <w:tcPr>
            <w:tcW w:w="1260" w:type="dxa"/>
            <w:vAlign w:val="bottom"/>
            <w:gridSpan w:val="4"/>
          </w:tcPr>
          <w:p>
            <w:pPr>
              <w:ind w:left="760"/>
              <w:spacing w:after="0"/>
              <w:rPr>
                <w:sz w:val="20"/>
                <w:szCs w:val="20"/>
                <w:color w:val="auto"/>
              </w:rPr>
            </w:pPr>
            <w:r>
              <w:rPr>
                <w:rFonts w:ascii="Arial" w:cs="Arial" w:eastAsia="Arial" w:hAnsi="Arial"/>
                <w:sz w:val="18"/>
                <w:szCs w:val="18"/>
                <w:b w:val="1"/>
                <w:bCs w:val="1"/>
                <w:color w:val="auto"/>
                <w:w w:val="93"/>
              </w:rPr>
              <w:t>61.5%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gridSpan w:val="8"/>
            <w:vMerge w:val="restart"/>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5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8"/>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b w:val="1"/>
                <w:bCs w:val="1"/>
                <w:color w:val="auto"/>
              </w:rPr>
              <w:t>June 30, 2019</w:t>
            </w:r>
          </w:p>
        </w:tc>
        <w:tc>
          <w:tcPr>
            <w:tcW w:w="12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June 30, 2018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Adjusted Selling, General &amp; Administrative (SG&amp;A) Expenses and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4"/>
          </w:tcPr>
          <w:p>
            <w:pPr>
              <w:ind w:left="120"/>
              <w:spacing w:after="0"/>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As a % of</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Adjusted SG&amp;A Margin</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4"/>
          </w:tcPr>
          <w:p>
            <w:pPr>
              <w:ind w:left="140"/>
              <w:spacing w:after="0"/>
              <w:rPr>
                <w:sz w:val="20"/>
                <w:szCs w:val="20"/>
                <w:color w:val="auto"/>
              </w:rPr>
            </w:pPr>
            <w:r>
              <w:rPr>
                <w:rFonts w:ascii="Arial" w:cs="Arial" w:eastAsia="Arial" w:hAnsi="Arial"/>
                <w:sz w:val="18"/>
                <w:szCs w:val="18"/>
                <w:b w:val="1"/>
                <w:bCs w:val="1"/>
                <w:color w:val="auto"/>
              </w:rPr>
              <w:t>Revenues</w:t>
            </w:r>
          </w:p>
        </w:tc>
        <w:tc>
          <w:tcPr>
            <w:tcW w:w="160" w:type="dxa"/>
            <w:vAlign w:val="bottom"/>
          </w:tcPr>
          <w:p>
            <w:pPr>
              <w:spacing w:after="0"/>
              <w:rPr>
                <w:sz w:val="20"/>
                <w:szCs w:val="20"/>
                <w:color w:val="auto"/>
              </w:rPr>
            </w:pPr>
          </w:p>
        </w:tc>
        <w:tc>
          <w:tcPr>
            <w:tcW w:w="104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6"/>
              </w:rPr>
              <w:t>Revenues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Operating revenues, as reported</w:t>
            </w: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3,946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3,739</w:t>
            </w: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SG&amp;A expenses, as reported</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center"/>
              <w:ind w:left="370"/>
              <w:spacing w:after="0"/>
              <w:rPr>
                <w:sz w:val="20"/>
                <w:szCs w:val="20"/>
                <w:color w:val="auto"/>
              </w:rPr>
            </w:pPr>
            <w:r>
              <w:rPr>
                <w:rFonts w:ascii="Arial" w:cs="Arial" w:eastAsia="Arial" w:hAnsi="Arial"/>
                <w:sz w:val="18"/>
                <w:szCs w:val="18"/>
                <w:b w:val="1"/>
                <w:bCs w:val="1"/>
                <w:color w:val="auto"/>
                <w:w w:val="93"/>
              </w:rPr>
              <w:t>391</w:t>
            </w:r>
          </w:p>
        </w:tc>
        <w:tc>
          <w:tcPr>
            <w:tcW w:w="80" w:type="dxa"/>
            <w:vAlign w:val="bottom"/>
          </w:tcPr>
          <w:p>
            <w:pPr>
              <w:spacing w:after="0"/>
              <w:rPr>
                <w:sz w:val="24"/>
                <w:szCs w:val="24"/>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b w:val="1"/>
                <w:bCs w:val="1"/>
                <w:color w:val="auto"/>
                <w:w w:val="97"/>
              </w:rPr>
              <w:t>9.9%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9.8%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Adjustment: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40" w:type="dxa"/>
            <w:vAlign w:val="bottom"/>
          </w:tcPr>
          <w:p>
            <w:pPr>
              <w:ind w:left="380"/>
              <w:spacing w:after="0"/>
              <w:rPr>
                <w:sz w:val="20"/>
                <w:szCs w:val="20"/>
                <w:color w:val="auto"/>
              </w:rPr>
            </w:pPr>
            <w:r>
              <w:rPr>
                <w:rFonts w:ascii="Arial" w:cs="Arial" w:eastAsia="Arial" w:hAnsi="Arial"/>
                <w:sz w:val="18"/>
                <w:szCs w:val="18"/>
                <w:color w:val="auto"/>
              </w:rPr>
              <w:t>Advanced Disposal acquisition-related costs</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40" w:type="dxa"/>
            <w:vAlign w:val="bottom"/>
          </w:tcPr>
          <w:p>
            <w:pPr>
              <w:ind w:left="200"/>
              <w:spacing w:after="0"/>
              <w:rPr>
                <w:sz w:val="20"/>
                <w:szCs w:val="20"/>
                <w:color w:val="auto"/>
              </w:rPr>
            </w:pPr>
            <w:r>
              <w:rPr>
                <w:rFonts w:ascii="Arial" w:cs="Arial" w:eastAsia="Arial" w:hAnsi="Arial"/>
                <w:sz w:val="18"/>
                <w:szCs w:val="18"/>
                <w:b w:val="1"/>
                <w:bCs w:val="1"/>
                <w:color w:val="auto"/>
              </w:rPr>
              <w:t>Adjusted SG&amp;A expenses</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3"/>
              </w:rPr>
              <w:t>385</w:t>
            </w:r>
          </w:p>
        </w:tc>
        <w:tc>
          <w:tcPr>
            <w:tcW w:w="80" w:type="dxa"/>
            <w:vAlign w:val="bottom"/>
          </w:tcPr>
          <w:p>
            <w:pPr>
              <w:spacing w:after="0"/>
              <w:rPr>
                <w:sz w:val="18"/>
                <w:szCs w:val="18"/>
                <w:color w:val="auto"/>
              </w:rPr>
            </w:pPr>
          </w:p>
        </w:tc>
        <w:tc>
          <w:tcPr>
            <w:tcW w:w="1200" w:type="dxa"/>
            <w:vAlign w:val="bottom"/>
            <w:gridSpan w:val="3"/>
          </w:tcPr>
          <w:p>
            <w:pPr>
              <w:ind w:left="780"/>
              <w:spacing w:after="0"/>
              <w:rPr>
                <w:sz w:val="20"/>
                <w:szCs w:val="20"/>
                <w:color w:val="auto"/>
              </w:rPr>
            </w:pPr>
            <w:r>
              <w:rPr>
                <w:rFonts w:ascii="Arial" w:cs="Arial" w:eastAsia="Arial" w:hAnsi="Arial"/>
                <w:sz w:val="18"/>
                <w:szCs w:val="18"/>
                <w:b w:val="1"/>
                <w:bCs w:val="1"/>
                <w:color w:val="auto"/>
                <w:w w:val="97"/>
              </w:rPr>
              <w:t>9.8%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o"/>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2019-12-28T10:19:06Z</dcterms:created>
  <dcterms:modified xsi:type="dcterms:W3CDTF">2019-12-28T10:19:06Z</dcterms:modified>
</cp:coreProperties>
</file>