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April 26, 2022</w:t>
      </w:r>
    </w:p>
    <w:p>
      <w:pPr>
        <w:spacing w:after="0" w:line="3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Number 333-                ​</w:t>
      </w:r>
    </w:p>
    <w:p>
      <w:pPr>
        <w:spacing w:after="0" w:line="6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133350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6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2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1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146050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WASTE MANAGEMENT, INC.</w:t>
      </w:r>
    </w:p>
    <w:p>
      <w:pPr>
        <w:spacing w:after="0" w:line="3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SEE TABLE OF ADDITIONAL REGISTRANT GUARANTOR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156845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p>
      <w:pPr>
        <w:spacing w:after="0" w:line="283" w:lineRule="exact"/>
        <w:rPr>
          <w:sz w:val="24"/>
          <w:szCs w:val="24"/>
          <w:color w:val="auto"/>
        </w:rPr>
      </w:pPr>
    </w:p>
    <w:p>
      <w:pPr>
        <w:ind w:left="50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7"/>
          <w:szCs w:val="17"/>
          <w:color w:val="auto"/>
        </w:rPr>
        <w:t>​</w:t>
      </w:r>
    </w:p>
    <w:p>
      <w:pPr>
        <w:spacing w:after="0" w:line="43" w:lineRule="exact"/>
        <w:rPr>
          <w:sz w:val="24"/>
          <w:szCs w:val="24"/>
          <w:color w:val="auto"/>
        </w:rPr>
      </w:pPr>
    </w:p>
    <w:p>
      <w:pPr>
        <w:ind w:left="500"/>
        <w:spacing w:after="0"/>
        <w:tabs>
          <w:tab w:leader="none" w:pos="19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(State or other jurisdiction of</w:t>
      </w:r>
    </w:p>
    <w:p>
      <w:pPr>
        <w:spacing w:after="0" w:line="12" w:lineRule="exact"/>
        <w:rPr>
          <w:sz w:val="24"/>
          <w:szCs w:val="24"/>
          <w:color w:val="auto"/>
        </w:rPr>
      </w:pPr>
    </w:p>
    <w:p>
      <w:pPr>
        <w:jc w:val="right"/>
        <w:ind w:right="76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3080" w:type="dxa"/>
            <w:vAlign w:val="bottom"/>
          </w:tcPr>
          <w:p>
            <w:pPr>
              <w:ind w:left="1160"/>
              <w:spacing w:after="0"/>
              <w:rPr>
                <w:sz w:val="20"/>
                <w:szCs w:val="20"/>
                <w:color w:val="auto"/>
              </w:rPr>
            </w:pPr>
            <w:r>
              <w:rPr>
                <w:rFonts w:ascii="Times New Roman" w:cs="Times New Roman" w:eastAsia="Times New Roman" w:hAnsi="Times New Roman"/>
                <w:sz w:val="16"/>
                <w:szCs w:val="16"/>
                <w:b w:val="1"/>
                <w:bCs w:val="1"/>
                <w:color w:val="auto"/>
              </w:rPr>
              <w:t>73-1309529</w:t>
            </w:r>
            <w:r>
              <w:rPr>
                <w:rFonts w:ascii="Times New Roman" w:cs="Times New Roman" w:eastAsia="Times New Roman" w:hAnsi="Times New Roman"/>
                <w:sz w:val="17"/>
                <w:szCs w:val="17"/>
                <w:color w:val="auto"/>
              </w:rPr>
              <w:t>​</w:t>
            </w:r>
          </w:p>
        </w:tc>
        <w:tc>
          <w:tcPr>
            <w:tcW w:w="88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00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c>
          <w:tcPr>
            <w:tcW w:w="880" w:type="dxa"/>
            <w:vAlign w:val="bottom"/>
          </w:tcPr>
          <w:p>
            <w:pPr>
              <w:spacing w:after="0"/>
              <w:rPr>
                <w:sz w:val="16"/>
                <w:szCs w:val="16"/>
                <w:color w:val="auto"/>
              </w:rPr>
            </w:pPr>
          </w:p>
        </w:tc>
      </w:tr>
    </w:tbl>
    <w:p>
      <w:pPr>
        <w:spacing w:after="0" w:line="186" w:lineRule="exact"/>
        <w:rPr>
          <w:sz w:val="24"/>
          <w:szCs w:val="24"/>
          <w:color w:val="auto"/>
        </w:rPr>
      </w:pPr>
    </w:p>
    <w:p>
      <w:pPr>
        <w:sectPr>
          <w:pgSz w:w="11900" w:h="16838" w:orient="portrait"/>
          <w:cols w:equalWidth="0" w:num="2">
            <w:col w:w="4580" w:space="720"/>
            <w:col w:w="4980"/>
          </w:cols>
          <w:pgMar w:left="580" w:top="205" w:right="1039" w:bottom="1440" w:gutter="0" w:footer="0" w:header="0"/>
          <w:type w:val="continuous"/>
        </w:sectPr>
      </w:pPr>
    </w:p>
    <w:p>
      <w:pPr>
        <w:ind w:left="4320"/>
        <w:spacing w:after="0"/>
        <w:rPr>
          <w:sz w:val="20"/>
          <w:szCs w:val="20"/>
          <w:color w:val="auto"/>
        </w:rPr>
      </w:pPr>
      <w:r>
        <w:rPr>
          <w:rFonts w:ascii="Times New Roman" w:cs="Times New Roman" w:eastAsia="Times New Roman" w:hAnsi="Times New Roman"/>
          <w:sz w:val="17"/>
          <w:szCs w:val="17"/>
          <w:b w:val="1"/>
          <w:bCs w:val="1"/>
          <w:color w:val="auto"/>
        </w:rPr>
        <w:t>800 Capitol Street, Suite 3000</w:t>
      </w:r>
    </w:p>
    <w:p>
      <w:pPr>
        <w:spacing w:after="0" w:line="2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Houston, Texas 77002</w:t>
      </w: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(713) 512-6200</w:t>
      </w:r>
    </w:p>
    <w:p>
      <w:pPr>
        <w:spacing w:after="0" w:line="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100330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3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7"/>
          <w:szCs w:val="17"/>
          <w:b w:val="1"/>
          <w:bCs w:val="1"/>
          <w:color w:val="auto"/>
        </w:rPr>
        <w:t>Charles C. Boettcher</w:t>
      </w:r>
    </w:p>
    <w:p>
      <w:pPr>
        <w:spacing w:after="0" w:line="1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Chief Legal Officer</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800 Capitol Street, Suite 3000</w:t>
      </w:r>
    </w:p>
    <w:p>
      <w:pPr>
        <w:ind w:left="4580"/>
        <w:spacing w:after="0"/>
        <w:rPr>
          <w:sz w:val="20"/>
          <w:szCs w:val="20"/>
          <w:color w:val="auto"/>
        </w:rPr>
      </w:pPr>
      <w:r>
        <w:rPr>
          <w:rFonts w:ascii="Times New Roman" w:cs="Times New Roman" w:eastAsia="Times New Roman" w:hAnsi="Times New Roman"/>
          <w:sz w:val="17"/>
          <w:szCs w:val="17"/>
          <w:b w:val="1"/>
          <w:bCs w:val="1"/>
          <w:color w:val="auto"/>
        </w:rPr>
        <w:t>Houston, Texas 77002</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(713) 512-6200</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83185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p>
      <w:pPr>
        <w:ind w:left="500" w:right="360"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the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1" w:lineRule="exact"/>
        <w:rPr>
          <w:sz w:val="24"/>
          <w:szCs w:val="24"/>
          <w:color w:val="auto"/>
        </w:rPr>
      </w:pPr>
    </w:p>
    <w:p>
      <w:pPr>
        <w:ind w:left="500" w:right="300" w:firstLine="360"/>
        <w:spacing w:after="0" w:line="215"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4" w:lineRule="exact"/>
        <w:rPr>
          <w:sz w:val="24"/>
          <w:szCs w:val="24"/>
          <w:color w:val="auto"/>
        </w:rPr>
      </w:pPr>
    </w:p>
    <w:p>
      <w:pPr>
        <w:ind w:left="500" w:right="60" w:firstLine="360"/>
        <w:spacing w:after="0" w:line="211"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left="500" w:right="160" w:firstLine="360"/>
        <w:spacing w:after="0" w:line="228"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0" w:lineRule="exact"/>
        <w:rPr>
          <w:sz w:val="24"/>
          <w:szCs w:val="24"/>
          <w:color w:val="auto"/>
        </w:rPr>
      </w:pPr>
    </w:p>
    <w:p>
      <w:pPr>
        <w:ind w:left="500" w:right="80" w:firstLine="360"/>
        <w:spacing w:after="0" w:line="216"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ind w:left="500" w:right="560" w:firstLine="360"/>
        <w:spacing w:after="0" w:line="216"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ind w:left="500" w:right="320" w:firstLine="360"/>
        <w:spacing w:after="0" w:line="216"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ind w:left="500" w:right="80" w:firstLine="360"/>
        <w:spacing w:after="0" w:line="24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50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Large​</w:t>
            </w:r>
          </w:p>
        </w:tc>
        <w:tc>
          <w:tcPr>
            <w:tcW w:w="1760" w:type="dxa"/>
            <w:vAlign w:val="bottom"/>
          </w:tcPr>
          <w:p>
            <w:pPr>
              <w:jc w:val="right"/>
              <w:ind w:right="55"/>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520" w:type="dxa"/>
            <w:vAlign w:val="bottom"/>
          </w:tcPr>
          <w:p>
            <w:pPr>
              <w:ind w:left="1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tc>
      </w:tr>
      <w:tr>
        <w:trPr>
          <w:trHeight w:val="269"/>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520" w:type="dxa"/>
            <w:vAlign w:val="bottom"/>
          </w:tcPr>
          <w:p>
            <w:pPr>
              <w:ind w:left="1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 ​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tc>
      </w:tr>
    </w:tbl>
    <w:p>
      <w:pPr>
        <w:spacing w:after="0" w:line="138" w:lineRule="exact"/>
        <w:rPr>
          <w:sz w:val="24"/>
          <w:szCs w:val="24"/>
          <w:color w:val="auto"/>
        </w:rPr>
      </w:pPr>
    </w:p>
    <w:p>
      <w:pPr>
        <w:ind w:left="500" w:right="220" w:firstLine="360"/>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24765</wp:posOffset>
            </wp:positionV>
            <wp:extent cx="6189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TABLE OF ADDITIONAL REGISTRANT GUARANTOR</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State or Other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Jurisdiction of</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 or</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Identification</w:t>
            </w:r>
          </w:p>
        </w:tc>
      </w:tr>
      <w:tr>
        <w:trPr>
          <w:trHeight w:val="214"/>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Exact Name of Additional Registrant as Specified in its Charter*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Organization</w:t>
            </w:r>
          </w:p>
        </w:tc>
        <w:tc>
          <w:tcPr>
            <w:tcW w:w="12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Number   </w:t>
            </w:r>
            <w:r>
              <w:rPr>
                <w:rFonts w:ascii="Times New Roman" w:cs="Times New Roman" w:eastAsia="Times New Roman" w:hAnsi="Times New Roman"/>
                <w:sz w:val="24"/>
                <w:szCs w:val="24"/>
                <w:b w:val="1"/>
                <w:bCs w:val="1"/>
                <w:color w:val="auto"/>
                <w:vertAlign w:val="subscript"/>
              </w:rPr>
              <w:t>​</w:t>
            </w:r>
          </w:p>
        </w:tc>
      </w:tr>
      <w:tr>
        <w:trPr>
          <w:trHeight w:val="20"/>
        </w:trPr>
        <w:tc>
          <w:tcPr>
            <w:tcW w:w="5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Delaware</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36-2660763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-170815</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-170815</wp:posOffset>
            </wp:positionV>
            <wp:extent cx="137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559" w:hanging="360"/>
        <w:spacing w:after="0" w:line="256" w:lineRule="auto"/>
        <w:tabs>
          <w:tab w:leader="none" w:pos="1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registrant is a direct wholly owned subsidiary of Waste Management, Inc. The address, including zip code, and telephone number, including area code, of the additional registrant’s principal executive offices is 800 Capitol Street, Suite 3000, Houston, Texas 77002, telephone (713) 512-6200. The name, address, including zip code, and telephone number, including area code, of the agent for service for the additional registrant is Charles C. Boettcher, Chief Legal Officer, Waste Management, Inc., 800 Capitol Street, Suite 3000, Houston, Texas 77002, telephone (713)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6212840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139700</wp:posOffset>
            </wp:positionV>
            <wp:extent cx="2468880" cy="65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88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2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64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5"/>
          <w:szCs w:val="25"/>
          <w:b w:val="1"/>
          <w:bCs w:val="1"/>
          <w:color w:val="auto"/>
        </w:rPr>
        <w:t>GUARANTEES</w:t>
      </w:r>
    </w:p>
    <w:p>
      <w:pPr>
        <w:spacing w:after="0" w:line="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w:t>
      </w:r>
    </w:p>
    <w:p>
      <w:pPr>
        <w:spacing w:after="0" w:line="154"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the risk factors included in our periodic reports that we file with the Securities and Exchange Commission and incorporated by reference herein and the applicable prospectus supplement before you invest in our securities.</w:t>
      </w:r>
    </w:p>
    <w:p>
      <w:pPr>
        <w:spacing w:after="0" w:line="74"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1564640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44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Forward-Looking Statements</w:t>
            </w:r>
          </w:p>
        </w:tc>
        <w:tc>
          <w:tcPr>
            <w:tcW w:w="1760" w:type="dxa"/>
            <w:vAlign w:val="bottom"/>
            <w:gridSpan w:val="3"/>
            <w:shd w:val="clear" w:color="auto" w:fill="CCEEFF"/>
          </w:tcPr>
          <w:p>
            <w:pPr>
              <w:ind w:left="1420"/>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Borders>
              <w:top w:val="single" w:sz="8" w:color="CCEEFF"/>
            </w:tcBorders>
            <w:gridSpan w:val="5"/>
          </w:tcPr>
          <w:p>
            <w:pPr>
              <w:spacing w:after="0"/>
              <w:rPr>
                <w:sz w:val="17"/>
                <w:szCs w:val="17"/>
                <w:color w:val="auto"/>
              </w:rPr>
            </w:pPr>
          </w:p>
        </w:tc>
        <w:tc>
          <w:tcPr>
            <w:tcW w:w="1680" w:type="dxa"/>
            <w:vAlign w:val="bottom"/>
            <w:tcBorders>
              <w:top w:val="single" w:sz="8" w:color="CCEEFF"/>
            </w:tcBorders>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80" w:type="dxa"/>
            <w:vAlign w:val="bottom"/>
            <w:tcBorders>
              <w:bottom w:val="single" w:sz="8" w:color="CCEEFF"/>
            </w:tcBorders>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6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440" w:type="dxa"/>
            <w:vAlign w:val="bottom"/>
            <w:gridSpan w:val="2"/>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080" w:type="dxa"/>
            <w:vAlign w:val="bottom"/>
            <w:tcBorders>
              <w:bottom w:val="single" w:sz="8" w:color="CCEEFF"/>
            </w:tcBorders>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60" w:type="dxa"/>
            <w:vAlign w:val="bottom"/>
            <w:gridSpan w:val="3"/>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2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the Debt Securities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860" w:type="dxa"/>
            <w:vAlign w:val="bottom"/>
            <w:gridSpan w:val="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Guarantees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8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gridSpan w:val="2"/>
          </w:tcPr>
          <w:p>
            <w:pPr>
              <w:spacing w:after="0"/>
              <w:rPr>
                <w:sz w:val="2"/>
                <w:szCs w:val="2"/>
                <w:color w:val="auto"/>
              </w:rPr>
            </w:pPr>
          </w:p>
        </w:tc>
        <w:tc>
          <w:tcPr>
            <w:tcW w:w="4080" w:type="dxa"/>
            <w:vAlign w:val="bottom"/>
            <w:gridSpan w:val="4"/>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Other Securities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360" w:type="dxa"/>
            <w:vAlign w:val="bottom"/>
            <w:tcBorders>
              <w:bottom w:val="single" w:sz="8" w:color="CCEEFF"/>
            </w:tcBorders>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gridSpan w:val="2"/>
          </w:tcPr>
          <w:p>
            <w:pPr>
              <w:spacing w:after="0"/>
              <w:rPr>
                <w:sz w:val="2"/>
                <w:szCs w:val="2"/>
                <w:color w:val="auto"/>
              </w:rPr>
            </w:pPr>
          </w:p>
        </w:tc>
        <w:tc>
          <w:tcPr>
            <w:tcW w:w="4680" w:type="dxa"/>
            <w:vAlign w:val="bottom"/>
            <w:gridSpan w:val="8"/>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6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680" w:type="dxa"/>
            <w:vAlign w:val="bottom"/>
            <w:tcBorders>
              <w:bottom w:val="single" w:sz="8" w:color="CCEEFF"/>
            </w:tcBorders>
            <w:gridSpan w:val="8"/>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5"/>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57"/>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Operational Risks</w:t>
      </w:r>
    </w:p>
    <w:p>
      <w:pPr>
        <w:spacing w:after="0" w:line="121" w:lineRule="exact"/>
        <w:rPr>
          <w:sz w:val="20"/>
          <w:szCs w:val="20"/>
          <w:color w:val="auto"/>
        </w:rPr>
      </w:pPr>
    </w:p>
    <w:p>
      <w:pPr>
        <w:ind w:left="1800" w:right="499" w:hanging="180"/>
        <w:spacing w:after="0" w:line="258"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6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5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6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66" w:lineRule="auto"/>
        <w:rPr>
          <w:sz w:val="20"/>
          <w:szCs w:val="20"/>
          <w:color w:val="auto"/>
        </w:rPr>
      </w:pPr>
      <w:r>
        <w:rPr>
          <w:rFonts w:ascii="Times New Roman" w:cs="Times New Roman" w:eastAsia="Times New Roman" w:hAnsi="Times New Roman"/>
          <w:sz w:val="18"/>
          <w:szCs w:val="18"/>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81" w:lineRule="exact"/>
        <w:rPr>
          <w:sz w:val="20"/>
          <w:szCs w:val="20"/>
          <w:color w:val="auto"/>
        </w:rPr>
      </w:pPr>
    </w:p>
    <w:p>
      <w:pPr>
        <w:ind w:left="1800" w:right="5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required permits or to expand existing permitted capacity of our landfills, which could decrease our revenue and increase our costs;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71"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5"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294"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5"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External Economic and Industry Risks</w:t>
      </w:r>
    </w:p>
    <w:p>
      <w:pPr>
        <w:spacing w:after="0" w:line="121" w:lineRule="exact"/>
        <w:rPr>
          <w:sz w:val="20"/>
          <w:szCs w:val="20"/>
          <w:color w:val="auto"/>
        </w:rPr>
      </w:pPr>
    </w:p>
    <w:p>
      <w:pPr>
        <w:ind w:left="1800" w:right="59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requiring mandatory COVID-19 vaccination of employees could adversely impact our ability to perform or compete for certain contracts and negatively affect our results of operations;</w:t>
      </w:r>
    </w:p>
    <w:p>
      <w:pPr>
        <w:spacing w:after="0" w:line="81"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 including labor shortages and supply chain constraints, and macroeconomic pressures, including the heightened pace of inflation, have adversely impacted our business and results of operations;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3"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30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can directly and adversely affect revenues for environmental services and our income from operations margins;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effective tax rate and tax liability could materially change as a result of the adoption of new tax legislation and other factors;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 fuel price increases or diesel fuel supply shortages may increase our operating expenses;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Information Security Risks</w:t>
      </w:r>
    </w:p>
    <w:p>
      <w:pPr>
        <w:spacing w:after="0" w:line="121" w:lineRule="exact"/>
        <w:rPr>
          <w:sz w:val="20"/>
          <w:szCs w:val="20"/>
          <w:color w:val="auto"/>
        </w:rPr>
      </w:pPr>
    </w:p>
    <w:p>
      <w:pPr>
        <w:jc w:val="both"/>
        <w:ind w:left="1800" w:right="53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new enterprise resource planning and human capital management system, and challenges with the implementation of the system may negatively impact our business and operations;</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79"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by state and federal governments related to cybersecurity protections and disclosures may require additional resources and create risks of noncompliance that could harm our business;</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and data protection issues and expanding laws could negatively impact our business, subject us to criticism and expose us to increased liability;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21" w:lineRule="exact"/>
        <w:rPr>
          <w:sz w:val="20"/>
          <w:szCs w:val="20"/>
          <w:color w:val="auto"/>
        </w:rPr>
      </w:pPr>
    </w:p>
    <w:p>
      <w:pPr>
        <w:ind w:left="1800" w:right="6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6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and state renewable fuel policies could affect our financial performance as a renewable fuel producer and impact our projected future investments;</w:t>
      </w:r>
    </w:p>
    <w:p>
      <w:pPr>
        <w:spacing w:after="0" w:line="53"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the adoption of climate change legislation or regulations restricting emissions of greenhouse gases, could increase our costs to operate;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21" w:lineRule="exact"/>
        <w:rPr>
          <w:sz w:val="20"/>
          <w:szCs w:val="20"/>
          <w:color w:val="auto"/>
        </w:rPr>
      </w:pPr>
    </w:p>
    <w:p>
      <w:pPr>
        <w:ind w:left="1800" w:right="5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financial assurance or the inadequacy of our insurance coverage could negatively impact our liquidity and increase our liabilities;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charges against our earnings due to impairments to our assets as a result of shut-down operations, uncompleted development or expansion projects or other events may negatively affect earnings;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liabilities for withdrawal from multiemployer pension plans.</w:t>
      </w:r>
    </w:p>
    <w:p>
      <w:pPr>
        <w:spacing w:after="0" w:line="15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54"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2"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0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4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8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620" w:val="left"/>
          <w:tab w:leader="none" w:pos="102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1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Annual Report on Form 10-K for the year ended December 31, 2021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6"/>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Amendment No. 1 to Annual Report on Form 10-K for the year ended December 31,</w:t>
              </w:r>
            </w:hyperlink>
          </w:p>
        </w:tc>
        <w:tc>
          <w:tcPr>
            <w:tcW w:w="16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2021</w:t>
              </w:r>
            </w:hyperlink>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50"/>
        </w:trPr>
        <w:tc>
          <w:tcPr>
            <w:tcW w:w="5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Quarterly Report on Form 10-Q for the quarter ended March 31, 2022</w:t>
              </w:r>
            </w:hyperlink>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21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Current Report on Form 8-K</w:t>
              </w:r>
            </w:hyperlink>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34">
              <w:r>
                <w:rPr>
                  <w:rFonts w:ascii="Times New Roman" w:cs="Times New Roman" w:eastAsia="Times New Roman" w:hAnsi="Times New Roman"/>
                  <w:sz w:val="18"/>
                  <w:szCs w:val="18"/>
                  <w:color w:val="0000EE"/>
                </w:rPr>
                <w:t>proxy statement for our 2022 annual meeting of stockholders</w:t>
              </w:r>
            </w:hyperlink>
          </w:p>
        </w:tc>
        <w:tc>
          <w:tcPr>
            <w:tcW w:w="1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5"/>
          </w:tcPr>
          <w:p>
            <w:pPr>
              <w:spacing w:after="0" w:line="196" w:lineRule="exact"/>
              <w:rPr>
                <w:rFonts w:ascii="Times New Roman" w:cs="Times New Roman" w:eastAsia="Times New Roman" w:hAnsi="Times New Roman"/>
                <w:sz w:val="18"/>
                <w:szCs w:val="18"/>
                <w:color w:val="auto"/>
              </w:rPr>
            </w:pPr>
            <w:hyperlink r:id="rId31">
              <w:r>
                <w:rPr>
                  <w:rFonts w:ascii="Times New Roman" w:cs="Times New Roman" w:eastAsia="Times New Roman" w:hAnsi="Times New Roman"/>
                  <w:sz w:val="18"/>
                  <w:szCs w:val="18"/>
                  <w:color w:val="auto"/>
                </w:rPr>
                <w:t xml:space="preserve">incorporated by reference in our </w:t>
              </w:r>
              <w:r>
                <w:rPr>
                  <w:rFonts w:ascii="Times New Roman" w:cs="Times New Roman" w:eastAsia="Times New Roman" w:hAnsi="Times New Roman"/>
                  <w:sz w:val="18"/>
                  <w:szCs w:val="18"/>
                  <w:color w:val="0000EE"/>
                </w:rPr>
                <w:t>Annual Report on Form 10-K for the year ended</w:t>
              </w:r>
            </w:hyperlink>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December 31, 2021</w:t>
              </w:r>
            </w:hyperlink>
          </w:p>
        </w:tc>
        <w:tc>
          <w:tcPr>
            <w:tcW w:w="1000" w:type="dxa"/>
            <w:vAlign w:val="bottom"/>
            <w:gridSpan w:val="2"/>
          </w:tcPr>
          <w:p>
            <w:pPr>
              <w:spacing w:after="0"/>
              <w:rPr>
                <w:sz w:val="17"/>
                <w:szCs w:val="17"/>
                <w:color w:val="auto"/>
              </w:rPr>
            </w:pPr>
          </w:p>
        </w:tc>
        <w:tc>
          <w:tcPr>
            <w:tcW w:w="3660" w:type="dxa"/>
            <w:vAlign w:val="bottom"/>
            <w:tcBorders>
              <w:top w:val="single" w:sz="8" w:color="0000EE"/>
            </w:tcBorders>
            <w:gridSpan w:val="6"/>
          </w:tcPr>
          <w:p>
            <w:pPr>
              <w:spacing w:after="0"/>
              <w:rPr>
                <w:sz w:val="17"/>
                <w:szCs w:val="17"/>
                <w:color w:val="auto"/>
              </w:rPr>
            </w:pPr>
          </w:p>
        </w:tc>
        <w:tc>
          <w:tcPr>
            <w:tcW w:w="280" w:type="dxa"/>
            <w:vAlign w:val="bottom"/>
            <w:gridSpan w:val="3"/>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36"/>
        </w:trPr>
        <w:tc>
          <w:tcPr>
            <w:tcW w:w="660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w:t>
            </w:r>
            <w:hyperlink r:id="rId35">
              <w:r>
                <w:rPr>
                  <w:rFonts w:ascii="Times New Roman" w:cs="Times New Roman" w:eastAsia="Times New Roman" w:hAnsi="Times New Roman"/>
                  <w:sz w:val="18"/>
                  <w:szCs w:val="18"/>
                  <w:color w:val="auto"/>
                </w:rPr>
                <w:t xml:space="preserve">of our Common Stock contained in our </w:t>
              </w:r>
              <w:r>
                <w:rPr>
                  <w:rFonts w:ascii="Times New Roman" w:cs="Times New Roman" w:eastAsia="Times New Roman" w:hAnsi="Times New Roman"/>
                  <w:sz w:val="18"/>
                  <w:szCs w:val="18"/>
                  <w:color w:val="0000EE"/>
                </w:rPr>
                <w:t>Registration Statement on Form 8-</w:t>
              </w:r>
            </w:hyperlink>
          </w:p>
        </w:tc>
        <w:tc>
          <w:tcPr>
            <w:tcW w:w="1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5"/>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B</w:t>
              </w:r>
              <w:r>
                <w:rPr>
                  <w:rFonts w:ascii="Times New Roman" w:cs="Times New Roman" w:eastAsia="Times New Roman" w:hAnsi="Times New Roman"/>
                  <w:sz w:val="18"/>
                  <w:szCs w:val="18"/>
                  <w:color w:val="000000"/>
                </w:rPr>
                <w:t>, as updated by the description of our Common Stock included in</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color w:val="0000EE"/>
                </w:rPr>
                <w:t xml:space="preserve">Exhibit 4.9 </w:t>
              </w:r>
            </w:hyperlink>
            <w:hyperlink r:id="rId35">
              <w:r>
                <w:rPr>
                  <w:rFonts w:ascii="Times New Roman" w:cs="Times New Roman" w:eastAsia="Times New Roman" w:hAnsi="Times New Roman"/>
                  <w:sz w:val="18"/>
                  <w:szCs w:val="18"/>
                  <w:color w:val="000000"/>
                </w:rPr>
                <w:t>to our</w:t>
              </w:r>
            </w:hyperlink>
          </w:p>
        </w:tc>
        <w:tc>
          <w:tcPr>
            <w:tcW w:w="1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2019 filed with the</w:t>
            </w:r>
          </w:p>
        </w:tc>
        <w:tc>
          <w:tcPr>
            <w:tcW w:w="1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 on February 13, 2020, together with any subsequent amendment or report filed</w:t>
            </w:r>
          </w:p>
        </w:tc>
        <w:tc>
          <w:tcPr>
            <w:tcW w:w="160" w:type="dxa"/>
            <w:vAlign w:val="bottom"/>
          </w:tcPr>
          <w:p>
            <w:pPr>
              <w:spacing w:after="0"/>
              <w:rPr>
                <w:sz w:val="18"/>
                <w:szCs w:val="18"/>
                <w:color w:val="auto"/>
              </w:rPr>
            </w:pPr>
          </w:p>
        </w:tc>
      </w:tr>
      <w:tr>
        <w:trPr>
          <w:trHeight w:val="248"/>
        </w:trPr>
        <w:tc>
          <w:tcPr>
            <w:tcW w:w="180" w:type="dxa"/>
            <w:vAlign w:val="bottom"/>
          </w:tcPr>
          <w:p>
            <w:pPr>
              <w:spacing w:after="0"/>
              <w:rPr>
                <w:sz w:val="21"/>
                <w:szCs w:val="21"/>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 the purpose of updating such description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-1473835</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5212080" cy="43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2022​</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63"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April 26, 2022</w:t>
        <w:tab/>
        <w:t>​</w:t>
      </w:r>
    </w:p>
    <w:p>
      <w:pPr>
        <w:spacing w:after="0" w:line="54"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March 7, 2022</w:t>
        <w:tab/>
        <w:t>​</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359"/>
        <w:spacing w:after="0"/>
        <w:tabs>
          <w:tab w:leader="none" w:pos="40" w:val="left"/>
        </w:tabs>
        <w:rPr>
          <w:sz w:val="20"/>
          <w:szCs w:val="20"/>
          <w:color w:val="auto"/>
        </w:rPr>
      </w:pPr>
      <w:r>
        <w:rPr>
          <w:rFonts w:ascii="Times New Roman" w:cs="Times New Roman" w:eastAsia="Times New Roman" w:hAnsi="Times New Roman"/>
          <w:sz w:val="18"/>
          <w:szCs w:val="18"/>
          <w:color w:val="auto"/>
        </w:rPr>
        <w:t>July 13, 1995</w:t>
        <w:tab/>
        <w:t>​</w:t>
      </w:r>
    </w:p>
    <w:p>
      <w:pPr>
        <w:spacing w:after="0" w:line="170" w:lineRule="exact"/>
        <w:rPr>
          <w:sz w:val="20"/>
          <w:szCs w:val="20"/>
          <w:color w:val="auto"/>
        </w:rPr>
      </w:pPr>
    </w:p>
    <w:p>
      <w:pPr>
        <w:sectPr>
          <w:pgSz w:w="11900" w:h="16838" w:orient="portrait"/>
          <w:cols w:equalWidth="0" w:num="2">
            <w:col w:w="8020" w:space="60"/>
            <w:col w:w="1799"/>
          </w:cols>
          <w:pgMar w:left="580" w:top="97" w:right="1440" w:bottom="1440" w:gutter="0" w:footer="0" w:header="0"/>
          <w:type w:val="continuous"/>
        </w:sect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3"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3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112" w:lineRule="exact"/>
        <w:rPr>
          <w:sz w:val="20"/>
          <w:szCs w:val="20"/>
          <w:color w:val="auto"/>
        </w:rPr>
      </w:pPr>
    </w:p>
    <w:p>
      <w:pPr>
        <w:jc w:val="both"/>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 w:cs="Times New Roman" w:eastAsia="Times New Roman" w:hAnsi="Times New Roman"/>
          <w:sz w:val="18"/>
          <w:szCs w:val="18"/>
          <w:i w:val="1"/>
          <w:iCs w:val="1"/>
          <w:color w:val="auto"/>
        </w:rPr>
        <w:t>.</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5240" w:hanging="463"/>
        <w:spacing w:after="0"/>
        <w:tabs>
          <w:tab w:leader="none" w:pos="5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512-6200</w:t>
      </w:r>
    </w:p>
    <w:p>
      <w:pPr>
        <w:spacing w:after="0" w:line="382"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10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xml:space="preserve"> Information contained on, or that can be accessed through, our website is not incorporated by reference into this prospectus and does not constitute a part of this prospectus.</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14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12"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terms relating to the offering. These terms will include some or all of the following:</w:t>
      </w:r>
    </w:p>
    <w:p>
      <w:pPr>
        <w:spacing w:after="0" w:line="52"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(or the method of calculating the interest rate, if applicable), the date from which interest will accrue, interest payment dates and record dates for interest payments;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Inc. or any other entity;</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1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97"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Waste Management, Inc. into another person, or a conveyance, transfer or lease of our properties and assets substantially as an entirety to another person unless:</w:t>
      </w:r>
    </w:p>
    <w:p>
      <w:pPr>
        <w:spacing w:after="0" w:line="67" w:lineRule="exact"/>
        <w:rPr>
          <w:sz w:val="20"/>
          <w:szCs w:val="20"/>
          <w:color w:val="auto"/>
        </w:rPr>
      </w:pPr>
    </w:p>
    <w:p>
      <w:pPr>
        <w:ind w:left="1800" w:right="71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71"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would occur and be continuing or would result from the transaction.</w:t>
      </w:r>
    </w:p>
    <w:p>
      <w:pPr>
        <w:spacing w:after="0" w:line="94"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06" w:lineRule="exact"/>
        <w:rPr>
          <w:sz w:val="20"/>
          <w:szCs w:val="20"/>
          <w:color w:val="auto"/>
        </w:rPr>
      </w:pPr>
    </w:p>
    <w:p>
      <w:pPr>
        <w:ind w:left="1260" w:right="9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are events of default with respect to a series of debt securities:</w:t>
      </w:r>
    </w:p>
    <w:p>
      <w:pPr>
        <w:spacing w:after="0" w:line="52"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67"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9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2"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9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9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Each indenture may be amended or supplemented if the majority in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6" w:lineRule="exact"/>
        <w:rPr>
          <w:sz w:val="20"/>
          <w:szCs w:val="20"/>
          <w:color w:val="auto"/>
        </w:rPr>
      </w:pPr>
    </w:p>
    <w:p>
      <w:pPr>
        <w:ind w:left="1800" w:right="6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13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2"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7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4" w:lineRule="exact"/>
        <w:rPr>
          <w:sz w:val="20"/>
          <w:szCs w:val="20"/>
          <w:color w:val="auto"/>
        </w:rPr>
      </w:pPr>
    </w:p>
    <w:p>
      <w:pPr>
        <w:ind w:left="1800" w:right="6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53"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320" w:lineRule="exact"/>
        <w:rPr>
          <w:sz w:val="20"/>
          <w:szCs w:val="20"/>
          <w:color w:val="auto"/>
        </w:rPr>
      </w:pPr>
    </w:p>
    <w:p>
      <w:pPr>
        <w:ind w:left="1620"/>
        <w:spacing w:after="0"/>
        <w:tabs>
          <w:tab w:leader="none" w:pos="2960" w:val="left"/>
        </w:tabs>
        <w:rPr>
          <w:sz w:val="20"/>
          <w:szCs w:val="20"/>
          <w:color w:val="auto"/>
        </w:rPr>
      </w:pPr>
      <w:r>
        <w:rPr>
          <w:rFonts w:ascii="Times New Roman" w:cs="Times New Roman" w:eastAsia="Times New Roman" w:hAnsi="Times New Roman"/>
          <w:sz w:val="18"/>
          <w:szCs w:val="18"/>
          <w:i w:val="1"/>
          <w:iCs w:val="1"/>
          <w:color w:val="auto"/>
        </w:rPr>
        <w:t>Governing Law.</w:t>
      </w:r>
      <w:r>
        <w:rPr>
          <w:sz w:val="20"/>
          <w:szCs w:val="20"/>
          <w:color w:val="auto"/>
        </w:rPr>
        <w:tab/>
      </w:r>
      <w:r>
        <w:rPr>
          <w:rFonts w:ascii="Times New Roman" w:cs="Times New Roman" w:eastAsia="Times New Roman" w:hAnsi="Times New Roman"/>
          <w:sz w:val="18"/>
          <w:szCs w:val="18"/>
          <w:color w:val="auto"/>
        </w:rPr>
        <w:t>New York law will govern the indentures and the debt securities.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The Bank of New York Mellon Trust Company, N.A. is the trustee under the senior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33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0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75"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68"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9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Payment and Paying Agents. </w:t>
      </w:r>
      <w:r>
        <w:rPr>
          <w:rFonts w:ascii="Times New Roman" w:cs="Times New Roman" w:eastAsia="Times New Roman" w:hAnsi="Times New Roman"/>
          <w:sz w:val="18"/>
          <w:szCs w:val="18"/>
          <w:color w:val="auto"/>
        </w:rPr>
        <w:t>Unless we inform you otherwise in a prospectus supplement,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1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12"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10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95" w:lineRule="exact"/>
        <w:rPr>
          <w:sz w:val="20"/>
          <w:szCs w:val="20"/>
          <w:color w:val="auto"/>
        </w:rPr>
      </w:pPr>
    </w:p>
    <w:p>
      <w:pPr>
        <w:ind w:left="1620" w:right="799" w:firstLine="360"/>
        <w:spacing w:after="0" w:line="282" w:lineRule="auto"/>
        <w:tabs>
          <w:tab w:leader="none" w:pos="23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94" w:lineRule="exact"/>
        <w:rPr>
          <w:sz w:val="20"/>
          <w:szCs w:val="20"/>
          <w:color w:val="auto"/>
        </w:rPr>
      </w:pPr>
    </w:p>
    <w:p>
      <w:pPr>
        <w:ind w:left="1620" w:right="1039" w:firstLine="360"/>
        <w:spacing w:after="0" w:line="282" w:lineRule="auto"/>
        <w:rPr>
          <w:sz w:val="20"/>
          <w:szCs w:val="20"/>
          <w:color w:val="auto"/>
        </w:rPr>
      </w:pPr>
      <w:r>
        <w:rPr>
          <w:rFonts w:ascii="Times New Roman" w:cs="Times New Roman" w:eastAsia="Times New Roman" w:hAnsi="Times New Roman"/>
          <w:sz w:val="18"/>
          <w:szCs w:val="18"/>
          <w:color w:val="auto"/>
        </w:rPr>
        <w:t>(b)   conditional sales agreements with respect to any property or assets acquired by us or a Restricted Subsidiary;</w:t>
      </w:r>
    </w:p>
    <w:p>
      <w:pPr>
        <w:spacing w:after="0" w:line="94" w:lineRule="exact"/>
        <w:rPr>
          <w:sz w:val="20"/>
          <w:szCs w:val="20"/>
          <w:color w:val="auto"/>
        </w:rPr>
      </w:pPr>
    </w:p>
    <w:p>
      <w:pPr>
        <w:ind w:left="1620" w:right="959" w:firstLine="360"/>
        <w:spacing w:after="0" w:line="266" w:lineRule="auto"/>
        <w:tabs>
          <w:tab w:leader="none" w:pos="23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94" w:lineRule="exact"/>
        <w:rPr>
          <w:rFonts w:ascii="Times New Roman" w:cs="Times New Roman" w:eastAsia="Times New Roman" w:hAnsi="Times New Roman"/>
          <w:sz w:val="18"/>
          <w:szCs w:val="18"/>
          <w:color w:val="auto"/>
        </w:rPr>
      </w:pPr>
    </w:p>
    <w:p>
      <w:pPr>
        <w:jc w:val="both"/>
        <w:ind w:left="1620" w:right="739" w:firstLine="360"/>
        <w:spacing w:after="0" w:line="266" w:lineRule="auto"/>
        <w:tabs>
          <w:tab w:leader="none" w:pos="23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any successor entity that becomes the Company in accordance with “— Provisions Applicable to Each Indenture — Consolidation, Merger and Sale of Assets,” above;</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either:</w:t>
      </w:r>
    </w:p>
    <w:p>
      <w:pPr>
        <w:spacing w:after="0" w:line="11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117" w:lineRule="exact"/>
        <w:rPr>
          <w:rFonts w:ascii="Times New Roman" w:cs="Times New Roman" w:eastAsia="Times New Roman" w:hAnsi="Times New Roman"/>
          <w:sz w:val="18"/>
          <w:szCs w:val="18"/>
          <w:color w:val="auto"/>
        </w:rPr>
      </w:pPr>
    </w:p>
    <w:p>
      <w:pPr>
        <w:ind w:left="2520" w:right="619" w:hanging="180"/>
        <w:spacing w:after="0" w:line="258" w:lineRule="auto"/>
        <w:tabs>
          <w:tab w:leader="none" w:pos="2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15"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   mechanics’, materialmen’s and like liens incurred in the ordinary course of business;</w:t>
      </w:r>
    </w:p>
    <w:p>
      <w:pPr>
        <w:spacing w:after="0" w:line="158" w:lineRule="exact"/>
        <w:rPr>
          <w:sz w:val="20"/>
          <w:szCs w:val="20"/>
          <w:color w:val="auto"/>
        </w:rPr>
      </w:pPr>
    </w:p>
    <w:p>
      <w:pPr>
        <w:ind w:left="1620" w:right="679" w:firstLine="360"/>
        <w:spacing w:after="0" w:line="282" w:lineRule="auto"/>
        <w:rPr>
          <w:sz w:val="20"/>
          <w:szCs w:val="20"/>
          <w:color w:val="auto"/>
        </w:rPr>
      </w:pPr>
      <w:r>
        <w:rPr>
          <w:rFonts w:ascii="Times New Roman" w:cs="Times New Roman" w:eastAsia="Times New Roman" w:hAnsi="Times New Roman"/>
          <w:sz w:val="18"/>
          <w:szCs w:val="18"/>
          <w:color w:val="auto"/>
        </w:rPr>
        <w:t>(h)   liens arising by deposits or security given to governmental agencies required in order to do business with the government;</w:t>
      </w:r>
    </w:p>
    <w:p>
      <w:pPr>
        <w:spacing w:after="0" w:line="94" w:lineRule="exact"/>
        <w:rPr>
          <w:sz w:val="20"/>
          <w:szCs w:val="20"/>
          <w:color w:val="auto"/>
        </w:rPr>
      </w:pPr>
    </w:p>
    <w:p>
      <w:pPr>
        <w:ind w:left="1620" w:right="519" w:firstLine="360"/>
        <w:spacing w:after="0" w:line="282" w:lineRule="auto"/>
        <w:rPr>
          <w:sz w:val="20"/>
          <w:szCs w:val="20"/>
          <w:color w:val="auto"/>
        </w:rPr>
      </w:pPr>
      <w:r>
        <w:rPr>
          <w:rFonts w:ascii="Times New Roman" w:cs="Times New Roman" w:eastAsia="Times New Roman" w:hAnsi="Times New Roman"/>
          <w:sz w:val="18"/>
          <w:szCs w:val="18"/>
          <w:color w:val="auto"/>
        </w:rPr>
        <w:t>(i)    liens for taxes, assessments or governmental charges not yet delinquent or being contested in good faith;</w:t>
      </w:r>
    </w:p>
    <w:p>
      <w:pPr>
        <w:spacing w:after="0" w:line="81" w:lineRule="exact"/>
        <w:rPr>
          <w:sz w:val="20"/>
          <w:szCs w:val="20"/>
          <w:color w:val="auto"/>
        </w:rPr>
      </w:pPr>
    </w:p>
    <w:p>
      <w:pPr>
        <w:ind w:left="1620" w:right="779" w:firstLine="360"/>
        <w:spacing w:after="0" w:line="282" w:lineRule="auto"/>
        <w:rPr>
          <w:sz w:val="20"/>
          <w:szCs w:val="20"/>
          <w:color w:val="auto"/>
        </w:rPr>
      </w:pPr>
      <w:r>
        <w:rPr>
          <w:rFonts w:ascii="Times New Roman" w:cs="Times New Roman" w:eastAsia="Times New Roman" w:hAnsi="Times New Roman"/>
          <w:sz w:val="18"/>
          <w:szCs w:val="18"/>
          <w:color w:val="auto"/>
        </w:rPr>
        <w:t>(j)    liens in connection with legal proceedings so long as the proceeding is being contested in good faith or execution thereon is stayed;</w:t>
      </w:r>
    </w:p>
    <w:p>
      <w:pPr>
        <w:spacing w:after="0" w:line="94" w:lineRule="exact"/>
        <w:rPr>
          <w:sz w:val="20"/>
          <w:szCs w:val="20"/>
          <w:color w:val="auto"/>
        </w:rPr>
      </w:pPr>
    </w:p>
    <w:p>
      <w:pPr>
        <w:ind w:left="1620" w:right="579" w:firstLine="360"/>
        <w:spacing w:after="0" w:line="282" w:lineRule="auto"/>
        <w:rPr>
          <w:sz w:val="20"/>
          <w:szCs w:val="20"/>
          <w:color w:val="auto"/>
        </w:rPr>
      </w:pPr>
      <w:r>
        <w:rPr>
          <w:rFonts w:ascii="Times New Roman" w:cs="Times New Roman" w:eastAsia="Times New Roman" w:hAnsi="Times New Roman"/>
          <w:sz w:val="18"/>
          <w:szCs w:val="18"/>
          <w:color w:val="auto"/>
        </w:rPr>
        <w:t>(k)   landlord’s liens on fixtures located on property leased by us or Restricted Subsidiaries in the ordinary course of business;</w:t>
      </w:r>
    </w:p>
    <w:p>
      <w:pPr>
        <w:spacing w:after="0" w:line="94" w:lineRule="exact"/>
        <w:rPr>
          <w:sz w:val="20"/>
          <w:szCs w:val="20"/>
          <w:color w:val="auto"/>
        </w:rPr>
      </w:pPr>
    </w:p>
    <w:p>
      <w:pPr>
        <w:ind w:left="1620" w:right="699" w:firstLine="360"/>
        <w:spacing w:after="0" w:line="282" w:lineRule="auto"/>
        <w:tabs>
          <w:tab w:leader="none" w:pos="23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81" w:lineRule="exact"/>
        <w:rPr>
          <w:sz w:val="20"/>
          <w:szCs w:val="20"/>
          <w:color w:val="auto"/>
        </w:rPr>
      </w:pPr>
    </w:p>
    <w:p>
      <w:pPr>
        <w:ind w:left="1620" w:right="559" w:firstLine="360"/>
        <w:spacing w:after="0" w:line="282" w:lineRule="auto"/>
        <w:rPr>
          <w:sz w:val="20"/>
          <w:szCs w:val="20"/>
          <w:color w:val="auto"/>
        </w:rPr>
      </w:pPr>
      <w:r>
        <w:rPr>
          <w:rFonts w:ascii="Times New Roman" w:cs="Times New Roman" w:eastAsia="Times New Roman" w:hAnsi="Times New Roman"/>
          <w:sz w:val="18"/>
          <w:szCs w:val="18"/>
          <w:color w:val="auto"/>
        </w:rPr>
        <w:t>(m)  liens arising due to deposits to qualify us or a Restricted Subsidiary to do business, maintain self-insurance or obtain the benefit of or comply with laws;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firstLine="360"/>
        <w:spacing w:after="0" w:line="282" w:lineRule="auto"/>
        <w:tabs>
          <w:tab w:leader="none" w:pos="23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157" w:lineRule="exact"/>
        <w:rPr>
          <w:rFonts w:ascii="Times New Roman" w:cs="Times New Roman" w:eastAsia="Times New Roman" w:hAnsi="Times New Roman"/>
          <w:sz w:val="18"/>
          <w:szCs w:val="18"/>
          <w:color w:val="auto"/>
        </w:rPr>
      </w:pPr>
    </w:p>
    <w:p>
      <w:pPr>
        <w:ind w:left="1620" w:right="659" w:firstLine="360"/>
        <w:spacing w:after="0" w:line="266" w:lineRule="auto"/>
        <w:tabs>
          <w:tab w:leader="none" w:pos="23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9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94" w:lineRule="exact"/>
        <w:rPr>
          <w:sz w:val="20"/>
          <w:szCs w:val="20"/>
          <w:color w:val="auto"/>
        </w:rPr>
      </w:pPr>
    </w:p>
    <w:p>
      <w:pPr>
        <w:ind w:left="1620" w:right="419" w:firstLine="360"/>
        <w:spacing w:after="0" w:line="261" w:lineRule="auto"/>
        <w:tabs>
          <w:tab w:leader="none" w:pos="23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98"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listed under the senior indenture or debt incurred by a Restricted Subsidiary; or</w:t>
      </w:r>
    </w:p>
    <w:p>
      <w:pPr>
        <w:spacing w:after="0" w:line="115" w:lineRule="exact"/>
        <w:rPr>
          <w:rFonts w:ascii="Times New Roman" w:cs="Times New Roman" w:eastAsia="Times New Roman" w:hAnsi="Times New Roman"/>
          <w:sz w:val="18"/>
          <w:szCs w:val="18"/>
          <w:color w:val="auto"/>
        </w:rPr>
      </w:pPr>
    </w:p>
    <w:p>
      <w:pPr>
        <w:jc w:val="both"/>
        <w:ind w:left="1620" w:right="699" w:firstLine="360"/>
        <w:spacing w:after="0" w:line="266" w:lineRule="auto"/>
        <w:tabs>
          <w:tab w:leader="none" w:pos="23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0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p>
      <w:pPr>
        <w:spacing w:after="0" w:line="14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the present value of the rental payments during the remaining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consolidated subsidiaries less:</w:t>
      </w:r>
    </w:p>
    <w:p>
      <w:pPr>
        <w:spacing w:after="0" w:line="52" w:lineRule="exact"/>
        <w:rPr>
          <w:sz w:val="20"/>
          <w:szCs w:val="20"/>
          <w:color w:val="auto"/>
        </w:rPr>
      </w:pPr>
    </w:p>
    <w:p>
      <w:pPr>
        <w:ind w:left="1800" w:right="73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15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0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1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16"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lease any Principal Property that we or such Restricted Subsidiary has sold or transferred or will sell or transfer to that person. This term excludes the following:</w:t>
      </w:r>
    </w:p>
    <w:p>
      <w:pPr>
        <w:spacing w:after="0" w:line="67"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142" w:lineRule="exact"/>
        <w:rPr>
          <w:sz w:val="20"/>
          <w:szCs w:val="20"/>
          <w:color w:val="auto"/>
        </w:rPr>
      </w:pPr>
    </w:p>
    <w:p>
      <w:pPr>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by us or by one or more other Subsidiaries, or by us and one or more other Subsidiaries.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160"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with or senior to our other subordinated debt that may be outstanding from time to time.</w:t>
      </w:r>
    </w:p>
    <w:p>
      <w:pPr>
        <w:spacing w:after="0" w:line="9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0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GUARANTEES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1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0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applicable law, holders of common stock are entitled to receive dividends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and if declared by our Board of Directors. In certain cases, common stockholders may not receive dividends until we satisfy our obligations to any preferred stockholders.</w:t>
      </w:r>
    </w:p>
    <w:p>
      <w:pPr>
        <w:spacing w:after="0" w:line="9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common stock is entitled to one vote for each share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325"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9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voluntarily, common stockholders will share ratably in the assets remaining for distribution to stockholders after we pay our creditors and any preferred stockholders.</w:t>
      </w:r>
    </w:p>
    <w:p>
      <w:pPr>
        <w:spacing w:after="0" w:line="99" w:lineRule="exact"/>
        <w:rPr>
          <w:sz w:val="20"/>
          <w:szCs w:val="20"/>
          <w:color w:val="auto"/>
        </w:rPr>
      </w:pPr>
    </w:p>
    <w:p>
      <w:pPr>
        <w:ind w:left="1260" w:right="9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Our common stock is listed on the New York Stock Exchange under the trading symbol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w:t>
      </w:r>
    </w:p>
    <w:p>
      <w:pPr>
        <w:spacing w:after="0" w:line="91"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Jersey City, New Jersey.</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liquidation preferences that would restrict common stock dividends or adversely affect the assets available for distribution to holders of shares of common stock in the event of our dissolution.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3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Advance Notice and Proxy Access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13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13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13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7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5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3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Liability of Directors and Officers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32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2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33"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that may be entered into with us to indemnification by us against specified liabilities, including liabilities incurred under the Securities Act, or</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61" w:lineRule="auto"/>
        <w:rPr>
          <w:sz w:val="20"/>
          <w:szCs w:val="20"/>
          <w:color w:val="auto"/>
        </w:rPr>
      </w:pPr>
      <w:r>
        <w:rPr>
          <w:rFonts w:ascii="Times New Roman" w:cs="Times New Roman" w:eastAsia="Times New Roman" w:hAnsi="Times New Roman"/>
          <w:sz w:val="18"/>
          <w:szCs w:val="18"/>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2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30">
        <w:r>
          <w:rPr>
            <w:rFonts w:ascii="Times New Roman" w:cs="Times New Roman" w:eastAsia="Times New Roman" w:hAnsi="Times New Roman"/>
            <w:sz w:val="18"/>
            <w:szCs w:val="18"/>
            <w:u w:val="single" w:color="auto"/>
            <w:color w:val="0000EE"/>
          </w:rPr>
          <w:t>Annual Report (Form 10-K) for the year ended December 31, 2021</w:t>
        </w:r>
      </w:hyperlink>
      <w:r>
        <w:rPr>
          <w:rFonts w:ascii="Times New Roman" w:cs="Times New Roman" w:eastAsia="Times New Roman" w:hAnsi="Times New Roman"/>
          <w:sz w:val="18"/>
          <w:szCs w:val="18"/>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fees and expenses payable by the Company in connection with the registration of the securities registered hereby:</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2020" w:type="dxa"/>
            <w:vAlign w:val="bottom"/>
          </w:tcPr>
          <w:p>
            <w:pPr>
              <w:jc w:val="right"/>
              <w:ind w:right="17"/>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20" w:type="dxa"/>
            <w:vAlign w:val="bottom"/>
          </w:tcPr>
          <w:p>
            <w:pPr>
              <w:jc w:val="right"/>
              <w:ind w:right="57"/>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gridSpan w:val="2"/>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2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20" w:type="dxa"/>
            <w:vAlign w:val="bottom"/>
            <w:shd w:val="clear" w:color="auto" w:fill="CCEEFF"/>
          </w:tcPr>
          <w:p>
            <w:pPr>
              <w:jc w:val="right"/>
              <w:ind w:right="57"/>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2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20" w:type="dxa"/>
            <w:vAlign w:val="bottom"/>
          </w:tcPr>
          <w:p>
            <w:pPr>
              <w:jc w:val="right"/>
              <w:ind w:right="57"/>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gridSpan w:val="2"/>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Rating agency fees and expenses</w:t>
            </w:r>
          </w:p>
        </w:tc>
        <w:tc>
          <w:tcPr>
            <w:tcW w:w="2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2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20" w:type="dxa"/>
            <w:vAlign w:val="bottom"/>
            <w:shd w:val="clear" w:color="auto" w:fill="CCEEFF"/>
          </w:tcPr>
          <w:p>
            <w:pPr>
              <w:jc w:val="right"/>
              <w:ind w:right="57"/>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Trustee’s and transfer agent’s fees and expenses</w:t>
            </w:r>
          </w:p>
        </w:tc>
        <w:tc>
          <w:tcPr>
            <w:tcW w:w="2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20" w:type="dxa"/>
            <w:vAlign w:val="bottom"/>
          </w:tcPr>
          <w:p>
            <w:pPr>
              <w:jc w:val="right"/>
              <w:ind w:right="57"/>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gridSpan w:val="2"/>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2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20" w:type="dxa"/>
            <w:vAlign w:val="bottom"/>
            <w:shd w:val="clear" w:color="auto" w:fill="CCEEFF"/>
          </w:tcPr>
          <w:p>
            <w:pPr>
              <w:jc w:val="right"/>
              <w:ind w:right="57"/>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Total</w:t>
            </w:r>
          </w:p>
        </w:tc>
        <w:tc>
          <w:tcPr>
            <w:tcW w:w="2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559" w:hanging="360"/>
        <w:spacing w:after="0" w:line="282"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SEC registration fees have been deferred in accordance with Rule 456(b) and 457(r) under the Securities Act and are not estimable at this time.</w:t>
      </w:r>
    </w:p>
    <w:p>
      <w:pPr>
        <w:spacing w:after="0" w:line="13" w:lineRule="exact"/>
        <w:rPr>
          <w:sz w:val="20"/>
          <w:szCs w:val="20"/>
          <w:color w:val="auto"/>
        </w:rPr>
      </w:pPr>
    </w:p>
    <w:p>
      <w:pPr>
        <w:ind w:left="1620" w:right="559" w:hanging="360"/>
        <w:spacing w:after="0" w:line="258"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are not presently known. The foregoing sets forth the general categories of expenses (other than underwriting discounts and commissions) that the Company anticipates it will incur in connection with the offering of securities under this registration statement. An estimate of the aggregate amount of these expenses in connection with the issuance and distribution of the securities being offered will be reflected in the applicable prospectus supplement.</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329"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Company or any of its direct or indirect subsidiaries or while such a director or officer is or was serving at the request of the Company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Company is not required to indemnify or advance expenses to any person in connection with any action, suit, proceeding, claim or counterclaim initiated by or on behalf of such person. Such indemnification is not to be exclusive of other indemnification rights arising under any By-laws, agreement, vote of directors or stockholders or otherwise and shall inure to the benefit of the heirs and legal representatives of such person. Additionally, the Company has direct contractual obligations to provide indemnification to each of the members of its Board of Directors and each of its executive officers. These agreements provide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and executive officers with the same indemnification by the Company as described above and assure directors and executive officers that indemnification will continue to be provided despite future changes in the By-laws of the Company.</w:t>
      </w:r>
    </w:p>
    <w:p>
      <w:pPr>
        <w:spacing w:after="0" w:line="10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Waste Management Holdings’ Third Restated Certificate of Incorporation and Amended and Restated By-laws require that it provide indemnification to the maximum extent permitted from time to time under the DGCL, and shall advance expenses to any person who is or was a party or is threatened to be made a party to any threatened, pending or completed action, suit or proceeding, whether civil, criminal, administrative or investigative, by reason of the fact that such person is or was a director or officer of Waste Management Holdings or while such a director or officer is or was serving at the request of the Waste Management Holdings as a director, officer, employee or agent of any corporation, partnership, joint venture, trust or other enterprise, including service with respect to employee benefit plans, against expenses (including attorney’s fees and expenses), judgments, fines and penalties paid in settlement incurred in connection with the investigation or defense of such action, suit or proceeding; provided, however, that Waste Management Holdings is not required to indemnify or advance expenses to any person in connection with any proceeding initiated by or on behalf of such person unless such proceeding (or part thereof) was authorized or consented to by the Board of Directors of Waste Management Holdings. Such indemnification is not exclusive of other indemnification rights arising under any By-laws, agreement, vote of directors or stockholders or otherwise and shall inure to the benefit of the heirs, executors and administrators of such person.</w:t>
      </w:r>
    </w:p>
    <w:p>
      <w:pPr>
        <w:spacing w:after="0" w:line="3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Each of our Certificate of Incorporation and the Third Restated Certificate of Incorporation of Waste Management Holdings provides that no director will be liable to it or its stockholders for any breach of fiduciary duty, except as limited under the DGCL.</w:t>
      </w:r>
    </w:p>
    <w:p>
      <w:pPr>
        <w:spacing w:after="0" w:line="120"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Our and Waste Management Holdings’ directors and officers are covered by insurance policies indemnifying against certain liabilities, including certain liabilities arising under the Securities Act that might be incurred by them in such capacities and against which we may not indemnify them.</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Exhibit</w:t>
      </w:r>
    </w:p>
    <w:p>
      <w:pPr>
        <w:jc w:val="right"/>
        <w:ind w:right="379"/>
        <w:spacing w:after="0" w:line="182" w:lineRule="auto"/>
        <w:tabs>
          <w:tab w:leader="none" w:pos="4100" w:val="left"/>
          <w:tab w:leader="none" w:pos="20" w:val="left"/>
        </w:tabs>
        <w:rPr>
          <w:sz w:val="20"/>
          <w:szCs w:val="20"/>
          <w:color w:val="auto"/>
        </w:rPr>
      </w:pPr>
      <w:r>
        <w:rPr>
          <w:rFonts w:ascii="Times New Roman" w:cs="Times New Roman" w:eastAsia="Times New Roman" w:hAnsi="Times New Roman"/>
          <w:sz w:val="25"/>
          <w:szCs w:val="25"/>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Number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-1270</wp:posOffset>
            </wp:positionV>
            <wp:extent cx="4766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  3.1</w:t>
      </w: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3.2</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3.3</w:t>
      </w: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3.4</w:t>
      </w: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4.1</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359"/>
        <w:spacing w:after="0" w:line="289" w:lineRule="auto"/>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u w:val="single" w:color="auto"/>
            <w:color w:val="0000EE"/>
          </w:rPr>
          <w:t>Third Restated Certificate of Incorporation of Waste Management, Inc. (incorporated by reference</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to Exhibit 3.1 to the Company’s Quarterly Report on Form 10-Q for the quarter ended June 30,</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2010).</w:t>
        </w:r>
      </w:hyperlink>
    </w:p>
    <w:p>
      <w:pPr>
        <w:spacing w:after="0" w:line="187" w:lineRule="exact"/>
        <w:rPr>
          <w:rFonts w:ascii="Times New Roman" w:cs="Times New Roman" w:eastAsia="Times New Roman" w:hAnsi="Times New Roman"/>
          <w:sz w:val="18"/>
          <w:szCs w:val="18"/>
          <w:color w:val="0000EE"/>
        </w:rPr>
      </w:pPr>
    </w:p>
    <w:p>
      <w:pPr>
        <w:ind w:right="359"/>
        <w:spacing w:after="0" w:line="273" w:lineRule="auto"/>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Amended and Restated By-laws of Waste Management, Inc. (incorporated by reference to</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Exhibit 3.2 to the Company’s Current Report on Form 8-K filed November 18, 2020).</w:t>
        </w:r>
      </w:hyperlink>
    </w:p>
    <w:p>
      <w:pPr>
        <w:spacing w:after="0" w:line="2" w:lineRule="exact"/>
        <w:rPr>
          <w:sz w:val="20"/>
          <w:szCs w:val="20"/>
          <w:color w:val="auto"/>
        </w:rPr>
      </w:pPr>
    </w:p>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u w:val="single" w:color="auto"/>
            <w:color w:val="0000EE"/>
          </w:rPr>
          <w:t>Third Restated Certificate of Incorporation of Waste Management Holdings, Inc. (incorporated by</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reference to Exhibit 4.2 to the Company’s Annual Report on Form 10-K for the year ended</w:t>
              </w:r>
            </w:hyperlink>
          </w:p>
        </w:tc>
        <w:tc>
          <w:tcPr>
            <w:tcW w:w="4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gridSpan w:val="6"/>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December 31, 2014).</w:t>
              </w:r>
            </w:hyperlink>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Amended and Restated By-laws of Waste Management Holdings, Inc. (incorporated by reference</w:t>
              </w:r>
            </w:hyperlink>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gridSpan w:val="6"/>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to Exhibit 4.3 to the Company’s Quarterly Report on Form 10-Q for the quarter ended June 30,</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2014).</w:t>
              </w:r>
            </w:hyperlink>
          </w:p>
        </w:tc>
        <w:tc>
          <w:tcPr>
            <w:tcW w:w="1100" w:type="dxa"/>
            <w:vAlign w:val="bottom"/>
            <w:tcBorders>
              <w:top w:val="single" w:sz="8" w:color="0000EE"/>
            </w:tcBorders>
          </w:tcPr>
          <w:p>
            <w:pPr>
              <w:spacing w:after="0"/>
              <w:rPr>
                <w:sz w:val="17"/>
                <w:szCs w:val="17"/>
                <w:color w:val="auto"/>
              </w:rPr>
            </w:pPr>
          </w:p>
        </w:tc>
        <w:tc>
          <w:tcPr>
            <w:tcW w:w="50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Specimen Stock Certificate of Waste Management, Inc. (incorporated by reference to Exhibit 4.1</w:t>
              </w:r>
            </w:hyperlink>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to the Company’s Annual Report on Form 10-K for the year ended December 31, 1998).</w:t>
              </w:r>
            </w:hyperlink>
          </w:p>
        </w:tc>
        <w:tc>
          <w:tcPr>
            <w:tcW w:w="6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right="359"/>
        <w:spacing w:after="0" w:line="271" w:lineRule="auto"/>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Indenture for Senior Debt Securities dated September 10, 1997 among the Company and The Bank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of New York Mellon Trust Company, N.A. (the current successor to Texas Commerce Bank</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National Association), as trustee (incorporated by reference to Exhibit 4.1 to the Company’s</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Current Report on Form 8-K filed September 24, 1997).</w:t>
        </w:r>
      </w:hyperlink>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3">
            <w:col w:w="1580" w:space="180"/>
            <w:col w:w="140" w:space="60"/>
            <w:col w:w="7919"/>
          </w:cols>
          <w:pgMar w:left="580" w:top="97" w:right="1440" w:bottom="1440" w:gutter="0" w:footer="0" w:header="0"/>
          <w:type w:val="continuous"/>
        </w:sectPr>
      </w:pPr>
    </w:p>
    <w:p>
      <w:pPr>
        <w:spacing w:after="0" w:line="175" w:lineRule="exact"/>
        <w:rPr>
          <w:rFonts w:ascii="Times New Roman" w:cs="Times New Roman" w:eastAsia="Times New Roman" w:hAnsi="Times New Roman"/>
          <w:sz w:val="18"/>
          <w:szCs w:val="18"/>
          <w:u w:val="single" w:color="auto"/>
          <w:color w:val="0000EE"/>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Exhibit</w:t>
      </w:r>
    </w:p>
    <w:p>
      <w:pPr>
        <w:jc w:val="right"/>
        <w:ind w:right="379"/>
        <w:spacing w:after="0" w:line="182" w:lineRule="auto"/>
        <w:tabs>
          <w:tab w:leader="none" w:pos="4100" w:val="left"/>
          <w:tab w:leader="none" w:pos="20" w:val="left"/>
        </w:tabs>
        <w:rPr>
          <w:sz w:val="20"/>
          <w:szCs w:val="20"/>
          <w:color w:val="auto"/>
        </w:rPr>
      </w:pPr>
      <w:r>
        <w:rPr>
          <w:rFonts w:ascii="Times New Roman" w:cs="Times New Roman" w:eastAsia="Times New Roman" w:hAnsi="Times New Roman"/>
          <w:sz w:val="25"/>
          <w:szCs w:val="25"/>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Number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-1270</wp:posOffset>
            </wp:positionV>
            <wp:extent cx="4766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  4.3</w:t>
      </w:r>
    </w:p>
    <w:p>
      <w:pPr>
        <w:spacing w:after="0" w:line="200" w:lineRule="exact"/>
        <w:rPr>
          <w:sz w:val="20"/>
          <w:szCs w:val="20"/>
          <w:color w:val="auto"/>
        </w:rPr>
      </w:pP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5.1</w:t>
      </w:r>
    </w:p>
    <w:p>
      <w:pPr>
        <w:ind w:left="1260"/>
        <w:spacing w:after="0"/>
        <w:rPr>
          <w:sz w:val="20"/>
          <w:szCs w:val="20"/>
          <w:color w:val="auto"/>
        </w:rPr>
      </w:pPr>
      <w:r>
        <w:rPr>
          <w:rFonts w:ascii="Times New Roman" w:cs="Times New Roman" w:eastAsia="Times New Roman" w:hAnsi="Times New Roman"/>
          <w:sz w:val="18"/>
          <w:szCs w:val="18"/>
          <w:color w:val="auto"/>
        </w:rPr>
        <w:t>22.1​</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23.1</w:t>
      </w:r>
    </w:p>
    <w:p>
      <w:pPr>
        <w:ind w:left="1260"/>
        <w:spacing w:after="0" w:line="184" w:lineRule="auto"/>
        <w:rPr>
          <w:sz w:val="20"/>
          <w:szCs w:val="20"/>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24.1​</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25.1</w:t>
      </w:r>
    </w:p>
    <w:p>
      <w:pPr>
        <w:ind w:left="1260"/>
        <w:spacing w:after="0" w:line="181" w:lineRule="auto"/>
        <w:rPr>
          <w:sz w:val="20"/>
          <w:szCs w:val="20"/>
          <w:color w:val="auto"/>
        </w:rPr>
      </w:pPr>
      <w:r>
        <w:rPr>
          <w:rFonts w:ascii="Times New Roman" w:cs="Times New Roman" w:eastAsia="Times New Roman" w:hAnsi="Times New Roman"/>
          <w:sz w:val="17"/>
          <w:szCs w:val="17"/>
          <w:color w:val="auto"/>
        </w:rPr>
        <w:t>25.2</w:t>
      </w:r>
      <w:r>
        <w:rPr>
          <w:rFonts w:ascii="Times New Roman" w:cs="Times New Roman" w:eastAsia="Times New Roman" w:hAnsi="Times New Roman"/>
          <w:sz w:val="31"/>
          <w:szCs w:val="31"/>
          <w:color w:val="auto"/>
          <w:vertAlign w:val="superscript"/>
        </w:rPr>
        <w:t>​</w:t>
      </w:r>
    </w:p>
    <w:p>
      <w:pPr>
        <w:ind w:left="1260"/>
        <w:spacing w:after="0" w:line="191" w:lineRule="auto"/>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br w:type="column"/>
      </w:r>
    </w:p>
    <w:p>
      <w:pPr>
        <w:jc w:val="center"/>
        <w:ind w:right="359"/>
        <w:spacing w:after="0" w:line="271"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71">
        <w:r>
          <w:rPr>
            <w:rFonts w:ascii="Times New Roman" w:cs="Times New Roman" w:eastAsia="Times New Roman" w:hAnsi="Times New Roman"/>
            <w:sz w:val="18"/>
            <w:szCs w:val="18"/>
            <w:u w:val="single" w:color="auto"/>
            <w:color w:val="0000EE"/>
          </w:rPr>
          <w:t>Indenture for Subordinated Debt Securities dated February 1, 1997 among the Company and The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Bank of New York Mellon Trust Company, N.A. (the current successor to Texas Commerce Bank</w:t>
        </w:r>
      </w:hyperlink>
    </w:p>
    <w:tbl>
      <w:tblPr>
        <w:tblLayout w:type="fixed"/>
        <w:tblInd w:w="0" w:type="dxa"/>
        <w:tblCellMar>
          <w:top w:w="0" w:type="dxa"/>
          <w:left w:w="0" w:type="dxa"/>
          <w:bottom w:w="0" w:type="dxa"/>
          <w:right w:w="0" w:type="dxa"/>
        </w:tblCellMar>
      </w:tblPr>
      <w:tr>
        <w:trPr>
          <w:trHeight w:val="177"/>
        </w:trPr>
        <w:tc>
          <w:tcPr>
            <w:tcW w:w="200" w:type="dxa"/>
            <w:vAlign w:val="bottom"/>
          </w:tcPr>
          <w:p>
            <w:pPr>
              <w:spacing w:after="0"/>
              <w:rPr>
                <w:sz w:val="15"/>
                <w:szCs w:val="15"/>
                <w:color w:val="auto"/>
              </w:rPr>
            </w:pPr>
          </w:p>
        </w:tc>
        <w:tc>
          <w:tcPr>
            <w:tcW w:w="7000" w:type="dxa"/>
            <w:vAlign w:val="bottom"/>
            <w:gridSpan w:val="12"/>
          </w:tcPr>
          <w:p>
            <w:pPr>
              <w:spacing w:after="0" w:line="177"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National Association), as trustee (incorporated by reference to Exhibit 4.1 to the Company’s</w:t>
              </w:r>
            </w:hyperlink>
          </w:p>
        </w:tc>
        <w:tc>
          <w:tcPr>
            <w:tcW w:w="56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Current Report on Form 8-K filed February 7, 1997).</w:t>
              </w:r>
            </w:hyperlink>
          </w:p>
        </w:tc>
        <w:tc>
          <w:tcPr>
            <w:tcW w:w="294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7200" w:type="dxa"/>
            <w:vAlign w:val="bottom"/>
            <w:gridSpan w:val="13"/>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Legal Opinion of Courtney A. Tippy.</w:t>
            </w:r>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20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72">
              <w:r>
                <w:rPr>
                  <w:rFonts w:ascii="Times New Roman" w:cs="Times New Roman" w:eastAsia="Times New Roman" w:hAnsi="Times New Roman"/>
                  <w:sz w:val="18"/>
                  <w:szCs w:val="18"/>
                  <w:color w:val="0000EE"/>
                </w:rPr>
                <w:t>Guarantor Subsidiary (incorporated by reference to Exhibit 22.1 to the Company’s Quarterly</w:t>
              </w:r>
            </w:hyperlink>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Report on Form 10-Q for the quarter ended March 31, 2022).</w:t>
              </w:r>
            </w:hyperlink>
          </w:p>
        </w:tc>
        <w:tc>
          <w:tcPr>
            <w:tcW w:w="238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7200" w:type="dxa"/>
            <w:vAlign w:val="bottom"/>
            <w:gridSpan w:val="13"/>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Consent of Courtney A. Tippy (included in Exhibit 5.1).</w:t>
            </w:r>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c>
          <w:tcPr>
            <w:tcW w:w="2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Power of Attorney (filed herewith and included on the signature page of this registration</w:t>
            </w:r>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statement).</w:t>
            </w:r>
          </w:p>
        </w:tc>
        <w:tc>
          <w:tcPr>
            <w:tcW w:w="5840" w:type="dxa"/>
            <w:vAlign w:val="bottom"/>
            <w:tcBorders>
              <w:top w:val="single" w:sz="8" w:color="0000EE"/>
            </w:tcBorders>
            <w:gridSpan w:val="8"/>
          </w:tcPr>
          <w:p>
            <w:pPr>
              <w:spacing w:after="0"/>
              <w:rPr>
                <w:sz w:val="17"/>
                <w:szCs w:val="17"/>
                <w:color w:val="auto"/>
              </w:rPr>
            </w:pPr>
          </w:p>
        </w:tc>
        <w:tc>
          <w:tcPr>
            <w:tcW w:w="3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r>
      <w:tr>
        <w:trPr>
          <w:trHeight w:val="263"/>
        </w:trPr>
        <w:tc>
          <w:tcPr>
            <w:tcW w:w="7200" w:type="dxa"/>
            <w:vAlign w:val="bottom"/>
            <w:gridSpan w:val="13"/>
          </w:tcPr>
          <w:p>
            <w:pPr>
              <w:spacing w:after="0" w:line="264" w:lineRule="exact"/>
              <w:rPr>
                <w:sz w:val="20"/>
                <w:szCs w:val="20"/>
                <w:color w:val="auto"/>
              </w:rPr>
            </w:pPr>
            <w:r>
              <w:rPr>
                <w:rFonts w:ascii="Times New Roman" w:cs="Times New Roman" w:eastAsia="Times New Roman" w:hAnsi="Times New Roman"/>
                <w:sz w:val="30"/>
                <w:szCs w:val="30"/>
                <w:color w:val="000000"/>
                <w:vertAlign w:val="superscript"/>
              </w:rPr>
              <w:t>​ ​</w:t>
            </w:r>
            <w:r>
              <w:rPr>
                <w:rFonts w:ascii="Times New Roman" w:cs="Times New Roman" w:eastAsia="Times New Roman" w:hAnsi="Times New Roman"/>
                <w:sz w:val="16"/>
                <w:szCs w:val="16"/>
                <w:color w:val="0000EE"/>
              </w:rPr>
              <w:t xml:space="preserve"> Statement of Eligibility of Trustee on Form T-1 with respect to the senior indenture.</w:t>
            </w:r>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7200" w:type="dxa"/>
            <w:vAlign w:val="bottom"/>
            <w:gridSpan w:val="13"/>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Statement of Eligibility of Trustee on Form T-1 with respect to the subordinated indenture.</w:t>
            </w:r>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50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7200" w:type="dxa"/>
            <w:vAlign w:val="bottom"/>
            <w:gridSpan w:val="13"/>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Filing Fees Table.</w:t>
            </w:r>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171450</wp:posOffset>
            </wp:positionV>
            <wp:extent cx="1234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1580" w:space="180"/>
            <w:col w:w="8119"/>
          </w:cols>
          <w:pgMar w:left="580" w:top="97" w:right="1440" w:bottom="1440" w:gutter="0" w:footer="0" w:header="0"/>
          <w:type w:val="continuous"/>
        </w:sectPr>
      </w:pPr>
    </w:p>
    <w:p>
      <w:pPr>
        <w:spacing w:after="0" w:line="41" w:lineRule="exact"/>
        <w:rPr>
          <w:sz w:val="20"/>
          <w:szCs w:val="20"/>
          <w:color w:val="auto"/>
        </w:rPr>
      </w:pPr>
    </w:p>
    <w:p>
      <w:pPr>
        <w:ind w:left="1620" w:right="459" w:hanging="360"/>
        <w:spacing w:after="0" w:line="255"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 Inc. will file as an exhibit to a Current Report on Form 8-K (i) any underwriting, remarketing or agency agreement relating to securities offered hereby, (ii) the instruments setting forth the terms of any securities, (iii) any additional required opinions of counsel with respect to legality of the securities offered hereby and (iv) any required opinion of counsel as to certain tax matters relative to securities offered hereby. Any additional required Statements of Eligibility under the Trust Indenture Act of 1939, as amended (the “Trust Indenture Act”), on Form T-1 would be filed, if necessary, on Form 305B2 in accordance with the requirements of Section 305(b)(2) of the Trust Indenture Act.</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sz w:val="20"/>
          <w:szCs w:val="20"/>
          <w:color w:val="auto"/>
        </w:rPr>
      </w:pPr>
    </w:p>
    <w:p>
      <w:pPr>
        <w:ind w:left="1260" w:right="579" w:firstLine="360"/>
        <w:spacing w:after="0" w:line="282" w:lineRule="auto"/>
        <w:tabs>
          <w:tab w:leader="none" w:pos="198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sz w:val="20"/>
          <w:szCs w:val="20"/>
          <w:color w:val="auto"/>
        </w:rPr>
      </w:pPr>
    </w:p>
    <w:p>
      <w:pPr>
        <w:ind w:left="1620" w:right="479" w:firstLine="360"/>
        <w:spacing w:after="0" w:line="244"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8" w:lineRule="exact"/>
        <w:rPr>
          <w:sz w:val="20"/>
          <w:szCs w:val="20"/>
          <w:color w:val="auto"/>
        </w:rPr>
      </w:pPr>
    </w:p>
    <w:p>
      <w:pPr>
        <w:jc w:val="both"/>
        <w:ind w:left="1620" w:right="719" w:firstLine="360"/>
        <w:spacing w:after="0" w:line="250"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the registration statement or any material change to such information in the registration statement;</w:t>
      </w:r>
    </w:p>
    <w:p>
      <w:pPr>
        <w:spacing w:after="0" w:line="107"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(ii) and (iii) do not apply if the information required to be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8" w:lineRule="exact"/>
        <w:rPr>
          <w:sz w:val="20"/>
          <w:szCs w:val="20"/>
          <w:color w:val="auto"/>
        </w:rPr>
      </w:pPr>
    </w:p>
    <w:p>
      <w:pPr>
        <w:ind w:left="1260" w:right="739" w:firstLine="360"/>
        <w:spacing w:after="0" w:line="250" w:lineRule="auto"/>
        <w:tabs>
          <w:tab w:leader="none" w:pos="20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ectPr>
          <w:pgSz w:w="11900" w:h="16838" w:orient="portrait"/>
          <w:cols w:equalWidth="0" w:num="1">
            <w:col w:w="9879"/>
          </w:cols>
          <w:pgMar w:left="580" w:top="97" w:right="1440" w:bottom="1440" w:gutter="0" w:footer="0" w:header="0"/>
          <w:type w:val="continuous"/>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82" w:lineRule="auto"/>
        <w:tabs>
          <w:tab w:leader="none" w:pos="20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80" w:lineRule="exact"/>
        <w:rPr>
          <w:rFonts w:ascii="Times New Roman" w:cs="Times New Roman" w:eastAsia="Times New Roman" w:hAnsi="Times New Roman"/>
          <w:sz w:val="18"/>
          <w:szCs w:val="18"/>
          <w:color w:val="auto"/>
        </w:rPr>
      </w:pPr>
    </w:p>
    <w:p>
      <w:pPr>
        <w:ind w:left="2040" w:hanging="420"/>
        <w:spacing w:after="0"/>
        <w:tabs>
          <w:tab w:leader="none" w:pos="2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44" w:lineRule="exact"/>
        <w:rPr>
          <w:rFonts w:ascii="Times New Roman" w:cs="Times New Roman" w:eastAsia="Times New Roman" w:hAnsi="Times New Roman"/>
          <w:sz w:val="18"/>
          <w:szCs w:val="18"/>
          <w:color w:val="auto"/>
        </w:rPr>
      </w:pPr>
    </w:p>
    <w:p>
      <w:pPr>
        <w:jc w:val="both"/>
        <w:ind w:left="1620" w:right="559" w:firstLine="360"/>
        <w:spacing w:after="0" w:line="258" w:lineRule="auto"/>
        <w:tabs>
          <w:tab w:leader="none" w:pos="23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2" w:lineRule="exact"/>
        <w:rPr>
          <w:sz w:val="20"/>
          <w:szCs w:val="20"/>
          <w:color w:val="auto"/>
        </w:rPr>
      </w:pPr>
    </w:p>
    <w:p>
      <w:pPr>
        <w:ind w:left="162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(ii)   Each prospectus required to be filed pursuant to Rule 424(b)(2), (b)(5) or (b)(7) as part of a registration statement in reliance on Rule 430B relating to an offering made pursuant to Rule 415(a)(1) (i),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25" w:lineRule="exact"/>
        <w:rPr>
          <w:sz w:val="20"/>
          <w:szCs w:val="20"/>
          <w:color w:val="auto"/>
        </w:rPr>
      </w:pPr>
    </w:p>
    <w:p>
      <w:pPr>
        <w:ind w:left="1260" w:right="419" w:firstLine="360"/>
        <w:spacing w:after="0" w:line="244" w:lineRule="auto"/>
        <w:tabs>
          <w:tab w:leader="none" w:pos="20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4" w:lineRule="exact"/>
        <w:rPr>
          <w:rFonts w:ascii="Times New Roman" w:cs="Times New Roman" w:eastAsia="Times New Roman" w:hAnsi="Times New Roman"/>
          <w:sz w:val="18"/>
          <w:szCs w:val="18"/>
          <w:color w:val="auto"/>
        </w:rPr>
      </w:pPr>
    </w:p>
    <w:p>
      <w:pPr>
        <w:ind w:left="1620" w:right="459" w:firstLine="360"/>
        <w:spacing w:after="0" w:line="282" w:lineRule="auto"/>
        <w:tabs>
          <w:tab w:leader="none" w:pos="229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1" w:lineRule="exact"/>
        <w:rPr>
          <w:sz w:val="20"/>
          <w:szCs w:val="20"/>
          <w:color w:val="auto"/>
        </w:rPr>
      </w:pPr>
    </w:p>
    <w:p>
      <w:pPr>
        <w:ind w:left="1620" w:right="1299" w:firstLine="360"/>
        <w:spacing w:after="0" w:line="266" w:lineRule="auto"/>
        <w:rPr>
          <w:sz w:val="20"/>
          <w:szCs w:val="20"/>
          <w:color w:val="auto"/>
        </w:rPr>
      </w:pPr>
      <w:r>
        <w:rPr>
          <w:rFonts w:ascii="Times New Roman" w:cs="Times New Roman" w:eastAsia="Times New Roman" w:hAnsi="Times New Roman"/>
          <w:sz w:val="18"/>
          <w:szCs w:val="18"/>
          <w:color w:val="auto"/>
        </w:rPr>
        <w:t>(ii)   Any free writing prospectus relating to the offering prepared by or on behalf of the undersigned registrant or used or referred to by the undersigned registrant;</w:t>
      </w:r>
    </w:p>
    <w:p>
      <w:pPr>
        <w:spacing w:after="0" w:line="95" w:lineRule="exact"/>
        <w:rPr>
          <w:sz w:val="20"/>
          <w:szCs w:val="20"/>
          <w:color w:val="auto"/>
        </w:rPr>
      </w:pPr>
    </w:p>
    <w:p>
      <w:pPr>
        <w:ind w:left="1620" w:right="619" w:firstLine="360"/>
        <w:spacing w:after="0" w:line="266" w:lineRule="auto"/>
        <w:rPr>
          <w:sz w:val="20"/>
          <w:szCs w:val="20"/>
          <w:color w:val="auto"/>
        </w:rPr>
      </w:pPr>
      <w:r>
        <w:rPr>
          <w:rFonts w:ascii="Times New Roman" w:cs="Times New Roman" w:eastAsia="Times New Roman" w:hAnsi="Times New Roman"/>
          <w:sz w:val="18"/>
          <w:szCs w:val="18"/>
          <w:color w:val="auto"/>
        </w:rPr>
        <w:t>(iii)  The portion of any other free writing prospectus relating to the offering containing material information about the undersigned registrant or its securities provided by or on behalf of the undersigned registrant; and</w:t>
      </w:r>
    </w:p>
    <w:p>
      <w:pPr>
        <w:spacing w:after="0" w:line="108" w:lineRule="exact"/>
        <w:rPr>
          <w:sz w:val="20"/>
          <w:szCs w:val="20"/>
          <w:color w:val="auto"/>
        </w:rPr>
      </w:pPr>
    </w:p>
    <w:p>
      <w:pPr>
        <w:ind w:left="1620" w:right="619" w:firstLine="360"/>
        <w:spacing w:after="0" w:line="282" w:lineRule="auto"/>
        <w:rPr>
          <w:sz w:val="20"/>
          <w:szCs w:val="20"/>
          <w:color w:val="auto"/>
        </w:rPr>
      </w:pPr>
      <w:r>
        <w:rPr>
          <w:rFonts w:ascii="Times New Roman" w:cs="Times New Roman" w:eastAsia="Times New Roman" w:hAnsi="Times New Roman"/>
          <w:sz w:val="18"/>
          <w:szCs w:val="18"/>
          <w:color w:val="auto"/>
        </w:rPr>
        <w:t>(iv)  Any other communication that is an offer in the offering made by the undersigned registrant to the purchaser.</w:t>
      </w:r>
    </w:p>
    <w:p>
      <w:pPr>
        <w:spacing w:after="0" w:line="81" w:lineRule="exact"/>
        <w:rPr>
          <w:sz w:val="20"/>
          <w:szCs w:val="20"/>
          <w:color w:val="auto"/>
        </w:rPr>
      </w:pPr>
    </w:p>
    <w:p>
      <w:pPr>
        <w:jc w:val="both"/>
        <w:ind w:left="1260" w:right="479" w:firstLine="360"/>
        <w:spacing w:after="0" w:line="256" w:lineRule="auto"/>
        <w:tabs>
          <w:tab w:leader="none" w:pos="19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9" w:lineRule="exact"/>
        <w:rPr>
          <w:rFonts w:ascii="Times New Roman" w:cs="Times New Roman" w:eastAsia="Times New Roman" w:hAnsi="Times New Roman"/>
          <w:sz w:val="18"/>
          <w:szCs w:val="18"/>
          <w:color w:val="auto"/>
        </w:rPr>
      </w:pPr>
    </w:p>
    <w:p>
      <w:pPr>
        <w:ind w:left="1260" w:right="459" w:firstLine="360"/>
        <w:spacing w:after="0" w:line="255" w:lineRule="auto"/>
        <w:tabs>
          <w:tab w:leader="none" w:pos="19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person in connection with the securities being registered, that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2" w:lineRule="exact"/>
        <w:rPr>
          <w:sz w:val="20"/>
          <w:szCs w:val="20"/>
          <w:color w:val="auto"/>
        </w:rPr>
      </w:pPr>
    </w:p>
    <w:p>
      <w:pPr>
        <w:ind w:left="1260" w:right="879" w:firstLine="360"/>
        <w:spacing w:after="0" w:line="266" w:lineRule="auto"/>
        <w:tabs>
          <w:tab w:leader="none" w:pos="19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26th day of April, 2022.</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3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 ​ WASTE MANAGEMENT,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8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c>
          <w:tcPr>
            <w:tcW w:w="60" w:type="dxa"/>
            <w:vAlign w:val="bottom"/>
          </w:tcPr>
          <w:p>
            <w:pPr>
              <w:spacing w:after="0"/>
              <w:rPr>
                <w:sz w:val="21"/>
                <w:szCs w:val="21"/>
                <w:color w:val="auto"/>
              </w:rPr>
            </w:pPr>
          </w:p>
        </w:tc>
      </w:tr>
      <w:tr>
        <w:trPr>
          <w:trHeight w:val="54"/>
        </w:trPr>
        <w:tc>
          <w:tcPr>
            <w:tcW w:w="18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0"/>
        </w:trPr>
        <w:tc>
          <w:tcPr>
            <w:tcW w:w="18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C. Fish, Jr.,</w:t>
            </w:r>
          </w:p>
        </w:tc>
        <w:tc>
          <w:tcPr>
            <w:tcW w:w="60" w:type="dxa"/>
            <w:vAlign w:val="bottom"/>
          </w:tcPr>
          <w:p>
            <w:pPr>
              <w:spacing w:after="0"/>
              <w:rPr>
                <w:sz w:val="19"/>
                <w:szCs w:val="19"/>
                <w:color w:val="auto"/>
              </w:rPr>
            </w:pPr>
          </w:p>
        </w:tc>
      </w:tr>
      <w:tr>
        <w:trPr>
          <w:trHeight w:val="236"/>
        </w:trPr>
        <w:tc>
          <w:tcPr>
            <w:tcW w:w="1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60" w:type="dxa"/>
            <w:vAlign w:val="bottom"/>
          </w:tcPr>
          <w:p>
            <w:pPr>
              <w:spacing w:after="0"/>
              <w:rPr>
                <w:sz w:val="20"/>
                <w:szCs w:val="20"/>
                <w:color w:val="auto"/>
              </w:rPr>
            </w:pPr>
          </w:p>
        </w:tc>
      </w:tr>
    </w:tbl>
    <w:p>
      <w:pPr>
        <w:spacing w:after="0" w:line="117"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the 26th day of April, 2022.</w:t>
      </w:r>
    </w:p>
    <w:p>
      <w:pPr>
        <w:sectPr>
          <w:pgSz w:w="11900" w:h="16838" w:orient="portrait"/>
          <w:cols w:equalWidth="0" w:num="1">
            <w:col w:w="9879"/>
          </w:cols>
          <w:pgMar w:left="580" w:top="97" w:right="1440" w:bottom="1440" w:gutter="0" w:footer="0" w:header="0"/>
        </w:sectPr>
      </w:pPr>
    </w:p>
    <w:p>
      <w:pPr>
        <w:ind w:left="1260"/>
        <w:spacing w:after="0" w:line="180" w:lineRule="auto"/>
        <w:tabs>
          <w:tab w:leader="none" w:pos="290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120650</wp:posOffset>
            </wp:positionV>
            <wp:extent cx="2468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4688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7"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8"/>
          <w:szCs w:val="18"/>
          <w:color w:val="auto"/>
        </w:rPr>
        <w:t>James C. Fish, Jr.</w:t>
      </w:r>
    </w:p>
    <w:p>
      <w:pPr>
        <w:ind w:left="2240" w:hanging="980"/>
        <w:spacing w:after="0" w:line="211" w:lineRule="auto"/>
        <w:tabs>
          <w:tab w:leader="none" w:pos="224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DEVINA A. RANKIN</w:t>
      </w:r>
    </w:p>
    <w:p>
      <w:pPr>
        <w:spacing w:after="0" w:line="110" w:lineRule="exact"/>
        <w:rPr>
          <w:rFonts w:ascii="Times New Roman" w:cs="Times New Roman" w:eastAsia="Times New Roman" w:hAnsi="Times New Roman"/>
          <w:sz w:val="36"/>
          <w:szCs w:val="36"/>
          <w:color w:val="auto"/>
          <w:vertAlign w:val="superscript"/>
        </w:rPr>
      </w:pPr>
    </w:p>
    <w:p>
      <w:pPr>
        <w:ind w:left="252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Devina A. Rankin</w:t>
      </w:r>
    </w:p>
    <w:p>
      <w:pPr>
        <w:spacing w:after="0" w:line="7" w:lineRule="exact"/>
        <w:rPr>
          <w:rFonts w:ascii="Times New Roman" w:cs="Times New Roman" w:eastAsia="Times New Roman" w:hAnsi="Times New Roman"/>
          <w:sz w:val="36"/>
          <w:szCs w:val="36"/>
          <w:color w:val="auto"/>
          <w:vertAlign w:val="superscript"/>
        </w:rPr>
      </w:pPr>
    </w:p>
    <w:p>
      <w:pPr>
        <w:ind w:left="2380" w:hanging="1120"/>
        <w:spacing w:after="0" w:line="195" w:lineRule="auto"/>
        <w:tabs>
          <w:tab w:leader="none" w:pos="238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LESLIE K. NAGY</w:t>
      </w:r>
    </w:p>
    <w:p>
      <w:pPr>
        <w:spacing w:after="0" w:line="110" w:lineRule="exact"/>
        <w:rPr>
          <w:rFonts w:ascii="Times New Roman" w:cs="Times New Roman" w:eastAsia="Times New Roman" w:hAnsi="Times New Roman"/>
          <w:sz w:val="36"/>
          <w:szCs w:val="36"/>
          <w:color w:val="auto"/>
          <w:vertAlign w:val="superscript"/>
        </w:rPr>
      </w:pPr>
    </w:p>
    <w:p>
      <w:pPr>
        <w:ind w:left="264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Leslie K. Nagy</w:t>
      </w:r>
    </w:p>
    <w:p>
      <w:pPr>
        <w:spacing w:after="0" w:line="7" w:lineRule="exact"/>
        <w:rPr>
          <w:rFonts w:ascii="Times New Roman" w:cs="Times New Roman" w:eastAsia="Times New Roman" w:hAnsi="Times New Roman"/>
          <w:sz w:val="36"/>
          <w:szCs w:val="36"/>
          <w:color w:val="auto"/>
          <w:vertAlign w:val="superscript"/>
        </w:rPr>
      </w:pPr>
    </w:p>
    <w:p>
      <w:pPr>
        <w:ind w:left="2220" w:hanging="960"/>
        <w:spacing w:after="0" w:line="195" w:lineRule="auto"/>
        <w:tabs>
          <w:tab w:leader="none" w:pos="222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ANDRÉS R. GLUSKI</w:t>
      </w:r>
      <w:r>
        <w:rPr>
          <w:rFonts w:ascii="Times New Roman" w:cs="Times New Roman" w:eastAsia="Times New Roman" w:hAnsi="Times New Roman"/>
          <w:sz w:val="18"/>
          <w:szCs w:val="18"/>
          <w:i w:val="1"/>
          <w:iCs w:val="1"/>
          <w:color w:val="auto"/>
        </w:rPr>
        <w:t>.</w:t>
      </w:r>
    </w:p>
    <w:p>
      <w:pPr>
        <w:spacing w:after="0" w:line="110" w:lineRule="exact"/>
        <w:rPr>
          <w:rFonts w:ascii="Times New Roman" w:cs="Times New Roman" w:eastAsia="Times New Roman" w:hAnsi="Times New Roman"/>
          <w:sz w:val="36"/>
          <w:szCs w:val="36"/>
          <w:color w:val="auto"/>
          <w:vertAlign w:val="superscript"/>
        </w:rPr>
      </w:pPr>
    </w:p>
    <w:p>
      <w:pPr>
        <w:ind w:left="254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Andrés R. Gluski</w:t>
      </w:r>
    </w:p>
    <w:p>
      <w:pPr>
        <w:spacing w:after="0" w:line="7" w:lineRule="exact"/>
        <w:rPr>
          <w:rFonts w:ascii="Times New Roman" w:cs="Times New Roman" w:eastAsia="Times New Roman" w:hAnsi="Times New Roman"/>
          <w:sz w:val="36"/>
          <w:szCs w:val="36"/>
          <w:color w:val="auto"/>
          <w:vertAlign w:val="superscript"/>
        </w:rPr>
      </w:pPr>
    </w:p>
    <w:p>
      <w:pPr>
        <w:ind w:left="2260" w:hanging="1000"/>
        <w:spacing w:after="0" w:line="195" w:lineRule="auto"/>
        <w:tabs>
          <w:tab w:leader="none" w:pos="226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VICTORIA M. HOLT</w:t>
      </w:r>
    </w:p>
    <w:p>
      <w:pPr>
        <w:spacing w:after="0" w:line="110" w:lineRule="exact"/>
        <w:rPr>
          <w:rFonts w:ascii="Times New Roman" w:cs="Times New Roman" w:eastAsia="Times New Roman" w:hAnsi="Times New Roman"/>
          <w:sz w:val="36"/>
          <w:szCs w:val="36"/>
          <w:color w:val="auto"/>
          <w:vertAlign w:val="superscript"/>
        </w:rPr>
      </w:pPr>
    </w:p>
    <w:p>
      <w:pPr>
        <w:ind w:left="25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Victoria M. Holt</w:t>
      </w:r>
    </w:p>
    <w:p>
      <w:pPr>
        <w:spacing w:after="0" w:line="7" w:lineRule="exact"/>
        <w:rPr>
          <w:rFonts w:ascii="Times New Roman" w:cs="Times New Roman" w:eastAsia="Times New Roman" w:hAnsi="Times New Roman"/>
          <w:sz w:val="36"/>
          <w:szCs w:val="36"/>
          <w:color w:val="auto"/>
          <w:vertAlign w:val="superscript"/>
        </w:rPr>
      </w:pPr>
    </w:p>
    <w:p>
      <w:pPr>
        <w:ind w:left="1820" w:hanging="560"/>
        <w:spacing w:after="0" w:line="195" w:lineRule="auto"/>
        <w:tabs>
          <w:tab w:leader="none" w:pos="182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KATHLEEN M. MAZZARELLA</w:t>
      </w:r>
    </w:p>
    <w:p>
      <w:pPr>
        <w:spacing w:after="0" w:line="110" w:lineRule="exact"/>
        <w:rPr>
          <w:rFonts w:ascii="Times New Roman" w:cs="Times New Roman" w:eastAsia="Times New Roman" w:hAnsi="Times New Roman"/>
          <w:sz w:val="36"/>
          <w:szCs w:val="36"/>
          <w:color w:val="auto"/>
          <w:vertAlign w:val="superscript"/>
        </w:rPr>
      </w:pPr>
    </w:p>
    <w:p>
      <w:pPr>
        <w:ind w:left="230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Kathleen M. Mazzarella</w:t>
      </w:r>
    </w:p>
    <w:p>
      <w:pPr>
        <w:spacing w:after="0" w:line="7" w:lineRule="exact"/>
        <w:rPr>
          <w:rFonts w:ascii="Times New Roman" w:cs="Times New Roman" w:eastAsia="Times New Roman" w:hAnsi="Times New Roman"/>
          <w:sz w:val="36"/>
          <w:szCs w:val="36"/>
          <w:color w:val="auto"/>
          <w:vertAlign w:val="superscript"/>
        </w:rPr>
      </w:pPr>
    </w:p>
    <w:p>
      <w:pPr>
        <w:ind w:left="2380" w:hanging="1120"/>
        <w:spacing w:after="0" w:line="203" w:lineRule="auto"/>
        <w:tabs>
          <w:tab w:leader="none" w:pos="238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SEAN E.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-2073275</wp:posOffset>
            </wp:positionV>
            <wp:extent cx="2468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-1653540</wp:posOffset>
            </wp:positionV>
            <wp:extent cx="2468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-1233170</wp:posOffset>
            </wp:positionV>
            <wp:extent cx="24688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24688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-813435</wp:posOffset>
            </wp:positionV>
            <wp:extent cx="2468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-393065</wp:posOffset>
            </wp:positionV>
            <wp:extent cx="24688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34925</wp:posOffset>
            </wp:positionV>
            <wp:extent cx="24688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Sean E. Menke</w:t>
      </w:r>
    </w:p>
    <w:p>
      <w:pPr>
        <w:ind w:left="2080" w:hanging="820"/>
        <w:spacing w:after="0" w:line="207" w:lineRule="auto"/>
        <w:tabs>
          <w:tab w:leader="none" w:pos="2080" w:val="left"/>
        </w:tabs>
        <w:numPr>
          <w:ilvl w:val="0"/>
          <w:numId w:val="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WILLIAM B. PLUMMER</w:t>
      </w:r>
    </w:p>
    <w:p>
      <w:pPr>
        <w:spacing w:after="0" w:line="110" w:lineRule="exact"/>
        <w:rPr>
          <w:rFonts w:ascii="Times New Roman" w:cs="Times New Roman" w:eastAsia="Times New Roman" w:hAnsi="Times New Roman"/>
          <w:sz w:val="36"/>
          <w:szCs w:val="36"/>
          <w:color w:val="auto"/>
          <w:vertAlign w:val="superscript"/>
        </w:rPr>
      </w:pPr>
    </w:p>
    <w:p>
      <w:pPr>
        <w:ind w:left="242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William B. Plummer</w:t>
      </w:r>
    </w:p>
    <w:p>
      <w:pPr>
        <w:spacing w:after="0" w:line="7" w:lineRule="exact"/>
        <w:rPr>
          <w:rFonts w:ascii="Times New Roman" w:cs="Times New Roman" w:eastAsia="Times New Roman" w:hAnsi="Times New Roman"/>
          <w:sz w:val="36"/>
          <w:szCs w:val="36"/>
          <w:color w:val="auto"/>
          <w:vertAlign w:val="superscript"/>
        </w:rPr>
      </w:pPr>
    </w:p>
    <w:p>
      <w:pPr>
        <w:ind w:left="2500" w:hanging="1240"/>
        <w:spacing w:after="0" w:line="203" w:lineRule="auto"/>
        <w:tabs>
          <w:tab w:leader="none" w:pos="2500" w:val="left"/>
        </w:tabs>
        <w:numPr>
          <w:ilvl w:val="0"/>
          <w:numId w:val="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JOHN C. POPE</w:t>
      </w:r>
    </w:p>
    <w:p>
      <w:pPr>
        <w:spacing w:after="0" w:line="110" w:lineRule="exact"/>
        <w:rPr>
          <w:rFonts w:ascii="Times New Roman" w:cs="Times New Roman" w:eastAsia="Times New Roman" w:hAnsi="Times New Roman"/>
          <w:sz w:val="36"/>
          <w:szCs w:val="36"/>
          <w:color w:val="auto"/>
          <w:vertAlign w:val="superscript"/>
        </w:rPr>
      </w:pPr>
    </w:p>
    <w:p>
      <w:pPr>
        <w:ind w:left="270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John C. Pope</w:t>
      </w:r>
    </w:p>
    <w:p>
      <w:pPr>
        <w:spacing w:after="0" w:line="7" w:lineRule="exact"/>
        <w:rPr>
          <w:rFonts w:ascii="Times New Roman" w:cs="Times New Roman" w:eastAsia="Times New Roman" w:hAnsi="Times New Roman"/>
          <w:sz w:val="36"/>
          <w:szCs w:val="36"/>
          <w:color w:val="auto"/>
          <w:vertAlign w:val="superscript"/>
        </w:rPr>
      </w:pPr>
    </w:p>
    <w:p>
      <w:pPr>
        <w:ind w:left="1940" w:hanging="680"/>
        <w:spacing w:after="0" w:line="203" w:lineRule="auto"/>
        <w:tabs>
          <w:tab w:leader="none" w:pos="1940" w:val="left"/>
        </w:tabs>
        <w:numPr>
          <w:ilvl w:val="0"/>
          <w:numId w:val="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MARYROSE T. SYLVESTER</w:t>
      </w:r>
    </w:p>
    <w:p>
      <w:pPr>
        <w:spacing w:after="0" w:line="110" w:lineRule="exact"/>
        <w:rPr>
          <w:rFonts w:ascii="Times New Roman" w:cs="Times New Roman" w:eastAsia="Times New Roman" w:hAnsi="Times New Roman"/>
          <w:sz w:val="36"/>
          <w:szCs w:val="36"/>
          <w:color w:val="auto"/>
          <w:vertAlign w:val="superscript"/>
        </w:rPr>
      </w:pPr>
    </w:p>
    <w:p>
      <w:pPr>
        <w:ind w:left="23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Maryrose T. Sylvester</w:t>
      </w:r>
    </w:p>
    <w:p>
      <w:pPr>
        <w:spacing w:after="0" w:line="7" w:lineRule="exact"/>
        <w:rPr>
          <w:rFonts w:ascii="Times New Roman" w:cs="Times New Roman" w:eastAsia="Times New Roman" w:hAnsi="Times New Roman"/>
          <w:sz w:val="36"/>
          <w:szCs w:val="36"/>
          <w:color w:val="auto"/>
          <w:vertAlign w:val="superscript"/>
        </w:rPr>
      </w:pPr>
    </w:p>
    <w:p>
      <w:pPr>
        <w:ind w:left="1940" w:hanging="680"/>
        <w:spacing w:after="0" w:line="203" w:lineRule="auto"/>
        <w:tabs>
          <w:tab w:leader="none" w:pos="1940" w:val="left"/>
        </w:tabs>
        <w:numPr>
          <w:ilvl w:val="0"/>
          <w:numId w:val="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 THOMAS H. WEIDEMEYER</w:t>
      </w:r>
    </w:p>
    <w:p>
      <w:pPr>
        <w:spacing w:after="0" w:line="110" w:lineRule="exact"/>
        <w:rPr>
          <w:rFonts w:ascii="Times New Roman" w:cs="Times New Roman" w:eastAsia="Times New Roman" w:hAnsi="Times New Roman"/>
          <w:sz w:val="36"/>
          <w:szCs w:val="36"/>
          <w:color w:val="auto"/>
          <w:vertAlign w:val="superscript"/>
        </w:rPr>
      </w:pPr>
    </w:p>
    <w:p>
      <w:pPr>
        <w:ind w:left="230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-1452245</wp:posOffset>
            </wp:positionV>
            <wp:extent cx="2468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-1023620</wp:posOffset>
            </wp:positionV>
            <wp:extent cx="2468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-594995</wp:posOffset>
            </wp:positionV>
            <wp:extent cx="24688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-166370</wp:posOffset>
            </wp:positionV>
            <wp:extent cx="24688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28"/>
        </w:trPr>
        <w:tc>
          <w:tcPr>
            <w:tcW w:w="1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6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Executive Vice President and Chief Financial Officer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76"/>
        </w:trPr>
        <w:tc>
          <w:tcPr>
            <w:tcW w:w="16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41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580" w:space="620"/>
            <w:col w:w="46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Waste Management Holdings, Inc.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26th day of April, 2022.</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2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 ​ WASTE MANAGEMENT HOLDINGS,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5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MARK A. LOCKETT</w:t>
            </w:r>
          </w:p>
        </w:tc>
        <w:tc>
          <w:tcPr>
            <w:tcW w:w="60" w:type="dxa"/>
            <w:vAlign w:val="bottom"/>
          </w:tcPr>
          <w:p>
            <w:pPr>
              <w:spacing w:after="0"/>
              <w:rPr>
                <w:sz w:val="21"/>
                <w:szCs w:val="21"/>
                <w:color w:val="auto"/>
              </w:rPr>
            </w:pPr>
          </w:p>
        </w:tc>
      </w:tr>
      <w:tr>
        <w:trPr>
          <w:trHeight w:val="54"/>
        </w:trPr>
        <w:tc>
          <w:tcPr>
            <w:tcW w:w="15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5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Mark A. Lockett, </w:t>
            </w:r>
            <w:r>
              <w:rPr>
                <w:rFonts w:ascii="Times New Roman" w:cs="Times New Roman" w:eastAsia="Times New Roman" w:hAnsi="Times New Roman"/>
                <w:sz w:val="18"/>
                <w:szCs w:val="18"/>
                <w:i w:val="1"/>
                <w:iCs w:val="1"/>
                <w:color w:val="auto"/>
              </w:rPr>
              <w:t>President</w:t>
            </w:r>
          </w:p>
        </w:tc>
        <w:tc>
          <w:tcPr>
            <w:tcW w:w="60" w:type="dxa"/>
            <w:vAlign w:val="bottom"/>
          </w:tcPr>
          <w:p>
            <w:pPr>
              <w:spacing w:after="0"/>
              <w:rPr>
                <w:sz w:val="21"/>
                <w:szCs w:val="21"/>
                <w:color w:val="auto"/>
              </w:rPr>
            </w:pPr>
          </w:p>
        </w:tc>
      </w:tr>
      <w:tr>
        <w:trPr>
          <w:trHeight w:val="418"/>
        </w:trPr>
        <w:tc>
          <w:tcPr>
            <w:tcW w:w="1580" w:type="dxa"/>
            <w:vAlign w:val="bottom"/>
          </w:tcPr>
          <w:p>
            <w:pPr>
              <w:spacing w:after="0"/>
              <w:rPr>
                <w:sz w:val="24"/>
                <w:szCs w:val="24"/>
                <w:color w:val="auto"/>
              </w:rPr>
            </w:pPr>
          </w:p>
        </w:tc>
        <w:tc>
          <w:tcPr>
            <w:tcW w:w="66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60" w:type="dxa"/>
            <w:vAlign w:val="bottom"/>
          </w:tcPr>
          <w:p>
            <w:pPr>
              <w:spacing w:after="0"/>
              <w:rPr>
                <w:sz w:val="24"/>
                <w:szCs w:val="24"/>
                <w:color w:val="auto"/>
              </w:rPr>
            </w:pPr>
          </w:p>
        </w:tc>
      </w:tr>
    </w:tbl>
    <w:p>
      <w:pPr>
        <w:spacing w:after="0" w:line="13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KNOWN ALL PERSONS BY THESE PRESENTS, that the individuals whose signature appears below hereby constitute and appoint Charles C. Boettcher, Courtney A. Tippy and Robert E. Longo,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w:t>
      </w:r>
    </w:p>
    <w:p>
      <w:pPr>
        <w:spacing w:after="0" w:line="12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the 26th day of April, 2022.</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80" w:type="dxa"/>
            <w:vAlign w:val="bottom"/>
            <w:tcBorders>
              <w:bottom w:val="single" w:sz="8" w:color="auto"/>
            </w:tcBorders>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14"/>
        </w:trPr>
        <w:tc>
          <w:tcPr>
            <w:tcW w:w="520" w:type="dxa"/>
            <w:vAlign w:val="bottom"/>
          </w:tcPr>
          <w:p>
            <w:pPr>
              <w:spacing w:after="0"/>
              <w:rPr>
                <w:sz w:val="24"/>
                <w:szCs w:val="24"/>
                <w:color w:val="auto"/>
              </w:rPr>
            </w:pPr>
          </w:p>
        </w:tc>
        <w:tc>
          <w:tcPr>
            <w:tcW w:w="3480" w:type="dxa"/>
            <w:vAlign w:val="bottom"/>
          </w:tcPr>
          <w:p>
            <w:pPr>
              <w:jc w:val="center"/>
              <w:ind w:right="453"/>
              <w:spacing w:after="0"/>
              <w:rPr>
                <w:sz w:val="20"/>
                <w:szCs w:val="20"/>
                <w:color w:val="auto"/>
              </w:rPr>
            </w:pPr>
            <w:r>
              <w:rPr>
                <w:rFonts w:ascii="Times New Roman" w:cs="Times New Roman" w:eastAsia="Times New Roman" w:hAnsi="Times New Roman"/>
                <w:sz w:val="18"/>
                <w:szCs w:val="18"/>
                <w:color w:val="auto"/>
              </w:rPr>
              <w:t>/s/ MARK A. LOCKETT</w:t>
            </w:r>
          </w:p>
        </w:tc>
        <w:tc>
          <w:tcPr>
            <w:tcW w:w="2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2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vMerge w:val="restart"/>
          </w:tcPr>
          <w:p>
            <w:pPr>
              <w:jc w:val="center"/>
              <w:ind w:right="453"/>
              <w:spacing w:after="0"/>
              <w:rPr>
                <w:sz w:val="20"/>
                <w:szCs w:val="20"/>
                <w:color w:val="auto"/>
              </w:rPr>
            </w:pPr>
            <w:r>
              <w:rPr>
                <w:rFonts w:ascii="Times New Roman" w:cs="Times New Roman" w:eastAsia="Times New Roman" w:hAnsi="Times New Roman"/>
                <w:sz w:val="18"/>
                <w:szCs w:val="18"/>
                <w:color w:val="auto"/>
              </w:rPr>
              <w:t>Mark A. Lockett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vMerge w:val="continue"/>
          </w:tcPr>
          <w:p>
            <w:pPr>
              <w:spacing w:after="0"/>
              <w:rPr>
                <w:sz w:val="12"/>
                <w:szCs w:val="12"/>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5"/>
        </w:trPr>
        <w:tc>
          <w:tcPr>
            <w:tcW w:w="520" w:type="dxa"/>
            <w:vAlign w:val="bottom"/>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9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3480" w:type="dxa"/>
            <w:vAlign w:val="bottom"/>
            <w:vMerge w:val="restart"/>
          </w:tcPr>
          <w:p>
            <w:pPr>
              <w:jc w:val="center"/>
              <w:ind w:right="453"/>
              <w:spacing w:after="0"/>
              <w:rPr>
                <w:sz w:val="20"/>
                <w:szCs w:val="20"/>
                <w:color w:val="auto"/>
              </w:rPr>
            </w:pPr>
            <w:r>
              <w:rPr>
                <w:rFonts w:ascii="Times New Roman" w:cs="Times New Roman" w:eastAsia="Times New Roman" w:hAnsi="Times New Roman"/>
                <w:sz w:val="18"/>
                <w:szCs w:val="18"/>
                <w:color w:val="auto"/>
              </w:rPr>
              <w:t>/s/ LESLIE K. NAGY</w:t>
            </w:r>
          </w:p>
        </w:tc>
        <w:tc>
          <w:tcPr>
            <w:tcW w:w="220" w:type="dxa"/>
            <w:vAlign w:val="bottom"/>
            <w:vMerge w:val="continue"/>
          </w:tcPr>
          <w:p>
            <w:pPr>
              <w:spacing w:after="0"/>
              <w:rPr>
                <w:sz w:val="18"/>
                <w:szCs w:val="18"/>
                <w:color w:val="auto"/>
              </w:rPr>
            </w:pP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Vice President, Chief Financial Officer and</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5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2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Controller</w:t>
            </w: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3480" w:type="dxa"/>
            <w:vAlign w:val="bottom"/>
            <w:vMerge w:val="restart"/>
          </w:tcPr>
          <w:p>
            <w:pPr>
              <w:jc w:val="center"/>
              <w:ind w:right="453"/>
              <w:spacing w:after="0"/>
              <w:rPr>
                <w:sz w:val="20"/>
                <w:szCs w:val="20"/>
                <w:color w:val="auto"/>
              </w:rPr>
            </w:pPr>
            <w:r>
              <w:rPr>
                <w:rFonts w:ascii="Times New Roman" w:cs="Times New Roman" w:eastAsia="Times New Roman" w:hAnsi="Times New Roman"/>
                <w:sz w:val="18"/>
                <w:szCs w:val="18"/>
                <w:color w:val="auto"/>
              </w:rPr>
              <w:t>Leslie K. Nagy</w:t>
            </w:r>
          </w:p>
        </w:tc>
        <w:tc>
          <w:tcPr>
            <w:tcW w:w="22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2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Accounting Officer)</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vMerge w:val="restart"/>
          </w:tcPr>
          <w:p>
            <w:pPr>
              <w:jc w:val="center"/>
              <w:ind w:right="453"/>
              <w:spacing w:after="0"/>
              <w:rPr>
                <w:sz w:val="20"/>
                <w:szCs w:val="20"/>
                <w:color w:val="auto"/>
              </w:rPr>
            </w:pPr>
            <w:r>
              <w:rPr>
                <w:rFonts w:ascii="Times New Roman" w:cs="Times New Roman" w:eastAsia="Times New Roman" w:hAnsi="Times New Roman"/>
                <w:sz w:val="18"/>
                <w:szCs w:val="18"/>
                <w:color w:val="auto"/>
              </w:rPr>
              <w:t>/s/ COURTNEY A. TIPPY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3480" w:type="dxa"/>
            <w:vAlign w:val="bottom"/>
          </w:tcPr>
          <w:p>
            <w:pPr>
              <w:jc w:val="center"/>
              <w:ind w:right="453"/>
              <w:spacing w:after="0"/>
              <w:rPr>
                <w:sz w:val="20"/>
                <w:szCs w:val="20"/>
                <w:color w:val="auto"/>
              </w:rPr>
            </w:pPr>
            <w:r>
              <w:rPr>
                <w:rFonts w:ascii="Times New Roman" w:cs="Times New Roman" w:eastAsia="Times New Roman" w:hAnsi="Times New Roman"/>
                <w:sz w:val="18"/>
                <w:szCs w:val="18"/>
                <w:color w:val="auto"/>
              </w:rPr>
              <w:t>Courtney A. Tippy</w:t>
            </w: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31290" cy="574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1431290" cy="57467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765810</wp:posOffset>
            </wp:positionV>
            <wp:extent cx="1431925" cy="436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14319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 and Waste Management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 am Vice President and Corporate Secretary of Waste Management, Inc., a Delaware corporation (“WMI”), and have acted as General Counsel— Securities &amp; Governance to WMI and Waste Management Holdings, Inc., a Delaware corporation (“Holdings”), in connection with the preparation and filing with the Securities and Exchange Commission (the “Commission”) under the Securities Act of 1933, as amended (the “Act”), of a Registration Statement (filed April 26, 2022) on Form S-3 (the “Registration Statement”). The Registration Statement relates to (a) securities of WMI (the “WMI Securities”), including (i) debt securities of WMI (“Debt Securities”), (ii) common stock of WMI, par value $0.01 per share (“Common Stock”),</w:t>
      </w:r>
    </w:p>
    <w:p>
      <w:pPr>
        <w:spacing w:after="0" w:line="3" w:lineRule="exact"/>
        <w:rPr>
          <w:sz w:val="20"/>
          <w:szCs w:val="20"/>
          <w:color w:val="auto"/>
        </w:rPr>
      </w:pPr>
    </w:p>
    <w:p>
      <w:pPr>
        <w:ind w:right="20" w:firstLine="8"/>
        <w:spacing w:after="0" w:line="265" w:lineRule="auto"/>
        <w:tabs>
          <w:tab w:leader="none" w:pos="3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stock of WMI, par value $0.01 per share (“Preferred Stock”), (iv) warrants of WMI (“Warrants”), representing rights to purchase Debt Securities, Preferred Stock, Common Stock or other securities, property or assets pursuant to one or more warrant agreements (“Warrant Agreements”), and</w:t>
      </w:r>
    </w:p>
    <w:p>
      <w:pPr>
        <w:ind w:right="40" w:firstLine="8"/>
        <w:spacing w:after="0" w:line="25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of WMI (“Units”) representing rights to, ownership of, or undivided beneficial ownership interests in, Debt Securities, shares of Common Stock, shares of Preferred Stock, debt obligations of third parties or Warrants relating to any of the foregoing; and (b) guarantees that Holdings may issue with respect to Debt Securities (“Holdings Guarantees,” and collectively with the WMI Securities, the “Securities”), all of which may be issued and sold from time to time in one or more series. WMI has advised me that the Securities will be offered in amounts, at prices and on terms to be determined in light of market conditions at the time of sale and to be set forth in supplements to the prospectus contained in the Registration Statement to which this opinion is an exhibit.</w:t>
      </w:r>
    </w:p>
    <w:p>
      <w:pPr>
        <w:spacing w:after="0" w:line="19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 have examined and relied upon executed originals or copies, certified or otherwise identified to my satisfaction, of (i) the Third Restated Certificate of Incorporation and Amended and Restated By-laws of WMI, each as amended to the date hereof; (ii) the Third Restated Certificate of Incorporation and Amended and Restated By-laws of Holdings, each as amended to the date hereof; (iii) resolutions adopted by the Board of Directors of WMI and Holdings; (iv) the Registration Statement; (v) the Indenture between WMI, formerly known as USA Waste Services, Inc., and The Bank of New York Mellon Trust Company, N.A. (the current successor to Texas Commerce Bank National Association), as trustee, dated September 10, 1997 (the “Senior Indenture”) relating to the senior Debt Securities, in the form incorporated as an exhibit to the Registration Statement; (vi) the Subordinated Indenture between WMI, formerly known as USA Waste Services, Inc., and The Bank of New York Mellon Trust Company, N.A. (the current successor to Texas Commerce Bank National Association), as trustee, dated February 1, 1997 (the “Subordinated Indenture”, and together with the Senior Indenture, the “Indentures”) relating to the subordinated Debt Securities, in the form incorporated as an exhibit to the Registration Statement; and (vii) such other certificates, statutes and other instruments and documents as I considered appropriate for purposes of the opinions hereafter expressed.</w:t>
      </w:r>
    </w:p>
    <w:p>
      <w:pPr>
        <w:spacing w:after="0" w:line="19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to any facts material to the opinions contained herein, I have made no independent investigation of such facts and have relied, to the extent that I deemed such reliance proper, upon certificates of public officials and officers or other representatives of WMI and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ind w:left="652"/>
        <w:spacing w:after="0"/>
        <w:rPr>
          <w:sz w:val="20"/>
          <w:szCs w:val="20"/>
          <w:color w:val="auto"/>
        </w:rPr>
      </w:pPr>
      <w:r>
        <w:rPr>
          <w:rFonts w:ascii="Times New Roman" w:cs="Times New Roman" w:eastAsia="Times New Roman" w:hAnsi="Times New Roman"/>
          <w:sz w:val="18"/>
          <w:szCs w:val="18"/>
          <w:color w:val="auto"/>
        </w:rPr>
        <w:t>In rendering the opinions set forth below, I have assumed that (i) all information contained in all documents reviewed by me is true and correct;</w:t>
      </w:r>
    </w:p>
    <w:p>
      <w:pPr>
        <w:spacing w:after="0" w:line="27" w:lineRule="exact"/>
        <w:rPr>
          <w:sz w:val="20"/>
          <w:szCs w:val="20"/>
          <w:color w:val="auto"/>
        </w:rPr>
      </w:pPr>
    </w:p>
    <w:p>
      <w:pPr>
        <w:ind w:left="-8" w:right="100" w:firstLine="8"/>
        <w:spacing w:after="0" w:line="251" w:lineRule="auto"/>
        <w:tabs>
          <w:tab w:leader="none" w:pos="2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on all documents examined by me are genuine; (iii) all documents submitted to me as originals are authentic and complete and all documents submitted to me as copies conform to the originals of those documents; (iv) each natural person signing any document reviewed by me had the legal capacity to do so; (v) each person signing in a representative capacity (other than on behalf of WMI or Holdings) any document reviewed by me had authority to sign in such capacity; (vi) the Registration Statement, and any post-effective amendments thereto, will be effective and comply with all applicable laws; (vii) one or more prospectus supplements will have been prepared and filed with the Commission describing the Securities offered thereby; (viii) all Securities will be issued and sold in compliance with applicable federal and state securities laws and in the manner stated in the Registration Statement and an applicable prospectus supplement; (ix) each of the Senior Indenture and the Subordinated Indenture, together with any supplemental indenture or other instruments establishing a series of Debt Securities to be issued under either of the Indentures, has been or will be duly authorized, executed and delivered by the parties thereto in substantially the form reviewed by me or with changes that do not affect the opinions given hereunder; (x) at the time of any offering or sale of any shares of Common Stock or Preferred Stock, that WMI will have at least such number of shares of Common Stock or Preferred Stock authorized, created and, if appropriate, reserved for issuance; (xi) a definitive purchase, underwriting or similar agreement with respect to any Securities offered will have been duly authorized and validly executed and delivered by WMI and the other parties thereto; and (xii) any Securities issuable upon conversion, exchange or exercise of any Security being offered or sold will at the time of such offering or sale have been duly authorized, created and, if appropriate, reserved for issuance upon such conversion, exchange or exercise.</w:t>
      </w:r>
    </w:p>
    <w:p>
      <w:pPr>
        <w:spacing w:after="0" w:line="19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Based on the foregoing, and subject to the assumptions, qualifications, limitations and exceptions set forth herein, I am of the opinion that:</w:t>
      </w:r>
    </w:p>
    <w:p>
      <w:pPr>
        <w:spacing w:after="0" w:line="225" w:lineRule="exact"/>
        <w:rPr>
          <w:sz w:val="20"/>
          <w:szCs w:val="20"/>
          <w:color w:val="auto"/>
        </w:rPr>
      </w:pPr>
    </w:p>
    <w:p>
      <w:pPr>
        <w:ind w:left="1152"/>
        <w:spacing w:after="0"/>
        <w:rPr>
          <w:sz w:val="20"/>
          <w:szCs w:val="20"/>
          <w:color w:val="auto"/>
        </w:rPr>
      </w:pPr>
      <w:r>
        <w:rPr>
          <w:rFonts w:ascii="Times New Roman" w:cs="Times New Roman" w:eastAsia="Times New Roman" w:hAnsi="Times New Roman"/>
          <w:sz w:val="18"/>
          <w:szCs w:val="18"/>
          <w:color w:val="auto"/>
        </w:rPr>
        <w:t> (a)  With respect to Debt Securities, when (i) the applicable Indenture has been duly qualified under the Trust Indenture Act of 1939;</w:t>
      </w:r>
    </w:p>
    <w:p>
      <w:pPr>
        <w:spacing w:after="0" w:line="27" w:lineRule="exact"/>
        <w:rPr>
          <w:sz w:val="20"/>
          <w:szCs w:val="20"/>
          <w:color w:val="auto"/>
        </w:rPr>
      </w:pPr>
    </w:p>
    <w:p>
      <w:pPr>
        <w:ind w:left="972"/>
        <w:spacing w:after="0" w:line="251" w:lineRule="auto"/>
        <w:tabs>
          <w:tab w:leader="none" w:pos="12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WMI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WMI or any of its assets or properties and so as to comply with any requirement or restriction imposed by any court or governmental body having jurisdiction over WMI or any of its assets or properties; and (iv) such Debt Securities have been duly executed, authenticated, issued and delivered in accordance with the provisions of the applicable Indenture and in accordance with the applicable definitive purchase, underwriting or similar agreement approved by the Board or persons duly authorized thereby, then upon payment of the consideration therefor provided therein, such Debt Securities will be legally issued and will constitute valid and binding obligations of WMI, enforceable against WMI in accordance with their terms and will be entitled to the benefits of the applicable Indenture.</w:t>
      </w:r>
    </w:p>
    <w:p>
      <w:pPr>
        <w:spacing w:after="0" w:line="193" w:lineRule="exact"/>
        <w:rPr>
          <w:rFonts w:ascii="Times New Roman" w:cs="Times New Roman" w:eastAsia="Times New Roman" w:hAnsi="Times New Roman"/>
          <w:sz w:val="18"/>
          <w:szCs w:val="18"/>
          <w:color w:val="auto"/>
        </w:rPr>
      </w:pPr>
    </w:p>
    <w:p>
      <w:pPr>
        <w:ind w:left="972" w:right="240" w:firstLine="180"/>
        <w:spacing w:after="0" w:line="254" w:lineRule="auto"/>
        <w:tabs>
          <w:tab w:leader="none" w:pos="149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(i) the Board has taken all necessary corporate action to approve the issuance and terms of the offering thereof and related matters; and (ii) certificates representing the shares of Common Stock have been duly executed, countersigned, registered and delivered either (A) in accordance with the applicable definitive purchase, underwriting or similar agreement approved by the Board, then upon payment of the consideration therefor (not less than the par value of the Common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Common Stock) or persons duly authorized thereby, such shares of Common Stock will be validly issued, fully paid and non-assessable.</w:t>
      </w:r>
    </w:p>
    <w:p>
      <w:pPr>
        <w:spacing w:after="0" w:line="191" w:lineRule="exact"/>
        <w:rPr>
          <w:rFonts w:ascii="Times New Roman" w:cs="Times New Roman" w:eastAsia="Times New Roman" w:hAnsi="Times New Roman"/>
          <w:sz w:val="18"/>
          <w:szCs w:val="18"/>
          <w:color w:val="auto"/>
        </w:rPr>
      </w:pPr>
    </w:p>
    <w:p>
      <w:pPr>
        <w:ind w:left="972" w:firstLine="180"/>
        <w:spacing w:after="0" w:line="253" w:lineRule="auto"/>
        <w:tabs>
          <w:tab w:leader="none" w:pos="148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any series of Preferred Stock, when (i) the Board has taken all necessary corporate action to approve the issuance and terms of the shares of the series, the terms of the offering thereof and related matters, including the adoption of a resolution establishing and designating the series and fixing and determining the preferences, limitations and relative rights thereof and the filing of a statement with respect to the series with the Secretary of State of the State of Delaware as required under Section 151 of the General Corporation law of the State of Delaware (the “DGCL”); and (ii) certificates representing the shares of the series of Preferred Stock have been duly executed, countersigned, registered and delivered either (A) in accordance with the applicable definitive purchase, underwriting or similar agreement approved by the Board, then upon payment of the consideration therefor (not less than the par value of the Preferred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Preferred Stock) or persons duly authorized thereby, the shares of the series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9" w:name="page40"/>
    <w:bookmarkEnd w:id="39"/>
    <w:p>
      <w:pPr>
        <w:ind w:left="980" w:right="220" w:firstLine="180"/>
        <w:spacing w:after="0" w:line="255" w:lineRule="auto"/>
        <w:tabs>
          <w:tab w:leader="none" w:pos="150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(i) the Board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WMI and the warrant agent appointed by WMI;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persons duly authorized thereby, then upon payment of the consideration therefor provided therein, the Warrants will be legally issued and will constitute valid and binding obligations of WMI.</w:t>
      </w:r>
    </w:p>
    <w:p>
      <w:pPr>
        <w:spacing w:after="0" w:line="188" w:lineRule="exact"/>
        <w:rPr>
          <w:rFonts w:ascii="Times New Roman" w:cs="Times New Roman" w:eastAsia="Times New Roman" w:hAnsi="Times New Roman"/>
          <w:sz w:val="18"/>
          <w:szCs w:val="18"/>
          <w:color w:val="auto"/>
        </w:rPr>
      </w:pPr>
    </w:p>
    <w:p>
      <w:pPr>
        <w:ind w:left="980" w:firstLine="180"/>
        <w:spacing w:after="0" w:line="256" w:lineRule="auto"/>
        <w:tabs>
          <w:tab w:leader="none" w:pos="14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Units, when (i) the purchase agreement for the Units has been duly authorized and validly executed by the parties thereto, (ii) the Board has taken all necessary corporate action to approve and establish the terms of the Units and to authorize and approve the issuance thereof, the terms of the offering and related matters; and (iii) the Units have been duly executed and delivered in accordance with the purchase agreement and the applicable definitive purchase, underwriting or similar agreement approved by or on behalf of the Board or persons duly authorized thereby, then upon payment of the consideration therefor provided therein, the Units will be legally issued and will constitute valid and binding obligations of WMI.</w:t>
      </w:r>
    </w:p>
    <w:p>
      <w:pPr>
        <w:spacing w:after="0" w:line="187" w:lineRule="exact"/>
        <w:rPr>
          <w:rFonts w:ascii="Times New Roman" w:cs="Times New Roman" w:eastAsia="Times New Roman" w:hAnsi="Times New Roman"/>
          <w:sz w:val="18"/>
          <w:szCs w:val="18"/>
          <w:color w:val="auto"/>
        </w:rPr>
      </w:pPr>
    </w:p>
    <w:p>
      <w:pPr>
        <w:ind w:left="980" w:right="60" w:firstLine="180"/>
        <w:spacing w:after="0" w:line="276" w:lineRule="auto"/>
        <w:tabs>
          <w:tab w:leader="none" w:pos="1516"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Holdings Guarantees, when (i) the terms of the Holdings Guarantees and of their issuance, sale and related matters have been duly authorized and approved by all necessary action of Holdings’ Board of Directors or persons duly authorized thereby; and</w:t>
      </w:r>
    </w:p>
    <w:p>
      <w:pPr>
        <w:ind w:left="980" w:right="120"/>
        <w:spacing w:after="0" w:line="253" w:lineRule="auto"/>
        <w:tabs>
          <w:tab w:leader="none" w:pos="12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Holdings Guarantees have been duly executed and delivered in accordance with the purchase agreement and the applicable definitive purchase, underwriting or similar agreement approved by or on behalf of the Holdings’ Board of Directors, then upon payment of the consideration therefor provided therein, the Holdings Guarantees will be legally issued and will constitute valid and binding obligations of Holdings.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opinions are qualified to the extent that the enforceability of any document, instrument or Security may be limited by or subject to</w:t>
      </w:r>
    </w:p>
    <w:p>
      <w:pPr>
        <w:spacing w:after="0" w:line="27" w:lineRule="exact"/>
        <w:rPr>
          <w:sz w:val="20"/>
          <w:szCs w:val="20"/>
          <w:color w:val="auto"/>
        </w:rPr>
      </w:pPr>
    </w:p>
    <w:p>
      <w:pPr>
        <w:ind w:right="60" w:firstLine="8"/>
        <w:spacing w:after="0" w:line="253" w:lineRule="auto"/>
        <w:tabs>
          <w:tab w:leader="none" w:pos="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fraudulent transfer or conveyance, reorganization, moratorium or other similar laws relating to or affecting creditors’ rights generally, and general equitable or public policy principles (regardless of whether enforcement is sought in a proceeding in equity or law),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 express no opinions concerning (i) the validity or enforceability of any provisions contained in either of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opinions set forth above are limited in all respects to matters of the contract law of the State of New York, the DGCL and the federal laws of the United States (except that I express no opinion with respect to any state securities laws or “blue sky” laws) (the “Applicable Laws”), and I do not express any opinion herein concerning any other law. I am licensed to practice law in the State of Texas. I have not examined any laws, regulations or other governmental proceedings other than laws and regulations of general application. I assume no, and hereby specifically disclaim any, obligation to supplement this opinion if any Applicable Law changes after the date of this opinion, or if I become aware of any facts that might change the opinions expressed above after the date of this opinion.</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Registration Statement. By giving such consent, I do not admit that I am within the category of persons whose consent is required under Section 7 of the Act or the rules and regulations of Commission issued thereunder.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Vice President &amp; Corporate Secretary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General Counsel—Securities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0" w:firstLine="324"/>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Waste Management, Inc. for the registration of debt securities, common stock, preferred stock, warrants, guarantees, and units, and to the incorporation by reference therein of our reports dated February 15, 2022, with respect to the consolidated financial statements of Waste Management, Inc., and the effectiveness of internal control over financial reporting of Waste Management, Inc., included in its Annual Report (Form 10-K) for the year ended December 31, 2021, filed with the Securities and Exchange Commission.</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26, 2022</w:t>
      </w:r>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appoints James C. Fish, Jr., Devina A. Rankin and Charles C. Boettcher, and each of them severally, as his or her true and lawful attorney or attorneys-in-fact and agent or agents, each of whom shall be authorized to act with or without the other, with full power of substitution and resubstitution, for him or her and in his or her name, place and stead in his or her capacity as a director or officer or both, as the case may be, to sign a Registration Statement on Form S-3 and any and all amendments to the Registration Statement and all documents or instruments necessary to comply with the Securities Act of 1933, as amended,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appropriate or advisable in connection with any or all of the above-described matters and to all intents and purposes as he might or could do in person, hereby ratifying and confirming all that said attorneys-in-fact and agents or any of them or their substitutes, may lawfully do or cause to be done by virtue 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2"/>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C. Fish, Jr.</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Devina A. Rankin</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K. NAGY</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and Chief Accounting Officer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Leslie K. Nagy</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ANDRÉS R. GLUSKI</w:t>
            </w:r>
            <w:r>
              <w:rPr>
                <w:rFonts w:ascii="Times New Roman" w:cs="Times New Roman" w:eastAsia="Times New Roman" w:hAnsi="Times New Roman"/>
                <w:sz w:val="18"/>
                <w:szCs w:val="18"/>
                <w:i w:val="1"/>
                <w:iCs w:val="1"/>
                <w:color w:val="auto"/>
                <w:w w:val="99"/>
              </w:rPr>
              <w:t>.</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Andrés R. Gluski</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VICTORIA M. HOLT</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Victoria M. Holt</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M. MAZZARELLA</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Kathleen M. Mazzarella</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E. MENKE</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Sean E. Menke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B. PLUMMER</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B. Plummer</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 POPE</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C. Pope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MARYROSE T. SYLVESTER</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Maryrose T. Sylvester</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WEIDEMEYER</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H. Weidemeyer</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57"/>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T-1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STATEMENT OF ELIGIBILITY</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TRUST INDENTURE ACT OF 1939 OF 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CHECK IF AN APPLICATION TO DETERMINE ELIGIBILITY</w:t>
      </w:r>
    </w:p>
    <w:p>
      <w:pPr>
        <w:spacing w:after="0" w:line="22" w:lineRule="exact"/>
        <w:rPr>
          <w:sz w:val="20"/>
          <w:szCs w:val="20"/>
          <w:color w:val="auto"/>
        </w:rPr>
      </w:pPr>
    </w:p>
    <w:p>
      <w:pPr>
        <w:jc w:val="center"/>
        <w:ind w:right="1120"/>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OF A TRUSTEE PURSUANT TO SECTION 305(b)(2)</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146050</wp:posOffset>
            </wp:positionV>
            <wp:extent cx="1783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THE BANK OF NEW YORK MELLON TRUST COMPANY, N.A.</w:t>
      </w:r>
    </w:p>
    <w:p>
      <w:pPr>
        <w:spacing w:after="0" w:line="4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rPr>
              <w:t>N/A</w:t>
            </w:r>
          </w:p>
        </w:tc>
        <w:tc>
          <w:tcPr>
            <w:tcW w:w="3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95-3571558</w:t>
            </w:r>
          </w:p>
        </w:tc>
      </w:tr>
      <w:tr>
        <w:trPr>
          <w:trHeight w:val="216"/>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(Jurisdiction of incorporation or organization</w:t>
            </w:r>
          </w:p>
        </w:tc>
        <w:tc>
          <w:tcPr>
            <w:tcW w:w="3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if not a U.S. national bank)</w:t>
            </w:r>
          </w:p>
        </w:tc>
        <w:tc>
          <w:tcPr>
            <w:tcW w:w="3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333 South Hope Street, Suite 2525</w:t>
            </w:r>
          </w:p>
        </w:tc>
        <w:tc>
          <w:tcPr>
            <w:tcW w:w="3240" w:type="dxa"/>
            <w:vAlign w:val="bottom"/>
          </w:tcPr>
          <w:p>
            <w:pPr>
              <w:spacing w:after="0"/>
              <w:rPr>
                <w:sz w:val="24"/>
                <w:szCs w:val="24"/>
                <w:color w:val="auto"/>
              </w:rPr>
            </w:pPr>
          </w:p>
        </w:tc>
      </w:tr>
      <w:tr>
        <w:trPr>
          <w:trHeight w:val="220"/>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3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90071</w:t>
            </w:r>
          </w:p>
        </w:tc>
      </w:tr>
      <w:tr>
        <w:trPr>
          <w:trHeight w:val="234"/>
        </w:trPr>
        <w:tc>
          <w:tcPr>
            <w:tcW w:w="482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Legal Department</w:t>
      </w:r>
    </w:p>
    <w:p>
      <w:pPr>
        <w:spacing w:after="0" w:line="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N.A.</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240 Greenwich Street</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New York, NY 10286</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(212) 635-1270</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5"/>
          <w:szCs w:val="25"/>
          <w:b w:val="1"/>
          <w:bCs w:val="1"/>
          <w:color w:val="auto"/>
        </w:rPr>
        <w:t>WASTE MANAGEMENT, INC.</w:t>
      </w:r>
    </w:p>
    <w:p>
      <w:pPr>
        <w:spacing w:after="0" w:line="4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(Exact name of obligor as specified in its charter)</w:t>
      </w:r>
    </w:p>
    <w:p>
      <w:pPr>
        <w:spacing w:after="0" w:line="200" w:lineRule="exact"/>
        <w:rPr>
          <w:sz w:val="20"/>
          <w:szCs w:val="20"/>
          <w:color w:val="auto"/>
        </w:rPr>
      </w:pP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45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73-1309529</w:t>
            </w:r>
          </w:p>
        </w:tc>
      </w:tr>
      <w:tr>
        <w:trPr>
          <w:trHeight w:val="216"/>
        </w:trPr>
        <w:tc>
          <w:tcPr>
            <w:tcW w:w="454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4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5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800 Capitol Street, Suite 3000</w:t>
            </w:r>
          </w:p>
        </w:tc>
        <w:tc>
          <w:tcPr>
            <w:tcW w:w="3340" w:type="dxa"/>
            <w:vAlign w:val="bottom"/>
          </w:tcPr>
          <w:p>
            <w:pPr>
              <w:spacing w:after="0"/>
              <w:rPr>
                <w:sz w:val="24"/>
                <w:szCs w:val="24"/>
                <w:color w:val="auto"/>
              </w:rPr>
            </w:pPr>
          </w:p>
        </w:tc>
      </w:tr>
      <w:tr>
        <w:trPr>
          <w:trHeight w:val="220"/>
        </w:trPr>
        <w:tc>
          <w:tcPr>
            <w:tcW w:w="45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000033"/>
                <w:w w:val="99"/>
              </w:rPr>
              <w:t>Houston, Texas</w:t>
            </w:r>
          </w:p>
        </w:tc>
        <w:tc>
          <w:tcPr>
            <w:tcW w:w="33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454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19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SEE TABLE OF ADDITIONAL GUARANTOR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ADDITIONAL GUARANTOR OBLIGOR</w:t>
            </w:r>
          </w:p>
        </w:tc>
        <w:tc>
          <w:tcPr>
            <w:tcW w:w="0" w:type="dxa"/>
            <w:vAlign w:val="bottom"/>
          </w:tcPr>
          <w:p>
            <w:pPr>
              <w:spacing w:after="0"/>
              <w:rPr>
                <w:sz w:val="1"/>
                <w:szCs w:val="1"/>
                <w:color w:val="auto"/>
              </w:rPr>
            </w:pPr>
          </w:p>
        </w:tc>
      </w:tr>
      <w:tr>
        <w:trPr>
          <w:trHeight w:val="410"/>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Exact Name of Additional Guarantor as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Incorporation or</w:t>
            </w:r>
          </w:p>
        </w:tc>
        <w:tc>
          <w:tcPr>
            <w:tcW w:w="1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120" w:type="dxa"/>
            <w:vAlign w:val="bottom"/>
          </w:tcPr>
          <w:p>
            <w:pPr>
              <w:spacing w:after="0"/>
              <w:rPr>
                <w:sz w:val="17"/>
                <w:szCs w:val="17"/>
                <w:color w:val="auto"/>
              </w:rPr>
            </w:pPr>
          </w:p>
        </w:tc>
        <w:tc>
          <w:tcPr>
            <w:tcW w:w="4140" w:type="dxa"/>
            <w:vAlign w:val="bottom"/>
          </w:tcPr>
          <w:p>
            <w:pPr>
              <w:ind w:left="940"/>
              <w:spacing w:after="0" w:line="202" w:lineRule="exact"/>
              <w:rPr>
                <w:sz w:val="20"/>
                <w:szCs w:val="20"/>
                <w:color w:val="auto"/>
              </w:rPr>
            </w:pPr>
            <w:r>
              <w:rPr>
                <w:rFonts w:ascii="Times New Roman" w:cs="Times New Roman" w:eastAsia="Times New Roman" w:hAnsi="Times New Roman"/>
                <w:sz w:val="18"/>
                <w:szCs w:val="18"/>
                <w:b w:val="1"/>
                <w:bCs w:val="1"/>
                <w:color w:val="auto"/>
              </w:rPr>
              <w:t>Address, Including Zip Code,</w:t>
            </w:r>
          </w:p>
        </w:tc>
        <w:tc>
          <w:tcPr>
            <w:tcW w:w="0" w:type="dxa"/>
            <w:vAlign w:val="bottom"/>
          </w:tcPr>
          <w:p>
            <w:pPr>
              <w:spacing w:after="0"/>
              <w:rPr>
                <w:sz w:val="1"/>
                <w:szCs w:val="1"/>
                <w:color w:val="auto"/>
              </w:rPr>
            </w:pPr>
          </w:p>
        </w:tc>
      </w:tr>
      <w:tr>
        <w:trPr>
          <w:trHeight w:val="258"/>
        </w:trPr>
        <w:tc>
          <w:tcPr>
            <w:tcW w:w="34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Specified in its Charter</w:t>
            </w: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2"/>
                <w:szCs w:val="22"/>
                <w:color w:val="auto"/>
              </w:rPr>
            </w:pPr>
          </w:p>
        </w:tc>
        <w:tc>
          <w:tcPr>
            <w:tcW w:w="41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of Principal Executive Offices</w:t>
            </w:r>
          </w:p>
        </w:tc>
        <w:tc>
          <w:tcPr>
            <w:tcW w:w="0" w:type="dxa"/>
            <w:vAlign w:val="bottom"/>
          </w:tcPr>
          <w:p>
            <w:pPr>
              <w:spacing w:after="0"/>
              <w:rPr>
                <w:sz w:val="1"/>
                <w:szCs w:val="1"/>
                <w:color w:val="auto"/>
              </w:rPr>
            </w:pPr>
          </w:p>
        </w:tc>
      </w:tr>
      <w:tr>
        <w:trPr>
          <w:trHeight w:val="185"/>
        </w:trPr>
        <w:tc>
          <w:tcPr>
            <w:tcW w:w="342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Waste Management Holdings, Inc.</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Delaware</w:t>
            </w: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36-2660763</w:t>
            </w:r>
          </w:p>
        </w:tc>
        <w:tc>
          <w:tcPr>
            <w:tcW w:w="120" w:type="dxa"/>
            <w:vAlign w:val="bottom"/>
            <w:tcBorders>
              <w:top w:val="single" w:sz="8" w:color="CCEEFF"/>
            </w:tcBorders>
            <w:shd w:val="clear" w:color="auto" w:fill="CCEEFF"/>
          </w:tcPr>
          <w:p>
            <w:pPr>
              <w:spacing w:after="0"/>
              <w:rPr>
                <w:sz w:val="16"/>
                <w:szCs w:val="16"/>
                <w:color w:val="auto"/>
              </w:rPr>
            </w:pPr>
          </w:p>
        </w:tc>
        <w:tc>
          <w:tcPr>
            <w:tcW w:w="41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800 Capitol Street, Suite 3000</w:t>
            </w:r>
          </w:p>
        </w:tc>
        <w:tc>
          <w:tcPr>
            <w:tcW w:w="0" w:type="dxa"/>
            <w:vAlign w:val="bottom"/>
          </w:tcPr>
          <w:p>
            <w:pPr>
              <w:spacing w:after="0"/>
              <w:rPr>
                <w:sz w:val="1"/>
                <w:szCs w:val="1"/>
                <w:color w:val="auto"/>
              </w:rPr>
            </w:pPr>
          </w:p>
        </w:tc>
      </w:tr>
      <w:tr>
        <w:trPr>
          <w:trHeight w:val="234"/>
        </w:trPr>
        <w:tc>
          <w:tcPr>
            <w:tcW w:w="3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Houston, Texas 77002</w:t>
            </w:r>
          </w:p>
        </w:tc>
        <w:tc>
          <w:tcPr>
            <w:tcW w:w="0" w:type="dxa"/>
            <w:vAlign w:val="bottom"/>
          </w:tcPr>
          <w:p>
            <w:pPr>
              <w:spacing w:after="0"/>
              <w:rPr>
                <w:sz w:val="1"/>
                <w:szCs w:val="1"/>
                <w:color w:val="auto"/>
              </w:rPr>
            </w:pPr>
          </w:p>
        </w:tc>
      </w:tr>
      <w:tr>
        <w:trPr>
          <w:trHeight w:val="702"/>
        </w:trPr>
        <w:tc>
          <w:tcPr>
            <w:tcW w:w="3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4" w:name="page45"/>
    <w:bookmarkEnd w:id="4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General Information.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Furnish the following information as to the Trustee: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Name and address of each examining or supervising authority to which it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154305</wp:posOffset>
            </wp:positionV>
            <wp:extent cx="58464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68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194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237"/>
        </w:trPr>
        <w:tc>
          <w:tcPr>
            <w:tcW w:w="50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191"/>
        </w:trPr>
        <w:tc>
          <w:tcPr>
            <w:tcW w:w="500" w:type="dxa"/>
            <w:vAlign w:val="bottom"/>
          </w:tcPr>
          <w:p>
            <w:pPr>
              <w:spacing w:after="0"/>
              <w:rPr>
                <w:sz w:val="16"/>
                <w:szCs w:val="16"/>
                <w:color w:val="auto"/>
              </w:rPr>
            </w:pPr>
          </w:p>
        </w:tc>
        <w:tc>
          <w:tcPr>
            <w:tcW w:w="4680" w:type="dxa"/>
            <w:vAlign w:val="bottom"/>
            <w:gridSpan w:val="3"/>
          </w:tcPr>
          <w:p>
            <w:pPr>
              <w:ind w:left="320"/>
              <w:spacing w:after="0" w:line="191" w:lineRule="exact"/>
              <w:rPr>
                <w:sz w:val="20"/>
                <w:szCs w:val="20"/>
                <w:color w:val="auto"/>
              </w:rPr>
            </w:pPr>
            <w:r>
              <w:rPr>
                <w:rFonts w:ascii="Times New Roman" w:cs="Times New Roman" w:eastAsia="Times New Roman" w:hAnsi="Times New Roman"/>
                <w:sz w:val="18"/>
                <w:szCs w:val="18"/>
                <w:color w:val="auto"/>
              </w:rPr>
              <w:t>Comptroller of the Currency – United States Department</w:t>
            </w:r>
          </w:p>
        </w:tc>
        <w:tc>
          <w:tcPr>
            <w:tcW w:w="4540" w:type="dxa"/>
            <w:vAlign w:val="bottom"/>
            <w:gridSpan w:val="3"/>
          </w:tcPr>
          <w:p>
            <w:pPr>
              <w:ind w:left="260"/>
              <w:spacing w:after="0" w:line="191" w:lineRule="exact"/>
              <w:rPr>
                <w:sz w:val="20"/>
                <w:szCs w:val="20"/>
                <w:color w:val="auto"/>
              </w:rPr>
            </w:pPr>
            <w:r>
              <w:rPr>
                <w:rFonts w:ascii="Times New Roman" w:cs="Times New Roman" w:eastAsia="Times New Roman" w:hAnsi="Times New Roman"/>
                <w:sz w:val="18"/>
                <w:szCs w:val="18"/>
                <w:color w:val="auto"/>
              </w:rPr>
              <w:t>Washington, D.C. 20219</w:t>
            </w:r>
          </w:p>
        </w:tc>
      </w:tr>
      <w:tr>
        <w:trPr>
          <w:trHeight w:val="234"/>
        </w:trPr>
        <w:tc>
          <w:tcPr>
            <w:tcW w:w="500" w:type="dxa"/>
            <w:vAlign w:val="bottom"/>
          </w:tcPr>
          <w:p>
            <w:pPr>
              <w:spacing w:after="0"/>
              <w:rPr>
                <w:sz w:val="20"/>
                <w:szCs w:val="20"/>
                <w:color w:val="auto"/>
              </w:rPr>
            </w:pPr>
          </w:p>
        </w:tc>
        <w:tc>
          <w:tcPr>
            <w:tcW w:w="4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of the Treasury</w:t>
            </w: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Federal Reserve Bank</w:t>
            </w:r>
          </w:p>
        </w:tc>
        <w:tc>
          <w:tcPr>
            <w:tcW w:w="4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San Francisco, California 94105</w:t>
            </w:r>
          </w:p>
        </w:tc>
      </w:tr>
      <w:tr>
        <w:trPr>
          <w:trHeight w:val="432"/>
        </w:trPr>
        <w:tc>
          <w:tcPr>
            <w:tcW w:w="500" w:type="dxa"/>
            <w:vAlign w:val="bottom"/>
          </w:tcPr>
          <w:p>
            <w:pPr>
              <w:spacing w:after="0"/>
              <w:rPr>
                <w:sz w:val="24"/>
                <w:szCs w:val="24"/>
                <w:color w:val="auto"/>
              </w:rPr>
            </w:pPr>
          </w:p>
        </w:tc>
        <w:tc>
          <w:tcPr>
            <w:tcW w:w="4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Washington, D.C. 20429</w:t>
            </w:r>
          </w:p>
        </w:tc>
      </w:tr>
      <w:tr>
        <w:trPr>
          <w:trHeight w:val="432"/>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  Whether it is authorized to exercise corporate trust powers.</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Affiliations with the Obligor.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obligor is an affiliate of the Trustee, describe each such affiliation.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List of Exhibits.</w:t>
      </w:r>
    </w:p>
    <w:p>
      <w:pPr>
        <w:spacing w:after="0" w:line="225" w:lineRule="exact"/>
        <w:rPr>
          <w:sz w:val="20"/>
          <w:szCs w:val="20"/>
          <w:color w:val="auto"/>
        </w:rPr>
      </w:pPr>
    </w:p>
    <w:p>
      <w:pPr>
        <w:ind w:left="980" w:right="160"/>
        <w:spacing w:after="0" w:line="286" w:lineRule="auto"/>
        <w:rPr>
          <w:sz w:val="20"/>
          <w:szCs w:val="20"/>
          <w:color w:val="auto"/>
        </w:rPr>
      </w:pPr>
      <w:r>
        <w:rPr>
          <w:rFonts w:ascii="Times New Roman" w:cs="Times New Roman" w:eastAsia="Times New Roman" w:hAnsi="Times New Roman"/>
          <w:sz w:val="18"/>
          <w:szCs w:val="18"/>
          <w:b w:val="1"/>
          <w:bCs w:val="1"/>
          <w:color w:val="auto"/>
        </w:rPr>
        <w:t>Exhibits identified in parentheses below, on file with the Securities and Exchange Commission, are incorporated herein by reference as an exhibit hereto, pursuant to Rule 7a-29 under the Trust Indenture Act of 1939 (the “Act”) and 17 C.F.R. 229.10(d).</w:t>
      </w:r>
    </w:p>
    <w:p>
      <w:pPr>
        <w:spacing w:after="0" w:line="159" w:lineRule="exact"/>
        <w:rPr>
          <w:sz w:val="20"/>
          <w:szCs w:val="20"/>
          <w:color w:val="auto"/>
        </w:rPr>
      </w:pPr>
    </w:p>
    <w:p>
      <w:pPr>
        <w:ind w:left="1300" w:right="20" w:hanging="320"/>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Bank of New York Mellon Trust Company, N.A. (Exhibit 1 to Form T-1 filed pursuant to Section 305(b)(2) of the Act in connection with Registration Statement No. 333-135006-10)</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certificate of authority of the Trustee to commence business. (Exhibit 2 to Form T-1 filed with Registration Statement No. 333-121948).</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(Exhibit 3 to Form T-1 filed pursuant to Section 305(b)(2) of the Act in connection with Registration Statement No. 333-135006-10).</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(Exhibit 4 to Form T-1 filed pursuant to Section 305(b)(2) of the Act in connection with Registration Statement No. 333-135006-10).</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 (Exhibit 6 to Form T-1 filed pursuant to Section 305(b)(2) of the Act in connection with Registration Statement No. 333-135006-10).</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26th day of April, 2022.</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Lawrence M. Kusch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333 South Hope Street, Suite 2525, Los Angeles, CA 90071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At the close of business December 31, 2021, published in accordance with Federal regulatory authority instructions.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630"/>
        </w:trPr>
        <w:tc>
          <w:tcPr>
            <w:tcW w:w="66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Dollar amounts</w:t>
            </w:r>
          </w:p>
        </w:tc>
        <w:tc>
          <w:tcPr>
            <w:tcW w:w="68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 thousands</w:t>
            </w:r>
          </w:p>
        </w:tc>
        <w:tc>
          <w:tcPr>
            <w:tcW w:w="680" w:type="dxa"/>
            <w:vAlign w:val="bottom"/>
          </w:tcPr>
          <w:p>
            <w:pPr>
              <w:spacing w:after="0"/>
              <w:rPr>
                <w:sz w:val="20"/>
                <w:szCs w:val="20"/>
                <w:color w:val="auto"/>
              </w:rPr>
            </w:pPr>
          </w:p>
        </w:tc>
      </w:tr>
      <w:tr>
        <w:trPr>
          <w:trHeight w:val="189"/>
        </w:trPr>
        <w:tc>
          <w:tcPr>
            <w:tcW w:w="916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1,603</w:t>
            </w: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Interest-bearing balances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397,503</w:t>
            </w:r>
          </w:p>
        </w:tc>
        <w:tc>
          <w:tcPr>
            <w:tcW w:w="680" w:type="dxa"/>
            <w:vAlign w:val="bottom"/>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51,107</w:t>
            </w: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19,483</w:t>
            </w:r>
          </w:p>
        </w:tc>
        <w:tc>
          <w:tcPr>
            <w:tcW w:w="680" w:type="dxa"/>
            <w:vAlign w:val="bottom"/>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856,313</w:t>
            </w:r>
          </w:p>
        </w:tc>
        <w:tc>
          <w:tcPr>
            <w:tcW w:w="680" w:type="dxa"/>
            <w:vAlign w:val="bottom"/>
          </w:tcPr>
          <w:p>
            <w:pPr>
              <w:spacing w:after="0"/>
              <w:rPr>
                <w:sz w:val="18"/>
                <w:szCs w:val="18"/>
                <w:color w:val="auto"/>
              </w:rPr>
            </w:pPr>
          </w:p>
        </w:tc>
      </w:tr>
      <w:tr>
        <w:trPr>
          <w:trHeight w:val="230"/>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90,124</w:t>
            </w:r>
          </w:p>
        </w:tc>
        <w:tc>
          <w:tcPr>
            <w:tcW w:w="680" w:type="dxa"/>
            <w:vAlign w:val="bottom"/>
          </w:tcPr>
          <w:p>
            <w:pPr>
              <w:spacing w:after="0"/>
              <w:rPr>
                <w:sz w:val="19"/>
                <w:szCs w:val="19"/>
                <w:color w:val="auto"/>
              </w:rPr>
            </w:pPr>
          </w:p>
        </w:tc>
      </w:tr>
      <w:tr>
        <w:trPr>
          <w:trHeight w:val="223"/>
        </w:trPr>
        <w:tc>
          <w:tcPr>
            <w:tcW w:w="9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83"/>
        </w:trPr>
        <w:tc>
          <w:tcPr>
            <w:tcW w:w="66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domestic offices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Noninterest-bearing</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Interest-bearing</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275,893</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276,769</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9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EQUITY CAPITAL</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324,786</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813,129</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bank equity capital</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1,139,364</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30"/>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1,139,364</w:t>
            </w:r>
          </w:p>
        </w:tc>
        <w:tc>
          <w:tcPr>
            <w:tcW w:w="60" w:type="dxa"/>
            <w:vAlign w:val="bottom"/>
            <w:shd w:val="clear" w:color="auto" w:fill="CCEEFF"/>
          </w:tcPr>
          <w:p>
            <w:pPr>
              <w:spacing w:after="0"/>
              <w:rPr>
                <w:sz w:val="19"/>
                <w:szCs w:val="19"/>
                <w:color w:val="auto"/>
              </w:rPr>
            </w:pPr>
          </w:p>
        </w:tc>
      </w:tr>
      <w:tr>
        <w:trPr>
          <w:trHeight w:val="223"/>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1,416,133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76" w:lineRule="exact"/>
        <w:rPr>
          <w:sz w:val="20"/>
          <w:szCs w:val="20"/>
          <w:color w:val="auto"/>
        </w:rPr>
      </w:pPr>
    </w:p>
    <w:p>
      <w:pPr>
        <w:ind w:left="660"/>
        <w:spacing w:after="0"/>
        <w:tabs>
          <w:tab w:leader="none" w:pos="2720" w:val="left"/>
          <w:tab w:leader="none" w:pos="3720" w:val="left"/>
        </w:tabs>
        <w:rPr>
          <w:sz w:val="20"/>
          <w:szCs w:val="20"/>
          <w:color w:val="auto"/>
        </w:rPr>
      </w:pPr>
      <w:r>
        <w:rPr>
          <w:rFonts w:ascii="Times New Roman" w:cs="Times New Roman" w:eastAsia="Times New Roman" w:hAnsi="Times New Roman"/>
          <w:sz w:val="18"/>
          <w:szCs w:val="18"/>
          <w:color w:val="auto"/>
        </w:rPr>
        <w:t>Matthew J. McNulty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CFO</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Antonio I. Portuondo, President   )</w:t>
            </w:r>
          </w:p>
        </w:tc>
        <w:tc>
          <w:tcPr>
            <w:tcW w:w="560" w:type="dxa"/>
            <w:vAlign w:val="bottom"/>
          </w:tcPr>
          <w:p>
            <w:pPr>
              <w:spacing w:after="0"/>
              <w:rPr>
                <w:sz w:val="18"/>
                <w:szCs w:val="18"/>
                <w:color w:val="auto"/>
              </w:rPr>
            </w:pPr>
          </w:p>
        </w:tc>
        <w:tc>
          <w:tcPr>
            <w:tcW w:w="790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Michael P. Scott, Managing Director</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Directors (Trustees)</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Kevin P. Caffrey, Managing Director</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spacing w:after="0"/>
              <w:rPr>
                <w:sz w:val="20"/>
                <w:szCs w:val="20"/>
                <w:color w:val="auto"/>
              </w:rPr>
            </w:pPr>
          </w:p>
        </w:tc>
      </w:tr>
      <w:tr>
        <w:trPr>
          <w:trHeight w:val="675"/>
        </w:trPr>
        <w:tc>
          <w:tcPr>
            <w:tcW w:w="2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25.2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T-1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STATEMENT OF ELIGIBILITY</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TRUST INDENTURE ACT OF 1939 OF 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CHECK IF AN APPLICATION TO DETERMINE ELIGIBILITY</w:t>
      </w:r>
    </w:p>
    <w:p>
      <w:pPr>
        <w:spacing w:after="0" w:line="22" w:lineRule="exact"/>
        <w:rPr>
          <w:sz w:val="20"/>
          <w:szCs w:val="20"/>
          <w:color w:val="auto"/>
        </w:rPr>
      </w:pPr>
    </w:p>
    <w:p>
      <w:pPr>
        <w:jc w:val="center"/>
        <w:ind w:right="1120"/>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OF A TRUSTEE PURSUANT TO SECTION 305(b)(2)</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146050</wp:posOffset>
            </wp:positionV>
            <wp:extent cx="1783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THE BANK OF NEW YORK MELLON TRUST COMPANY, N.A.</w:t>
      </w:r>
    </w:p>
    <w:p>
      <w:pPr>
        <w:spacing w:after="0" w:line="4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rPr>
              <w:t>N/A</w:t>
            </w:r>
          </w:p>
        </w:tc>
        <w:tc>
          <w:tcPr>
            <w:tcW w:w="3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95-3571558</w:t>
            </w:r>
          </w:p>
        </w:tc>
      </w:tr>
      <w:tr>
        <w:trPr>
          <w:trHeight w:val="216"/>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(Jurisdiction of incorporation or organization</w:t>
            </w:r>
          </w:p>
        </w:tc>
        <w:tc>
          <w:tcPr>
            <w:tcW w:w="3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if not a U.S. national bank)</w:t>
            </w:r>
          </w:p>
        </w:tc>
        <w:tc>
          <w:tcPr>
            <w:tcW w:w="3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333 South Hope Street, Suite 2525</w:t>
            </w:r>
          </w:p>
        </w:tc>
        <w:tc>
          <w:tcPr>
            <w:tcW w:w="3240" w:type="dxa"/>
            <w:vAlign w:val="bottom"/>
          </w:tcPr>
          <w:p>
            <w:pPr>
              <w:spacing w:after="0"/>
              <w:rPr>
                <w:sz w:val="24"/>
                <w:szCs w:val="24"/>
                <w:color w:val="auto"/>
              </w:rPr>
            </w:pPr>
          </w:p>
        </w:tc>
      </w:tr>
      <w:tr>
        <w:trPr>
          <w:trHeight w:val="220"/>
        </w:trPr>
        <w:tc>
          <w:tcPr>
            <w:tcW w:w="482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3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90071</w:t>
            </w:r>
          </w:p>
        </w:tc>
      </w:tr>
      <w:tr>
        <w:trPr>
          <w:trHeight w:val="234"/>
        </w:trPr>
        <w:tc>
          <w:tcPr>
            <w:tcW w:w="482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Legal Department</w:t>
      </w:r>
    </w:p>
    <w:p>
      <w:pPr>
        <w:spacing w:after="0" w:line="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N.A.</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240 Greenwich Street</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New York, NY 10286</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(212) 635-1270</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5"/>
          <w:szCs w:val="25"/>
          <w:b w:val="1"/>
          <w:bCs w:val="1"/>
          <w:color w:val="auto"/>
        </w:rPr>
        <w:t>WASTE MANAGEMENT, INC.</w:t>
      </w:r>
    </w:p>
    <w:p>
      <w:pPr>
        <w:spacing w:after="0" w:line="4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(Exact name of obligor as specified in its charter)</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45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73-1309529</w:t>
            </w:r>
          </w:p>
        </w:tc>
      </w:tr>
      <w:tr>
        <w:trPr>
          <w:trHeight w:val="216"/>
        </w:trPr>
        <w:tc>
          <w:tcPr>
            <w:tcW w:w="454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4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5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rPr>
              <w:t>800 Capitol Street, Suite 3000</w:t>
            </w:r>
          </w:p>
        </w:tc>
        <w:tc>
          <w:tcPr>
            <w:tcW w:w="3340" w:type="dxa"/>
            <w:vAlign w:val="bottom"/>
          </w:tcPr>
          <w:p>
            <w:pPr>
              <w:spacing w:after="0"/>
              <w:rPr>
                <w:sz w:val="24"/>
                <w:szCs w:val="24"/>
                <w:color w:val="auto"/>
              </w:rPr>
            </w:pPr>
          </w:p>
        </w:tc>
      </w:tr>
      <w:tr>
        <w:trPr>
          <w:trHeight w:val="220"/>
        </w:trPr>
        <w:tc>
          <w:tcPr>
            <w:tcW w:w="45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000033"/>
                <w:w w:val="99"/>
              </w:rPr>
              <w:t>Houston, Texas</w:t>
            </w:r>
          </w:p>
        </w:tc>
        <w:tc>
          <w:tcPr>
            <w:tcW w:w="33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454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19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SEE TABLE OF ADDITIONAL GUARANTOR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ADDITIONAL GUARANTOR OBLIGOR</w:t>
            </w:r>
          </w:p>
        </w:tc>
        <w:tc>
          <w:tcPr>
            <w:tcW w:w="0" w:type="dxa"/>
            <w:vAlign w:val="bottom"/>
          </w:tcPr>
          <w:p>
            <w:pPr>
              <w:spacing w:after="0"/>
              <w:rPr>
                <w:sz w:val="1"/>
                <w:szCs w:val="1"/>
                <w:color w:val="auto"/>
              </w:rPr>
            </w:pPr>
          </w:p>
        </w:tc>
      </w:tr>
      <w:tr>
        <w:trPr>
          <w:trHeight w:val="410"/>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Exact Name of Additional Guarantor as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Incorporation or</w:t>
            </w:r>
          </w:p>
        </w:tc>
        <w:tc>
          <w:tcPr>
            <w:tcW w:w="1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120" w:type="dxa"/>
            <w:vAlign w:val="bottom"/>
          </w:tcPr>
          <w:p>
            <w:pPr>
              <w:spacing w:after="0"/>
              <w:rPr>
                <w:sz w:val="17"/>
                <w:szCs w:val="17"/>
                <w:color w:val="auto"/>
              </w:rPr>
            </w:pPr>
          </w:p>
        </w:tc>
        <w:tc>
          <w:tcPr>
            <w:tcW w:w="4140" w:type="dxa"/>
            <w:vAlign w:val="bottom"/>
          </w:tcPr>
          <w:p>
            <w:pPr>
              <w:ind w:left="940"/>
              <w:spacing w:after="0" w:line="202" w:lineRule="exact"/>
              <w:rPr>
                <w:sz w:val="20"/>
                <w:szCs w:val="20"/>
                <w:color w:val="auto"/>
              </w:rPr>
            </w:pPr>
            <w:r>
              <w:rPr>
                <w:rFonts w:ascii="Times New Roman" w:cs="Times New Roman" w:eastAsia="Times New Roman" w:hAnsi="Times New Roman"/>
                <w:sz w:val="18"/>
                <w:szCs w:val="18"/>
                <w:b w:val="1"/>
                <w:bCs w:val="1"/>
                <w:color w:val="auto"/>
              </w:rPr>
              <w:t>Address, Including Zip Code,</w:t>
            </w:r>
          </w:p>
        </w:tc>
        <w:tc>
          <w:tcPr>
            <w:tcW w:w="0" w:type="dxa"/>
            <w:vAlign w:val="bottom"/>
          </w:tcPr>
          <w:p>
            <w:pPr>
              <w:spacing w:after="0"/>
              <w:rPr>
                <w:sz w:val="1"/>
                <w:szCs w:val="1"/>
                <w:color w:val="auto"/>
              </w:rPr>
            </w:pPr>
          </w:p>
        </w:tc>
      </w:tr>
      <w:tr>
        <w:trPr>
          <w:trHeight w:val="258"/>
        </w:trPr>
        <w:tc>
          <w:tcPr>
            <w:tcW w:w="34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Specified in its Charter</w:t>
            </w: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2"/>
                <w:szCs w:val="22"/>
                <w:color w:val="auto"/>
              </w:rPr>
            </w:pPr>
          </w:p>
        </w:tc>
        <w:tc>
          <w:tcPr>
            <w:tcW w:w="41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of Principal Executive Offices</w:t>
            </w:r>
          </w:p>
        </w:tc>
        <w:tc>
          <w:tcPr>
            <w:tcW w:w="0" w:type="dxa"/>
            <w:vAlign w:val="bottom"/>
          </w:tcPr>
          <w:p>
            <w:pPr>
              <w:spacing w:after="0"/>
              <w:rPr>
                <w:sz w:val="1"/>
                <w:szCs w:val="1"/>
                <w:color w:val="auto"/>
              </w:rPr>
            </w:pPr>
          </w:p>
        </w:tc>
      </w:tr>
      <w:tr>
        <w:trPr>
          <w:trHeight w:val="185"/>
        </w:trPr>
        <w:tc>
          <w:tcPr>
            <w:tcW w:w="342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Waste Management Holdings, Inc.</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Delaware</w:t>
            </w: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36-2660763</w:t>
            </w:r>
          </w:p>
        </w:tc>
        <w:tc>
          <w:tcPr>
            <w:tcW w:w="120" w:type="dxa"/>
            <w:vAlign w:val="bottom"/>
            <w:tcBorders>
              <w:top w:val="single" w:sz="8" w:color="CCEEFF"/>
            </w:tcBorders>
            <w:shd w:val="clear" w:color="auto" w:fill="CCEEFF"/>
          </w:tcPr>
          <w:p>
            <w:pPr>
              <w:spacing w:after="0"/>
              <w:rPr>
                <w:sz w:val="16"/>
                <w:szCs w:val="16"/>
                <w:color w:val="auto"/>
              </w:rPr>
            </w:pPr>
          </w:p>
        </w:tc>
        <w:tc>
          <w:tcPr>
            <w:tcW w:w="41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800 Capitol Street, Suite 3000</w:t>
            </w:r>
          </w:p>
        </w:tc>
        <w:tc>
          <w:tcPr>
            <w:tcW w:w="0" w:type="dxa"/>
            <w:vAlign w:val="bottom"/>
          </w:tcPr>
          <w:p>
            <w:pPr>
              <w:spacing w:after="0"/>
              <w:rPr>
                <w:sz w:val="1"/>
                <w:szCs w:val="1"/>
                <w:color w:val="auto"/>
              </w:rPr>
            </w:pPr>
          </w:p>
        </w:tc>
      </w:tr>
      <w:tr>
        <w:trPr>
          <w:trHeight w:val="234"/>
        </w:trPr>
        <w:tc>
          <w:tcPr>
            <w:tcW w:w="3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Houston, Texas 77002</w:t>
            </w:r>
          </w:p>
        </w:tc>
        <w:tc>
          <w:tcPr>
            <w:tcW w:w="0" w:type="dxa"/>
            <w:vAlign w:val="bottom"/>
          </w:tcPr>
          <w:p>
            <w:pPr>
              <w:spacing w:after="0"/>
              <w:rPr>
                <w:sz w:val="1"/>
                <w:szCs w:val="1"/>
                <w:color w:val="auto"/>
              </w:rPr>
            </w:pPr>
          </w:p>
        </w:tc>
      </w:tr>
      <w:tr>
        <w:trPr>
          <w:trHeight w:val="702"/>
        </w:trPr>
        <w:tc>
          <w:tcPr>
            <w:tcW w:w="3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0" w:name="page51"/>
    <w:bookmarkEnd w:id="5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General Information.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Furnish the following information as to the Trustee: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Name and address of each examining or supervising authority to which it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154305</wp:posOffset>
            </wp:positionV>
            <wp:extent cx="54178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0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204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237"/>
        </w:trPr>
        <w:tc>
          <w:tcPr>
            <w:tcW w:w="19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191"/>
        </w:trPr>
        <w:tc>
          <w:tcPr>
            <w:tcW w:w="4060" w:type="dxa"/>
            <w:vAlign w:val="bottom"/>
            <w:gridSpan w:val="3"/>
          </w:tcPr>
          <w:p>
            <w:pPr>
              <w:ind w:left="320"/>
              <w:spacing w:after="0" w:line="191" w:lineRule="exact"/>
              <w:rPr>
                <w:sz w:val="20"/>
                <w:szCs w:val="20"/>
                <w:color w:val="auto"/>
              </w:rPr>
            </w:pPr>
            <w:r>
              <w:rPr>
                <w:rFonts w:ascii="Times New Roman" w:cs="Times New Roman" w:eastAsia="Times New Roman" w:hAnsi="Times New Roman"/>
                <w:sz w:val="18"/>
                <w:szCs w:val="18"/>
                <w:color w:val="auto"/>
              </w:rPr>
              <w:t>Comptroller of the Currency – United States</w:t>
            </w:r>
          </w:p>
        </w:tc>
        <w:tc>
          <w:tcPr>
            <w:tcW w:w="4460" w:type="dxa"/>
            <w:vAlign w:val="bottom"/>
            <w:gridSpan w:val="3"/>
          </w:tcPr>
          <w:p>
            <w:pPr>
              <w:ind w:left="520"/>
              <w:spacing w:after="0" w:line="191" w:lineRule="exact"/>
              <w:rPr>
                <w:sz w:val="20"/>
                <w:szCs w:val="20"/>
                <w:color w:val="auto"/>
              </w:rPr>
            </w:pPr>
            <w:r>
              <w:rPr>
                <w:rFonts w:ascii="Times New Roman" w:cs="Times New Roman" w:eastAsia="Times New Roman" w:hAnsi="Times New Roman"/>
                <w:sz w:val="18"/>
                <w:szCs w:val="18"/>
                <w:color w:val="auto"/>
              </w:rPr>
              <w:t>Washington, D.C. 20219</w:t>
            </w:r>
          </w:p>
        </w:tc>
      </w:tr>
      <w:tr>
        <w:trPr>
          <w:trHeight w:val="234"/>
        </w:trPr>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Department of the Treasury</w:t>
            </w:r>
          </w:p>
        </w:tc>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2"/>
        </w:trPr>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Federal Reserve Bank</w:t>
            </w:r>
          </w:p>
        </w:tc>
        <w:tc>
          <w:tcPr>
            <w:tcW w:w="4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San Francisco, California 94105</w:t>
            </w:r>
          </w:p>
        </w:tc>
      </w:tr>
      <w:tr>
        <w:trPr>
          <w:trHeight w:val="432"/>
        </w:trPr>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4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Washington, D.C. 20429</w:t>
            </w:r>
          </w:p>
        </w:tc>
      </w:tr>
    </w:tbl>
    <w:p>
      <w:pPr>
        <w:spacing w:after="0" w:line="198" w:lineRule="exact"/>
        <w:rPr>
          <w:sz w:val="20"/>
          <w:szCs w:val="20"/>
          <w:color w:val="auto"/>
        </w:rPr>
      </w:pPr>
    </w:p>
    <w:p>
      <w:pPr>
        <w:ind w:left="1300" w:right="5680" w:hanging="320"/>
        <w:spacing w:after="0" w:line="49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is authorized to exercise corporate trust powers. Yes.</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Affiliations with the Obligor.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obligor is an affiliate of the Trustee, describe each such affiliation.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List of Exhibits.</w:t>
      </w:r>
    </w:p>
    <w:p>
      <w:pPr>
        <w:spacing w:after="0" w:line="225"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Exhibits identified in parentheses below, on file with the Securities and Exchange Commission, are incorporated herein by reference as an exhibit hereto, pursuant to Rule 7a-29 under the Trust Indenture Act of 1939 (the “Act”) and 17 C.F.R. 229.10(d).</w:t>
      </w:r>
    </w:p>
    <w:p>
      <w:pPr>
        <w:spacing w:after="0" w:line="159" w:lineRule="exact"/>
        <w:rPr>
          <w:sz w:val="20"/>
          <w:szCs w:val="20"/>
          <w:color w:val="auto"/>
        </w:rPr>
      </w:pPr>
    </w:p>
    <w:p>
      <w:pPr>
        <w:ind w:left="1300" w:right="20" w:hanging="320"/>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Bank of New York Mellon Trust Company, N.A. (Exhibit 1 to Form T-1 filed pursuant to Section 305(b)(2) of the Act in connection with Registration Statement No. 333-135006-10)</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certificate of authority of the Trustee to commence business. (Exhibit 2 to Form T-1 filed with Registration Statement No. 333-121948).</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(Exhibit 3 to Form T-1 filed pursuant to Section 305(b)(2) of the Act in connection with Registration Statement No. 333-135006-10).</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(Exhibit 4 to Form T-1 filed pursuant to Section 305(b)(2) of the Act in connection with Registration Statement No. 333-135006-10).</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 (Exhibit 6 to Form T-1 filed pursuant to Section 305(b)(2) of the Act in connection with Registration Statement No. 333-135006-10).</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26th day of April, 2022.</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Lawrence M. Kusch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7"/>
              </w:rPr>
              <w:t>EXHIBIT 7</w:t>
            </w:r>
          </w:p>
        </w:tc>
      </w:tr>
      <w:tr>
        <w:trPr>
          <w:trHeight w:val="414"/>
        </w:trPr>
        <w:tc>
          <w:tcPr>
            <w:tcW w:w="660" w:type="dxa"/>
            <w:vAlign w:val="bottom"/>
          </w:tcPr>
          <w:p>
            <w:pPr>
              <w:spacing w:after="0"/>
              <w:rPr>
                <w:sz w:val="24"/>
                <w:szCs w:val="24"/>
                <w:color w:val="auto"/>
              </w:rPr>
            </w:pPr>
          </w:p>
        </w:tc>
        <w:tc>
          <w:tcPr>
            <w:tcW w:w="8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Consolidated Report of Condition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8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THE BANK OF NEW YORK MELLON TRUST COMPANY, N.A.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8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of 333 South Hope Street, Suite 2525, Los Angeles, CA 90071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9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At the close of business December 31, 2021, published in accordance with Federal regulatory authority instructions.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7"/>
        </w:trPr>
        <w:tc>
          <w:tcPr>
            <w:tcW w:w="66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w w:val="98"/>
              </w:rPr>
              <w:t>Dollar amounts</w:t>
            </w:r>
          </w:p>
        </w:tc>
      </w:tr>
      <w:tr>
        <w:trPr>
          <w:trHeight w:val="234"/>
        </w:trPr>
        <w:tc>
          <w:tcPr>
            <w:tcW w:w="66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189"/>
        </w:trPr>
        <w:tc>
          <w:tcPr>
            <w:tcW w:w="930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8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1,603</w:t>
            </w: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Interest-bearing balances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397,503</w:t>
            </w:r>
          </w:p>
        </w:tc>
        <w:tc>
          <w:tcPr>
            <w:tcW w:w="680" w:type="dxa"/>
            <w:vAlign w:val="bottom"/>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51,107</w:t>
            </w: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Federal funds sold and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under agreements to resell: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19,483</w:t>
            </w: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856,313</w:t>
            </w:r>
          </w:p>
        </w:tc>
        <w:tc>
          <w:tcPr>
            <w:tcW w:w="680" w:type="dxa"/>
            <w:vAlign w:val="bottom"/>
          </w:tcPr>
          <w:p>
            <w:pPr>
              <w:spacing w:after="0"/>
              <w:rPr>
                <w:sz w:val="18"/>
                <w:szCs w:val="18"/>
                <w:color w:val="auto"/>
              </w:rPr>
            </w:pPr>
          </w:p>
        </w:tc>
      </w:tr>
      <w:tr>
        <w:trPr>
          <w:trHeight w:val="230"/>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90,124</w:t>
            </w:r>
          </w:p>
        </w:tc>
        <w:tc>
          <w:tcPr>
            <w:tcW w:w="680" w:type="dxa"/>
            <w:vAlign w:val="bottom"/>
          </w:tcPr>
          <w:p>
            <w:pPr>
              <w:spacing w:after="0"/>
              <w:rPr>
                <w:sz w:val="19"/>
                <w:szCs w:val="19"/>
                <w:color w:val="auto"/>
              </w:rPr>
            </w:pPr>
          </w:p>
        </w:tc>
      </w:tr>
      <w:tr>
        <w:trPr>
          <w:trHeight w:val="223"/>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1,416,133</w:t>
            </w:r>
          </w:p>
        </w:tc>
        <w:tc>
          <w:tcPr>
            <w:tcW w:w="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40"/>
        </w:trPr>
        <w:tc>
          <w:tcPr>
            <w:tcW w:w="66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domestic offices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Noninterest-bearing</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Interest-bearing</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275,893</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276,769</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9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EQUITY CAPITAL</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324,786</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813,129</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available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bank equity capital</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1,139,364</w:t>
            </w:r>
          </w:p>
        </w:tc>
        <w:tc>
          <w:tcPr>
            <w:tcW w:w="60" w:type="dxa"/>
            <w:vAlign w:val="bottom"/>
            <w:shd w:val="clear" w:color="auto" w:fill="CCEEFF"/>
          </w:tcPr>
          <w:p>
            <w:pPr>
              <w:spacing w:after="0"/>
              <w:rPr>
                <w:sz w:val="18"/>
                <w:szCs w:val="18"/>
                <w:color w:val="auto"/>
              </w:rPr>
            </w:pPr>
          </w:p>
        </w:tc>
      </w:tr>
      <w:tr>
        <w:trPr>
          <w:trHeight w:val="216"/>
        </w:trPr>
        <w:tc>
          <w:tcPr>
            <w:tcW w:w="9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30"/>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1,139,364</w:t>
            </w:r>
          </w:p>
        </w:tc>
        <w:tc>
          <w:tcPr>
            <w:tcW w:w="60" w:type="dxa"/>
            <w:vAlign w:val="bottom"/>
            <w:shd w:val="clear" w:color="auto" w:fill="CCEEFF"/>
          </w:tcPr>
          <w:p>
            <w:pPr>
              <w:spacing w:after="0"/>
              <w:rPr>
                <w:sz w:val="19"/>
                <w:szCs w:val="19"/>
                <w:color w:val="auto"/>
              </w:rPr>
            </w:pPr>
          </w:p>
        </w:tc>
      </w:tr>
      <w:tr>
        <w:trPr>
          <w:trHeight w:val="223"/>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1,416,133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76" w:lineRule="exact"/>
        <w:rPr>
          <w:sz w:val="20"/>
          <w:szCs w:val="20"/>
          <w:color w:val="auto"/>
        </w:rPr>
      </w:pPr>
    </w:p>
    <w:p>
      <w:pPr>
        <w:ind w:left="660"/>
        <w:spacing w:after="0"/>
        <w:tabs>
          <w:tab w:leader="none" w:pos="2540" w:val="left"/>
          <w:tab w:leader="none" w:pos="3400" w:val="left"/>
        </w:tabs>
        <w:rPr>
          <w:sz w:val="20"/>
          <w:szCs w:val="20"/>
          <w:color w:val="auto"/>
        </w:rPr>
      </w:pPr>
      <w:r>
        <w:rPr>
          <w:rFonts w:ascii="Times New Roman" w:cs="Times New Roman" w:eastAsia="Times New Roman" w:hAnsi="Times New Roman"/>
          <w:sz w:val="18"/>
          <w:szCs w:val="18"/>
          <w:color w:val="auto"/>
        </w:rPr>
        <w:t>Matthew J. McNulty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CFO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Antonio I. Portuondo, President  )</w:t>
            </w:r>
          </w:p>
        </w:tc>
        <w:tc>
          <w:tcPr>
            <w:tcW w:w="58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3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Michael P. Scott, Managing Director</w:t>
            </w:r>
          </w:p>
        </w:tc>
        <w:tc>
          <w:tcPr>
            <w:tcW w:w="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Directors (Trustees)</w:t>
            </w:r>
          </w:p>
        </w:tc>
      </w:tr>
      <w:tr>
        <w:trPr>
          <w:trHeight w:val="234"/>
        </w:trPr>
        <w:tc>
          <w:tcPr>
            <w:tcW w:w="3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Kevin P. Caffrey, Managing Director</w:t>
            </w: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140" w:type="dxa"/>
            <w:vAlign w:val="bottom"/>
          </w:tcPr>
          <w:p>
            <w:pPr>
              <w:spacing w:after="0"/>
              <w:rPr>
                <w:sz w:val="20"/>
                <w:szCs w:val="20"/>
                <w:color w:val="auto"/>
              </w:rPr>
            </w:pPr>
          </w:p>
        </w:tc>
      </w:tr>
      <w:tr>
        <w:trPr>
          <w:trHeight w:val="675"/>
        </w:trPr>
        <w:tc>
          <w:tcPr>
            <w:tcW w:w="3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S-3ASR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7"/>
              </w:rPr>
              <w:t>Filing Fee</w:t>
            </w: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color w:val="auto"/>
                <w:w w:val="95"/>
              </w:rPr>
              <w:t>Unsold</w:t>
            </w: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6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color w:val="auto"/>
                <w:w w:val="93"/>
              </w:rPr>
              <w:t>to be</w:t>
            </w:r>
          </w:p>
        </w:tc>
      </w:tr>
      <w:tr>
        <w:trPr>
          <w:trHeight w:val="135"/>
        </w:trPr>
        <w:tc>
          <w:tcPr>
            <w:tcW w:w="176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24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10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4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88"/>
              </w:rPr>
              <w:t>File</w:t>
            </w:r>
          </w:p>
        </w:tc>
        <w:tc>
          <w:tcPr>
            <w:tcW w:w="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r>
      <w:tr>
        <w:trPr>
          <w:trHeight w:val="153"/>
        </w:trPr>
        <w:tc>
          <w:tcPr>
            <w:tcW w:w="17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00" w:type="dxa"/>
            <w:vAlign w:val="bottom"/>
            <w:tcBorders>
              <w:bottom w:val="single" w:sz="8" w:color="CCEEFF"/>
            </w:tcBorders>
          </w:tcPr>
          <w:p>
            <w:pPr>
              <w:spacing w:after="0"/>
              <w:rPr>
                <w:sz w:val="13"/>
                <w:szCs w:val="13"/>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40" w:type="dxa"/>
            <w:vAlign w:val="bottom"/>
            <w:tcBorders>
              <w:bottom w:val="single" w:sz="8" w:color="CCEEFF"/>
            </w:tcBorders>
          </w:tcPr>
          <w:p>
            <w:pPr>
              <w:spacing w:after="0"/>
              <w:rPr>
                <w:sz w:val="13"/>
                <w:szCs w:val="13"/>
                <w:color w:val="auto"/>
              </w:rPr>
            </w:pPr>
          </w:p>
        </w:tc>
      </w:tr>
      <w:tr>
        <w:trPr>
          <w:trHeight w:val="115"/>
        </w:trPr>
        <w:tc>
          <w:tcPr>
            <w:tcW w:w="17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20" w:type="dxa"/>
            <w:vAlign w:val="bottom"/>
            <w:gridSpan w:val="3"/>
            <w:shd w:val="clear" w:color="auto" w:fill="CCEEFF"/>
          </w:tcPr>
          <w:p>
            <w:pPr>
              <w:ind w:left="2300"/>
              <w:spacing w:after="0" w:line="115" w:lineRule="exact"/>
              <w:rPr>
                <w:sz w:val="20"/>
                <w:szCs w:val="20"/>
                <w:color w:val="auto"/>
              </w:rPr>
            </w:pPr>
            <w:r>
              <w:rPr>
                <w:rFonts w:ascii="Times New Roman" w:cs="Times New Roman" w:eastAsia="Times New Roman" w:hAnsi="Times New Roman"/>
                <w:sz w:val="13"/>
                <w:szCs w:val="13"/>
                <w:color w:val="auto"/>
                <w:w w:val="86"/>
              </w:rPr>
              <w:t>Newly</w:t>
            </w:r>
          </w:p>
        </w:tc>
        <w:tc>
          <w:tcPr>
            <w:tcW w:w="600" w:type="dxa"/>
            <w:vAlign w:val="bottom"/>
            <w:shd w:val="clear" w:color="auto" w:fill="CCEEFF"/>
          </w:tcPr>
          <w:p>
            <w:pPr>
              <w:ind w:left="60"/>
              <w:spacing w:after="0" w:line="115" w:lineRule="exact"/>
              <w:rPr>
                <w:sz w:val="20"/>
                <w:szCs w:val="20"/>
                <w:color w:val="auto"/>
              </w:rPr>
            </w:pPr>
            <w:r>
              <w:rPr>
                <w:rFonts w:ascii="Times New Roman" w:cs="Times New Roman" w:eastAsia="Times New Roman" w:hAnsi="Times New Roman"/>
                <w:sz w:val="13"/>
                <w:szCs w:val="13"/>
                <w:color w:val="auto"/>
                <w:w w:val="93"/>
              </w:rPr>
              <w:t>Registered</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w w:val="77"/>
              </w:rPr>
              <w:t>Securities</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75"/>
        </w:trPr>
        <w:tc>
          <w:tcPr>
            <w:tcW w:w="1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Fees to Be Paid</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Debt</w:t>
            </w:r>
          </w:p>
        </w:tc>
        <w:tc>
          <w:tcPr>
            <w:tcW w:w="2420" w:type="dxa"/>
            <w:vAlign w:val="bottom"/>
          </w:tcPr>
          <w:p>
            <w:pPr>
              <w:jc w:val="center"/>
              <w:ind w:left="37"/>
              <w:spacing w:after="0" w:line="176" w:lineRule="exact"/>
              <w:rPr>
                <w:sz w:val="20"/>
                <w:szCs w:val="20"/>
                <w:color w:val="auto"/>
              </w:rPr>
            </w:pPr>
            <w:r>
              <w:rPr>
                <w:rFonts w:ascii="Times New Roman" w:cs="Times New Roman" w:eastAsia="Times New Roman" w:hAnsi="Times New Roman"/>
                <w:sz w:val="13"/>
                <w:szCs w:val="13"/>
                <w:color w:val="auto"/>
                <w:w w:val="95"/>
              </w:rPr>
              <w:t>Debt Securities of Waste Management, Inc.</w:t>
            </w:r>
            <w:r>
              <w:rPr>
                <w:rFonts w:ascii="Times New Roman" w:cs="Times New Roman" w:eastAsia="Times New Roman" w:hAnsi="Times New Roman"/>
                <w:sz w:val="20"/>
                <w:szCs w:val="20"/>
                <w:color w:val="auto"/>
                <w:w w:val="95"/>
                <w:vertAlign w:val="superscript"/>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color w:val="auto"/>
                <w:w w:val="93"/>
              </w:rPr>
              <w:t xml:space="preserve">457(r) </w:t>
            </w:r>
            <w:r>
              <w:rPr>
                <w:rFonts w:ascii="Times New Roman" w:cs="Times New Roman" w:eastAsia="Times New Roman" w:hAnsi="Times New Roman"/>
                <w:sz w:val="20"/>
                <w:szCs w:val="20"/>
                <w:color w:val="auto"/>
                <w:w w:val="93"/>
                <w:vertAlign w:val="superscript"/>
              </w:rPr>
              <w:t>(2)</w:t>
            </w:r>
          </w:p>
        </w:tc>
        <w:tc>
          <w:tcPr>
            <w:tcW w:w="640" w:type="dxa"/>
            <w:vAlign w:val="bottom"/>
            <w:gridSpan w:val="2"/>
          </w:tcPr>
          <w:p>
            <w:pPr>
              <w:jc w:val="center"/>
              <w:ind w:left="26"/>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17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2"/>
              </w:rPr>
              <w:t>Equity</w:t>
            </w:r>
          </w:p>
        </w:tc>
        <w:tc>
          <w:tcPr>
            <w:tcW w:w="2420" w:type="dxa"/>
            <w:vAlign w:val="bottom"/>
            <w:shd w:val="clear" w:color="auto" w:fill="CCEEFF"/>
          </w:tcPr>
          <w:p>
            <w:pPr>
              <w:jc w:val="center"/>
              <w:ind w:left="37"/>
              <w:spacing w:after="0" w:line="176" w:lineRule="exact"/>
              <w:rPr>
                <w:sz w:val="20"/>
                <w:szCs w:val="20"/>
                <w:color w:val="auto"/>
              </w:rPr>
            </w:pPr>
            <w:r>
              <w:rPr>
                <w:rFonts w:ascii="Times New Roman" w:cs="Times New Roman" w:eastAsia="Times New Roman" w:hAnsi="Times New Roman"/>
                <w:sz w:val="13"/>
                <w:szCs w:val="13"/>
                <w:color w:val="auto"/>
                <w:w w:val="95"/>
              </w:rPr>
              <w:t>Common Stock of Waste Management, Inc.</w:t>
            </w:r>
            <w:r>
              <w:rPr>
                <w:rFonts w:ascii="Times New Roman" w:cs="Times New Roman" w:eastAsia="Times New Roman" w:hAnsi="Times New Roman"/>
                <w:sz w:val="20"/>
                <w:szCs w:val="20"/>
                <w:color w:val="auto"/>
                <w:w w:val="95"/>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3"/>
                <w:szCs w:val="13"/>
                <w:color w:val="auto"/>
                <w:w w:val="93"/>
              </w:rPr>
              <w:t xml:space="preserve">457(r) </w:t>
            </w:r>
            <w:r>
              <w:rPr>
                <w:rFonts w:ascii="Times New Roman" w:cs="Times New Roman" w:eastAsia="Times New Roman" w:hAnsi="Times New Roman"/>
                <w:sz w:val="20"/>
                <w:szCs w:val="20"/>
                <w:color w:val="auto"/>
                <w:w w:val="93"/>
                <w:vertAlign w:val="superscript"/>
              </w:rPr>
              <w:t>(2)</w:t>
            </w:r>
          </w:p>
        </w:tc>
        <w:tc>
          <w:tcPr>
            <w:tcW w:w="64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176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Equity</w:t>
            </w:r>
          </w:p>
        </w:tc>
        <w:tc>
          <w:tcPr>
            <w:tcW w:w="2420" w:type="dxa"/>
            <w:vAlign w:val="bottom"/>
          </w:tcPr>
          <w:p>
            <w:pPr>
              <w:jc w:val="center"/>
              <w:ind w:left="37"/>
              <w:spacing w:after="0" w:line="176" w:lineRule="exact"/>
              <w:rPr>
                <w:sz w:val="20"/>
                <w:szCs w:val="20"/>
                <w:color w:val="auto"/>
              </w:rPr>
            </w:pPr>
            <w:r>
              <w:rPr>
                <w:rFonts w:ascii="Times New Roman" w:cs="Times New Roman" w:eastAsia="Times New Roman" w:hAnsi="Times New Roman"/>
                <w:sz w:val="13"/>
                <w:szCs w:val="13"/>
                <w:color w:val="auto"/>
                <w:w w:val="95"/>
              </w:rPr>
              <w:t>Preferred Stock of Waste Management, Inc.</w:t>
            </w:r>
            <w:r>
              <w:rPr>
                <w:rFonts w:ascii="Times New Roman" w:cs="Times New Roman" w:eastAsia="Times New Roman" w:hAnsi="Times New Roman"/>
                <w:sz w:val="20"/>
                <w:szCs w:val="20"/>
                <w:color w:val="auto"/>
                <w:w w:val="95"/>
                <w:vertAlign w:val="superscript"/>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color w:val="auto"/>
                <w:w w:val="93"/>
              </w:rPr>
              <w:t xml:space="preserve">457(r) </w:t>
            </w:r>
            <w:r>
              <w:rPr>
                <w:rFonts w:ascii="Times New Roman" w:cs="Times New Roman" w:eastAsia="Times New Roman" w:hAnsi="Times New Roman"/>
                <w:sz w:val="20"/>
                <w:szCs w:val="20"/>
                <w:color w:val="auto"/>
                <w:w w:val="93"/>
                <w:vertAlign w:val="superscript"/>
              </w:rPr>
              <w:t>(2)</w:t>
            </w:r>
          </w:p>
        </w:tc>
        <w:tc>
          <w:tcPr>
            <w:tcW w:w="640" w:type="dxa"/>
            <w:vAlign w:val="bottom"/>
            <w:gridSpan w:val="2"/>
          </w:tcPr>
          <w:p>
            <w:pPr>
              <w:jc w:val="center"/>
              <w:ind w:left="26"/>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17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4"/>
              </w:rPr>
              <w:t>Other</w:t>
            </w:r>
          </w:p>
        </w:tc>
        <w:tc>
          <w:tcPr>
            <w:tcW w:w="2420" w:type="dxa"/>
            <w:vAlign w:val="bottom"/>
            <w:shd w:val="clear" w:color="auto" w:fill="CCEEFF"/>
          </w:tcPr>
          <w:p>
            <w:pPr>
              <w:jc w:val="center"/>
              <w:ind w:left="37"/>
              <w:spacing w:after="0" w:line="176" w:lineRule="exact"/>
              <w:rPr>
                <w:sz w:val="20"/>
                <w:szCs w:val="20"/>
                <w:color w:val="auto"/>
              </w:rPr>
            </w:pPr>
            <w:r>
              <w:rPr>
                <w:rFonts w:ascii="Times New Roman" w:cs="Times New Roman" w:eastAsia="Times New Roman" w:hAnsi="Times New Roman"/>
                <w:sz w:val="13"/>
                <w:szCs w:val="13"/>
                <w:color w:val="auto"/>
                <w:w w:val="94"/>
              </w:rPr>
              <w:t>Warrants of Waste Management, Inc.</w:t>
            </w:r>
            <w:r>
              <w:rPr>
                <w:rFonts w:ascii="Times New Roman" w:cs="Times New Roman" w:eastAsia="Times New Roman" w:hAnsi="Times New Roman"/>
                <w:sz w:val="20"/>
                <w:szCs w:val="20"/>
                <w:color w:val="auto"/>
                <w:w w:val="94"/>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3"/>
                <w:szCs w:val="13"/>
                <w:color w:val="auto"/>
                <w:w w:val="93"/>
              </w:rPr>
              <w:t xml:space="preserve">457(r) </w:t>
            </w:r>
            <w:r>
              <w:rPr>
                <w:rFonts w:ascii="Times New Roman" w:cs="Times New Roman" w:eastAsia="Times New Roman" w:hAnsi="Times New Roman"/>
                <w:sz w:val="20"/>
                <w:szCs w:val="20"/>
                <w:color w:val="auto"/>
                <w:w w:val="93"/>
                <w:vertAlign w:val="superscript"/>
              </w:rPr>
              <w:t>(2)</w:t>
            </w:r>
          </w:p>
        </w:tc>
        <w:tc>
          <w:tcPr>
            <w:tcW w:w="64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17"/>
        </w:trPr>
        <w:tc>
          <w:tcPr>
            <w:tcW w:w="1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5"/>
              </w:rPr>
              <w:t>Guarantees of the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Debt Securities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jc w:val="center"/>
              <w:ind w:left="37"/>
              <w:spacing w:after="0" w:line="143" w:lineRule="exact"/>
              <w:rPr>
                <w:sz w:val="20"/>
                <w:szCs w:val="20"/>
                <w:color w:val="auto"/>
              </w:rPr>
            </w:pPr>
            <w:r>
              <w:rPr>
                <w:rFonts w:ascii="Times New Roman" w:cs="Times New Roman" w:eastAsia="Times New Roman" w:hAnsi="Times New Roman"/>
                <w:sz w:val="13"/>
                <w:szCs w:val="13"/>
                <w:color w:val="auto"/>
                <w:w w:val="95"/>
              </w:rPr>
              <w:t>Waste Management, Inc. by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0"/>
        </w:trPr>
        <w:tc>
          <w:tcPr>
            <w:tcW w:w="176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Other</w:t>
            </w:r>
          </w:p>
        </w:tc>
        <w:tc>
          <w:tcPr>
            <w:tcW w:w="2420" w:type="dxa"/>
            <w:vAlign w:val="bottom"/>
          </w:tcPr>
          <w:p>
            <w:pPr>
              <w:jc w:val="center"/>
              <w:ind w:left="37"/>
              <w:spacing w:after="0" w:line="200" w:lineRule="exact"/>
              <w:rPr>
                <w:sz w:val="20"/>
                <w:szCs w:val="20"/>
                <w:color w:val="auto"/>
              </w:rPr>
            </w:pPr>
            <w:r>
              <w:rPr>
                <w:rFonts w:ascii="Times New Roman" w:cs="Times New Roman" w:eastAsia="Times New Roman" w:hAnsi="Times New Roman"/>
                <w:sz w:val="13"/>
                <w:szCs w:val="13"/>
                <w:color w:val="auto"/>
                <w:w w:val="94"/>
              </w:rPr>
              <w:t>Waste Management Holdings, Inc.</w:t>
            </w:r>
            <w:r>
              <w:rPr>
                <w:rFonts w:ascii="Times New Roman" w:cs="Times New Roman" w:eastAsia="Times New Roman" w:hAnsi="Times New Roman"/>
                <w:sz w:val="20"/>
                <w:szCs w:val="20"/>
                <w:color w:val="auto"/>
                <w:w w:val="94"/>
                <w:vertAlign w:val="superscript"/>
              </w:rPr>
              <w:t>(1)(4)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spacing w:after="0" w:line="200" w:lineRule="exact"/>
              <w:rPr>
                <w:sz w:val="20"/>
                <w:szCs w:val="20"/>
                <w:color w:val="auto"/>
              </w:rPr>
            </w:pPr>
            <w:r>
              <w:rPr>
                <w:rFonts w:ascii="Times New Roman" w:cs="Times New Roman" w:eastAsia="Times New Roman" w:hAnsi="Times New Roman"/>
                <w:sz w:val="13"/>
                <w:szCs w:val="13"/>
                <w:color w:val="auto"/>
                <w:w w:val="90"/>
              </w:rPr>
              <w:t xml:space="preserve">Other </w:t>
            </w:r>
            <w:r>
              <w:rPr>
                <w:rFonts w:ascii="Times New Roman" w:cs="Times New Roman" w:eastAsia="Times New Roman" w:hAnsi="Times New Roman"/>
                <w:sz w:val="20"/>
                <w:szCs w:val="20"/>
                <w:color w:val="auto"/>
                <w:w w:val="90"/>
                <w:vertAlign w:val="superscript"/>
              </w:rPr>
              <w:t>(4)</w:t>
            </w:r>
          </w:p>
        </w:tc>
        <w:tc>
          <w:tcPr>
            <w:tcW w:w="640" w:type="dxa"/>
            <w:vAlign w:val="bottom"/>
            <w:gridSpan w:val="2"/>
          </w:tcPr>
          <w:p>
            <w:pPr>
              <w:jc w:val="center"/>
              <w:ind w:left="26"/>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5"/>
        </w:trPr>
        <w:tc>
          <w:tcPr>
            <w:tcW w:w="17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4"/>
              </w:rPr>
              <w:t>Other</w:t>
            </w:r>
          </w:p>
        </w:tc>
        <w:tc>
          <w:tcPr>
            <w:tcW w:w="2420" w:type="dxa"/>
            <w:vAlign w:val="bottom"/>
            <w:shd w:val="clear" w:color="auto" w:fill="CCEEFF"/>
          </w:tcPr>
          <w:p>
            <w:pPr>
              <w:jc w:val="center"/>
              <w:ind w:left="37"/>
              <w:spacing w:after="0" w:line="176" w:lineRule="exact"/>
              <w:rPr>
                <w:sz w:val="20"/>
                <w:szCs w:val="20"/>
                <w:color w:val="auto"/>
              </w:rPr>
            </w:pPr>
            <w:r>
              <w:rPr>
                <w:rFonts w:ascii="Times New Roman" w:cs="Times New Roman" w:eastAsia="Times New Roman" w:hAnsi="Times New Roman"/>
                <w:sz w:val="13"/>
                <w:szCs w:val="13"/>
                <w:color w:val="auto"/>
                <w:w w:val="94"/>
              </w:rPr>
              <w:t>Units of Waste Management, Inc.</w:t>
            </w:r>
            <w:r>
              <w:rPr>
                <w:rFonts w:ascii="Times New Roman" w:cs="Times New Roman" w:eastAsia="Times New Roman" w:hAnsi="Times New Roman"/>
                <w:sz w:val="20"/>
                <w:szCs w:val="20"/>
                <w:color w:val="auto"/>
                <w:w w:val="94"/>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3"/>
                <w:szCs w:val="13"/>
                <w:color w:val="auto"/>
                <w:w w:val="93"/>
              </w:rPr>
              <w:t xml:space="preserve">457(r) </w:t>
            </w:r>
            <w:r>
              <w:rPr>
                <w:rFonts w:ascii="Times New Roman" w:cs="Times New Roman" w:eastAsia="Times New Roman" w:hAnsi="Times New Roman"/>
                <w:sz w:val="20"/>
                <w:szCs w:val="20"/>
                <w:color w:val="auto"/>
                <w:w w:val="93"/>
                <w:vertAlign w:val="superscript"/>
              </w:rPr>
              <w:t>(2)</w:t>
            </w:r>
          </w:p>
        </w:tc>
        <w:tc>
          <w:tcPr>
            <w:tcW w:w="64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35"/>
        </w:trPr>
        <w:tc>
          <w:tcPr>
            <w:tcW w:w="17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Fees Previously Paid</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89"/>
              </w:rPr>
              <w:t>N/A</w:t>
            </w:r>
          </w:p>
        </w:tc>
        <w:tc>
          <w:tcPr>
            <w:tcW w:w="242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89"/>
              </w:rPr>
              <w:t>N/A</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520" w:type="dxa"/>
            <w:vAlign w:val="bottom"/>
            <w:gridSpan w:val="6"/>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Carry Forward Securities</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17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Carry Forward Securities</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89"/>
              </w:rPr>
              <w:t>N/A</w:t>
            </w:r>
          </w:p>
        </w:tc>
        <w:tc>
          <w:tcPr>
            <w:tcW w:w="242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color w:val="auto"/>
                <w:w w:val="98"/>
              </w:rPr>
              <w:t>N/A</w:t>
            </w:r>
          </w:p>
        </w:tc>
      </w:tr>
      <w:tr>
        <w:trPr>
          <w:trHeight w:val="135"/>
        </w:trPr>
        <w:tc>
          <w:tcPr>
            <w:tcW w:w="1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6"/>
              </w:rPr>
              <w:t>Total Offering Amounts</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89"/>
              </w:rPr>
              <w:t>N/A</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1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520" w:type="dxa"/>
            <w:vAlign w:val="bottom"/>
            <w:gridSpan w:val="6"/>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Total Fees Previously Paid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89"/>
              </w:rPr>
              <w:t>N/A</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gridSpan w:val="4"/>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Total Fee Offsets</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89"/>
              </w:rPr>
              <w:t>N/A</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4"/>
        </w:trPr>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w w:val="94"/>
              </w:rPr>
              <w:t>Net Fee Due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9"/>
              </w:rPr>
              <w:t>N/A</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69" w:lineRule="exact"/>
        <w:rPr>
          <w:sz w:val="20"/>
          <w:szCs w:val="20"/>
          <w:color w:val="auto"/>
        </w:rPr>
      </w:pPr>
    </w:p>
    <w:p>
      <w:pPr>
        <w:ind w:left="580" w:hanging="572"/>
        <w:spacing w:after="0"/>
        <w:tabs>
          <w:tab w:leader="none" w:pos="5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securities registered hereunder may be sold separately or as units with any other securities registered hereunder.</w:t>
      </w:r>
    </w:p>
    <w:p>
      <w:pPr>
        <w:spacing w:after="0" w:line="120" w:lineRule="exact"/>
        <w:rPr>
          <w:rFonts w:ascii="Times New Roman" w:cs="Times New Roman" w:eastAsia="Times New Roman" w:hAnsi="Times New Roman"/>
          <w:sz w:val="13"/>
          <w:szCs w:val="13"/>
          <w:color w:val="auto"/>
        </w:rPr>
      </w:pPr>
    </w:p>
    <w:p>
      <w:pPr>
        <w:ind w:left="580" w:right="20" w:hanging="572"/>
        <w:spacing w:after="0"/>
        <w:tabs>
          <w:tab w:leader="none" w:pos="5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Rule 456(b) and Rule 457(r) under the Securities Act of 1933, as amended (the “Securities Act”), the registrants are deferring payment of all of the registration fees required in connection with this Registration Statement and will pay such fees on a pay-as-you-go basis.</w:t>
      </w:r>
    </w:p>
    <w:p>
      <w:pPr>
        <w:spacing w:after="0" w:line="106" w:lineRule="exact"/>
        <w:rPr>
          <w:rFonts w:ascii="Times New Roman" w:cs="Times New Roman" w:eastAsia="Times New Roman" w:hAnsi="Times New Roman"/>
          <w:sz w:val="13"/>
          <w:szCs w:val="13"/>
          <w:color w:val="auto"/>
        </w:rPr>
      </w:pPr>
    </w:p>
    <w:p>
      <w:pPr>
        <w:jc w:val="both"/>
        <w:ind w:left="580" w:right="60" w:hanging="572"/>
        <w:spacing w:after="0" w:line="232" w:lineRule="auto"/>
        <w:tabs>
          <w:tab w:leader="none" w:pos="5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indeterminate number or amount of debt securities, common stock, preferred stock, warrants, guarantees of debt securities and units is being registered as may from time to time be issued by the registrants at indeterminate prices and as may be issuable upon exercise, conversion, redemption, settlement or exchange of any securities registered hereunder, including under any applicable antidilution provisions. Separate consideration may or may not be received for securities that are issuable on exercise, conversion, redemption, settlement or exchange of other securities.</w:t>
      </w:r>
    </w:p>
    <w:p>
      <w:pPr>
        <w:spacing w:after="0" w:line="106" w:lineRule="exact"/>
        <w:rPr>
          <w:rFonts w:ascii="Times New Roman" w:cs="Times New Roman" w:eastAsia="Times New Roman" w:hAnsi="Times New Roman"/>
          <w:sz w:val="13"/>
          <w:szCs w:val="13"/>
          <w:color w:val="auto"/>
        </w:rPr>
      </w:pPr>
    </w:p>
    <w:p>
      <w:pPr>
        <w:ind w:left="580" w:right="20" w:hanging="572"/>
        <w:spacing w:after="0"/>
        <w:tabs>
          <w:tab w:leader="none" w:pos="5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Waste Management Holdings, Inc. may fully and unconditionally guarantee any series of debt securities of Waste Management, Inc. being registered. Pursuant to Rule 457(n) under the Securities Act, no separate fee is payable with respect to such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713"/>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lowerLetter"/>
      <w:start w:val="3"/>
    </w:lvl>
    <w:lvl w:ilvl="1">
      <w:lvlJc w:val="left"/>
      <w:lvlText w:val="•"/>
      <w:numFmt w:val="bullet"/>
      <w:start w:val="1"/>
    </w:lvl>
  </w:abstractNum>
  <w:abstractNum w:abstractNumId="24">
    <w:nsid w:val="5E884ADC"/>
    <w:multiLevelType w:val="hybridMultilevel"/>
    <w:lvl w:ilvl="0">
      <w:lvlJc w:val="left"/>
      <w:lvlText w:val="(%1)"/>
      <w:numFmt w:val="lowerLetter"/>
      <w:start w:val="12"/>
    </w:lvl>
  </w:abstractNum>
  <w:abstractNum w:abstractNumId="25">
    <w:nsid w:val="51EAD36B"/>
    <w:multiLevelType w:val="hybridMultilevel"/>
    <w:lvl w:ilvl="0">
      <w:lvlJc w:val="left"/>
      <w:lvlText w:val="(%1)"/>
      <w:numFmt w:val="lowerLetter"/>
      <w:start w:val="14"/>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lvl w:ilvl="1">
      <w:lvlJc w:val="left"/>
      <w:lvlText w:val="(%2)"/>
      <w:numFmt w:val="lowerRoman"/>
      <w:start w:val="1"/>
    </w:lvl>
  </w:abstractNum>
  <w:abstractNum w:abstractNumId="35">
    <w:nsid w:val="2CD89A32"/>
    <w:multiLevelType w:val="hybridMultilevel"/>
    <w:lvl w:ilvl="0">
      <w:lvlJc w:val="left"/>
      <w:lvlText w:val="(%1)"/>
      <w:numFmt w:val="decimal"/>
      <w:start w:val="2"/>
    </w:lvl>
  </w:abstractNum>
  <w:abstractNum w:abstractNumId="36">
    <w:nsid w:val="57E4CCAF"/>
    <w:multiLevelType w:val="hybridMultilevel"/>
    <w:lvl w:ilvl="0">
      <w:lvlJc w:val="left"/>
      <w:lvlText w:val="(%1)"/>
      <w:numFmt w:val="decimal"/>
      <w:start w:val="3"/>
    </w:lvl>
    <w:lvl w:ilvl="1">
      <w:lvlJc w:val="left"/>
      <w:lvlText w:val="(%2)"/>
      <w:numFmt w:val="lowerRoman"/>
      <w:start w:val="1"/>
    </w:lvl>
  </w:abstractNum>
  <w:abstractNum w:abstractNumId="37">
    <w:nsid w:val="7A6D8D3C"/>
    <w:multiLevelType w:val="hybridMultilevel"/>
    <w:lvl w:ilvl="0">
      <w:lvlJc w:val="left"/>
      <w:lvlText w:val="(%1)"/>
      <w:numFmt w:val="decimal"/>
      <w:start w:val="5"/>
    </w:lvl>
    <w:lvl w:ilvl="1">
      <w:lvlJc w:val="left"/>
      <w:lvlText w:val="(%2)"/>
      <w:numFmt w:val="lowerRoman"/>
      <w:start w:val="1"/>
    </w:lvl>
  </w:abstractNum>
  <w:abstractNum w:abstractNumId="38">
    <w:nsid w:val="4B588F54"/>
    <w:multiLevelType w:val="hybridMultilevel"/>
    <w:lvl w:ilvl="0">
      <w:lvlJc w:val="left"/>
      <w:lvlText w:val="(%1)"/>
      <w:numFmt w:val="decimal"/>
      <w:start w:val="6"/>
    </w:lvl>
  </w:abstractNum>
  <w:abstractNum w:abstractNumId="39">
    <w:nsid w:val="542289EC"/>
    <w:multiLevelType w:val="hybridMultilevel"/>
    <w:lvl w:ilvl="0">
      <w:lvlJc w:val="left"/>
      <w:lvlText w:val="(%1)"/>
      <w:numFmt w:val="decimal"/>
      <w:start w:val="8"/>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lowerRoman"/>
      <w:start w:val="3"/>
    </w:lvl>
  </w:abstractNum>
  <w:abstractNum w:abstractNumId="43">
    <w:nsid w:val="32FFF902"/>
    <w:multiLevelType w:val="hybridMultilevel"/>
    <w:lvl w:ilvl="0">
      <w:lvlJc w:val="left"/>
      <w:lvlText w:val="(%1)"/>
      <w:numFmt w:val="lowerRoman"/>
      <w:start w:val="5"/>
    </w:lvl>
  </w:abstractNum>
  <w:abstractNum w:abstractNumId="44">
    <w:nsid w:val="684A481A"/>
    <w:multiLevelType w:val="hybridMultilevel"/>
    <w:lvl w:ilvl="0">
      <w:lvlJc w:val="left"/>
      <w:lvlText w:val="(%1)"/>
      <w:numFmt w:val="lowerRoman"/>
      <w:start w:val="2"/>
    </w:lvl>
  </w:abstractNum>
  <w:abstractNum w:abstractNumId="45">
    <w:nsid w:val="579478FE"/>
    <w:multiLevelType w:val="hybridMultilevel"/>
    <w:lvl w:ilvl="0">
      <w:lvlJc w:val="left"/>
      <w:lvlText w:val="(%1)"/>
      <w:numFmt w:val="lowerLetter"/>
      <w:start w:val="35"/>
    </w:lvl>
    <w:lvl w:ilvl="1">
      <w:lvlJc w:val="left"/>
      <w:lvlText w:val="(%2)"/>
      <w:numFmt w:val="lowerLetter"/>
      <w:start w:val="2"/>
    </w:lvl>
  </w:abstractNum>
  <w:abstractNum w:abstractNumId="46">
    <w:nsid w:val="749ABB43"/>
    <w:multiLevelType w:val="hybridMultilevel"/>
    <w:lvl w:ilvl="0">
      <w:lvlJc w:val="left"/>
      <w:lvlText w:val="%1"/>
      <w:numFmt w:val="lowerLetter"/>
      <w:start w:val="1"/>
    </w:lvl>
    <w:lvl w:ilvl="1">
      <w:lvlJc w:val="left"/>
      <w:lvlText w:val="(%2)"/>
      <w:numFmt w:val="lowerLetter"/>
      <w:start w:val="4"/>
    </w:lvl>
  </w:abstractNum>
  <w:abstractNum w:abstractNumId="47">
    <w:nsid w:val="3DC240FB"/>
    <w:multiLevelType w:val="hybridMultilevel"/>
    <w:lvl w:ilvl="0">
      <w:lvlJc w:val="left"/>
      <w:lvlText w:val="(%1)"/>
      <w:numFmt w:val="lowerLetter"/>
      <w:start w:val="35"/>
    </w:lvl>
    <w:lvl w:ilvl="1">
      <w:lvlJc w:val="left"/>
      <w:lvlText w:val="%2"/>
      <w:numFmt w:val="lowerLetter"/>
      <w:start w:val="1"/>
    </w:lvl>
  </w:abstractNum>
  <w:abstractNum w:abstractNumId="48">
    <w:nsid w:val="1BA026FA"/>
    <w:multiLevelType w:val="hybridMultilevel"/>
    <w:lvl w:ilvl="0">
      <w:lvlJc w:val="left"/>
      <w:lvlText w:val="(%1)"/>
      <w:numFmt w:val="lowerRoman"/>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Letter"/>
      <w:start w:val="2"/>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jpeg"/><Relationship Id="rId92" Type="http://schemas.openxmlformats.org/officeDocument/2006/relationships/image" Target="media/image70.jpe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30" Type="http://schemas.openxmlformats.org/officeDocument/2006/relationships/hyperlink" Target="https://www.sec.gov/ix?doc=/Archives/edgar/data/823768/000155837022001179/wm-20211231x10k.htm" TargetMode="External"/><Relationship Id="rId31" Type="http://schemas.openxmlformats.org/officeDocument/2006/relationships/hyperlink" Target="https://www.sec.gov/ix?doc=/Archives/edgar/data/823768/000155837022004593/wm-20211231x10ka.htm" TargetMode="External"/><Relationship Id="rId32" Type="http://schemas.openxmlformats.org/officeDocument/2006/relationships/hyperlink" Target="http://www.sec.gov/ix?doc=/Archives/edgar/data/0000823768/000155837022005976/wm-20220331x10q.htm" TargetMode="External"/><Relationship Id="rId33" Type="http://schemas.openxmlformats.org/officeDocument/2006/relationships/hyperlink" Target="https://www.sec.gov/ix?doc=/Archives/edgar/data/823768/000110465922030973/tm228341d1_8k.htm" TargetMode="External"/><Relationship Id="rId34" Type="http://schemas.openxmlformats.org/officeDocument/2006/relationships/hyperlink" Target="https://www.sec.gov/Archives/edgar/data/823768/000110465922039107/tm223363-1_def14a.htm" TargetMode="External"/><Relationship Id="rId35" Type="http://schemas.openxmlformats.org/officeDocument/2006/relationships/hyperlink" Target="http://www.sec.gov/Archives/edgar/data/823768/0000950134-95-001585-index.htm" TargetMode="External"/><Relationship Id="rId36" Type="http://schemas.openxmlformats.org/officeDocument/2006/relationships/hyperlink" Target="http://www.sec.gov/Archives/edgar/data/823768/000155837020000762/ex-4d9.htm" TargetMode="External"/><Relationship Id="rId63" Type="http://schemas.openxmlformats.org/officeDocument/2006/relationships/hyperlink" Target="https://www.sec.gov/Archives/edgar/data/823768/000095012310070947/h74168exv3w1.htm" TargetMode="External"/><Relationship Id="rId64" Type="http://schemas.openxmlformats.org/officeDocument/2006/relationships/hyperlink" Target="https://www.sec.gov/Archives/edgar/data/823768/000110465920126928/tm2036284d1_ex3-2.htm" TargetMode="External"/><Relationship Id="rId65" Type="http://schemas.openxmlformats.org/officeDocument/2006/relationships/hyperlink" Target="https://www.sec.gov/Archives/edgar/data/823768/000095012315002550/d793975dex42.htm" TargetMode="External"/><Relationship Id="rId66" Type="http://schemas.openxmlformats.org/officeDocument/2006/relationships/hyperlink" Target="https://www.sec.gov/Archives/edgar/data/823768/000119312514283972/d740524dex43.htm" TargetMode="External"/><Relationship Id="rId67" Type="http://schemas.openxmlformats.org/officeDocument/2006/relationships/hyperlink" Target="https://www.sec.gov/Archives/edgar/data/823768/0000950129-99-001268-index.htm" TargetMode="External"/><Relationship Id="rId68" Type="http://schemas.openxmlformats.org/officeDocument/2006/relationships/hyperlink" Target="https://www.sec.gov/Archives/edgar/data/823768/0000950129-97-003909-index.htm" TargetMode="External"/><Relationship Id="rId71" Type="http://schemas.openxmlformats.org/officeDocument/2006/relationships/hyperlink" Target="https://www.sec.gov/Archives/edgar/data/823768/0000950129-97-000380-index.htm" TargetMode="External"/><Relationship Id="rId72" Type="http://schemas.openxmlformats.org/officeDocument/2006/relationships/hyperlink" Target="http://www.sec.gov/Archives/edgar/data/823768/000155837022005976/wm-20220331xex2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2022-04-26T16:27:53Z</dcterms:created>
  <dcterms:modified xsi:type="dcterms:W3CDTF">2022-04-26T16:27:53Z</dcterms:modified>
</cp:coreProperties>
</file>