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 w:lineRule="exact"/>
        <w:rPr>
          <w:sz w:val="24"/>
          <w:szCs w:val="24"/>
          <w:color w:val="auto"/>
        </w:rPr>
      </w:pPr>
    </w:p>
    <w:p>
      <w:pPr>
        <w:ind w:left="1040" w:hanging="941"/>
        <w:spacing w:after="0"/>
        <w:tabs>
          <w:tab w:leader="none" w:pos="104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ANNUAL REPORT PURSUANT TO SECTION 13 OR 15(d)</w:t>
      </w:r>
    </w:p>
    <w:p>
      <w:pPr>
        <w:spacing w:after="0" w:line="13" w:lineRule="exact"/>
        <w:rPr>
          <w:sz w:val="24"/>
          <w:szCs w:val="24"/>
          <w:color w:val="auto"/>
        </w:rPr>
      </w:pPr>
    </w:p>
    <w:p>
      <w:pPr>
        <w:ind w:left="1040"/>
        <w:spacing w:after="0"/>
        <w:rPr>
          <w:sz w:val="20"/>
          <w:szCs w:val="20"/>
          <w:color w:val="auto"/>
        </w:rPr>
      </w:pPr>
      <w:r>
        <w:rPr>
          <w:rFonts w:ascii="Arial" w:cs="Arial" w:eastAsia="Arial" w:hAnsi="Arial"/>
          <w:sz w:val="22"/>
          <w:szCs w:val="22"/>
          <w:b w:val="1"/>
          <w:bCs w:val="1"/>
          <w:color w:val="auto"/>
        </w:rPr>
        <w:t>OF THE SECURITIES AND EXCHANGE ACT OF 1934</w:t>
      </w:r>
    </w:p>
    <w:p>
      <w:pPr>
        <w:ind w:left="1040"/>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1" w:lineRule="exact"/>
        <w:rPr>
          <w:sz w:val="24"/>
          <w:szCs w:val="24"/>
          <w:color w:val="auto"/>
        </w:rPr>
      </w:pPr>
    </w:p>
    <w:p>
      <w:pPr>
        <w:ind w:left="6100"/>
        <w:spacing w:after="0"/>
        <w:rPr>
          <w:sz w:val="20"/>
          <w:szCs w:val="20"/>
          <w:color w:val="auto"/>
        </w:rPr>
      </w:pPr>
      <w:r>
        <w:rPr>
          <w:rFonts w:ascii="Arial" w:cs="Arial" w:eastAsia="Arial" w:hAnsi="Arial"/>
          <w:sz w:val="18"/>
          <w:szCs w:val="18"/>
          <w:b w:val="1"/>
          <w:bCs w:val="1"/>
          <w:color w:val="auto"/>
        </w:rPr>
        <w:t>OR</w:t>
      </w:r>
    </w:p>
    <w:p>
      <w:pPr>
        <w:ind w:left="1040" w:hanging="941"/>
        <w:spacing w:after="0" w:line="237" w:lineRule="auto"/>
        <w:tabs>
          <w:tab w:leader="none" w:pos="104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w:t>
      </w:r>
    </w:p>
    <w:p>
      <w:pPr>
        <w:ind w:left="1040"/>
        <w:spacing w:after="0"/>
        <w:rPr>
          <w:sz w:val="20"/>
          <w:szCs w:val="20"/>
          <w:color w:val="auto"/>
        </w:rPr>
      </w:pPr>
      <w:r>
        <w:rPr>
          <w:rFonts w:ascii="Arial" w:cs="Arial" w:eastAsia="Arial" w:hAnsi="Arial"/>
          <w:sz w:val="22"/>
          <w:szCs w:val="22"/>
          <w:b w:val="1"/>
          <w:bCs w:val="1"/>
          <w:color w:val="auto"/>
        </w:rPr>
        <w:t>OF THE SECURITIES AND EXCHANGE ACT OF 1934</w:t>
      </w:r>
    </w:p>
    <w:tbl>
      <w:tblPr>
        <w:tblLayout w:type="fixed"/>
        <w:tblInd w:w="360" w:type="dxa"/>
        <w:tblCellMar>
          <w:top w:w="0" w:type="dxa"/>
          <w:left w:w="0" w:type="dxa"/>
          <w:bottom w:w="0" w:type="dxa"/>
          <w:right w:w="0" w:type="dxa"/>
        </w:tblCellMar>
      </w:tblPr>
      <w:tr>
        <w:trPr>
          <w:trHeight w:val="223"/>
        </w:trPr>
        <w:tc>
          <w:tcPr>
            <w:tcW w:w="3440" w:type="dxa"/>
            <w:vAlign w:val="bottom"/>
            <w:gridSpan w:val="3"/>
          </w:tcPr>
          <w:p>
            <w:pPr>
              <w:ind w:left="680"/>
              <w:spacing w:after="0"/>
              <w:rPr>
                <w:sz w:val="20"/>
                <w:szCs w:val="20"/>
                <w:color w:val="auto"/>
              </w:rPr>
            </w:pPr>
            <w:r>
              <w:rPr>
                <w:rFonts w:ascii="Arial" w:cs="Arial" w:eastAsia="Arial" w:hAnsi="Arial"/>
                <w:sz w:val="18"/>
                <w:szCs w:val="18"/>
                <w:b w:val="1"/>
                <w:bCs w:val="1"/>
                <w:color w:val="auto"/>
              </w:rPr>
              <w:t>For the transition period from</w:t>
            </w:r>
          </w:p>
        </w:tc>
        <w:tc>
          <w:tcPr>
            <w:tcW w:w="360" w:type="dxa"/>
            <w:vAlign w:val="bottom"/>
          </w:tcPr>
          <w:p>
            <w:pPr>
              <w:ind w:left="80"/>
              <w:spacing w:after="0"/>
              <w:rPr>
                <w:sz w:val="20"/>
                <w:szCs w:val="20"/>
                <w:color w:val="auto"/>
              </w:rPr>
            </w:pPr>
            <w:r>
              <w:rPr>
                <w:rFonts w:ascii="Arial" w:cs="Arial" w:eastAsia="Arial" w:hAnsi="Arial"/>
                <w:sz w:val="18"/>
                <w:szCs w:val="18"/>
                <w:b w:val="1"/>
                <w:bCs w:val="1"/>
                <w:color w:val="auto"/>
              </w:rPr>
              <w:t>to</w:t>
            </w:r>
          </w:p>
        </w:tc>
        <w:tc>
          <w:tcPr>
            <w:tcW w:w="3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4"/>
        </w:trPr>
        <w:tc>
          <w:tcPr>
            <w:tcW w:w="1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20" w:type="dxa"/>
            <w:vAlign w:val="bottom"/>
            <w:gridSpan w:val="2"/>
          </w:tcPr>
          <w:p>
            <w:pPr>
              <w:jc w:val="center"/>
              <w:ind w:right="1428"/>
              <w:spacing w:after="0"/>
              <w:rPr>
                <w:sz w:val="20"/>
                <w:szCs w:val="20"/>
                <w:color w:val="auto"/>
              </w:rPr>
            </w:pPr>
            <w:r>
              <w:rPr>
                <w:rFonts w:ascii="Arial" w:cs="Arial" w:eastAsia="Arial" w:hAnsi="Arial"/>
                <w:sz w:val="18"/>
                <w:szCs w:val="18"/>
                <w:b w:val="1"/>
                <w:bCs w:val="1"/>
                <w:color w:val="auto"/>
                <w:w w:val="88"/>
              </w:rPr>
              <w:t>Commission file number 1-12154</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559"/>
        </w:trPr>
        <w:tc>
          <w:tcPr>
            <w:tcW w:w="1960" w:type="dxa"/>
            <w:vAlign w:val="bottom"/>
          </w:tcPr>
          <w:p>
            <w:pPr>
              <w:spacing w:after="0"/>
              <w:rPr>
                <w:sz w:val="24"/>
                <w:szCs w:val="24"/>
                <w:color w:val="auto"/>
              </w:rPr>
            </w:pPr>
          </w:p>
        </w:tc>
        <w:tc>
          <w:tcPr>
            <w:tcW w:w="6460" w:type="dxa"/>
            <w:vAlign w:val="bottom"/>
            <w:gridSpan w:val="5"/>
          </w:tcPr>
          <w:p>
            <w:pPr>
              <w:jc w:val="center"/>
              <w:ind w:left="211"/>
              <w:spacing w:after="0"/>
              <w:rPr>
                <w:sz w:val="20"/>
                <w:szCs w:val="20"/>
                <w:color w:val="auto"/>
              </w:rPr>
            </w:pPr>
            <w:r>
              <w:rPr>
                <w:rFonts w:ascii="Arial" w:cs="Arial" w:eastAsia="Arial" w:hAnsi="Arial"/>
                <w:sz w:val="43"/>
                <w:szCs w:val="43"/>
                <w:b w:val="1"/>
                <w:bCs w:val="1"/>
                <w:color w:val="auto"/>
                <w:w w:val="91"/>
              </w:rPr>
              <w:t>Waste Management, Inc.</w:t>
            </w: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2"/>
        </w:trPr>
        <w:tc>
          <w:tcPr>
            <w:tcW w:w="1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20" w:type="dxa"/>
            <w:vAlign w:val="bottom"/>
            <w:gridSpan w:val="2"/>
          </w:tcPr>
          <w:p>
            <w:pPr>
              <w:jc w:val="center"/>
              <w:ind w:right="1448"/>
              <w:spacing w:after="0"/>
              <w:rPr>
                <w:sz w:val="20"/>
                <w:szCs w:val="20"/>
                <w:color w:val="auto"/>
              </w:rPr>
            </w:pPr>
            <w:r>
              <w:rPr>
                <w:rFonts w:ascii="Arial" w:cs="Arial" w:eastAsia="Arial" w:hAnsi="Arial"/>
                <w:sz w:val="14"/>
                <w:szCs w:val="14"/>
                <w:i w:val="1"/>
                <w:iCs w:val="1"/>
                <w:color w:val="auto"/>
                <w:w w:val="88"/>
              </w:rPr>
              <w:t>(Exact name of registrant as specified in its charter)</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20"/>
        </w:trPr>
        <w:tc>
          <w:tcPr>
            <w:tcW w:w="1960" w:type="dxa"/>
            <w:vAlign w:val="bottom"/>
          </w:tcPr>
          <w:p>
            <w:pPr>
              <w:spacing w:after="0"/>
              <w:rPr>
                <w:sz w:val="19"/>
                <w:szCs w:val="19"/>
                <w:color w:val="auto"/>
              </w:rPr>
            </w:pPr>
          </w:p>
        </w:tc>
        <w:tc>
          <w:tcPr>
            <w:tcW w:w="1480" w:type="dxa"/>
            <w:vAlign w:val="bottom"/>
            <w:gridSpan w:val="2"/>
          </w:tcPr>
          <w:p>
            <w:pPr>
              <w:jc w:val="center"/>
              <w:ind w:right="252"/>
              <w:spacing w:after="0"/>
              <w:rPr>
                <w:sz w:val="20"/>
                <w:szCs w:val="20"/>
                <w:color w:val="auto"/>
              </w:rPr>
            </w:pPr>
            <w:r>
              <w:rPr>
                <w:rFonts w:ascii="Arial" w:cs="Arial" w:eastAsia="Arial" w:hAnsi="Arial"/>
                <w:sz w:val="18"/>
                <w:szCs w:val="18"/>
                <w:b w:val="1"/>
                <w:bCs w:val="1"/>
                <w:color w:val="auto"/>
                <w:w w:val="88"/>
              </w:rPr>
              <w:t>Delaware</w:t>
            </w:r>
          </w:p>
        </w:tc>
        <w:tc>
          <w:tcPr>
            <w:tcW w:w="360" w:type="dxa"/>
            <w:vAlign w:val="bottom"/>
          </w:tcPr>
          <w:p>
            <w:pPr>
              <w:spacing w:after="0"/>
              <w:rPr>
                <w:sz w:val="19"/>
                <w:szCs w:val="19"/>
                <w:color w:val="auto"/>
              </w:rPr>
            </w:pPr>
          </w:p>
        </w:tc>
        <w:tc>
          <w:tcPr>
            <w:tcW w:w="5280" w:type="dxa"/>
            <w:vAlign w:val="bottom"/>
            <w:gridSpan w:val="3"/>
          </w:tcPr>
          <w:p>
            <w:pPr>
              <w:jc w:val="right"/>
              <w:ind w:right="272"/>
              <w:spacing w:after="0"/>
              <w:rPr>
                <w:sz w:val="20"/>
                <w:szCs w:val="20"/>
                <w:color w:val="auto"/>
              </w:rPr>
            </w:pPr>
            <w:r>
              <w:rPr>
                <w:rFonts w:ascii="Arial" w:cs="Arial" w:eastAsia="Arial" w:hAnsi="Arial"/>
                <w:sz w:val="18"/>
                <w:szCs w:val="18"/>
                <w:b w:val="1"/>
                <w:bCs w:val="1"/>
                <w:color w:val="auto"/>
              </w:rPr>
              <w:t>73-1309529</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49"/>
        </w:trPr>
        <w:tc>
          <w:tcPr>
            <w:tcW w:w="3440" w:type="dxa"/>
            <w:vAlign w:val="bottom"/>
            <w:gridSpan w:val="3"/>
          </w:tcPr>
          <w:p>
            <w:pPr>
              <w:jc w:val="center"/>
              <w:ind w:left="1540"/>
              <w:spacing w:after="0" w:line="149" w:lineRule="exact"/>
              <w:rPr>
                <w:sz w:val="20"/>
                <w:szCs w:val="20"/>
                <w:color w:val="auto"/>
              </w:rPr>
            </w:pPr>
            <w:r>
              <w:rPr>
                <w:rFonts w:ascii="Arial" w:cs="Arial" w:eastAsia="Arial" w:hAnsi="Arial"/>
                <w:sz w:val="14"/>
                <w:szCs w:val="14"/>
                <w:i w:val="1"/>
                <w:iCs w:val="1"/>
                <w:color w:val="auto"/>
                <w:w w:val="90"/>
              </w:rPr>
              <w:t>(State or other jurisdiction of</w:t>
            </w:r>
          </w:p>
        </w:tc>
        <w:tc>
          <w:tcPr>
            <w:tcW w:w="3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20" w:type="dxa"/>
            <w:vAlign w:val="bottom"/>
            <w:gridSpan w:val="2"/>
          </w:tcPr>
          <w:p>
            <w:pPr>
              <w:jc w:val="center"/>
              <w:ind w:left="368"/>
              <w:spacing w:after="0" w:line="149" w:lineRule="exact"/>
              <w:rPr>
                <w:sz w:val="20"/>
                <w:szCs w:val="20"/>
                <w:color w:val="auto"/>
              </w:rPr>
            </w:pPr>
            <w:r>
              <w:rPr>
                <w:rFonts w:ascii="Arial" w:cs="Arial" w:eastAsia="Arial" w:hAnsi="Arial"/>
                <w:sz w:val="14"/>
                <w:szCs w:val="14"/>
                <w:i w:val="1"/>
                <w:iCs w:val="1"/>
                <w:color w:val="auto"/>
                <w:w w:val="87"/>
              </w:rPr>
              <w:t>(I.R.S. Employer</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72"/>
        </w:trPr>
        <w:tc>
          <w:tcPr>
            <w:tcW w:w="3440" w:type="dxa"/>
            <w:vAlign w:val="bottom"/>
            <w:gridSpan w:val="3"/>
          </w:tcPr>
          <w:p>
            <w:pPr>
              <w:jc w:val="center"/>
              <w:ind w:left="1540"/>
              <w:spacing w:after="0"/>
              <w:rPr>
                <w:sz w:val="20"/>
                <w:szCs w:val="20"/>
                <w:color w:val="auto"/>
              </w:rPr>
            </w:pPr>
            <w:r>
              <w:rPr>
                <w:rFonts w:ascii="Arial" w:cs="Arial" w:eastAsia="Arial" w:hAnsi="Arial"/>
                <w:sz w:val="14"/>
                <w:szCs w:val="14"/>
                <w:i w:val="1"/>
                <w:iCs w:val="1"/>
                <w:color w:val="auto"/>
                <w:w w:val="91"/>
              </w:rPr>
              <w:t>incorporation or organization)</w:t>
            </w:r>
          </w:p>
        </w:tc>
        <w:tc>
          <w:tcPr>
            <w:tcW w:w="3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020" w:type="dxa"/>
            <w:vAlign w:val="bottom"/>
            <w:gridSpan w:val="2"/>
          </w:tcPr>
          <w:p>
            <w:pPr>
              <w:jc w:val="center"/>
              <w:ind w:left="388"/>
              <w:spacing w:after="0"/>
              <w:rPr>
                <w:sz w:val="20"/>
                <w:szCs w:val="20"/>
                <w:color w:val="auto"/>
              </w:rPr>
            </w:pPr>
            <w:r>
              <w:rPr>
                <w:rFonts w:ascii="Arial" w:cs="Arial" w:eastAsia="Arial" w:hAnsi="Arial"/>
                <w:sz w:val="14"/>
                <w:szCs w:val="14"/>
                <w:i w:val="1"/>
                <w:iCs w:val="1"/>
                <w:color w:val="auto"/>
                <w:w w:val="91"/>
              </w:rPr>
              <w:t>Identification No.)</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310"/>
        </w:trPr>
        <w:tc>
          <w:tcPr>
            <w:tcW w:w="3800" w:type="dxa"/>
            <w:vAlign w:val="bottom"/>
            <w:gridSpan w:val="4"/>
          </w:tcPr>
          <w:p>
            <w:pPr>
              <w:jc w:val="center"/>
              <w:ind w:left="1180"/>
              <w:spacing w:after="0"/>
              <w:rPr>
                <w:sz w:val="20"/>
                <w:szCs w:val="20"/>
                <w:color w:val="auto"/>
              </w:rPr>
            </w:pPr>
            <w:r>
              <w:rPr>
                <w:rFonts w:ascii="Arial" w:cs="Arial" w:eastAsia="Arial" w:hAnsi="Arial"/>
                <w:sz w:val="18"/>
                <w:szCs w:val="18"/>
                <w:b w:val="1"/>
                <w:bCs w:val="1"/>
                <w:color w:val="auto"/>
                <w:w w:val="88"/>
              </w:rPr>
              <w:t>1001 Fannin Street, Suite 4000</w:t>
            </w:r>
          </w:p>
        </w:tc>
        <w:tc>
          <w:tcPr>
            <w:tcW w:w="5280" w:type="dxa"/>
            <w:vAlign w:val="bottom"/>
            <w:gridSpan w:val="3"/>
          </w:tcPr>
          <w:p>
            <w:pPr>
              <w:jc w:val="right"/>
              <w:ind w:right="472"/>
              <w:spacing w:after="0"/>
              <w:rPr>
                <w:sz w:val="20"/>
                <w:szCs w:val="20"/>
                <w:color w:val="auto"/>
              </w:rPr>
            </w:pPr>
            <w:r>
              <w:rPr>
                <w:rFonts w:ascii="Arial" w:cs="Arial" w:eastAsia="Arial" w:hAnsi="Arial"/>
                <w:sz w:val="18"/>
                <w:szCs w:val="18"/>
                <w:b w:val="1"/>
                <w:bCs w:val="1"/>
                <w:color w:val="auto"/>
              </w:rPr>
              <w:t>77002</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8"/>
        </w:trPr>
        <w:tc>
          <w:tcPr>
            <w:tcW w:w="1960" w:type="dxa"/>
            <w:vAlign w:val="bottom"/>
          </w:tcPr>
          <w:p>
            <w:pPr>
              <w:spacing w:after="0"/>
              <w:rPr>
                <w:sz w:val="19"/>
                <w:szCs w:val="19"/>
                <w:color w:val="auto"/>
              </w:rPr>
            </w:pPr>
          </w:p>
        </w:tc>
        <w:tc>
          <w:tcPr>
            <w:tcW w:w="1480" w:type="dxa"/>
            <w:vAlign w:val="bottom"/>
            <w:gridSpan w:val="2"/>
          </w:tcPr>
          <w:p>
            <w:pPr>
              <w:jc w:val="center"/>
              <w:ind w:right="252"/>
              <w:spacing w:after="0"/>
              <w:rPr>
                <w:sz w:val="20"/>
                <w:szCs w:val="20"/>
                <w:color w:val="auto"/>
              </w:rPr>
            </w:pPr>
            <w:r>
              <w:rPr>
                <w:rFonts w:ascii="Arial" w:cs="Arial" w:eastAsia="Arial" w:hAnsi="Arial"/>
                <w:sz w:val="18"/>
                <w:szCs w:val="18"/>
                <w:b w:val="1"/>
                <w:bCs w:val="1"/>
                <w:color w:val="auto"/>
                <w:w w:val="85"/>
              </w:rPr>
              <w:t>Houston, Texas</w:t>
            </w:r>
          </w:p>
        </w:tc>
        <w:tc>
          <w:tcPr>
            <w:tcW w:w="3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20" w:type="dxa"/>
            <w:vAlign w:val="bottom"/>
            <w:gridSpan w:val="2"/>
          </w:tcPr>
          <w:p>
            <w:pPr>
              <w:jc w:val="center"/>
              <w:ind w:left="388"/>
              <w:spacing w:after="0"/>
              <w:rPr>
                <w:sz w:val="20"/>
                <w:szCs w:val="20"/>
                <w:color w:val="auto"/>
              </w:rPr>
            </w:pPr>
            <w:r>
              <w:rPr>
                <w:rFonts w:ascii="Arial" w:cs="Arial" w:eastAsia="Arial" w:hAnsi="Arial"/>
                <w:sz w:val="14"/>
                <w:szCs w:val="14"/>
                <w:i w:val="1"/>
                <w:iCs w:val="1"/>
                <w:color w:val="auto"/>
                <w:w w:val="88"/>
              </w:rPr>
              <w:t>(Zip code)</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77"/>
        </w:trPr>
        <w:tc>
          <w:tcPr>
            <w:tcW w:w="3800" w:type="dxa"/>
            <w:vAlign w:val="bottom"/>
            <w:gridSpan w:val="4"/>
          </w:tcPr>
          <w:p>
            <w:pPr>
              <w:jc w:val="center"/>
              <w:ind w:left="1180"/>
              <w:spacing w:after="0"/>
              <w:rPr>
                <w:sz w:val="20"/>
                <w:szCs w:val="20"/>
                <w:color w:val="auto"/>
              </w:rPr>
            </w:pPr>
            <w:r>
              <w:rPr>
                <w:rFonts w:ascii="Arial" w:cs="Arial" w:eastAsia="Arial" w:hAnsi="Arial"/>
                <w:sz w:val="14"/>
                <w:szCs w:val="14"/>
                <w:i w:val="1"/>
                <w:iCs w:val="1"/>
                <w:color w:val="auto"/>
                <w:w w:val="87"/>
              </w:rPr>
              <w:t>(Address of principal executive offices)</w:t>
            </w:r>
          </w:p>
        </w:tc>
        <w:tc>
          <w:tcPr>
            <w:tcW w:w="3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48"/>
        </w:trPr>
        <w:tc>
          <w:tcPr>
            <w:tcW w:w="1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20" w:type="dxa"/>
            <w:vAlign w:val="bottom"/>
            <w:gridSpan w:val="2"/>
          </w:tcPr>
          <w:p>
            <w:pPr>
              <w:jc w:val="center"/>
              <w:ind w:right="1448"/>
              <w:spacing w:after="0" w:line="148" w:lineRule="exact"/>
              <w:rPr>
                <w:sz w:val="20"/>
                <w:szCs w:val="20"/>
                <w:color w:val="auto"/>
              </w:rPr>
            </w:pPr>
            <w:r>
              <w:rPr>
                <w:rFonts w:ascii="Arial" w:cs="Arial" w:eastAsia="Arial" w:hAnsi="Arial"/>
                <w:sz w:val="14"/>
                <w:szCs w:val="14"/>
                <w:i w:val="1"/>
                <w:iCs w:val="1"/>
                <w:color w:val="auto"/>
                <w:w w:val="87"/>
              </w:rPr>
              <w:t>Registrant’s telephone number, including area code:</w:t>
            </w: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28"/>
        </w:trPr>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60" w:type="dxa"/>
            <w:vAlign w:val="bottom"/>
          </w:tcPr>
          <w:p>
            <w:pPr>
              <w:jc w:val="center"/>
              <w:ind w:right="79"/>
              <w:spacing w:after="0"/>
              <w:rPr>
                <w:sz w:val="20"/>
                <w:szCs w:val="20"/>
                <w:color w:val="auto"/>
              </w:rPr>
            </w:pPr>
            <w:r>
              <w:rPr>
                <w:rFonts w:ascii="Arial" w:cs="Arial" w:eastAsia="Arial" w:hAnsi="Arial"/>
                <w:sz w:val="18"/>
                <w:szCs w:val="18"/>
                <w:b w:val="1"/>
                <w:bCs w:val="1"/>
                <w:color w:val="auto"/>
                <w:w w:val="89"/>
              </w:rPr>
              <w:t>(713) 512-6200</w:t>
            </w: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3"/>
        </w:trPr>
        <w:tc>
          <w:tcPr>
            <w:tcW w:w="19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320" w:type="dxa"/>
            <w:vAlign w:val="bottom"/>
            <w:gridSpan w:val="4"/>
          </w:tcPr>
          <w:p>
            <w:pPr>
              <w:jc w:val="center"/>
              <w:ind w:right="748"/>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178"/>
        </w:trPr>
        <w:tc>
          <w:tcPr>
            <w:tcW w:w="196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Name of Exchange on Which Registered</w:t>
            </w:r>
          </w:p>
        </w:tc>
        <w:tc>
          <w:tcPr>
            <w:tcW w:w="180" w:type="dxa"/>
            <w:vAlign w:val="bottom"/>
          </w:tcPr>
          <w:p>
            <w:pPr>
              <w:spacing w:after="0"/>
              <w:rPr>
                <w:sz w:val="15"/>
                <w:szCs w:val="15"/>
                <w:color w:val="auto"/>
              </w:rPr>
            </w:pPr>
          </w:p>
        </w:tc>
      </w:tr>
      <w:tr>
        <w:trPr>
          <w:trHeight w:val="196"/>
        </w:trPr>
        <w:tc>
          <w:tcPr>
            <w:tcW w:w="1960" w:type="dxa"/>
            <w:vAlign w:val="bottom"/>
          </w:tcPr>
          <w:p>
            <w:pPr>
              <w:ind w:left="1440"/>
              <w:spacing w:after="0"/>
              <w:rPr>
                <w:sz w:val="20"/>
                <w:szCs w:val="20"/>
                <w:color w:val="auto"/>
              </w:rPr>
            </w:pPr>
            <w:r>
              <w:rPr>
                <w:rFonts w:ascii="Arial" w:cs="Arial" w:eastAsia="Arial" w:hAnsi="Arial"/>
                <w:sz w:val="16"/>
                <w:szCs w:val="16"/>
                <w:color w:val="auto"/>
                <w:w w:val="76"/>
              </w:rPr>
              <w:t>Common</w:t>
            </w:r>
          </w:p>
        </w:tc>
        <w:tc>
          <w:tcPr>
            <w:tcW w:w="1840" w:type="dxa"/>
            <w:vAlign w:val="bottom"/>
            <w:gridSpan w:val="3"/>
          </w:tcPr>
          <w:p>
            <w:pPr>
              <w:ind w:left="180"/>
              <w:spacing w:after="0" w:line="195" w:lineRule="exact"/>
              <w:rPr>
                <w:sz w:val="20"/>
                <w:szCs w:val="20"/>
                <w:color w:val="auto"/>
              </w:rPr>
            </w:pPr>
            <w:r>
              <w:rPr>
                <w:rFonts w:ascii="Arial" w:cs="Arial" w:eastAsia="Arial" w:hAnsi="Arial"/>
                <w:sz w:val="18"/>
                <w:szCs w:val="18"/>
                <w:color w:val="auto"/>
                <w:w w:val="96"/>
              </w:rPr>
              <w:t>Stock, $.01 par value</w:t>
            </w:r>
          </w:p>
        </w:tc>
        <w:tc>
          <w:tcPr>
            <w:tcW w:w="3260" w:type="dxa"/>
            <w:vAlign w:val="bottom"/>
          </w:tcPr>
          <w:p>
            <w:pPr>
              <w:spacing w:after="0"/>
              <w:rPr>
                <w:sz w:val="17"/>
                <w:szCs w:val="17"/>
                <w:color w:val="auto"/>
              </w:rPr>
            </w:pPr>
          </w:p>
        </w:tc>
        <w:tc>
          <w:tcPr>
            <w:tcW w:w="2460" w:type="dxa"/>
            <w:vAlign w:val="bottom"/>
            <w:gridSpan w:val="3"/>
          </w:tcPr>
          <w:p>
            <w:pPr>
              <w:jc w:val="center"/>
              <w:spacing w:after="0" w:line="195" w:lineRule="exact"/>
              <w:rPr>
                <w:sz w:val="20"/>
                <w:szCs w:val="20"/>
                <w:color w:val="auto"/>
              </w:rPr>
            </w:pPr>
            <w:r>
              <w:rPr>
                <w:rFonts w:ascii="Arial" w:cs="Arial" w:eastAsia="Arial" w:hAnsi="Arial"/>
                <w:sz w:val="18"/>
                <w:szCs w:val="18"/>
                <w:color w:val="auto"/>
                <w:w w:val="89"/>
              </w:rPr>
              <w:t>New York Stock Exchange</w:t>
            </w:r>
          </w:p>
        </w:tc>
        <w:tc>
          <w:tcPr>
            <w:tcW w:w="180" w:type="dxa"/>
            <w:vAlign w:val="bottom"/>
          </w:tcPr>
          <w:p>
            <w:pPr>
              <w:spacing w:after="0"/>
              <w:rPr>
                <w:sz w:val="17"/>
                <w:szCs w:val="17"/>
                <w:color w:val="auto"/>
              </w:rPr>
            </w:pPr>
          </w:p>
        </w:tc>
      </w:tr>
      <w:tr>
        <w:trPr>
          <w:trHeight w:val="243"/>
        </w:trPr>
        <w:tc>
          <w:tcPr>
            <w:tcW w:w="842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a well-known seasoned issuer, as defined by Rule 405 of the Securities Act.</w:t>
            </w:r>
          </w:p>
        </w:tc>
        <w:tc>
          <w:tcPr>
            <w:tcW w:w="66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20" w:type="dxa"/>
            <w:vAlign w:val="bottom"/>
            <w:gridSpan w:val="2"/>
          </w:tcPr>
          <w:p>
            <w:pPr>
              <w:ind w:left="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75"/>
        </w:trPr>
        <w:tc>
          <w:tcPr>
            <w:tcW w:w="842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60" w:type="dxa"/>
            <w:vAlign w:val="bottom"/>
          </w:tcPr>
          <w:p>
            <w:pPr>
              <w:ind w:left="14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2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r>
    </w:tbl>
    <w:p>
      <w:pPr>
        <w:spacing w:after="0" w:line="1" w:lineRule="exact"/>
        <w:rPr>
          <w:sz w:val="24"/>
          <w:szCs w:val="24"/>
          <w:color w:val="auto"/>
        </w:rPr>
      </w:pPr>
    </w:p>
    <w:p>
      <w:pPr>
        <w:ind w:right="4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 w:lineRule="exact"/>
        <w:rPr>
          <w:sz w:val="24"/>
          <w:szCs w:val="24"/>
          <w:color w:val="auto"/>
        </w:rPr>
      </w:pPr>
    </w:p>
    <w:p>
      <w:pPr>
        <w:jc w:val="both"/>
        <w:ind w:right="18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Regulations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Regulations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 w:lineRule="exact"/>
        <w:rPr>
          <w:sz w:val="24"/>
          <w:szCs w:val="24"/>
          <w:color w:val="auto"/>
        </w:rPr>
      </w:pPr>
    </w:p>
    <w:p>
      <w:pPr>
        <w:ind w:right="60" w:firstLine="342"/>
        <w:spacing w:after="0" w:line="28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ind w:left="840"/>
        <w:spacing w:after="0" w:line="18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98" w:lineRule="exact"/>
        <w:rPr>
          <w:sz w:val="24"/>
          <w:szCs w:val="24"/>
          <w:color w:val="auto"/>
        </w:rPr>
      </w:pPr>
    </w:p>
    <w:p>
      <w:pPr>
        <w:sectPr>
          <w:pgSz w:w="11900" w:h="16838" w:orient="portrait"/>
          <w:cols w:equalWidth="0" w:num="7">
            <w:col w:w="1580" w:space="100"/>
            <w:col w:w="1360" w:space="720"/>
            <w:col w:w="1180" w:space="80"/>
            <w:col w:w="160" w:space="440"/>
            <w:col w:w="3280" w:space="340"/>
            <w:col w:w="1940" w:space="80"/>
            <w:col w:w="160"/>
          </w:cols>
          <w:pgMar w:left="240" w:top="230" w:right="239" w:bottom="1440" w:gutter="0" w:footer="0" w:header="0"/>
          <w:type w:val="continuous"/>
        </w:sectPr>
      </w:pPr>
    </w:p>
    <w:p>
      <w:pPr>
        <w:spacing w:after="0" w:line="21"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80" w:lineRule="exact"/>
        <w:rPr>
          <w:sz w:val="24"/>
          <w:szCs w:val="24"/>
          <w:color w:val="auto"/>
        </w:rPr>
      </w:pPr>
    </w:p>
    <w:p>
      <w:pPr>
        <w:sectPr>
          <w:pgSz w:w="11900" w:h="16838" w:orient="portrait"/>
          <w:cols w:equalWidth="0" w:num="4">
            <w:col w:w="7580" w:space="160"/>
            <w:col w:w="260" w:space="100"/>
            <w:col w:w="160" w:space="180"/>
            <w:col w:w="2980"/>
          </w:cols>
          <w:pgMar w:left="240" w:top="230" w:right="239" w:bottom="1440" w:gutter="0" w:footer="0" w:header="0"/>
          <w:type w:val="continuous"/>
        </w:sectPr>
      </w:pPr>
    </w:p>
    <w:p>
      <w:pPr>
        <w:ind w:right="460" w:firstLine="342"/>
        <w:spacing w:after="0" w:line="293" w:lineRule="auto"/>
        <w:rPr>
          <w:sz w:val="20"/>
          <w:szCs w:val="20"/>
          <w:color w:val="auto"/>
        </w:rPr>
      </w:pPr>
      <w:r>
        <w:rPr>
          <w:rFonts w:ascii="Arial" w:cs="Arial" w:eastAsia="Arial" w:hAnsi="Arial"/>
          <w:sz w:val="16"/>
          <w:szCs w:val="16"/>
          <w:color w:val="auto"/>
        </w:rPr>
        <w:t>The aggregate market value of the voting stock held by non-affiliates of the registrant at June 30, 2013 was approximately $18.8 billion. The aggregate market value was computed by using the closing price of the common stock as of that date on the New York Stock Exchange (“NYSE”). (For purposes of calculating this amount only, all directors and executive officers of the registrant have been treated as affiliates.)</w:t>
      </w:r>
    </w:p>
    <w:p>
      <w:pPr>
        <w:spacing w:after="0" w:line="1" w:lineRule="exact"/>
        <w:rPr>
          <w:sz w:val="24"/>
          <w:szCs w:val="24"/>
          <w:color w:val="auto"/>
        </w:rPr>
      </w:pPr>
    </w:p>
    <w:p>
      <w:pPr>
        <w:ind w:right="240" w:firstLine="342"/>
        <w:spacing w:after="0" w:line="262" w:lineRule="auto"/>
        <w:rPr>
          <w:sz w:val="20"/>
          <w:szCs w:val="20"/>
          <w:color w:val="auto"/>
        </w:rPr>
      </w:pPr>
      <w:r>
        <w:rPr>
          <w:rFonts w:ascii="Arial" w:cs="Arial" w:eastAsia="Arial" w:hAnsi="Arial"/>
          <w:sz w:val="18"/>
          <w:szCs w:val="18"/>
          <w:color w:val="auto"/>
        </w:rPr>
        <w:t>The number of shares of Common Stock, $0.01 par value, of the registrant outstanding at February 7, 2014 was 464,821,875 (excluding treasury shares of 165,460,586).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5500" w:type="dxa"/>
            <w:vAlign w:val="bottom"/>
            <w:gridSpan w:val="2"/>
          </w:tcPr>
          <w:p>
            <w:pPr>
              <w:jc w:val="center"/>
              <w:ind w:right="4792"/>
              <w:spacing w:after="0"/>
              <w:rPr>
                <w:sz w:val="20"/>
                <w:szCs w:val="20"/>
                <w:color w:val="auto"/>
              </w:rPr>
            </w:pPr>
            <w:r>
              <w:rPr>
                <w:rFonts w:ascii="Arial" w:cs="Arial" w:eastAsia="Arial" w:hAnsi="Arial"/>
                <w:sz w:val="14"/>
                <w:szCs w:val="14"/>
                <w:b w:val="1"/>
                <w:bCs w:val="1"/>
                <w:color w:val="auto"/>
                <w:w w:val="84"/>
              </w:rPr>
              <w:t>Document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6"/>
              </w:rPr>
              <w:t>Incorporated as to</w:t>
            </w:r>
          </w:p>
        </w:tc>
        <w:tc>
          <w:tcPr>
            <w:tcW w:w="2200" w:type="dxa"/>
            <w:vAlign w:val="bottom"/>
          </w:tcPr>
          <w:p>
            <w:pPr>
              <w:spacing w:after="0"/>
              <w:rPr>
                <w:sz w:val="14"/>
                <w:szCs w:val="14"/>
                <w:color w:val="auto"/>
              </w:rPr>
            </w:pPr>
          </w:p>
        </w:tc>
      </w:tr>
      <w:tr>
        <w:trPr>
          <w:trHeight w:val="201"/>
        </w:trPr>
        <w:tc>
          <w:tcPr>
            <w:tcW w:w="2580" w:type="dxa"/>
            <w:vAlign w:val="bottom"/>
          </w:tcPr>
          <w:p>
            <w:pPr>
              <w:ind w:left="2060"/>
              <w:spacing w:after="0" w:line="201" w:lineRule="exact"/>
              <w:rPr>
                <w:sz w:val="20"/>
                <w:szCs w:val="20"/>
                <w:color w:val="auto"/>
              </w:rPr>
            </w:pPr>
            <w:r>
              <w:rPr>
                <w:rFonts w:ascii="Arial" w:cs="Arial" w:eastAsia="Arial" w:hAnsi="Arial"/>
                <w:sz w:val="18"/>
                <w:szCs w:val="18"/>
                <w:color w:val="auto"/>
              </w:rPr>
              <w:t>Proxy</w:t>
            </w:r>
          </w:p>
        </w:tc>
        <w:tc>
          <w:tcPr>
            <w:tcW w:w="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75"/>
              </w:rPr>
              <w:t>Statement</w:t>
            </w:r>
          </w:p>
        </w:tc>
        <w:tc>
          <w:tcPr>
            <w:tcW w:w="4880" w:type="dxa"/>
            <w:vAlign w:val="bottom"/>
          </w:tcPr>
          <w:p>
            <w:pPr>
              <w:ind w:left="60"/>
              <w:spacing w:after="0" w:line="201" w:lineRule="exact"/>
              <w:rPr>
                <w:sz w:val="20"/>
                <w:szCs w:val="20"/>
                <w:color w:val="auto"/>
              </w:rPr>
            </w:pPr>
            <w:r>
              <w:rPr>
                <w:rFonts w:ascii="Arial" w:cs="Arial" w:eastAsia="Arial" w:hAnsi="Arial"/>
                <w:sz w:val="18"/>
                <w:szCs w:val="18"/>
                <w:color w:val="auto"/>
              </w:rPr>
              <w:t>for the</w:t>
            </w:r>
          </w:p>
        </w:tc>
        <w:tc>
          <w:tcPr>
            <w:tcW w:w="11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Part III</w:t>
            </w:r>
          </w:p>
        </w:tc>
        <w:tc>
          <w:tcPr>
            <w:tcW w:w="2200" w:type="dxa"/>
            <w:vAlign w:val="bottom"/>
          </w:tcPr>
          <w:p>
            <w:pPr>
              <w:spacing w:after="0"/>
              <w:rPr>
                <w:sz w:val="17"/>
                <w:szCs w:val="17"/>
                <w:color w:val="auto"/>
              </w:rPr>
            </w:pPr>
          </w:p>
        </w:tc>
      </w:tr>
      <w:tr>
        <w:trPr>
          <w:trHeight w:val="222"/>
        </w:trPr>
        <w:tc>
          <w:tcPr>
            <w:tcW w:w="8080" w:type="dxa"/>
            <w:vAlign w:val="bottom"/>
            <w:gridSpan w:val="3"/>
          </w:tcPr>
          <w:p>
            <w:pPr>
              <w:jc w:val="center"/>
              <w:ind w:right="2212"/>
              <w:spacing w:after="0"/>
              <w:rPr>
                <w:sz w:val="20"/>
                <w:szCs w:val="20"/>
                <w:color w:val="auto"/>
              </w:rPr>
            </w:pPr>
            <w:r>
              <w:rPr>
                <w:rFonts w:ascii="Arial" w:cs="Arial" w:eastAsia="Arial" w:hAnsi="Arial"/>
                <w:sz w:val="18"/>
                <w:szCs w:val="18"/>
                <w:color w:val="auto"/>
                <w:w w:val="90"/>
              </w:rPr>
              <w:t>2014 Annual Meeting of Stockholders</w:t>
            </w:r>
          </w:p>
        </w:tc>
        <w:tc>
          <w:tcPr>
            <w:tcW w:w="114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185"/>
        </w:trPr>
        <w:tc>
          <w:tcPr>
            <w:tcW w:w="25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spacing w:after="0"/>
              <w:rPr>
                <w:sz w:val="16"/>
                <w:szCs w:val="16"/>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740" w:type="dxa"/>
            <w:vAlign w:val="bottom"/>
            <w:gridSpan w:val="16"/>
          </w:tcPr>
          <w:p>
            <w:pPr>
              <w:ind w:left="52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vMerge w:val="restart"/>
          </w:tcPr>
          <w:p>
            <w:pPr>
              <w:jc w:val="cente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5260" w:type="dxa"/>
            <w:vAlign w:val="bottom"/>
            <w:gridSpan w:val="9"/>
            <w:vMerge w:val="restart"/>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bottom w:val="single" w:sz="8" w:color="0000EE"/>
            </w:tcBorders>
            <w:gridSpan w:val="2"/>
            <w:vMerge w:val="continue"/>
          </w:tcPr>
          <w:p>
            <w:pPr>
              <w:spacing w:after="0"/>
              <w:rPr>
                <w:sz w:val="13"/>
                <w:szCs w:val="13"/>
                <w:color w:val="auto"/>
              </w:rPr>
            </w:pPr>
          </w:p>
        </w:tc>
        <w:tc>
          <w:tcPr>
            <w:tcW w:w="5260" w:type="dxa"/>
            <w:vAlign w:val="bottom"/>
            <w:gridSpan w:val="9"/>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9360" w:type="dxa"/>
            <w:vAlign w:val="bottom"/>
            <w:gridSpan w:val="2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Risk Factors</w:t>
              </w:r>
            </w:hyperlink>
          </w:p>
        </w:tc>
        <w:tc>
          <w:tcPr>
            <w:tcW w:w="9100" w:type="dxa"/>
            <w:vAlign w:val="bottom"/>
            <w:gridSpan w:val="2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10000" w:type="dxa"/>
            <w:vAlign w:val="bottom"/>
            <w:gridSpan w:val="27"/>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Unresolved Staff Comments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29">
              <w:r>
                <w:rPr>
                  <w:rFonts w:ascii="Arial" w:cs="Arial" w:eastAsia="Arial" w:hAnsi="Arial"/>
                  <w:sz w:val="18"/>
                  <w:szCs w:val="18"/>
                  <w:color w:val="0000EE"/>
                  <w:w w:val="85"/>
                </w:rPr>
                <w:t>Properties</w:t>
              </w:r>
            </w:hyperlink>
          </w:p>
        </w:tc>
        <w:tc>
          <w:tcPr>
            <w:tcW w:w="1280" w:type="dxa"/>
            <w:vAlign w:val="bottom"/>
            <w:tcBorders>
              <w:top w:val="single" w:sz="8" w:color="0000EE"/>
            </w:tcBorders>
            <w:gridSpan w:val="6"/>
          </w:tcPr>
          <w:p>
            <w:pPr>
              <w:spacing w:after="0"/>
              <w:rPr>
                <w:sz w:val="17"/>
                <w:szCs w:val="17"/>
                <w:color w:val="auto"/>
              </w:rPr>
            </w:pPr>
          </w:p>
        </w:tc>
        <w:tc>
          <w:tcPr>
            <w:tcW w:w="8000" w:type="dxa"/>
            <w:vAlign w:val="bottom"/>
            <w:gridSpan w:val="1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0000" w:type="dxa"/>
            <w:vAlign w:val="bottom"/>
            <w:gridSpan w:val="2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00" w:type="dxa"/>
            <w:vAlign w:val="bottom"/>
            <w:gridSpan w:val="2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72"/>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0000EE"/>
            </w:tcBorders>
            <w:gridSpan w:val="4"/>
          </w:tcPr>
          <w:p>
            <w:pPr>
              <w:jc w:val="center"/>
              <w:spacing w:after="0"/>
              <w:rPr>
                <w:rFonts w:ascii="Arial" w:cs="Arial" w:eastAsia="Arial" w:hAnsi="Arial"/>
                <w:sz w:val="18"/>
                <w:szCs w:val="18"/>
                <w:b w:val="1"/>
                <w:bCs w:val="1"/>
                <w:color w:val="0000EE"/>
                <w:w w:val="99"/>
              </w:rPr>
            </w:pPr>
            <w:hyperlink w:anchor="page31">
              <w:r>
                <w:rPr>
                  <w:rFonts w:ascii="Arial" w:cs="Arial" w:eastAsia="Arial" w:hAnsi="Arial"/>
                  <w:sz w:val="18"/>
                  <w:szCs w:val="18"/>
                  <w:b w:val="1"/>
                  <w:bCs w:val="1"/>
                  <w:color w:val="0000EE"/>
                  <w:w w:val="99"/>
                </w:rPr>
                <w:t>PART II</w:t>
              </w:r>
            </w:hyperlink>
          </w:p>
        </w:tc>
        <w:tc>
          <w:tcPr>
            <w:tcW w:w="5220" w:type="dxa"/>
            <w:vAlign w:val="bottom"/>
            <w:gridSpan w:val="8"/>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0000" w:type="dxa"/>
            <w:vAlign w:val="bottom"/>
            <w:gridSpan w:val="2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Market for Registrant’s Common Equity, Related Stockholder Matters and Issuer Purchases of Equity Securities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21"/>
          </w:tcPr>
          <w:p>
            <w:pPr>
              <w:spacing w:after="0"/>
              <w:rPr>
                <w:sz w:val="17"/>
                <w:szCs w:val="17"/>
                <w:color w:val="auto"/>
              </w:rPr>
            </w:pPr>
          </w:p>
        </w:tc>
        <w:tc>
          <w:tcPr>
            <w:tcW w:w="212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10000" w:type="dxa"/>
            <w:vAlign w:val="bottom"/>
            <w:gridSpan w:val="2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6"/>
          </w:tcPr>
          <w:p>
            <w:pPr>
              <w:spacing w:after="0"/>
              <w:rPr>
                <w:sz w:val="17"/>
                <w:szCs w:val="17"/>
                <w:color w:val="auto"/>
              </w:rPr>
            </w:pPr>
          </w:p>
        </w:tc>
        <w:tc>
          <w:tcPr>
            <w:tcW w:w="370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74">
              <w:r>
                <w:rPr>
                  <w:rFonts w:ascii="Arial" w:cs="Arial" w:eastAsia="Arial" w:hAnsi="Arial"/>
                  <w:sz w:val="18"/>
                  <w:szCs w:val="18"/>
                  <w:color w:val="0000EE"/>
                  <w:w w:val="87"/>
                </w:rPr>
                <w:t>Financial Statements and Supplementary Data</w:t>
              </w:r>
            </w:hyperlink>
          </w:p>
        </w:tc>
        <w:tc>
          <w:tcPr>
            <w:tcW w:w="674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10000" w:type="dxa"/>
            <w:vAlign w:val="bottom"/>
            <w:gridSpan w:val="27"/>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Changes in and Disagreements with Accountants on Accounting and Financial Disclosure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6"/>
              </w:rPr>
            </w:pPr>
            <w:hyperlink w:anchor="page155">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18"/>
          </w:tcPr>
          <w:p>
            <w:pPr>
              <w:spacing w:after="0"/>
              <w:rPr>
                <w:sz w:val="17"/>
                <w:szCs w:val="17"/>
                <w:color w:val="auto"/>
              </w:rPr>
            </w:pPr>
          </w:p>
        </w:tc>
        <w:tc>
          <w:tcPr>
            <w:tcW w:w="368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0000" w:type="dxa"/>
            <w:vAlign w:val="bottom"/>
            <w:gridSpan w:val="27"/>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Other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155</w:t>
            </w:r>
          </w:p>
        </w:tc>
        <w:tc>
          <w:tcPr>
            <w:tcW w:w="0" w:type="dxa"/>
            <w:vAlign w:val="bottom"/>
          </w:tcPr>
          <w:p>
            <w:pPr>
              <w:spacing w:after="0"/>
              <w:rPr>
                <w:sz w:val="1"/>
                <w:szCs w:val="1"/>
                <w:color w:val="auto"/>
              </w:rPr>
            </w:pPr>
          </w:p>
        </w:tc>
      </w:tr>
      <w:tr>
        <w:trPr>
          <w:trHeight w:val="372"/>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155">
              <w:r>
                <w:rPr>
                  <w:rFonts w:ascii="Arial" w:cs="Arial" w:eastAsia="Arial" w:hAnsi="Arial"/>
                  <w:sz w:val="18"/>
                  <w:szCs w:val="18"/>
                  <w:b w:val="1"/>
                  <w:bCs w:val="1"/>
                  <w:color w:val="0000EE"/>
                </w:rPr>
                <w:t>PART III</w:t>
              </w:r>
            </w:hyperlink>
          </w:p>
        </w:tc>
        <w:tc>
          <w:tcPr>
            <w:tcW w:w="5180" w:type="dxa"/>
            <w:vAlign w:val="bottom"/>
            <w:gridSpan w:val="6"/>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10.</w:t>
            </w:r>
          </w:p>
        </w:tc>
        <w:tc>
          <w:tcPr>
            <w:tcW w:w="10000" w:type="dxa"/>
            <w:vAlign w:val="bottom"/>
            <w:gridSpan w:val="27"/>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Directors, Executive Officers and Corporate Governance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Executive Compensation</w:t>
              </w:r>
            </w:hyperlink>
          </w:p>
        </w:tc>
        <w:tc>
          <w:tcPr>
            <w:tcW w:w="600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10000" w:type="dxa"/>
            <w:vAlign w:val="bottom"/>
            <w:gridSpan w:val="27"/>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Security Ownership of Certain Beneficial Owners and Management and Related Stockholder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156</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Certain Relationships and Related Transactions, and Director Independence</w:t>
              </w:r>
            </w:hyperlink>
          </w:p>
        </w:tc>
        <w:tc>
          <w:tcPr>
            <w:tcW w:w="288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156</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Principal Accounting Fees and Services</w:t>
              </w:r>
            </w:hyperlink>
          </w:p>
        </w:tc>
        <w:tc>
          <w:tcPr>
            <w:tcW w:w="468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156</w:t>
            </w:r>
          </w:p>
        </w:tc>
        <w:tc>
          <w:tcPr>
            <w:tcW w:w="0" w:type="dxa"/>
            <w:vAlign w:val="bottom"/>
          </w:tcPr>
          <w:p>
            <w:pPr>
              <w:spacing w:after="0"/>
              <w:rPr>
                <w:sz w:val="1"/>
                <w:szCs w:val="1"/>
                <w:color w:val="auto"/>
              </w:rPr>
            </w:pPr>
          </w:p>
        </w:tc>
      </w:tr>
      <w:tr>
        <w:trPr>
          <w:trHeight w:val="372"/>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00" w:type="dxa"/>
            <w:vAlign w:val="bottom"/>
            <w:gridSpan w:val="14"/>
          </w:tcPr>
          <w:p>
            <w:pPr>
              <w:jc w:val="center"/>
              <w:ind w:right="5200"/>
              <w:spacing w:after="0"/>
              <w:rPr>
                <w:rFonts w:ascii="Arial" w:cs="Arial" w:eastAsia="Arial" w:hAnsi="Arial"/>
                <w:sz w:val="18"/>
                <w:szCs w:val="18"/>
                <w:b w:val="1"/>
                <w:bCs w:val="1"/>
                <w:color w:val="0000EE"/>
                <w:w w:val="98"/>
              </w:rPr>
            </w:pPr>
            <w:hyperlink w:anchor="page156">
              <w:r>
                <w:rPr>
                  <w:rFonts w:ascii="Arial" w:cs="Arial" w:eastAsia="Arial" w:hAnsi="Arial"/>
                  <w:sz w:val="18"/>
                  <w:szCs w:val="18"/>
                  <w:b w:val="1"/>
                  <w:bCs w:val="1"/>
                  <w:color w:val="0000EE"/>
                  <w:w w:val="98"/>
                </w:rPr>
                <w:t>PART IV</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284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156">
              <w:r>
                <w:rPr>
                  <w:rFonts w:ascii="Arial" w:cs="Arial" w:eastAsia="Arial" w:hAnsi="Arial"/>
                  <w:sz w:val="18"/>
                  <w:szCs w:val="18"/>
                  <w:color w:val="0000EE"/>
                  <w:w w:val="87"/>
                </w:rPr>
                <w:t>Exhibits, Financial Statement Schedules</w:t>
              </w:r>
            </w:hyperlink>
          </w:p>
        </w:tc>
        <w:tc>
          <w:tcPr>
            <w:tcW w:w="1280" w:type="dxa"/>
            <w:vAlign w:val="bottom"/>
            <w:gridSpan w:val="4"/>
          </w:tcPr>
          <w:p>
            <w:pPr>
              <w:spacing w:after="0"/>
              <w:rPr>
                <w:sz w:val="17"/>
                <w:szCs w:val="17"/>
                <w:color w:val="auto"/>
              </w:rPr>
            </w:pPr>
          </w:p>
        </w:tc>
        <w:tc>
          <w:tcPr>
            <w:tcW w:w="680" w:type="dxa"/>
            <w:vAlign w:val="bottom"/>
            <w:tcBorders>
              <w:top w:val="single" w:sz="8" w:color="0000EE"/>
            </w:tcBorders>
            <w:gridSpan w:val="6"/>
          </w:tcPr>
          <w:p>
            <w:pPr>
              <w:spacing w:after="0"/>
              <w:rPr>
                <w:sz w:val="17"/>
                <w:szCs w:val="17"/>
                <w:color w:val="auto"/>
              </w:rPr>
            </w:pPr>
          </w:p>
        </w:tc>
        <w:tc>
          <w:tcPr>
            <w:tcW w:w="520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156</w:t>
            </w:r>
          </w:p>
        </w:tc>
        <w:tc>
          <w:tcPr>
            <w:tcW w:w="0" w:type="dxa"/>
            <w:vAlign w:val="bottom"/>
          </w:tcPr>
          <w:p>
            <w:pPr>
              <w:spacing w:after="0"/>
              <w:rPr>
                <w:sz w:val="1"/>
                <w:szCs w:val="1"/>
                <w:color w:val="auto"/>
              </w:rPr>
            </w:pPr>
          </w:p>
        </w:tc>
      </w:tr>
      <w:tr>
        <w:trPr>
          <w:trHeight w:val="383"/>
        </w:trPr>
        <w:tc>
          <w:tcPr>
            <w:tcW w:w="1000" w:type="dxa"/>
            <w:vAlign w:val="bottom"/>
          </w:tcPr>
          <w:p>
            <w:pPr>
              <w:spacing w:after="0"/>
              <w:rPr>
                <w:sz w:val="24"/>
                <w:szCs w:val="24"/>
                <w:color w:val="auto"/>
              </w:rPr>
            </w:pPr>
          </w:p>
        </w:tc>
        <w:tc>
          <w:tcPr>
            <w:tcW w:w="4780" w:type="dxa"/>
            <w:vAlign w:val="bottom"/>
            <w:gridSpan w:val="19"/>
          </w:tcPr>
          <w:p>
            <w:pPr>
              <w:ind w:left="4680"/>
              <w:spacing w:after="0"/>
              <w:rPr>
                <w:sz w:val="20"/>
                <w:szCs w:val="20"/>
                <w:color w:val="auto"/>
              </w:rPr>
            </w:pPr>
            <w:r>
              <w:rPr>
                <w:rFonts w:ascii="Arial" w:cs="Arial" w:eastAsia="Arial" w:hAnsi="Arial"/>
                <w:sz w:val="18"/>
                <w:szCs w:val="18"/>
                <w:color w:val="auto"/>
                <w:w w:val="79"/>
              </w:rPr>
              <w:t>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beneficiaries as described in Note 20 to the Consolidated Financial Statements.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6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WM was incorporated in Oklahoma in 1987 under the name “USA Waste Services, Inc.” and was reincorporated as a Delaware company in 1995. In a 1998 merger, the Illinois-based waste services company formerly known as Waste Management, Inc. became a wholly-owned subsidiary of WM and changed its name to Waste Management Holdings, Inc. (“WM Holdings”). At the same time, our parent holding company changed its name from USA Waste Services to Waste Management, Inc. Like WM, WM Holdings is a holding company and all operations are conducted by subsidiaries. For detail on the financial position, results of operations and cash flows of WM, WM Holdings and their subsidiaries, see Note 23 to the Consolidated Financial Statements.</w:t>
      </w:r>
    </w:p>
    <w:p>
      <w:pPr>
        <w:spacing w:after="0" w:line="3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principal executive offices are located at 1001 Fannin Street, Suite 4000, Houston, Texas 77002. Our telephone number at that address is (713) 512-6200. Our website address is 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62"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waste-to-energy and landfill gas-to-energy facilities in the United States. During 2013, our largest customer represented less than 2% of annual revenues. We employed approximately 42,700 people as of December 31, 2013.</w:t>
      </w:r>
    </w:p>
    <w:p>
      <w:pPr>
        <w:spacing w:after="0" w:line="39"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own or operate 267 landfill sites, which is the largest network of landfills in our industry. In order to make disposal more practical for larger urban markets, where the distance to landfills or waste-to-energy facilities is typically farther, we manage 300 transfer stations that consolidate, compact and transport waste efficiently and economically. We also use waste to create energy. One method involves recovering the gas produced naturally as waste decomposes in landfills and using the gas in generators to make electricity. Our subsidiary, Wheelabrator Technologies, Inc., also uses waste to create energy by operating highly efficient waste combustion plants that produce clean, renewable energy. We are a leading recycler in North America, handling materials that include paper, cardboard, glass, plastic, metal and electronics. We provide cost-efficient, environmentally sound recycling programs for municipalities, businesses and households across the U.S. and Canada. In addition to traditional waste operations, we are also expanding to increase the service offerings we provide for our customers.</w:t>
      </w:r>
    </w:p>
    <w:p>
      <w:pPr>
        <w:spacing w:after="0" w:line="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Company’s goals are targeted at serving our customers, our employees, the environment, the communities in which we work and our stockholders, and achievement of our goals is intended to meet the needs of a changing industry. The waste industry continues to undergo significant changes. Our Company and others have recognized the value of the traditional waste stream as a potential resource. When compared to historical averages, landfill volumes have declined in recent years, as customers are increasingly using alternatives to</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traditional disposal, such as recycling, while also working to reduce the waste they generate. Accomplishment of our goals will grow our Company and allow us to meet the needs of our customers and communities as they, too, Think Green</w:t>
      </w:r>
      <w:r>
        <w:rPr>
          <w:rFonts w:ascii="Arial" w:cs="Arial" w:eastAsia="Arial" w:hAnsi="Arial"/>
          <w:sz w:val="22"/>
          <w:szCs w:val="22"/>
          <w:color w:val="auto"/>
          <w:vertAlign w:val="superscript"/>
        </w:rPr>
        <w:t>®</w:t>
      </w:r>
      <w:r>
        <w:rPr>
          <w:rFonts w:ascii="Arial" w:cs="Arial" w:eastAsia="Arial" w:hAnsi="Arial"/>
          <w:sz w:val="18"/>
          <w:szCs w:val="18"/>
          <w:color w:val="auto"/>
        </w:rPr>
        <w:t>. We believe that helping our customers achieve their environmental goals will enable us to achieve profitable growth.</w:t>
      </w:r>
    </w:p>
    <w:p>
      <w:pPr>
        <w:spacing w:after="0" w:line="7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Every day, Waste Management is helping industries, communities and individuals reduce, reuse and remove waste better through sound sustainability strategies. We have a precise day-to-day focus on collecting and handling our customers’ waste efficiently and responsibly. Meanwhile, we are also developing and implementing new ways to handle and extract value from waste. Our employees are committed to delivering environmental performance — our mission is to maximize resource value, while minimizing environmental impact, so that both our economy and our environment can thrive. Drawing on our resources and experience, we actively pursue projects and initiatives that benefit the waste industry, the customers and communities we serve and the environment.</w:t>
      </w:r>
    </w:p>
    <w:p>
      <w:pPr>
        <w:spacing w:after="0" w:line="35"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Company is also committed to providing long-term value to our stockholders by successfully executing on our strategic goals of optimizing our business, knowing and servicing the customer better than anyone else, and extracting more value from the materials we handle. In pursuit of these long-term goals, we have sharpened our focus on the following key priorities:</w:t>
      </w:r>
    </w:p>
    <w:p>
      <w:pPr>
        <w:spacing w:after="0" w:line="59" w:lineRule="exact"/>
        <w:rPr>
          <w:sz w:val="20"/>
          <w:szCs w:val="20"/>
          <w:color w:val="auto"/>
        </w:rPr>
      </w:pPr>
    </w:p>
    <w:p>
      <w:pPr>
        <w:ind w:left="700" w:hanging="2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Pursue revenue growth through customer-focused segmentation, pricing discipline and strategic acquisitions;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Continually emphasize cost control and investment in technology and systems that enhance the efficiency of our operations; and</w:t>
      </w:r>
    </w:p>
    <w:p>
      <w:pPr>
        <w:spacing w:after="0" w:line="90" w:lineRule="exact"/>
        <w:rPr>
          <w:rFonts w:ascii="Arial" w:cs="Arial" w:eastAsia="Arial" w:hAnsi="Arial"/>
          <w:sz w:val="18"/>
          <w:szCs w:val="18"/>
          <w:color w:val="auto"/>
        </w:rPr>
      </w:pPr>
    </w:p>
    <w:p>
      <w:pPr>
        <w:ind w:left="700" w:right="100" w:hanging="246"/>
        <w:spacing w:after="0" w:line="268"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 in emerging technologies that offer alternatives to traditional disposal and generate additional value from the waste, recycling and other streams we manage.</w:t>
      </w:r>
    </w:p>
    <w:p>
      <w:pPr>
        <w:spacing w:after="0" w:line="51" w:lineRule="exact"/>
        <w:rPr>
          <w:sz w:val="20"/>
          <w:szCs w:val="20"/>
          <w:color w:val="auto"/>
        </w:rPr>
      </w:pPr>
    </w:p>
    <w:p>
      <w:pPr>
        <w:ind w:right="60" w:firstLine="456"/>
        <w:spacing w:after="0" w:line="301" w:lineRule="auto"/>
        <w:rPr>
          <w:sz w:val="20"/>
          <w:szCs w:val="20"/>
          <w:color w:val="auto"/>
        </w:rPr>
      </w:pPr>
      <w:r>
        <w:rPr>
          <w:rFonts w:ascii="Arial" w:cs="Arial" w:eastAsia="Arial" w:hAnsi="Arial"/>
          <w:sz w:val="15"/>
          <w:szCs w:val="15"/>
          <w:color w:val="auto"/>
        </w:rPr>
        <w:t>We believe that execution of our strategy through these key priorities will drive continued growth and leadership in a dynamic industry, as customers increasingly seek non-traditional waste management solutions. In addition, we intend to continue to return value to our stockholders through dividend payments, and our Board of Directors has given management authority to make common stock repurchases. In February 2014, we announced that our Board of Directors expects to increase the quarterly dividend from $0.365 to $0.375 per share for dividends declared in 2014, which is a 2.7% increase from the quarterly dividends we declared in 2013. This will result in an increase in the amount of free cash flow that we expect to pay out as dividends for the 11</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consecutive year and is an indication of our ability to generate strong and consistent cash flows. All quarterly dividends will be declared at the discretion of our Board of Directors.</w:t>
      </w:r>
    </w:p>
    <w:p>
      <w:pPr>
        <w:spacing w:after="0" w:line="97" w:lineRule="exact"/>
        <w:rPr>
          <w:sz w:val="20"/>
          <w:szCs w:val="20"/>
          <w:color w:val="auto"/>
        </w:rPr>
      </w:pPr>
    </w:p>
    <w:p>
      <w:pPr>
        <w:jc w:val="right"/>
        <w:ind w:right="10520"/>
        <w:spacing w:after="0"/>
        <w:rPr>
          <w:sz w:val="20"/>
          <w:szCs w:val="20"/>
          <w:color w:val="auto"/>
        </w:rPr>
      </w:pPr>
      <w:r>
        <w:rPr>
          <w:rFonts w:ascii="Arial" w:cs="Arial" w:eastAsia="Arial" w:hAnsi="Arial"/>
          <w:sz w:val="15"/>
          <w:szCs w:val="15"/>
          <w:b w:val="1"/>
          <w:bCs w:val="1"/>
          <w:color w:val="auto"/>
        </w:rPr>
        <w:t>Operations</w:t>
      </w:r>
    </w:p>
    <w:p>
      <w:pPr>
        <w:spacing w:after="0" w:line="131" w:lineRule="exact"/>
        <w:rPr>
          <w:sz w:val="20"/>
          <w:szCs w:val="20"/>
          <w:color w:val="auto"/>
        </w:rPr>
      </w:pPr>
    </w:p>
    <w:p>
      <w:pPr>
        <w:jc w:val="right"/>
        <w:ind w:right="10540"/>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evaluate, oversee and manage the financial performance of our local Solid Waste business subsidiaries through our 17 Areas. See Note 21 to the Consolidated Financial Statements for additional information about our reportable segments. Our Wheelabrator business provides waste-to-energy services and manages waste-to-energy facilities and independent power production plants. We also provide additional services that are not managed through our Solid Waste or Wheelabrator businesses, as described below. These operations are presented in this report as “Other.”</w:t>
      </w:r>
    </w:p>
    <w:p>
      <w:pPr>
        <w:spacing w:after="0" w:line="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expanded certain of our operations through acquisitions, which are discussed further in Note 19 to the Consolidated Financial Statements. In January 2013, we acquired Greenstar, LLC, (“Greenstar”), an operator of recycling and resource recovery facilities. This acquisition provides the Company’s customers with greater access to recycling solutions, having supplemented the Company’s extensive nationwide recycling network with the operations of one of the nation’s largest private recyclers. In July 2013, we acquired substantially all of the assets of RCI Environnement, Inc. (“RCI”), the largest waste management company in Quebec, and certain related entities. RCI provides collection, transfer, recycling and disposal operations throughout the Greater Montreal area. The acquired RCI operations complement and expand the Company’s existing assets and operations in Quebec.</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The table below shows the total revenues (in millions) contributed annually by our Solid Waste and Wheelabrator businesses, in the three-year period ended December 31, 2013. More information about our results of operations is included in Note 21 to the Consolidated Financial Statements and in Item 7. Management’s Discussion and Analysis of Financial Condition and Results of Operations, included in this report.</w:t>
      </w:r>
    </w:p>
    <w:p>
      <w:pPr>
        <w:spacing w:after="0" w:line="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7"/>
              </w:rPr>
              <w:t>Years Ended December 31,</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600" w:type="dxa"/>
            <w:vAlign w:val="bottom"/>
          </w:tcPr>
          <w:p>
            <w:pPr>
              <w:spacing w:after="0"/>
              <w:rPr>
                <w:sz w:val="12"/>
                <w:szCs w:val="12"/>
                <w:color w:val="auto"/>
              </w:rPr>
            </w:pPr>
          </w:p>
        </w:tc>
        <w:tc>
          <w:tcPr>
            <w:tcW w:w="5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2"/>
                <w:szCs w:val="12"/>
                <w:color w:val="auto"/>
              </w:rPr>
            </w:pPr>
          </w:p>
        </w:tc>
        <w:tc>
          <w:tcPr>
            <w:tcW w:w="58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2"/>
                <w:szCs w:val="12"/>
                <w:color w:val="auto"/>
              </w:rPr>
            </w:pPr>
          </w:p>
        </w:tc>
        <w:tc>
          <w:tcPr>
            <w:tcW w:w="60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7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Solid Waste</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$13,477</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$13,056</w:t>
            </w:r>
          </w:p>
        </w:tc>
        <w:tc>
          <w:tcPr>
            <w:tcW w:w="5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$12,998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Wheelabrator</w:t>
            </w:r>
          </w:p>
        </w:tc>
        <w:tc>
          <w:tcPr>
            <w:tcW w:w="580" w:type="dxa"/>
            <w:vAlign w:val="bottom"/>
          </w:tcPr>
          <w:p>
            <w:pPr>
              <w:jc w:val="right"/>
              <w:spacing w:after="0"/>
              <w:rPr>
                <w:sz w:val="20"/>
                <w:szCs w:val="20"/>
                <w:color w:val="auto"/>
              </w:rPr>
            </w:pPr>
            <w:r>
              <w:rPr>
                <w:rFonts w:ascii="Arial" w:cs="Arial" w:eastAsia="Arial" w:hAnsi="Arial"/>
                <w:sz w:val="18"/>
                <w:szCs w:val="18"/>
                <w:color w:val="auto"/>
              </w:rPr>
              <w:t>845</w:t>
            </w:r>
          </w:p>
        </w:tc>
        <w:tc>
          <w:tcPr>
            <w:tcW w:w="5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846</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877</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2,106</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1,534</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Intercompany</w:t>
            </w:r>
          </w:p>
        </w:tc>
        <w:tc>
          <w:tcPr>
            <w:tcW w:w="1100" w:type="dxa"/>
            <w:vAlign w:val="bottom"/>
            <w:gridSpan w:val="2"/>
          </w:tcPr>
          <w:p>
            <w:pPr>
              <w:jc w:val="right"/>
              <w:ind w:right="392"/>
              <w:spacing w:after="0"/>
              <w:rPr>
                <w:sz w:val="20"/>
                <w:szCs w:val="20"/>
                <w:color w:val="auto"/>
              </w:rPr>
            </w:pPr>
            <w:r>
              <w:rPr>
                <w:rFonts w:ascii="Arial" w:cs="Arial" w:eastAsia="Arial" w:hAnsi="Arial"/>
                <w:sz w:val="18"/>
                <w:szCs w:val="18"/>
                <w:color w:val="auto"/>
              </w:rPr>
              <w:t>(2,524)</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(2,359)</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(2,031)</w:t>
            </w:r>
          </w:p>
        </w:tc>
      </w:tr>
      <w:tr>
        <w:trPr>
          <w:trHeight w:val="27"/>
        </w:trPr>
        <w:tc>
          <w:tcPr>
            <w:tcW w:w="7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13,983</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13,649</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13,378</w:t>
            </w:r>
          </w:p>
        </w:tc>
      </w:tr>
      <w:tr>
        <w:trPr>
          <w:trHeight w:val="20"/>
        </w:trPr>
        <w:tc>
          <w:tcPr>
            <w:tcW w:w="7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services we provide include collection, landfill (solid and hazardous waste landfills), transfer, operation of waste-to-energy facilities and independent power production plants, recycling and resource recovery and other services, as described below. The following table shows revenues (in millions) contributed by these services for each of the three years presented:</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7"/>
              </w:rPr>
              <w:t>Years Ended 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2013</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Collection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Landfill</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2,790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2,685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Wheelabrator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846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Recycling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1,583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1,416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91"/>
              </w:rPr>
              <w:t>(2,524)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1"/>
              </w:rPr>
              <w:t>(2,359)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(2,031)</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13,983</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w w:val="83"/>
              </w:rPr>
              <w:t>13,649</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13,378</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i w:val="1"/>
          <w:iCs w:val="1"/>
          <w:color w:val="auto"/>
        </w:rPr>
        <w:t xml:space="preserve">Collection. </w:t>
      </w:r>
      <w:r>
        <w:rPr>
          <w:rFonts w:ascii="Arial" w:cs="Arial" w:eastAsia="Arial" w:hAnsi="Arial"/>
          <w:sz w:val="18"/>
          <w:szCs w:val="18"/>
          <w:color w:val="auto"/>
        </w:rPr>
        <w:t>Our commitment to customers begins with a vast waste collection network. Collection involves picking up and transporting waste and</w:t>
      </w:r>
      <w:r>
        <w:rPr>
          <w:rFonts w:ascii="Arial" w:cs="Arial" w:eastAsia="Arial" w:hAnsi="Arial"/>
          <w:sz w:val="18"/>
          <w:szCs w:val="18"/>
          <w:i w:val="1"/>
          <w:iCs w:val="1"/>
          <w:color w:val="auto"/>
        </w:rPr>
        <w:t xml:space="preserve"> </w:t>
      </w:r>
      <w:r>
        <w:rPr>
          <w:rFonts w:ascii="Arial" w:cs="Arial" w:eastAsia="Arial" w:hAnsi="Arial"/>
          <w:sz w:val="18"/>
          <w:szCs w:val="18"/>
          <w:color w:val="auto"/>
        </w:rPr>
        <w:t>recyclable materials from where it was generated to a transfer station, material recovery facility (“MRF”) or disposal site. We generally provide collection services under one of two types of arrangements:</w:t>
      </w:r>
    </w:p>
    <w:p>
      <w:pPr>
        <w:spacing w:after="0" w:line="59" w:lineRule="exact"/>
        <w:rPr>
          <w:sz w:val="20"/>
          <w:szCs w:val="20"/>
          <w:color w:val="auto"/>
        </w:rPr>
      </w:pPr>
    </w:p>
    <w:p>
      <w:pPr>
        <w:ind w:left="700" w:right="20" w:hanging="246"/>
        <w:spacing w:after="0" w:line="291"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commercial and industrial collection services, typically we have a three-year service agreement. The fees under the agreements are influenced by factors such as collection frequency, type of collection equipment we furnish, type and volume or weight of the waste collected, distance to the disposal facility, labor costs, cost of disposal and general market factors. As part of the service, we provide steel containers to most customers to store their solid waste between pick-up dates. Containers vary in size and type according to the needs of our customers and the restrictions of their communities. Many are designed to be lifted mechanically and either emptied into a truck’s compaction hopper or directly into a disposal site. By using these containers, we can service most of our commercial and industrial customers with trucks operated by only one employee.</w:t>
      </w:r>
    </w:p>
    <w:p>
      <w:pPr>
        <w:spacing w:after="0" w:line="39" w:lineRule="exact"/>
        <w:rPr>
          <w:rFonts w:ascii="Arial" w:cs="Arial" w:eastAsia="Arial" w:hAnsi="Arial"/>
          <w:sz w:val="16"/>
          <w:szCs w:val="16"/>
          <w:color w:val="auto"/>
        </w:rPr>
      </w:pPr>
    </w:p>
    <w:p>
      <w:pPr>
        <w:ind w:left="700" w:right="60" w:hanging="246"/>
        <w:spacing w:after="0" w:line="298"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most residential collection services, we have a contract with, or a franchise granted by, a municipality, homeowners’ association or some other regional authority that gives us the exclusive right to service all or a portion of the homes in an area. These contracts or franchises are typically for periods of three to six years. We also provide services under individual monthly subscriptions directly to households. The fees for residential collection are either paid by the municipality or authority from their tax revenues or service charges, or are paid directly by the residents receiving the service.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Landfill. </w:t>
      </w:r>
      <w:r>
        <w:rPr>
          <w:rFonts w:ascii="Arial" w:cs="Arial" w:eastAsia="Arial" w:hAnsi="Arial"/>
          <w:sz w:val="18"/>
          <w:szCs w:val="18"/>
          <w:color w:val="auto"/>
        </w:rPr>
        <w:t>Landfills are the main depositories for solid waste in North America. At December 31, 2013, we owned or operated 262 solid waste landfills</w:t>
      </w:r>
      <w:r>
        <w:rPr>
          <w:rFonts w:ascii="Arial" w:cs="Arial" w:eastAsia="Arial" w:hAnsi="Arial"/>
          <w:sz w:val="18"/>
          <w:szCs w:val="18"/>
          <w:i w:val="1"/>
          <w:iCs w:val="1"/>
          <w:color w:val="auto"/>
        </w:rPr>
        <w:t xml:space="preserve"> </w:t>
      </w:r>
      <w:r>
        <w:rPr>
          <w:rFonts w:ascii="Arial" w:cs="Arial" w:eastAsia="Arial" w:hAnsi="Arial"/>
          <w:sz w:val="18"/>
          <w:szCs w:val="18"/>
          <w:color w:val="auto"/>
        </w:rPr>
        <w:t>and five secure hazardous waste landfills, which represents the largest network of landfills in North America. Solid waste landfills are constructed and operated on land with engineering safeguards that limit the possibility of water and air pollution, and are operated under procedures prescribed by regulation. A landfill must meet federal, state or provincial, and local regulations during its design, construction, operation and closure. The operation and closure activities of a solid waste landfill include excavation, construction of liners, continuous spreading and compacting of waste, covering of waste with earth or other acceptable material and constructing final capping of the landfill. These operations are carefully planned to maintain environmentally safe conditions and to maximize the use of the airspace.</w:t>
      </w:r>
    </w:p>
    <w:p>
      <w:pPr>
        <w:spacing w:after="0" w:line="6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All solid waste management companies must have access to a disposal facility, such as a solid waste landfill. The significant capital requirements of developing and operating a landfill serve as a barrier to landfill ownership and, as a result, third-party haulers often dispose of waste at our landfills. It is usually preferable for our collection operations to use disposal facilities that we own or operate, a practice we refer to as internalization, rather than using third-party disposal facilities. Internalization generally allows us to realize higher consolidated margins and stronger operating cash flows. The fees charged at disposal facilities, which are referred to as tipping fees, are based on several factors, including competition and the type and weight or volume of solid waste deposited.</w:t>
      </w:r>
    </w:p>
    <w:p>
      <w:pPr>
        <w:spacing w:after="0" w:line="3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environmental laws, the federal government (or states with delegated authority) must issue permits for all hazardous waste landfills. All of our hazardous waste landfills have obtained the required permits, although some can accept only certain types of hazardous waste. These landfills must also comply with specialized operating standards. Only hazardous waste in a stable, solid form, which meets regulatory requirements, can be deposited in our secure disposal cells. In some cases, hazardous waste can be treated before disposal. Generally, these treatments involve the separation or removal of solid materials from liquids and chemical treatments that transform waste into inert materials that are no longer hazardous. Our hazardous waste landfills are sited, constructed and operated in a manner designed to provide long-term containment of waste. We also operate a hazardous waste facility at which we isolate treated hazardous waste in liquid form by injection into deep wells that have been drilled in certain acceptable geologic formations far below the base of fresh water to a point that is safely separated by other substantial geological confining layers.</w:t>
      </w:r>
    </w:p>
    <w:p>
      <w:pPr>
        <w:spacing w:after="0" w:line="3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Transfer. </w:t>
      </w:r>
      <w:r>
        <w:rPr>
          <w:rFonts w:ascii="Arial" w:cs="Arial" w:eastAsia="Arial" w:hAnsi="Arial"/>
          <w:sz w:val="18"/>
          <w:szCs w:val="18"/>
          <w:color w:val="auto"/>
        </w:rPr>
        <w:t>At December 31, 2013, we owned or operated 300 transfer stations in North America. We deposit waste at these stations, as do other waste</w:t>
      </w:r>
      <w:r>
        <w:rPr>
          <w:rFonts w:ascii="Arial" w:cs="Arial" w:eastAsia="Arial" w:hAnsi="Arial"/>
          <w:sz w:val="18"/>
          <w:szCs w:val="18"/>
          <w:i w:val="1"/>
          <w:iCs w:val="1"/>
          <w:color w:val="auto"/>
        </w:rPr>
        <w:t xml:space="preserve"> </w:t>
      </w:r>
      <w:r>
        <w:rPr>
          <w:rFonts w:ascii="Arial" w:cs="Arial" w:eastAsia="Arial" w:hAnsi="Arial"/>
          <w:sz w:val="18"/>
          <w:szCs w:val="18"/>
          <w:color w:val="auto"/>
        </w:rPr>
        <w:t>haulers. The solid waste is then consolidated and compacted to reduce the volume and increase the density of the waste and transported by transfer trucks or by rail to disposal sites. At December 31, 2013, our medical waste services business (discussed below) also had 15 smaller transfer operations (separate from its 8 processing facilities, but some of which are located at other existing Company facilities) that are permitted to consolidate regulated medical waste collections for disposal.</w:t>
      </w:r>
    </w:p>
    <w:p>
      <w:pPr>
        <w:spacing w:after="0" w:line="62"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Access to transfer stations is critical to haulers who collect waste in areas not in close proximity to disposal facilities. Fees charged to third parties at transfer stations are usually based on the type and volume or weight of the waste deposited at the transfer station, the distance to the disposal site and general market factors.</w:t>
      </w:r>
    </w:p>
    <w:p>
      <w:pPr>
        <w:spacing w:after="0" w:line="5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utilization of our transfer stations by our own collection operations improves internalization by allowing us to retain fees that we would otherwise pay to third parties for the disposal of the waste we collect. It enables us to manage costs associated with waste disposal because (i) transfer trucks, railcars or rail containers have larger capacities than collection trucks, allowing us to deliver more waste to the disposal facility in each trip; (ii) waste is accumulated and compacted at transfer stations that are strategically located to increase the efficiency of our network of operations and (iii) we can retain the volume by managing the transfer of the waste to one of our own disposal sites.</w:t>
      </w:r>
    </w:p>
    <w:p>
      <w:pPr>
        <w:spacing w:after="0" w:line="35"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transfer stations that we operate but do not own generally are operated through lease agreements under which we lease property from third parties. There are some instances where transfer stations are operated under contract, generally for municipalities. In most cases we own the permits and will be responsible for any regulatory requirements relating to the operation and closure of the transfer station.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 xml:space="preserve">Wheelabrator. </w:t>
      </w:r>
      <w:r>
        <w:rPr>
          <w:rFonts w:ascii="Arial" w:cs="Arial" w:eastAsia="Arial" w:hAnsi="Arial"/>
          <w:sz w:val="18"/>
          <w:szCs w:val="18"/>
          <w:color w:val="auto"/>
        </w:rPr>
        <w:t>As of December 31, 2013, we owned or operated 16 waste-to-energy facilities and four independent power production plants (“IPPs”)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located in the Northeast, in the Mid-Atlantic, and in Florida, California and Washington.</w:t>
      </w:r>
    </w:p>
    <w:p>
      <w:pPr>
        <w:spacing w:after="0" w:line="5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At our waste-to-energy facilities, solid waste is burned at high temperatures in specially designed boilers to produce heat that is converted into high-pressure steam. As of December 31, 2013, our waste-to-energy facilities were capable of processing up to approximately 23,000 tons of solid waste each day. In 2013, our waste-to-energy facilities received and processed 8 million tons of solid waste, or approximately 21,000 tons per day.</w:t>
      </w:r>
    </w:p>
    <w:p>
      <w:pPr>
        <w:spacing w:after="0" w:line="2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IPPs convert various waste and conventional fuels into steam. The plants burn wood waste, anthracite coal waste (culm), tires, landfill gas and natural gas. These facilities are integral to the solid waste industry, disposing of urban wood, waste tires, railroad ties and utility poles. Our anthracite culm facility in Pennsylvania processes the waste materials left over from coal mining operations from over half a century ago. Ash remaining after burning the culm is used to reclaim the land damaged by decades of coal mining.</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We generate steam at our waste-to-energy and IPPs facilities for the production of electricity. We sell the electricity produced at our facilities into wholesale markets, which include investor-owned utilities, power marketers and regional power pools. Some of our facilities also sell steam directly to end users. Fees charged for electricity and steam at our waste-to-energy facilities and IPPs have generally been subject to the terms and conditions of long-term contracts that include interim adjustments to the prices charged for changes in market conditions such as inflation, electricity prices and other general market factors. In recent years several of our long-term energy contracts and short-term pricing arrangements expired, significantly increasing our waste-to-energy revenues’ exposure to volatility attributable to changes in market prices for electricity, which generally correlate with fluctuations in natural gas prices in the markets in which we operate. Our market-price volatility will continue to increase as additional long-term contracts expire. We use short-term, “receive fixed, pay variable” electricity commodity swaps to reduce the variability in our revenues and cash flows caused by fluctuations in the market prices for electricity. Refer to the </w:t>
      </w:r>
      <w:r>
        <w:rPr>
          <w:rFonts w:ascii="Arial" w:cs="Arial" w:eastAsia="Arial" w:hAnsi="Arial"/>
          <w:sz w:val="16"/>
          <w:szCs w:val="16"/>
          <w:i w:val="1"/>
          <w:iCs w:val="1"/>
          <w:color w:val="auto"/>
        </w:rPr>
        <w:t>Quantitative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Qualitative Disclosures About Market Risk </w:t>
      </w:r>
      <w:r>
        <w:rPr>
          <w:rFonts w:ascii="Arial" w:cs="Arial" w:eastAsia="Arial" w:hAnsi="Arial"/>
          <w:sz w:val="16"/>
          <w:szCs w:val="16"/>
          <w:color w:val="auto"/>
        </w:rPr>
        <w:t>section of this report for additional information about the Company’s current considerations related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of this market exposure.</w:t>
      </w:r>
    </w:p>
    <w:p>
      <w:pPr>
        <w:spacing w:after="0" w:line="42"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In 2013, we continued to look at opportunities to expand our waste-to-energy business. In recent years, we have partnered with third parties to invest in the expansion of waste-to-energy assets and services in the United Kingdom and China. While there has not been any meaningful expansion of the network of waste-to-energy disposal facilities in the U.S. during this time, we have invested significant efforts in Europe and China to further develop these assets. We have made investments in partnerships and joint ventures in the United Kingdom and China in order to use our expertise as an owner and operator of waste-to-energy facilities to participate in this growth opportunity. The investments we have made are discussed further in Note 20 to the Consolidated Financial Statements.</w:t>
      </w:r>
    </w:p>
    <w:p>
      <w:pPr>
        <w:spacing w:after="0" w:line="1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Recycling. </w:t>
      </w:r>
      <w:r>
        <w:rPr>
          <w:rFonts w:ascii="Arial" w:cs="Arial" w:eastAsia="Arial" w:hAnsi="Arial"/>
          <w:sz w:val="16"/>
          <w:szCs w:val="16"/>
          <w:color w:val="auto"/>
        </w:rPr>
        <w:t>Our recycling operations provide communities and businesses with an alternative to traditional landfill disposal and support our strategic goals</w:t>
      </w:r>
      <w:r>
        <w:rPr>
          <w:rFonts w:ascii="Arial" w:cs="Arial" w:eastAsia="Arial" w:hAnsi="Arial"/>
          <w:sz w:val="16"/>
          <w:szCs w:val="16"/>
          <w:i w:val="1"/>
          <w:iCs w:val="1"/>
          <w:color w:val="auto"/>
        </w:rPr>
        <w:t xml:space="preserve"> </w:t>
      </w:r>
      <w:r>
        <w:rPr>
          <w:rFonts w:ascii="Arial" w:cs="Arial" w:eastAsia="Arial" w:hAnsi="Arial"/>
          <w:sz w:val="16"/>
          <w:szCs w:val="16"/>
          <w:color w:val="auto"/>
        </w:rPr>
        <w:t>to extract more value from the materials we manage. In 2001, we became the first major solid waste company to focus on residential single-stream recycling, which allows customers to mix recyclable paper, plastic and glass in one bin. Residential single-stream programs have greatly increased the recycling rates. Single-stream recycling is possible through the use of various mechanized screens and optical sorting technologies. We have also been advancing the single-stream recycling programs for commercial applications. Recycling involves the separation of reusable materials from the waste stream for processing and resale or other disposition. Our recycling operations include the following:</w:t>
      </w:r>
    </w:p>
    <w:p>
      <w:pPr>
        <w:spacing w:after="0" w:line="39" w:lineRule="exact"/>
        <w:rPr>
          <w:sz w:val="20"/>
          <w:szCs w:val="20"/>
          <w:color w:val="auto"/>
        </w:rPr>
      </w:pPr>
    </w:p>
    <w:p>
      <w:pPr>
        <w:ind w:left="460" w:right="160" w:firstLine="438"/>
        <w:spacing w:after="0" w:line="255" w:lineRule="auto"/>
        <w:rPr>
          <w:sz w:val="20"/>
          <w:szCs w:val="20"/>
          <w:color w:val="auto"/>
        </w:rPr>
      </w:pPr>
      <w:r>
        <w:rPr>
          <w:rFonts w:ascii="Arial" w:cs="Arial" w:eastAsia="Arial" w:hAnsi="Arial"/>
          <w:sz w:val="18"/>
          <w:szCs w:val="18"/>
          <w:i w:val="1"/>
          <w:iCs w:val="1"/>
          <w:color w:val="auto"/>
        </w:rPr>
        <w:t xml:space="preserve">Materials processing </w:t>
      </w:r>
      <w:r>
        <w:rPr>
          <w:rFonts w:ascii="Arial" w:cs="Arial" w:eastAsia="Arial" w:hAnsi="Arial"/>
          <w:sz w:val="18"/>
          <w:szCs w:val="18"/>
          <w:color w:val="auto"/>
        </w:rPr>
        <w:t>— Through our collection operations, we collect recyclable materials from residential, commercial and industrial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and direct these materials to one of our MRFs for processing. We operate 120 MRFs where paper, cardboard, metals, plastics, glass, construction and demolition materials and other recyclable commodities are recovered for resale. We also operate five secondary processing facilities where recyclable materials can be further processed into raw products used in the manufacturing of consumer goods. Materials processing services include data destruction and automated color sorting.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460" w:right="120" w:firstLine="438"/>
        <w:spacing w:after="0" w:line="268" w:lineRule="auto"/>
        <w:rPr>
          <w:sz w:val="20"/>
          <w:szCs w:val="20"/>
          <w:color w:val="auto"/>
        </w:rPr>
      </w:pPr>
      <w:r>
        <w:rPr>
          <w:rFonts w:ascii="Arial" w:cs="Arial" w:eastAsia="Arial" w:hAnsi="Arial"/>
          <w:sz w:val="18"/>
          <w:szCs w:val="18"/>
          <w:i w:val="1"/>
          <w:iCs w:val="1"/>
          <w:color w:val="auto"/>
        </w:rPr>
        <w:t xml:space="preserve">Plastics materials recycling </w:t>
      </w:r>
      <w:r>
        <w:rPr>
          <w:rFonts w:ascii="Arial" w:cs="Arial" w:eastAsia="Arial" w:hAnsi="Arial"/>
          <w:sz w:val="18"/>
          <w:szCs w:val="18"/>
          <w:color w:val="auto"/>
        </w:rPr>
        <w:t>— Using state-of-the-art sorting and processing technology, we process, inventory and sell plastic commodities making</w:t>
      </w:r>
      <w:r>
        <w:rPr>
          <w:rFonts w:ascii="Arial" w:cs="Arial" w:eastAsia="Arial" w:hAnsi="Arial"/>
          <w:sz w:val="18"/>
          <w:szCs w:val="18"/>
          <w:i w:val="1"/>
          <w:iCs w:val="1"/>
          <w:color w:val="auto"/>
        </w:rPr>
        <w:t xml:space="preserve"> </w:t>
      </w:r>
      <w:r>
        <w:rPr>
          <w:rFonts w:ascii="Arial" w:cs="Arial" w:eastAsia="Arial" w:hAnsi="Arial"/>
          <w:sz w:val="18"/>
          <w:szCs w:val="18"/>
          <w:color w:val="auto"/>
        </w:rPr>
        <w:t>the recycling of such items more cost effective and convenient.</w:t>
      </w:r>
    </w:p>
    <w:p>
      <w:pPr>
        <w:spacing w:after="0" w:line="51" w:lineRule="exact"/>
        <w:rPr>
          <w:sz w:val="20"/>
          <w:szCs w:val="20"/>
          <w:color w:val="auto"/>
        </w:rPr>
      </w:pPr>
    </w:p>
    <w:p>
      <w:pPr>
        <w:ind w:left="460" w:right="260" w:firstLine="438"/>
        <w:spacing w:after="0" w:line="259" w:lineRule="auto"/>
        <w:rPr>
          <w:sz w:val="20"/>
          <w:szCs w:val="20"/>
          <w:color w:val="auto"/>
        </w:rPr>
      </w:pPr>
      <w:r>
        <w:rPr>
          <w:rFonts w:ascii="Arial" w:cs="Arial" w:eastAsia="Arial" w:hAnsi="Arial"/>
          <w:sz w:val="18"/>
          <w:szCs w:val="18"/>
          <w:i w:val="1"/>
          <w:iCs w:val="1"/>
          <w:color w:val="auto"/>
        </w:rPr>
        <w:t xml:space="preserve">Commodities recycling </w:t>
      </w:r>
      <w:r>
        <w:rPr>
          <w:rFonts w:ascii="Arial" w:cs="Arial" w:eastAsia="Arial" w:hAnsi="Arial"/>
          <w:sz w:val="18"/>
          <w:szCs w:val="18"/>
          <w:color w:val="auto"/>
        </w:rPr>
        <w:t>— We market and resell recyclable commodities to customers world-wide. We manage the marketing of recyclable</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commodities that are processed in our facilities by maintaining comprehensive service centers that continuously analyze market prices, logistics, market demands and product quality.</w:t>
      </w:r>
    </w:p>
    <w:p>
      <w:pPr>
        <w:spacing w:after="0" w:line="5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Fees for recycling services are influenced by the type of recyclable commodities being processed, the volume or weight of the recyclable material, degree of processing required, the market value of the recovered material and other market factors.</w:t>
      </w:r>
    </w:p>
    <w:p>
      <w:pPr>
        <w:spacing w:after="0" w:line="5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Some of the recyclable materials processed in our MRFs are purchased from various sources, including third parties and our own operations. The cost per ton of material purchased is based on market prices and the cost to transport the processed goods to our customers to whom we sell such materials. The price we pay for recyclable materials is often referred to as a “rebate.” Rebates generally are based upon the price we receive for sales of processed goods and on market conditions, but in some cases are based on fixed contractual rates or on defined minimum per-ton rates. As a result, changes in commodity prices for recycled fiber can significantly affect our revenues, the rebates we pay to our suppliers and our operating income from operations margins.</w:t>
      </w:r>
    </w:p>
    <w:p>
      <w:pPr>
        <w:spacing w:after="0" w:line="35" w:lineRule="exact"/>
        <w:rPr>
          <w:sz w:val="20"/>
          <w:szCs w:val="20"/>
          <w:color w:val="auto"/>
        </w:rPr>
      </w:pPr>
    </w:p>
    <w:p>
      <w:pPr>
        <w:ind w:left="460"/>
        <w:spacing w:after="0"/>
        <w:tabs>
          <w:tab w:leader="none" w:pos="1060" w:val="left"/>
        </w:tabs>
        <w:rPr>
          <w:sz w:val="20"/>
          <w:szCs w:val="20"/>
          <w:color w:val="auto"/>
        </w:rPr>
      </w:pPr>
      <w:r>
        <w:rPr>
          <w:rFonts w:ascii="Arial" w:cs="Arial" w:eastAsia="Arial" w:hAnsi="Arial"/>
          <w:sz w:val="18"/>
          <w:szCs w:val="18"/>
          <w:i w:val="1"/>
          <w:iCs w:val="1"/>
          <w:color w:val="auto"/>
        </w:rPr>
        <w:t>Other.</w:t>
      </w:r>
      <w:r>
        <w:rPr>
          <w:sz w:val="20"/>
          <w:szCs w:val="20"/>
          <w:color w:val="auto"/>
        </w:rPr>
        <w:tab/>
      </w:r>
      <w:r>
        <w:rPr>
          <w:rFonts w:ascii="Arial" w:cs="Arial" w:eastAsia="Arial" w:hAnsi="Arial"/>
          <w:sz w:val="16"/>
          <w:szCs w:val="16"/>
          <w:color w:val="auto"/>
        </w:rPr>
        <w:t>Other services we provide include the following:</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provide recycling brokerage services, which involve managing the marketing of recyclable materials for third parties. The experience of our recycling operations in managing recyclable commodities for our own operations gives us the expertise needed to effectively manage volumes for third parties. Utilizing the resources and knowledge of our recycling operations’ service centers, we can assist customers in marketing and selling their recyclable commodities with minimal capital requirements. We also provide electronics recycling. We recycle discarded computers, communications equipment, and other electronic equipment. Services include the collection, sorting and disassembling of electronics in an effort to reuse or recycle all collected materials. In recent years, we have teamed with major electronics manufacturers to offer comprehensive “take-back” programs of their products to assist the general public in disposing of their old electronics in a convenient and environmentally safe manner.</w:t>
      </w:r>
    </w:p>
    <w:p>
      <w:pPr>
        <w:spacing w:after="0" w:line="3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WM Sustainability Services organization offers our customers in all Areas a variety of services in collaboration with our Area and strategic accounts programs, including (i) in-plant services, where our employees work full-time inside our customers’ facilities to provide full-service waste management solutions and consulting services; (ii) specialized disposal services for oil and gas exploration and production operations and (iii) services associated with the disposal of fly ash, residue generated from the combustion of coal and other fuel stocks. Our vertically integrated waste management operations enable us to provide customers with full management of their waste. The breadth of our service offerings and the familiarity we have with waste management practices gives us the unique ability to assist customers in minimizing the amount of waste they generate, identifying recycling opportunities and determining the most efficient means available for waste collection and disposal.</w:t>
      </w:r>
    </w:p>
    <w:p>
      <w:pPr>
        <w:spacing w:after="0" w:line="3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develop, operate and promote projects for the beneficial use of landfill gas through our WM Renewable Energy Program. Landfill gas is produced naturally as waste decomposes in a landfill. The methane component of the landfill gas is a readily available, renewable energy source that can be gathered and used beneficially as an alternative to fossil fuel. The EPA endorses landfill gas as a renewable energy resource, in the same category as wind, solar and geothermal resources. At December 31, 2013, we had 137 landfill gas beneficial use projects producing commercial quantities of methane gas at 124 of our solid waste landfills and four third-party landfills. At 109 of these landfills, the processed gas is used to fuel electricity generators. The electricity is then sold to public utilities, municipal utilities or power cooperatives. At 17 landfills, the gas is used at the landfill or delivered by pipeline to industrial customers as a direct substitute for fossil fuels in industrial processes. At 10 landfills, the landfill gas is processed to pipeline-quality natural gas and then sold to natural gas suppliers. At one landfill, the gas is processed into liquefied natural gas and used as vehicle fuel.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Although many waste management services such as collection and disposal are local services, our strategic accounts program works with customers whose locations span the United States. Our strategic accounts program provides centralized customer service, billing and management of accounts to streamline the administration of customers’ multiple and nationwide locations’ waste management needs. In 2011, we acquired Oakleaf Global Holdings and its primary operations (“Oakleaf”), which provides outsourced waste and recycling services through a nationwide network of third-party haulers. Oakleaf has increased our strategic accounts customer base and enhanced our ability to provide comprehensive environmental solutions.</w:t>
      </w:r>
    </w:p>
    <w:p>
      <w:pPr>
        <w:spacing w:after="0" w:line="35" w:lineRule="exact"/>
        <w:rPr>
          <w:sz w:val="20"/>
          <w:szCs w:val="20"/>
          <w:color w:val="auto"/>
        </w:rPr>
      </w:pPr>
    </w:p>
    <w:p>
      <w:pPr>
        <w:ind w:firstLine="456"/>
        <w:spacing w:after="0" w:line="282" w:lineRule="auto"/>
        <w:rPr>
          <w:sz w:val="20"/>
          <w:szCs w:val="20"/>
          <w:color w:val="auto"/>
        </w:rPr>
      </w:pPr>
      <w:r>
        <w:rPr>
          <w:rFonts w:ascii="Arial" w:cs="Arial" w:eastAsia="Arial" w:hAnsi="Arial"/>
          <w:sz w:val="15"/>
          <w:szCs w:val="15"/>
          <w:color w:val="auto"/>
        </w:rPr>
        <w:t>We continue to invest in businesses and technologies that are designed to offer services and solutions ancillary or supplementary to our current operations. These investments include joint ventures, acquisitions and partial ownership interests. The solutions and services include the collection of project waste, including construction debris and household or yard waste, through our Bagster</w:t>
      </w:r>
      <w:r>
        <w:rPr>
          <w:rFonts w:ascii="Arial" w:cs="Arial" w:eastAsia="Arial" w:hAnsi="Arial"/>
          <w:sz w:val="19"/>
          <w:szCs w:val="19"/>
          <w:color w:val="auto"/>
          <w:vertAlign w:val="superscript"/>
        </w:rPr>
        <w:t>®</w:t>
      </w:r>
      <w:r>
        <w:rPr>
          <w:rFonts w:ascii="Arial" w:cs="Arial" w:eastAsia="Arial" w:hAnsi="Arial"/>
          <w:sz w:val="15"/>
          <w:szCs w:val="15"/>
          <w:color w:val="auto"/>
        </w:rPr>
        <w:t xml:space="preserve"> program; the development, operation and marketing of plasma gasification facilities; operation of a landfill gas-to-liquid natural gas plant; solar powered trash compactors; and organic waste-to-fuel conversion technology. Part of our expansion of services includes offering portable self-storage services; fluorescent bulb and universal waste mail-back through our LampTracker</w:t>
      </w:r>
      <w:r>
        <w:rPr>
          <w:rFonts w:ascii="Arial" w:cs="Arial" w:eastAsia="Arial" w:hAnsi="Arial"/>
          <w:sz w:val="19"/>
          <w:szCs w:val="19"/>
          <w:color w:val="auto"/>
          <w:vertAlign w:val="superscript"/>
        </w:rPr>
        <w:t>®</w:t>
      </w:r>
      <w:r>
        <w:rPr>
          <w:rFonts w:ascii="Arial" w:cs="Arial" w:eastAsia="Arial" w:hAnsi="Arial"/>
          <w:sz w:val="15"/>
          <w:szCs w:val="15"/>
          <w:color w:val="auto"/>
        </w:rPr>
        <w:t xml:space="preserve"> program; and a sharps mail return program through which individuals can safely dispose of their used syringes and lancets using our MedWaste Tracker</w:t>
      </w:r>
      <w:r>
        <w:rPr>
          <w:rFonts w:ascii="Arial" w:cs="Arial" w:eastAsia="Arial" w:hAnsi="Arial"/>
          <w:sz w:val="19"/>
          <w:szCs w:val="19"/>
          <w:color w:val="auto"/>
          <w:vertAlign w:val="superscript"/>
        </w:rPr>
        <w:t>®</w:t>
      </w:r>
      <w:r>
        <w:rPr>
          <w:rFonts w:ascii="Arial" w:cs="Arial" w:eastAsia="Arial" w:hAnsi="Arial"/>
          <w:sz w:val="15"/>
          <w:szCs w:val="15"/>
          <w:color w:val="auto"/>
        </w:rPr>
        <w:t xml:space="preserve"> system. In addition, we have made investments that involve the acquisition and development of interests in oil and gas producing properties. Finally, we rent portable restroom facilities to municipalities and commercial customers under the name Port-o-Let</w:t>
      </w:r>
      <w:r>
        <w:rPr>
          <w:rFonts w:ascii="Arial" w:cs="Arial" w:eastAsia="Arial" w:hAnsi="Arial"/>
          <w:sz w:val="19"/>
          <w:szCs w:val="19"/>
          <w:color w:val="auto"/>
          <w:vertAlign w:val="superscript"/>
        </w:rPr>
        <w:t>®</w:t>
      </w:r>
      <w:r>
        <w:rPr>
          <w:rFonts w:ascii="Arial" w:cs="Arial" w:eastAsia="Arial" w:hAnsi="Arial"/>
          <w:sz w:val="15"/>
          <w:szCs w:val="15"/>
          <w:color w:val="auto"/>
        </w:rPr>
        <w:t>, we service such facilities and we provide street and parking lot sweeping services.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encounter intense competition from governmental, quasi-governmental and private sources in all aspects of our operations. In North America, the industry consists primarily of two national waste management companies and regional and local companies of varying sizes and financial resources, including companies that specialize in certain discrete areas of waste management, operators of alternative disposal facilities and companies that seek to use parts of the waste stream as feedstock for renewable energy and other by-products. Some of our regional competitors can be significant competitors in local markets and are pursuing aggressive regional growth strategies. We compete with these companies as well as with counties and municipalities that maintain their own waste collection and disposal operations.</w:t>
      </w:r>
    </w:p>
    <w:p>
      <w:pPr>
        <w:spacing w:after="0" w:line="6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Operating costs, disposal costs and collection fees vary widely throughout the areas in which we operate. The prices that we charge are determined locally, and typically vary by volume and weight, type of waste collected, treatment requirements, risk of handling or disposal, frequency of collections, distance to final disposal sites, the availability of airspace within the geographic region, labor costs and amount and type of equipment furnished to the customer. We face intense competition in our Solid Waste business based on pricing and quality of service. We have also begun competing for business based on service offerings. As companies, individuals and communities look for ways to be more sustainable, we are investing in greener technologies and promoting our comprehensive services that go beyond our core business of collecting and disposing of waste.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1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Service disruptions caused by severe storms, extended periods of inclement weather or climate extremes can significantly affect the operating results of the affected Areas. On the other hand, certain destructive weather conditions that tend to occur during the second half of the year, such as the hurricanes that most often impact our operations in the Southern and Eastern U.S., can actually increase our revenues in the areas affected. While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weather-related and other “one-time” occurrences can boost revenues through additional work for a limited time span, as a result of significant start-up costs and other factors, such revenue sometimes generates earnings at comparatively lower margins.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At December 31, 2013, we had approximately 42,700 full-time employees, of which approximately 7,400 were employed in administrative and sales positions and the balance in operations. Approximately 9,200 of our employees are covered by collective bargaining agreements.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Assurance and Insurance Obligations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Assurance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Municipal and governmental waste service contracts generally require contracting parties to demonstrate financial responsibility for their obligations under the contract. Financial assurance is also a requirement for (i) obtaining or retaining disposal site or transfer station operating permits; (ii) supporting variable-rate tax-exempt debt and (iii) estimated final capping, closure, post-closure and environmental remedial obligations at many of our landfills.</w:t>
      </w:r>
    </w:p>
    <w:p>
      <w:pPr>
        <w:spacing w:after="0" w:line="2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establish financial assurance using surety bonds, letters of credit, insurance policies, trust and escrow agreements and financial guarantees. The type of assurance used is based on several factors, most importantly: the jurisdiction, contractual requirements, market factors and availability of credit capacity. The following table summarizes the various forms and dollar amounts (in millions) of financial assurance that we had outstanding as of December 31, 2013: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Surety bonds:</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tcPr>
          <w:p>
            <w:pPr>
              <w:ind w:left="220"/>
              <w:spacing w:after="0"/>
              <w:rPr>
                <w:sz w:val="20"/>
                <w:szCs w:val="20"/>
                <w:color w:val="auto"/>
              </w:rPr>
            </w:pPr>
            <w:r>
              <w:rPr>
                <w:rFonts w:ascii="Arial" w:cs="Arial" w:eastAsia="Arial" w:hAnsi="Arial"/>
                <w:sz w:val="18"/>
                <w:szCs w:val="18"/>
                <w:color w:val="auto"/>
              </w:rPr>
              <w:t>Issued by consolidated subsidiary(a)</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181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Issued by affiliated entity(b)</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1,079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6000" w:type="dxa"/>
            <w:vAlign w:val="bottom"/>
            <w:gridSpan w:val="2"/>
          </w:tcPr>
          <w:p>
            <w:pPr>
              <w:ind w:left="220"/>
              <w:spacing w:after="0"/>
              <w:rPr>
                <w:sz w:val="20"/>
                <w:szCs w:val="20"/>
                <w:color w:val="auto"/>
              </w:rPr>
            </w:pPr>
            <w:r>
              <w:rPr>
                <w:rFonts w:ascii="Arial" w:cs="Arial" w:eastAsia="Arial" w:hAnsi="Arial"/>
                <w:sz w:val="18"/>
                <w:szCs w:val="18"/>
                <w:color w:val="auto"/>
              </w:rPr>
              <w:t>Issued by third-party surety companies</w:t>
            </w:r>
          </w:p>
        </w:tc>
        <w:tc>
          <w:tcPr>
            <w:tcW w:w="2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2,172</w:t>
            </w: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surety bonds</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Letters of credit:</w:t>
            </w: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Revolving credit facilities(c)</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872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tcPr>
          <w:p>
            <w:pPr>
              <w:ind w:left="220"/>
              <w:spacing w:after="0"/>
              <w:rPr>
                <w:sz w:val="20"/>
                <w:szCs w:val="20"/>
                <w:color w:val="auto"/>
              </w:rPr>
            </w:pPr>
            <w:r>
              <w:rPr>
                <w:rFonts w:ascii="Arial" w:cs="Arial" w:eastAsia="Arial" w:hAnsi="Arial"/>
                <w:sz w:val="18"/>
                <w:szCs w:val="18"/>
                <w:color w:val="auto"/>
              </w:rPr>
              <w:t>Letter of credit facilities(d)</w:t>
            </w: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400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lines of credit</w:t>
            </w:r>
          </w:p>
        </w:tc>
        <w:tc>
          <w:tcPr>
            <w:tcW w:w="2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1"/>
        </w:trPr>
        <w:tc>
          <w:tcPr>
            <w:tcW w:w="6460" w:type="dxa"/>
            <w:vAlign w:val="bottom"/>
            <w:gridSpan w:val="3"/>
          </w:tcPr>
          <w:p>
            <w:pPr>
              <w:ind w:left="460"/>
              <w:spacing w:after="0"/>
              <w:rPr>
                <w:sz w:val="20"/>
                <w:szCs w:val="20"/>
                <w:color w:val="auto"/>
              </w:rPr>
            </w:pPr>
            <w:r>
              <w:rPr>
                <w:rFonts w:ascii="Arial" w:cs="Arial" w:eastAsia="Arial" w:hAnsi="Arial"/>
                <w:sz w:val="18"/>
                <w:szCs w:val="18"/>
                <w:color w:val="auto"/>
              </w:rPr>
              <w:t>Total letters of credit</w:t>
            </w:r>
          </w:p>
        </w:tc>
        <w:tc>
          <w:tcPr>
            <w:tcW w:w="2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19"/>
                <w:szCs w:val="19"/>
                <w:color w:val="auto"/>
              </w:rPr>
            </w:pPr>
          </w:p>
        </w:tc>
      </w:tr>
      <w:tr>
        <w:trPr>
          <w:trHeight w:val="218"/>
        </w:trPr>
        <w:tc>
          <w:tcPr>
            <w:tcW w:w="46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policies:</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tcPr>
          <w:p>
            <w:pPr>
              <w:ind w:left="220"/>
              <w:spacing w:after="0"/>
              <w:rPr>
                <w:sz w:val="20"/>
                <w:szCs w:val="20"/>
                <w:color w:val="auto"/>
              </w:rPr>
            </w:pPr>
            <w:r>
              <w:rPr>
                <w:rFonts w:ascii="Arial" w:cs="Arial" w:eastAsia="Arial" w:hAnsi="Arial"/>
                <w:sz w:val="18"/>
                <w:szCs w:val="18"/>
                <w:color w:val="auto"/>
              </w:rPr>
              <w:t>Issued by consolidated subsidiary(a)</w:t>
            </w: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1,157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Issued by affiliated entity(b)</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6000" w:type="dxa"/>
            <w:vAlign w:val="bottom"/>
            <w:gridSpan w:val="2"/>
          </w:tcPr>
          <w:p>
            <w:pPr>
              <w:ind w:left="220"/>
              <w:spacing w:after="0"/>
              <w:rPr>
                <w:sz w:val="20"/>
                <w:szCs w:val="20"/>
                <w:color w:val="auto"/>
              </w:rPr>
            </w:pPr>
            <w:r>
              <w:rPr>
                <w:rFonts w:ascii="Arial" w:cs="Arial" w:eastAsia="Arial" w:hAnsi="Arial"/>
                <w:sz w:val="18"/>
                <w:szCs w:val="18"/>
                <w:color w:val="auto"/>
              </w:rPr>
              <w:t>Issued by third-party insurance companies</w:t>
            </w:r>
          </w:p>
        </w:tc>
        <w:tc>
          <w:tcPr>
            <w:tcW w:w="2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insurance policies</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Funded trust and escrow accounts(e)</w:t>
            </w: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guarantees(f)</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r>
      <w:tr>
        <w:trPr>
          <w:trHeight w:val="222"/>
        </w:trPr>
        <w:tc>
          <w:tcPr>
            <w:tcW w:w="6460" w:type="dxa"/>
            <w:vAlign w:val="bottom"/>
            <w:gridSpan w:val="3"/>
          </w:tcPr>
          <w:p>
            <w:pPr>
              <w:ind w:left="460"/>
              <w:spacing w:after="0"/>
              <w:rPr>
                <w:sz w:val="20"/>
                <w:szCs w:val="20"/>
                <w:color w:val="auto"/>
              </w:rPr>
            </w:pPr>
            <w:r>
              <w:rPr>
                <w:rFonts w:ascii="Arial" w:cs="Arial" w:eastAsia="Arial" w:hAnsi="Arial"/>
                <w:sz w:val="18"/>
                <w:szCs w:val="18"/>
                <w:color w:val="auto"/>
              </w:rPr>
              <w:t>Total financial assurance(g)</w:t>
            </w:r>
          </w:p>
        </w:tc>
        <w:tc>
          <w:tcPr>
            <w:tcW w:w="2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6,629</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0"/>
        </w:trPr>
        <w:tc>
          <w:tcPr>
            <w:tcW w:w="4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4960" w:type="dxa"/>
            <w:vAlign w:val="bottom"/>
          </w:tcPr>
          <w:p>
            <w:pPr>
              <w:spacing w:after="0"/>
              <w:rPr>
                <w:sz w:val="7"/>
                <w:szCs w:val="7"/>
                <w:color w:val="auto"/>
              </w:rPr>
            </w:pPr>
          </w:p>
        </w:tc>
        <w:tc>
          <w:tcPr>
            <w:tcW w:w="2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73" w:lineRule="exact"/>
        <w:rPr>
          <w:sz w:val="20"/>
          <w:szCs w:val="20"/>
          <w:color w:val="auto"/>
        </w:rPr>
      </w:pPr>
    </w:p>
    <w:p>
      <w:pPr>
        <w:ind w:left="580" w:right="80" w:hanging="572"/>
        <w:spacing w:after="0" w:line="256"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use surety bonds and insurance policies issued by a wholly-owned insurance subsidiary, National Guaranty Insurance Company of Vermont, the sole business of which is to issue financial assurance on our behalf. National Guaranty Insurance Company is authorized to write up to approximately $1.5 billion in surety bonds or insurance policies for our final capping, closure and post-closure requirements, waste collection contracts and other business-related obligations.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jc w:val="both"/>
        <w:ind w:left="580" w:right="220" w:hanging="572"/>
        <w:spacing w:after="0" w:line="259"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hold a noncontrolling interest in an entity that we use to obtain financial assurance. Our contractual agreement with this entity does not specifically limit the amounts of surety bonds or insurance that we may obtain, making our financial assurance under this agreement limited only by the guidelines and restrictions of surety and insurance regulations.</w:t>
      </w:r>
    </w:p>
    <w:p>
      <w:pPr>
        <w:spacing w:after="0" w:line="32" w:lineRule="exact"/>
        <w:rPr>
          <w:rFonts w:ascii="Arial" w:cs="Arial" w:eastAsia="Arial" w:hAnsi="Arial"/>
          <w:sz w:val="18"/>
          <w:szCs w:val="18"/>
          <w:color w:val="auto"/>
        </w:rPr>
      </w:pPr>
    </w:p>
    <w:p>
      <w:pPr>
        <w:ind w:left="580" w:right="100" w:hanging="572"/>
        <w:spacing w:after="0" w:line="25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WM has a $2.25 billion revolving credit facility with a term extending through July 2018. At December 31, 2013, we had $420 million of outstanding borrowings and $872 million of letters of credit issued and supported by the facility. The unused and available credit capacity of the facility was $958 million as of December 31, 2013. We also have a C$150 million revolving credit facility which matures in November 2017 and provides for up to C$50 million of letter of credit capacity. At December 31, 2013, we had no letters of credit outstanding under this facility and outstanding borrowings of C$10 million. The unused and available credit capacity of this facility was C$140 million as of December 31, 2013, of which C$50 million may be used for letters of credit.</w:t>
      </w:r>
    </w:p>
    <w:p>
      <w:pPr>
        <w:spacing w:after="0" w:line="36" w:lineRule="exact"/>
        <w:rPr>
          <w:rFonts w:ascii="Arial" w:cs="Arial" w:eastAsia="Arial" w:hAnsi="Arial"/>
          <w:sz w:val="18"/>
          <w:szCs w:val="18"/>
          <w:color w:val="auto"/>
        </w:rPr>
      </w:pPr>
    </w:p>
    <w:p>
      <w:pPr>
        <w:ind w:left="580" w:right="100" w:hanging="572"/>
        <w:spacing w:after="0" w:line="268"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an aggregate committed capacity of $400 million under letter of credit facilities with terms ending through December 2016. This letter of credit capacity was fully utilized as of December 31, 2013.</w:t>
      </w:r>
    </w:p>
    <w:p>
      <w:pPr>
        <w:spacing w:after="0" w:line="23" w:lineRule="exact"/>
        <w:rPr>
          <w:rFonts w:ascii="Arial" w:cs="Arial" w:eastAsia="Arial" w:hAnsi="Arial"/>
          <w:sz w:val="18"/>
          <w:szCs w:val="18"/>
          <w:color w:val="auto"/>
        </w:rPr>
      </w:pPr>
    </w:p>
    <w:p>
      <w:pPr>
        <w:ind w:left="580" w:hanging="572"/>
        <w:spacing w:after="0" w:line="25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funded trust and escrow accounts generally have been established to support landfill final capping, closure, post-closure and environmental remediation obligations and our performance under various operating contracts. Balances maintained in these trust funds and escrow accounts will fluctuate based on (i) changes in statutory requirements; (ii) future deposits made to comply with contractual arrangements; (iii) the use of funds for qualifying activities; (iv) acquisitions or divestitures of landfills and (v) changes in the fair value of the financial instruments held in the trust fund or escrow accounts. The assets held in our funded trust and escrow accounts may be drawn and used to meet the obligations for which the trusts and escrows were established.</w:t>
      </w:r>
    </w:p>
    <w:p>
      <w:pPr>
        <w:spacing w:after="0" w:line="36" w:lineRule="exact"/>
        <w:rPr>
          <w:rFonts w:ascii="Arial" w:cs="Arial" w:eastAsia="Arial" w:hAnsi="Arial"/>
          <w:sz w:val="18"/>
          <w:szCs w:val="18"/>
          <w:color w:val="auto"/>
        </w:rPr>
      </w:pPr>
    </w:p>
    <w:p>
      <w:pPr>
        <w:ind w:left="580" w:right="500" w:hanging="572"/>
        <w:spacing w:after="0" w:line="317"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Financial guarantees are provided primarily to support our performance of landfill final capping, closure and post-closure activities. The amount of financial assurance provided by such guarantees is dependent upon measures of our tangible net worth and other criteria.</w:t>
      </w:r>
    </w:p>
    <w:p>
      <w:pPr>
        <w:ind w:left="580" w:right="220" w:hanging="572"/>
        <w:spacing w:after="0" w:line="268"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of financial assurance required can, and generally will, differ from the obligation determined and recorded under U.S. Generally Accepted Accounting Principles (“GAAP”).</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assets held in our funded trust and escrow accounts may be drawn and used to meet the closure, post-closure and remedial obligations for which the trusts and escrows were established. Other than these permitted draws on funds, virtually no claims have been made against our financial assurance instruments in the past, and considering our current financial position, management does not expect there to be claims against these instruments that will have a material adverse effect on our Consolidated Financial Statements. In an ongoing effort to mitigate the risks of future cost increases and reductions in available capacity, we are continually evaluating various options to access cost-effective sources of financial assurance.</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Insurance</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carry a broad range of insurance coverages, including general liability, automobile liability, real and personal property, workers’ compensation, directors’ and officers’ liability, pollution legal liability, business interruption and other coverages we believe are customary to the industry. Our exposure to loss for insurance claims is generally limited to the per-incident deductible under the related insurance policy. As of December 31, 2013, our commercial General Liability Insurance Policy carried self-insurance exposures of up to $2.5 million per incident and our workers’ compensation insurance program carried self-insurance exposures of up to $5 million per incident. As of December 31, 2013, our auto liability insurance program included a per-incident base deductible of $5 million, subject to additional deductibles of $4.8 million in the $5 million to $10 million layer. We do not expect the impact of any known casualty, property, environmental or other contingency to have a material impact on our financial condition, results of operations or cash flows. Our estimated insurance liabilities as of December 31, 2013 are summarized in Note 11 to the Consolidated Financial Statements.</w:t>
      </w:r>
    </w:p>
    <w:p>
      <w:pPr>
        <w:spacing w:after="0" w:line="37" w:lineRule="exact"/>
        <w:rPr>
          <w:sz w:val="20"/>
          <w:szCs w:val="20"/>
          <w:color w:val="auto"/>
        </w:rPr>
      </w:pPr>
    </w:p>
    <w:p>
      <w:pPr>
        <w:jc w:val="both"/>
        <w:ind w:right="100" w:firstLine="456"/>
        <w:spacing w:after="0" w:line="332" w:lineRule="auto"/>
        <w:rPr>
          <w:sz w:val="20"/>
          <w:szCs w:val="20"/>
          <w:color w:val="auto"/>
        </w:rPr>
      </w:pPr>
      <w:r>
        <w:rPr>
          <w:rFonts w:ascii="Arial" w:cs="Arial" w:eastAsia="Arial" w:hAnsi="Arial"/>
          <w:sz w:val="16"/>
          <w:szCs w:val="16"/>
          <w:color w:val="auto"/>
        </w:rPr>
        <w:t>The Directors’ and Officers’ Liability Insurance policy we choose to maintain covers only individual executive liability, often referred to as “Broad Form Side A,” and does not provide corporate reimbursement coverage, often referred to as “Side B.” The Side A policy covers directors and officers directly for loss,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including defense costs, when corporate indemnification is unavailable. Side A-only coverage cannot be exhausted by payments to the Company, as the Company is not insured for any money it advances for defense costs or pays as indemnity to the insured directors and officers.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business is subject to extensive and evolving federal, state or provincial and local environmental, health, safety and transportation laws and regulations. These laws and regulations are administered by the U.S. Environmental Protection Agency (“EPA”), Environment Canada, and various other federal, state, provincial and local environmental, zoning, transportation, land use, health and safety agencies in the United States and Canada. Many of these agencies regularly examine our operations to monitor compliance with these laws and regulations and have the power to enforce compliance, obtain injunctions or impose civil or criminal penalties in case of violations. In recent years, we have perceived an increase in both the amount of government regulation and the number of enforcement actions being brought by regulatory entities against operations in the waste services industry. We expect this heightened governmental focus on regulation and enforcement to continue.</w:t>
      </w:r>
    </w:p>
    <w:p>
      <w:pPr>
        <w:spacing w:after="0" w:line="6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Because the primary mission of our business is to collect and manage solid waste in an environmentally sound manner, a significant amount of our capital expenditures are related, either directly or indirectly, to environmental protection measures, including compliance with federal, state or provincial and local rules. There are costs associated with siting, design, permitting, operations, monitoring, site maintenance, corrective actions, financial assurance, and facility closure and post-closure obligations. In connection with our acquisition, development or expansion of a management or disposal facility or transfer station, we must often spend considerable time, effort and money to obtain or maintain required permits and approvals. There are no assurances that we will be able to obtain or maintain required governmental approvals. Once obtained, operating permits are subject to renewal, modification, suspension or revocation by the issuing agency. Compliance with current regulations and future requirements could require us to make significant capital and operating expenditures. However, most of these expenditures are made in the normal course of business and do not place us at any competitive disadvantage.</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United States federal statutes affecting our business are summarized below:</w:t>
      </w:r>
    </w:p>
    <w:p>
      <w:pPr>
        <w:spacing w:after="0" w:line="90" w:lineRule="exact"/>
        <w:rPr>
          <w:sz w:val="20"/>
          <w:szCs w:val="20"/>
          <w:color w:val="auto"/>
        </w:rPr>
      </w:pPr>
    </w:p>
    <w:p>
      <w:pPr>
        <w:ind w:left="700" w:right="60" w:hanging="246"/>
        <w:spacing w:after="0" w:line="294" w:lineRule="auto"/>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Resource Conservation and Recovery Act of 1976 (“RCRA”), as amended, regulates handling, transporting and disposing of hazardous and non-hazardous waste and delegates authority to states to develop programs to ensure the safe disposal of solid waste. In 1991, the EPA issued its final regulations under Subtitle D of RCRA, which set forth minimum federal performance and design criteria for solid waste landfills. These regulations are typically implemented by the states, although states can impose requirements that are more stringent than the Subtitle D standards. We incur costs in complying with these standards in the ordinary course of our operations.</w:t>
      </w:r>
    </w:p>
    <w:p>
      <w:pPr>
        <w:spacing w:after="0" w:line="34" w:lineRule="exact"/>
        <w:rPr>
          <w:rFonts w:ascii="Arial" w:cs="Arial" w:eastAsia="Arial" w:hAnsi="Arial"/>
          <w:sz w:val="16"/>
          <w:szCs w:val="16"/>
          <w:color w:val="auto"/>
        </w:rPr>
      </w:pPr>
    </w:p>
    <w:p>
      <w:pPr>
        <w:ind w:left="700" w:right="20" w:hanging="246"/>
        <w:spacing w:after="0" w:line="307" w:lineRule="auto"/>
        <w:tabs>
          <w:tab w:leader="none" w:pos="70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Comprehensive Environmental Response, Compensation and Liability Act of 1980, as amended, (“CERCLA”) which is also known as Superfund, provides for federal authority to respond directly to releases or threatened releases of hazardous substances into the environment that have created actual or potential environmental hazards. CERCLA’s primary means for addressing such releases is to impose strict liability for cleanup of disposal sites upon current and former site owners and operators, generators of the hazardous substances at the site and transporters who selected the disposal site and transported substances thereto. Liability under CERCLA is not dependent on the intentional disposal of hazardous substances; it can be based upon the release or threatened release, even as a result of lawful, unintentional and non-negligent action, of hazardous substances as the term is defined by CERCLA and other applicable statutes and regulations. The EPA may issue orders requiring responsible parties to perform response actions at sites, or the EPA may seek recovery of funds expended or to be expended in the future at sites. Liability may include contribution for cleanup costs incurred by a defendant in a CERCLA civil action or by an entity that has previously resolved its liability to federal or state regulators in an administrative or judicially-approved settlement. Liability under CERCLA could also include obligations to a potentially responsible party, or PRP, that voluntarily expends site clean-up costs. Further, liability for damage to publicly-owned natural resources may also be imposed. We are subject to potential liability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680" w:right="200"/>
        <w:spacing w:after="0" w:line="268" w:lineRule="auto"/>
        <w:rPr>
          <w:sz w:val="20"/>
          <w:szCs w:val="20"/>
          <w:color w:val="auto"/>
        </w:rPr>
      </w:pPr>
      <w:r>
        <w:rPr>
          <w:rFonts w:ascii="Arial" w:cs="Arial" w:eastAsia="Arial" w:hAnsi="Arial"/>
          <w:sz w:val="18"/>
          <w:szCs w:val="18"/>
          <w:color w:val="auto"/>
        </w:rPr>
        <w:t>under CERCLA as an owner or operator of facilities at which hazardous substances have been disposed and as a generator or transporter of hazardous substances disposed of at other locations.</w:t>
      </w:r>
    </w:p>
    <w:p>
      <w:pPr>
        <w:spacing w:after="0" w:line="51" w:lineRule="exact"/>
        <w:rPr>
          <w:sz w:val="20"/>
          <w:szCs w:val="20"/>
          <w:color w:val="auto"/>
        </w:rPr>
      </w:pPr>
    </w:p>
    <w:p>
      <w:pPr>
        <w:ind w:left="700" w:hanging="246"/>
        <w:spacing w:after="0" w:line="289" w:lineRule="auto"/>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Federal Water Pollution Control Act of 1972, as amended, known as the Clean Water Act, regulates the discharge of pollutants into streams, rivers, groundwater, or other surface waters from a variety of sources, including solid and hazardous waste disposal sites. If run-off from our operations may be discharged into surface waters, the Clean Water Act requires us to apply for and obtain discharge permits, conduct sampling and monitoring, and, under certain circumstances, reduce the quantity of pollutants in those discharges. In 1990, the EPA issued additional standards for management of storm water runoff that require landfills and other waste-handling facilities to obtain storm water discharge permits. In addition, if a landfill or other facility discharges wastewater through a sewage system to a publicly-owned treatment works, the facility must comply with discharge limits imposed by the treatment works. Also, before the development or expansion of a landfill can alter or affect “wetlands,” a permit may have to be obtained providing for mitigation or replacement wetlands. The Clean Water Act provides for civil, criminal and administrative penalties for violations of its provisions.</w:t>
      </w:r>
    </w:p>
    <w:p>
      <w:pPr>
        <w:spacing w:after="0" w:line="37" w:lineRule="exact"/>
        <w:rPr>
          <w:rFonts w:ascii="Arial" w:cs="Arial" w:eastAsia="Arial" w:hAnsi="Arial"/>
          <w:sz w:val="16"/>
          <w:szCs w:val="16"/>
          <w:color w:val="auto"/>
        </w:rPr>
      </w:pPr>
    </w:p>
    <w:p>
      <w:pPr>
        <w:ind w:left="700" w:right="80" w:hanging="246"/>
        <w:spacing w:after="0" w:line="286" w:lineRule="auto"/>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Clean Air Act of 1970, as amended, provides for increased federal, state and local regulation of the emission of air pollutants. Certain of our operations are subject to the requirements of the Clean Air Act, including large municipal solid waste landfills and municipal waste-to-energy facilities. In 1996 the EPA issued new source performance standards and emission guidelines controlling landfill gases from new and existing large landfills. In January 2003, the EPA issued Maximum Achievable Control Technology (“MACT”) standards for municipal solid waste landfills subject to the new source performance standards. These regulations impose limits on air emissions from large municipal solid waste landfills, subject most of our large municipal solid waste landfills to certain operating permit requirements under Title V of the Clean Air Act and, in many instances, require installation of landfill gas collection and control systems to control emissions or to treat and utilize landfill gas on- or off-site. The EPA entered into a settlement agreement with the Environmental Defense Fund to evaluate the 1996 new source performance standards and emission guidelines for new and existing landfills as required by the Clean Air Act every eight years and revise them if deemed necessary. The EPA is scheduled to issue a proposed rule in February 2014 and finalize the rule in December 2014. Should the EPA adopt more stringent requirements, additional landfills may become subject to the rule and related capital expenditures and operating costs may increase. However, we do not believe that the regulatory changes would have a material adverse impact on our business as a whole.</w:t>
      </w:r>
    </w:p>
    <w:p>
      <w:pPr>
        <w:spacing w:after="0" w:line="43" w:lineRule="exact"/>
        <w:rPr>
          <w:rFonts w:ascii="Arial" w:cs="Arial" w:eastAsia="Arial" w:hAnsi="Arial"/>
          <w:sz w:val="16"/>
          <w:szCs w:val="16"/>
          <w:color w:val="auto"/>
        </w:rPr>
      </w:pPr>
    </w:p>
    <w:p>
      <w:pPr>
        <w:ind w:left="700" w:right="80"/>
        <w:spacing w:after="0" w:line="254" w:lineRule="auto"/>
        <w:rPr>
          <w:rFonts w:ascii="Arial" w:cs="Arial" w:eastAsia="Arial" w:hAnsi="Arial"/>
          <w:sz w:val="16"/>
          <w:szCs w:val="16"/>
          <w:color w:val="auto"/>
        </w:rPr>
      </w:pPr>
      <w:r>
        <w:rPr>
          <w:rFonts w:ascii="Arial" w:cs="Arial" w:eastAsia="Arial" w:hAnsi="Arial"/>
          <w:sz w:val="18"/>
          <w:szCs w:val="18"/>
          <w:color w:val="auto"/>
        </w:rPr>
        <w:t>The EPA has also issued new source performance standards and emission guidelines for large and small municipal waste-to-energy facilities, which include stringent emission limits for various pollutants based on Maximum Achievable Control Technology standards. These sources are also subject to operating permit requirements under Title V of the Clean Air Act. The Clean Air Act requires the EPA to review and revise the MACT standards applicable to municipal waste-to-energy facilities every five years. The EPA has not initiated or announced a schedule for the required review of the standards for large waste-to-energy facilities, so we are not yet able to evaluate potential operating changes or costs associated with possible regulatory revisions.</w:t>
      </w:r>
    </w:p>
    <w:p>
      <w:pPr>
        <w:spacing w:after="0" w:line="63" w:lineRule="exact"/>
        <w:rPr>
          <w:rFonts w:ascii="Arial" w:cs="Arial" w:eastAsia="Arial" w:hAnsi="Arial"/>
          <w:sz w:val="16"/>
          <w:szCs w:val="16"/>
          <w:color w:val="auto"/>
        </w:rPr>
      </w:pPr>
    </w:p>
    <w:p>
      <w:pPr>
        <w:ind w:left="700" w:right="380"/>
        <w:spacing w:after="0" w:line="306" w:lineRule="auto"/>
        <w:rPr>
          <w:rFonts w:ascii="Arial" w:cs="Arial" w:eastAsia="Arial" w:hAnsi="Arial"/>
          <w:sz w:val="16"/>
          <w:szCs w:val="16"/>
          <w:color w:val="auto"/>
        </w:rPr>
      </w:pPr>
      <w:r>
        <w:rPr>
          <w:rFonts w:ascii="Arial" w:cs="Arial" w:eastAsia="Arial" w:hAnsi="Arial"/>
          <w:sz w:val="16"/>
          <w:szCs w:val="16"/>
          <w:color w:val="auto"/>
        </w:rPr>
        <w:t>Additionally, standards have been imposed on manufacturers of transportation vehicles (including waste collection vehicles). The EPA continues to evaluate and develop regulations to increase fuel economy standards and reduce vehicle emissions; such regulations could increase the costs of operating our fleet, but we do not believe any such regulations would have a material adverse impact on our business as a whole.</w:t>
      </w:r>
    </w:p>
    <w:p>
      <w:pPr>
        <w:spacing w:after="0" w:line="25" w:lineRule="exact"/>
        <w:rPr>
          <w:rFonts w:ascii="Arial" w:cs="Arial" w:eastAsia="Arial" w:hAnsi="Arial"/>
          <w:sz w:val="16"/>
          <w:szCs w:val="16"/>
          <w:color w:val="auto"/>
        </w:rPr>
      </w:pPr>
    </w:p>
    <w:p>
      <w:pPr>
        <w:ind w:left="700" w:right="240" w:hanging="246"/>
        <w:spacing w:after="0" w:line="318" w:lineRule="auto"/>
        <w:tabs>
          <w:tab w:leader="none" w:pos="70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Occupational Safety and Health Act of 1970, as amended, (“OSHA”) establishes certain employer responsibilities, including maintenance of a workplace free of recognized hazards likely to cause death or serious injury, compliance with standards promulgated by the Occupational Safety and Health Administration, and various reporting and record keeping obligations as well as disclosure and procedural requirements. Various standards for notices of hazards, safety in excavation and demolition work and the handling of asbestos, may apply to our operations. The Department of Transportation and OSHA, along with other federal agencies, have jurisdiction over certain aspects of hazardous materials and hazardous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680"/>
        <w:spacing w:after="0" w:line="268" w:lineRule="auto"/>
        <w:rPr>
          <w:sz w:val="20"/>
          <w:szCs w:val="20"/>
          <w:color w:val="auto"/>
        </w:rPr>
      </w:pPr>
      <w:r>
        <w:rPr>
          <w:rFonts w:ascii="Arial" w:cs="Arial" w:eastAsia="Arial" w:hAnsi="Arial"/>
          <w:sz w:val="18"/>
          <w:szCs w:val="18"/>
          <w:color w:val="auto"/>
        </w:rPr>
        <w:t>waste, including safety, movement and disposal. Various state and local agencies with jurisdiction over disposal of hazardous waste may seek to regulate movement of hazardous materials in areas not otherwise preempted by federal law.</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also actively monitoring the following recent developments in United States federal regulations affecting our business:</w:t>
      </w:r>
    </w:p>
    <w:p>
      <w:pPr>
        <w:spacing w:after="0" w:line="90" w:lineRule="exact"/>
        <w:rPr>
          <w:sz w:val="20"/>
          <w:szCs w:val="20"/>
          <w:color w:val="auto"/>
        </w:rPr>
      </w:pPr>
    </w:p>
    <w:p>
      <w:pPr>
        <w:ind w:left="700" w:right="20" w:hanging="246"/>
        <w:spacing w:after="0" w:line="284" w:lineRule="auto"/>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2010, the EPA issued the Prevention of Significant Deterioration (“PSD”) and Title V Greenhouse Gas (“GHG”) Tailoring Rule, which expanded the EPA’s federal air permitting authority to include the six GHGs, including methane and carbon dioxide. The rule sets new thresholds for GHG emissions that define when Clean Air Act permits are required. The requirements of these rules have not significantly affected our operations or cash flows, due to the tailored thresholds and exclusions of certain emissions from regulation. Air permits for new and modified large municipal solid waste landfills, waste-to-energy facilities and landfill gas-to-energy facilities could be affected. However, the degree of impact is dependent upon the EPA’s final determination on permitting of biogenic carbon dioxide emissions, as well as the EPA’s or implementing states’ determinations on what may constitute “Best Available Control Technology” for new projects exceeding certain thresholds. In addition, recent final and proposed rules to increase the stringency of certain National Ambient Air Quality Standards and related PSD increment/significance thresholds could affect the cost, timeliness and availability of air permits for new and modified large municipal solid waste landfills, waste-to-energy facilities and landfill gas-to-energy facilities. In general, controlling emissions involves installing collection wells in a landfill and routing the gas to a suitable energy recovery system or combustion device. At December 31, 2013, we had 137 projects at solid waste landfills where landfill gas was captured and utilized for its renewable energy value rather than flared. Efforts to curtail the emission of GHGs and to ameliorate the effect of climate change may require our landfills to deploy more stringent emission controls, with associated capital or operating costs; however, we do not believe that such regulations will have a material adverse impact on our business as a whole. See Item 1A. Risk Factors — “The adoption of climate change legislation or regulations restricting emissions of “greenhouse gases” could increase our costs to operate.” We are striving to anticipate the future needs of our customers by investing in and developing ever-more-advanced recycling and reuse technologies. Potential climate change and GHG regulatory initiatives have influenced our business strategy to provide low-carbon services to our customers, and we increasingly view our ability to offer lower carbon services as a key component of our business growth. If the U.S. were to impose a carbon tax or other form of GHG regulation increasing demand for low-carbon service offerings in the future, the services we are developing will be increasingly valuable.</w:t>
      </w:r>
    </w:p>
    <w:p>
      <w:pPr>
        <w:spacing w:after="0" w:line="50" w:lineRule="exact"/>
        <w:rPr>
          <w:rFonts w:ascii="Arial" w:cs="Arial" w:eastAsia="Arial" w:hAnsi="Arial"/>
          <w:sz w:val="16"/>
          <w:szCs w:val="16"/>
          <w:color w:val="auto"/>
        </w:rPr>
      </w:pPr>
    </w:p>
    <w:p>
      <w:pPr>
        <w:ind w:left="700" w:right="20" w:hanging="246"/>
        <w:spacing w:after="0" w:line="287" w:lineRule="auto"/>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2011, the EPA published the Non-Hazardous Secondary Materials (“NHSM”) Rule, which provides the standards and procedures for identifying whether NHSM are solid waste under RCRA when used as fuels or ingredients in combustion units. The EPA also published new source performance standards and emission guidelines for commercial and industrial solid waste incineration units, and Maximum Achievable Control Technology Standards for commercial and industrial boilers. The EPA published clarifications and amendments to these rules in 2013, and there is litigation surrounding the rules. Although the recently published amendments are generally favorable to our industry, some of the potential regulatory interpretations are undergoing review and other regulatory outcomes may be dependent on case-by-case administrative determinations. These could have a significant impact on some of our projects in which we are seeking to convert biomass or other secondary materials into products, fuels or energy. Therefore, it is not possible to quantify the financial impact of these rulemakings or pending administrative determinations at the present time. However, we believe the rules and administrative determinations will not have a material adverse impact on our business as a whole and are more likely to facilitate our efforts to reuse or recover energy value from secondary material streams.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State, Provincial and Local Regulations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There are also various state or provincial and local regulations that affect our operations. Each state and province in which we operate has its own laws and regulations governing solid waste disposal, water and air pollution, and, in most cases, releases and cleanup of hazardous substances and liabilities for such matters. States and provinces have also adopted regulations governing the design, operation, maintenance and closure of landfills and transfer stations. Some counties, municipalities and other local governments have adopted similar laws and regulations. Our facilities and operations are likely to be subject to these types of requirements.</w:t>
      </w:r>
    </w:p>
    <w:p>
      <w:pPr>
        <w:spacing w:after="0" w:line="6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landfill and waste-to-energy operations are affected by the increasing preference for alternatives to landfill and waste-to-energy disposal. Several state and local governments mandate recycling and waste reduction at the source and prohibit the disposal of certain types of waste, such as yard and food waste, at landfills or waste-to-energy facilities. Legislative and regulatory measures to mandate or encourage waste reduction at the source and waste recycling also have been or are under consideration by the U.S. Congress and the EPA.</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Various states have enacted, or are considering enacting, laws that restrict the disposal within the state of solid waste generated outside the state. While laws that overtly discriminate against out-of-state waste have been found to be unconstitutional, some laws that are less overtly discriminatory have been upheld in court. From time to time, the United States Congress has considered legislation authorizing states to adopt regulations, restrictions, or taxes on the importation of out-of-state or out-of-jurisdiction waste. Additionally, several state and local governments have enacted “flow control” regulations, which attempt to require that all waste generated within the state or local jurisdiction be deposited at specific sites. In 1994, the United States Supreme Court ruled that a flow control ordinance that gave preference to a local facility that was privately owned was unconstitutional, but in 2007, the Court ruled that an ordinance directing waste to a facility owned by the local government was constitutional. The United States Congress’ adoption of legislation allowing restrictions on interstate transportation of out-of-state or out-of-jurisdiction waste or certain types of flow control, or courts’ interpretations of interstate waste and flow control legislation, could adversely affect our solid and hazardous waste management services.</w:t>
      </w:r>
    </w:p>
    <w:p>
      <w:pPr>
        <w:spacing w:after="0" w:line="3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Additionally, regulations establishing extended producer responsibility (“EPR”) are being considered or implemented in many places around the world, including in Canada and the U.S. EPR regulations are designed to place either partial or total responsibility on producers to fund the post-use life cycle of the products they create. Along with the funding responsibility, producers may be required to take over management of local recycling programs by taking back their products from end users or managing the collection operations and recycling processing infrastructure. There is no federal law establishing EPR in the U.S. or Canada; however, state, provincial and local governments could, and in some cases have, taken steps to implement EPR regulations. If wide-ranging EPR regulations were adopted, they could have a fundamental impact on the waste, recycling and other streams we manage and how we operate our business, including contract terms and pricing.</w:t>
      </w:r>
    </w:p>
    <w:p>
      <w:pPr>
        <w:spacing w:after="0" w:line="3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Many states, provinces and local jurisdictions have enacted “fitness” laws that allow the agencies that have jurisdiction over waste services contracts or permits to deny or revoke these contracts or permits based on the applicant’s or permit holder’s compliance history. Some states, provinces and local jurisdictions go further and consider the compliance history of the parent, subsidiaries or affiliated companies, in addition to the applicant or permit holder. These laws authorize the agencies to make determinations of an applicant’s or permit holder’s fitness to be awarded a contract to operate, and to deny or revoke a contract or permit because of unfitness, unless there is a showing that the applicant or permit holder has been rehabilitated through the adoption of various operating policies and procedures put in place to assure future compliance with applicable laws and regulations.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Foreign Export Regulation</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Enforcement or implementation of foreign regulations can affect our ability to export products. In 2013, the Chinese government began to strictly enforce regulations that establish limits on moisture and non-conforming materials that may be contained in imported recycled paper and plastics. The higher quality expectations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resulting from initiatives such as “Operation Green Fence” can drive up operating costs in the recycling industry, particularly for single stream MRFs. Single stream MRFs process a wide range of materials and tend to receive a higher percentage of the material being scrutinized by the Chinese government, which resulted in increased processing and residual disposal costs. Despite these increased costs, we believe we are well positioned among our potential competitors to respond to and comply with such regulations. We are revising our service agreements to address these increased costs and are working with stakeholders to educate the general public on the need to recycle properly.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Hydraulic Fracturing Regulation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Energy Service line of business provides specialized environmental management and disposal services for oil and gas exploration and production operations. Recently, there has been increased attention from the public, some states and the EPA on the alleged potential for hydraulic fracturing to impact drinking water supplies. Increased regulation of hydraulic fracturing and new rules regarding the treatment and disposal of wastes associated with exploration and production operations could increase our costs to provide oilfield services and reduce our margins and revenue from such services. On the other hand, we believe the size, capital structure, regulatory sophistication and established reliability of our Company provide us with an advantage in providing services that must comply with any complex regulatory regime that may govern providing oilfield waste services.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Emissions from Natural Gas Fueling and Infrastructure</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currently operate the largest compressed natural gas (“CNG”) fleet in the waste industry, and we plan to continue to transition a significant portion of our collection fleet from diesel fuel to CNG. We have constructed and operate 58 natural gas fueling stations, 27 of which also serve the public or pre-approved third parties, in 24 states and two Canadian provinces. Concerns have been raised about the potential for emissions from the fueling stations and infrastructure that serve natural gas-fueled vehicles. We have partnered with the environmental organization Environmental Defense Fund, as well as other heavy-duty equipment users and experts, on an emissions study to be made available to policy makers. We anticipate that this comprehensive study of emissions from our heavy-duty fleet may ultimately result in regulations that will affect equipment manufacturers and will define operating procedures across the industry. Additional regulation of, or restrictions on, CNG fueling infrastructure or reductions in associated tax incentives could increase our operating costs. We are not yet able to evaluate potential operating changes or costs associated with such regulations, but we do not anticipate that such regulations would have a material adverse impact on our business or our current plan to continue transitioning to CNG vehicles.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Federal, State and Local Climate Change Initiatives</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light of regulatory and business developments related to concerns about climate change, we have identified a strategic business opportunity to provide our public and private sector customers with sustainable solutions to reduce their GHG emissions. As part of our on-going marketing evaluations, we assess customer demand for and opportunities to develop waste services offering verifiable carbon reductions, such as waste reduction, increased recycling, and conversion of landfill gas and discarded materials into electricity and fuel. We use carbon life cycle tools in evaluating potential new services and in establishing the value proposition that makes us attractive as an environmental service provider. We are active in support of public policies that encourage development and use of lower carbon energy and waste services that lower users’ carbon footprints. We understand the importance of broad stakeholder engagement in these endeavors, and actively seek opportunities for public policy discussion on more sustainable materials management practices. In addition, we work with stakeholders at the federal and state level in support of legislation that encourages production and use of renewable, low-carbon fuels and electricity.</w:t>
      </w:r>
    </w:p>
    <w:p>
      <w:pPr>
        <w:spacing w:after="0" w:line="3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We continue to assess the physical risks to company operations from the effects of severe weather events and use risk mitigation planning to increase our resiliency in the face of such events. We are investing in infrastructure to withstand more severe storm events, which may afford us a competitive advantage and reinforce our reputation as a reliable service provider through continued service in the aftermath of such events.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similar nature and generally include statements containing:</w:t>
      </w:r>
    </w:p>
    <w:p>
      <w:pPr>
        <w:spacing w:after="0" w:line="62" w:lineRule="exact"/>
        <w:rPr>
          <w:sz w:val="20"/>
          <w:szCs w:val="20"/>
          <w:color w:val="auto"/>
        </w:rPr>
      </w:pPr>
    </w:p>
    <w:p>
      <w:pPr>
        <w:ind w:left="700" w:hanging="24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projections about accounting and finances;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plans and objectives for the future;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projections or estimates about assumptions relating to our performance; or</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opinions, views or beliefs about the effects of current or future events, circumstances or performance.</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You should view these statements with caution. These statements are not guarantees of future performance, circumstances or events. They are based on facts and circumstances known to us as of the date the statements are made. All aspects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Consolidated Financial Statements and the notes thereto. Outlined below are some of the risks that we believe could affect our business and financial statements for 2014 and beyond and that could cause actual results to be materially different from those that may be set forth in forward-looking statements made by the Company.</w:t>
      </w:r>
    </w:p>
    <w:p>
      <w:pPr>
        <w:spacing w:after="0" w:line="118"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The waste industry is highly competitive, and if we cannot successfully compete in the marketplace, our business, financial condition and operating results may be materially adversely affected.</w:t>
      </w:r>
    </w:p>
    <w:p>
      <w:pPr>
        <w:spacing w:after="0" w:line="51"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We encounter intense competition from governmental, quasi-governmental and private sources in all aspects of our operations. In North America, the industry consists primarily of two national waste management companies and regional and local companies of varying sizes and financial resources, including companies that specialize in certain discrete areas of waste management, operators of alternative disposal facilities and companies that seek to use parts of the waste stream as feedstock for renewable energy and other by-products. Some of our regional competitors can be significant competitors in local markets and are pursuing aggressive regional growth strategies. We compete with these companies as well as with counties and municipalities that maintain their own waste collection and disposal operations. These counties and municipalities may have financial competitive advantages because tax revenues are available to them and tax-exempt financing is more readily available to them. Also, such governmental units may attempt to impose flow control or other restrictions that would give them a competitive advantage. In addition, some of our competitors may have lower financial expectations, allowing them to reduce their prices to expand sales volume or to win competitively-bid contracts, including large national accounts and exclusive franchise arrangements with municipalities. When this happens, we may lose customers and be unable to execute our pricing strategy, resulting in a negative impact to our revenue growth from yield on base business.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we fail to implement our business strategy, our financial performance and our growth could be materially and adversely affected.</w:t>
      </w:r>
    </w:p>
    <w:p>
      <w:pPr>
        <w:spacing w:after="0" w:line="113"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 xml:space="preserve">Our future financial performance and success are dependent in large part upon our ability to implement our business strategy successfully. Implementation of our strategy will require effective management of our operational, financial and human resources and will place significant demands on those resources. See Item 7. Management’s Discussion and Analysis of Financial Condition and Results of Operations — </w:t>
      </w:r>
      <w:r>
        <w:rPr>
          <w:rFonts w:ascii="Arial" w:cs="Arial" w:eastAsia="Arial" w:hAnsi="Arial"/>
          <w:sz w:val="15"/>
          <w:szCs w:val="15"/>
          <w:i w:val="1"/>
          <w:iCs w:val="1"/>
          <w:color w:val="auto"/>
        </w:rPr>
        <w:t>Overview</w:t>
      </w:r>
      <w:r>
        <w:rPr>
          <w:rFonts w:ascii="Arial" w:cs="Arial" w:eastAsia="Arial" w:hAnsi="Arial"/>
          <w:sz w:val="15"/>
          <w:szCs w:val="15"/>
          <w:color w:val="auto"/>
        </w:rPr>
        <w:t xml:space="preserve"> for more information on our business strategy.</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risks involved in pursuing our strategy, including the following:</w:t>
      </w:r>
    </w:p>
    <w:p>
      <w:pPr>
        <w:spacing w:after="0" w:line="90" w:lineRule="exact"/>
        <w:rPr>
          <w:sz w:val="20"/>
          <w:szCs w:val="20"/>
          <w:color w:val="auto"/>
        </w:rPr>
      </w:pPr>
    </w:p>
    <w:p>
      <w:pPr>
        <w:ind w:left="700" w:hanging="246"/>
        <w:spacing w:after="0"/>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strategy may result in a significant change to our business, and our employees, customers or investors may not embrace and support our strategy.</w:t>
      </w:r>
    </w:p>
    <w:p>
      <w:pPr>
        <w:spacing w:after="0" w:line="113" w:lineRule="exact"/>
        <w:rPr>
          <w:rFonts w:ascii="Arial" w:cs="Arial" w:eastAsia="Arial" w:hAnsi="Arial"/>
          <w:sz w:val="16"/>
          <w:szCs w:val="16"/>
          <w:color w:val="auto"/>
        </w:rPr>
      </w:pPr>
    </w:p>
    <w:p>
      <w:pPr>
        <w:ind w:left="700" w:hanging="24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hire or retain the personnel necessary to manage our strategy effectively.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segmentation could result in fragmentation of our efforts, rather than improved customer relationships.</w:t>
      </w:r>
    </w:p>
    <w:p>
      <w:pPr>
        <w:spacing w:after="0" w:line="90" w:lineRule="exact"/>
        <w:rPr>
          <w:rFonts w:ascii="Arial" w:cs="Arial" w:eastAsia="Arial" w:hAnsi="Arial"/>
          <w:sz w:val="18"/>
          <w:szCs w:val="18"/>
          <w:color w:val="auto"/>
        </w:rPr>
      </w:pPr>
    </w:p>
    <w:p>
      <w:pPr>
        <w:ind w:left="700" w:right="80" w:hanging="246"/>
        <w:spacing w:after="0" w:line="332" w:lineRule="auto"/>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efforts to enhance our revenues, we have implemented price increases and environmental fees, and we have continued our fuel surcharge program to offset fuel costs. The loss of volumes as a result of price increases may negatively affect our cash flows or results of operations.</w:t>
      </w:r>
    </w:p>
    <w:p>
      <w:pPr>
        <w:spacing w:after="0" w:line="4" w:lineRule="exact"/>
        <w:rPr>
          <w:rFonts w:ascii="Arial" w:cs="Arial" w:eastAsia="Arial" w:hAnsi="Arial"/>
          <w:sz w:val="16"/>
          <w:szCs w:val="16"/>
          <w:color w:val="auto"/>
        </w:rPr>
      </w:pPr>
    </w:p>
    <w:p>
      <w:pPr>
        <w:ind w:left="700" w:hanging="24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unsuccessful in implementing improvements to operational efficiency and such efforts may not yield the intended result.</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restructuring may not achieve and/or maintain the goals and cost savings intended.</w:t>
      </w:r>
    </w:p>
    <w:p>
      <w:pPr>
        <w:spacing w:after="0" w:line="90" w:lineRule="exact"/>
        <w:rPr>
          <w:rFonts w:ascii="Arial" w:cs="Arial" w:eastAsia="Arial" w:hAnsi="Arial"/>
          <w:sz w:val="18"/>
          <w:szCs w:val="18"/>
          <w:color w:val="auto"/>
        </w:rPr>
      </w:pPr>
    </w:p>
    <w:p>
      <w:pPr>
        <w:ind w:left="700" w:right="300" w:hanging="246"/>
        <w:spacing w:after="0" w:line="332" w:lineRule="auto"/>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On-going rationalization of our asset portfolio following our restructuring may result in impairments to our assets. See Item 1A. Risk Factors — We may record material charges against earnings due to any number of events that could cause impairments to our assets.</w:t>
      </w:r>
    </w:p>
    <w:p>
      <w:pPr>
        <w:spacing w:after="0" w:line="4" w:lineRule="exact"/>
        <w:rPr>
          <w:rFonts w:ascii="Arial" w:cs="Arial" w:eastAsia="Arial" w:hAnsi="Arial"/>
          <w:sz w:val="16"/>
          <w:szCs w:val="16"/>
          <w:color w:val="auto"/>
        </w:rPr>
      </w:pPr>
    </w:p>
    <w:p>
      <w:pPr>
        <w:ind w:left="700" w:right="200" w:hanging="246"/>
        <w:spacing w:after="0" w:line="259"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make strategic acquisitions and to invest in technologies depends on our ability to identify desirable acquisition or investment targets, negotiate advantageous transactions despite competition for such opportunities, fund such acquisitions on favorable terms, and realize the benefits we expect from those transactions.</w:t>
      </w:r>
    </w:p>
    <w:p>
      <w:pPr>
        <w:spacing w:after="0" w:line="59" w:lineRule="exact"/>
        <w:rPr>
          <w:rFonts w:ascii="Arial" w:cs="Arial" w:eastAsia="Arial" w:hAnsi="Arial"/>
          <w:sz w:val="18"/>
          <w:szCs w:val="18"/>
          <w:color w:val="auto"/>
        </w:rPr>
      </w:pPr>
    </w:p>
    <w:p>
      <w:pPr>
        <w:jc w:val="both"/>
        <w:ind w:left="700" w:hanging="246"/>
        <w:spacing w:after="0" w:line="259"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Acquisitions, investments and/or new service offerings may not increase our earnings in the timeframe anticipated, or at all, due to difficulties operating in new markets or providing new service offerings, failure of emerging technologies to perform as expected, failure to operate within budget, integration issues, or regulatory issues, among others.</w:t>
      </w:r>
    </w:p>
    <w:p>
      <w:pPr>
        <w:spacing w:after="0" w:line="59" w:lineRule="exact"/>
        <w:rPr>
          <w:rFonts w:ascii="Arial" w:cs="Arial" w:eastAsia="Arial" w:hAnsi="Arial"/>
          <w:sz w:val="18"/>
          <w:szCs w:val="18"/>
          <w:color w:val="auto"/>
        </w:rPr>
      </w:pPr>
    </w:p>
    <w:p>
      <w:pPr>
        <w:ind w:left="700" w:right="560" w:hanging="246"/>
        <w:spacing w:after="0" w:line="268"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Integration of acquisitions, investments and/or new services offerings could increase our exposure to the risk of inadvertent noncompliance with applicable laws and regulations.</w:t>
      </w:r>
    </w:p>
    <w:p>
      <w:pPr>
        <w:spacing w:after="0" w:line="50" w:lineRule="exact"/>
        <w:rPr>
          <w:rFonts w:ascii="Arial" w:cs="Arial" w:eastAsia="Arial" w:hAnsi="Arial"/>
          <w:sz w:val="18"/>
          <w:szCs w:val="18"/>
          <w:color w:val="auto"/>
        </w:rPr>
      </w:pPr>
    </w:p>
    <w:p>
      <w:pPr>
        <w:ind w:left="700" w:right="340" w:hanging="246"/>
        <w:spacing w:after="0" w:line="332" w:lineRule="auto"/>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Execution of our strategy may cause us to incur substantial research and development costs, make substantial investments in emerging technologies and/or incur additional indebtedness, which may divert capital away from our traditional business operations.</w:t>
      </w:r>
    </w:p>
    <w:p>
      <w:pPr>
        <w:spacing w:after="0" w:line="4" w:lineRule="exact"/>
        <w:rPr>
          <w:rFonts w:ascii="Arial" w:cs="Arial" w:eastAsia="Arial" w:hAnsi="Arial"/>
          <w:sz w:val="16"/>
          <w:szCs w:val="16"/>
          <w:color w:val="auto"/>
        </w:rPr>
      </w:pPr>
    </w:p>
    <w:p>
      <w:pPr>
        <w:ind w:left="700" w:right="240" w:hanging="246"/>
        <w:spacing w:after="0" w:line="259"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continue to seek to divest underperforming and non-strategic assets if we cannot improve their profitability. We may not be able to successfully negotiate the divestiture of underperforming and non-strategic operations, which could result in asset impairments or the continued operation of low-margin businesses.</w:t>
      </w:r>
    </w:p>
    <w:p>
      <w:pPr>
        <w:spacing w:after="0" w:line="59"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addition to the risks set forth above, implementation of our business strategy could also be affected by a number of factors beyond our control, such as increased competition, legal developments, government regulation, general economic conditions, increased operating costs or expenses and changes in industry trends. We may decide to alter or discontinue certain aspects of our business strategy at any time. If we are not able to implement our business strategy successfully, our long-term growth and profitability may be adversely affected. Even if we are able to implement some or all of the initiatives of our business strategy successfully, our operating results may not improve to the extent we anticipate, or at all.</w:t>
      </w:r>
    </w:p>
    <w:p>
      <w:pPr>
        <w:spacing w:after="0" w:line="116" w:lineRule="exact"/>
        <w:rPr>
          <w:sz w:val="20"/>
          <w:szCs w:val="20"/>
          <w:color w:val="auto"/>
        </w:rPr>
      </w:pPr>
    </w:p>
    <w:p>
      <w:pPr>
        <w:ind w:left="240" w:right="360"/>
        <w:spacing w:after="0" w:line="268" w:lineRule="auto"/>
        <w:rPr>
          <w:sz w:val="20"/>
          <w:szCs w:val="20"/>
          <w:color w:val="auto"/>
        </w:rPr>
      </w:pPr>
      <w:r>
        <w:rPr>
          <w:rFonts w:ascii="Arial" w:cs="Arial" w:eastAsia="Arial" w:hAnsi="Arial"/>
          <w:sz w:val="18"/>
          <w:szCs w:val="18"/>
          <w:b w:val="1"/>
          <w:bCs w:val="1"/>
          <w:i w:val="1"/>
          <w:iCs w:val="1"/>
          <w:color w:val="auto"/>
        </w:rPr>
        <w:t>Compliance with existing or future regulations and/or enforcement of such regulations may restrict or change our operations, increase our operating costs or require us to make additional capital expenditures.</w:t>
      </w:r>
    </w:p>
    <w:p>
      <w:pPr>
        <w:spacing w:after="0" w:line="51"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Stringent government regulations at the federal, state, provincial, and local level in the United States and Canada have a substantial impact on our business, and compliance with such regulations is costly. A large number of complex laws, rules, orders and interpretations govern environmental protection, health, safety, land use, zoning, transportation and related matters. In recent years, we have perceived an increase in both the amount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of government regulation and the number of enforcement actions being brought by regulatory entities against operations in the waste services industry. We expect this heightened governmental focus on regulation and enforcement to continue. Among other things, governmental regulations and enforcement actions may restrict our operations and adversely affect our financial condition, results of operations and cash flows by imposing conditions such as:</w:t>
      </w:r>
    </w:p>
    <w:p>
      <w:pPr>
        <w:spacing w:after="0" w:line="26" w:lineRule="exact"/>
        <w:rPr>
          <w:sz w:val="20"/>
          <w:szCs w:val="20"/>
          <w:color w:val="auto"/>
        </w:rPr>
      </w:pPr>
    </w:p>
    <w:p>
      <w:pPr>
        <w:ind w:left="700" w:hanging="24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on siting and constructing new waste disposal, transfer, recycling or processing facilities or on expanding existing facilities;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regulations or levies on collection and disposal prices, rates and volumes;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waste or certain categories of waste;</w:t>
      </w:r>
    </w:p>
    <w:p>
      <w:pPr>
        <w:spacing w:after="0" w:line="90" w:lineRule="exact"/>
        <w:rPr>
          <w:rFonts w:ascii="Arial" w:cs="Arial" w:eastAsia="Arial" w:hAnsi="Arial"/>
          <w:sz w:val="18"/>
          <w:szCs w:val="18"/>
          <w:color w:val="auto"/>
        </w:rPr>
      </w:pPr>
    </w:p>
    <w:p>
      <w:pPr>
        <w:ind w:left="700" w:right="240" w:hanging="246"/>
        <w:spacing w:after="0" w:line="268"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mandates regarding the management of solid waste, including requirements to recycle, divert or otherwise process certain waste, recycling and other streams; or</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or restrictions on the recycling, processing or transformation of waste, recycling and other streams.</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Regulations affecting the siting, design and closure of landfills could require us to undertake investigatory or remedial activities, curtail operations or close landfills temporarily or permanently. Future changes in these regulations may require us to modify, supplement or replace equipment or facilities. The costs of complying with these regulations could be substantial.</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order to develop, expand or operate a landfill or other waste management facility, we must have various facility permits and other governmental approvals, including those relating to zoning, environmental protection and land use. The permits and approvals are often difficult, time consuming and costly to obtain and could contain conditions that limit our operations.</w:t>
      </w:r>
    </w:p>
    <w:p>
      <w:pPr>
        <w:spacing w:after="0" w:line="14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We also have significant financial obligations relating to final capping, closure, post-closure and environmental remediation at our existing landfills. We establish accruals for these estimated costs, but we could underestimate such accruals. Environmental regulatory changes could accelerate or increase capping, closure, post-closure and remediation costs, requiring our expenditures to materially exceed our current accruals.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Various states have enacted, or are considering enacting, laws that restrict the disposal within the state of solid waste generated outside the state. From time to time, the United States Congress has considered legislation authorizing states to adopt regulations, restrictions, or taxes on the importation of out-of-state or out-of-jurisdiction waste. Additionally, several state and local governments have enacted “flow control” regulations, which attempt to require that all waste generated within the state or local jurisdiction be deposited at specific sites. The United States Congress’ adoption of legislation allowing restrictions on interstate transportation of out-of-state or out-of-jurisdiction waste certain types of flow control, or courts’ interpretations of interstate waste and flow control legislation, could adversely affect our solid and hazardous waste management services.</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Additionally, regulations establishing extended producer responsibility, or EPR, are being considered or implemented in many places around the world, including in Canada and the U.S. EPR regulations are designed to place either partial or total responsibility on producers to fund the post-use life cycle of the products they create. Along with the funding responsibility, producers may be required to take over management of local recycling programs by taking back their products from end users or managing the collection operations and recycling processing infrastructure. There is no federal law establishing EPR in the U.S. or Canada; however, state, provincial and local governments could, and in some cases have, taken steps to implement EPR regulations. If wide-ranging EPR regulations were adopted, they could have a fundamental impact on the waste streams we manage and how we operate our business, including contract terms and pricing. A significant reduction in the waste, recycling and other streams we manage could have a material adverse effect on our financial condition, results of operations and cash flows.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Enforcement or implementation of foreign regulations can affect our ability to export products. In 2013, the Chinese government began to strictly enforce regulations that establish limits on moisture and non-conforming materials that may be contained in imported recycled paper and plastics. The higher quality expectations resulting from initiatives such as “Operation Green Fence” can drive up operating costs in the recycling industry, particularly for single stream MRFs. Single stream MRFs process a wide range of materials and tend to receive a higher percentage of the material being scrutinized by the Chinese government, which resulted in increased processing and residual disposal costs. If Operation Green Fence or other similar regulations increase our operating costs in the future, and we are not able to recapture those costs from our customers, such regulations could have a material adverse effect on our results of operations.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revenues, earnings and cash flows will fluctuate based on changes in commodity prices.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recycling operations process for sale certain recyclable materials, including fibers, aluminum and glass, all of which are subject to significant market price fluctuations. The majority of the recyclables that we process for sale are paper fibers, including old corrugated cardboard and old newsprint. The fluctuations in the market prices or demand for these commodities, particularly demand from Chinese paper mills, can affect our operating income and cash flows negatively, as we have experienced in 2012 and 2013, or positively, as we experienced in 2011. As we have increased the size of our recycling operations, we have also increased our exposure to commodity price fluctuations. The decline in market prices in 2013 and 2012 for commodities resulted in year-over-year decreases in revenue of $79 million and $428 million, respectively. In 2011, increases in the prices of recycling commodities resulted in a year-over-year increase in revenue of $216 million. Overall commodity prices decreased year-over-year 5% and 25% in 2013 and 2012, respectively, and prices increased year-over-year 18% in 2011. These prices may fluctuate substantially and without notice in the future. Additionally, our recycling operations offer rebates to suppliers. Therefore, even if we experience higher revenues based on increased market prices for commodities, the rebates we pay will also increase. In other circumstances, the rebates may be subject to a floor, such that as market prices decrease, any expected profit margins on materials subject to the rebate floor are reduced or eliminated.</w:t>
      </w:r>
    </w:p>
    <w:p>
      <w:pPr>
        <w:spacing w:after="0" w:line="12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There are also significant price fluctuations in the price of methane gas, electricity and other energy-related products that are marketed and sold by our landfill gas recovery, waste-to-energy and independent power production plant operations that can significantly impact our revenue from yield provided by such businesses. In most of the markets in which we operate, electricity prices correlate with natural gas prices. During the years ended December 31, 2013, 2012 and 2011, 56%, 56% and 54%, respectively, of the electricity revenue at our waste-to-energy facilities was subject to current market rates. Our waste-to-energy facilities’ exposure to market price volatility will continue to increase as additional long-term contracts expire. We may not be able to enter into renewal contracts on comparable or favorable terms, or at all. If we are unable to successfully negotiate long-term contracts, or if market prices are at lower levels for sustained periods, our revenues, earnings and cash flows could be adversely affected.</w:t>
      </w:r>
    </w:p>
    <w:p>
      <w:pPr>
        <w:spacing w:after="0" w:line="118" w:lineRule="exact"/>
        <w:rPr>
          <w:sz w:val="20"/>
          <w:szCs w:val="20"/>
          <w:color w:val="auto"/>
        </w:rPr>
      </w:pPr>
    </w:p>
    <w:p>
      <w:pPr>
        <w:ind w:left="240" w:right="240"/>
        <w:spacing w:after="0" w:line="268" w:lineRule="auto"/>
        <w:rPr>
          <w:sz w:val="20"/>
          <w:szCs w:val="20"/>
          <w:color w:val="auto"/>
        </w:rPr>
      </w:pPr>
      <w:r>
        <w:rPr>
          <w:rFonts w:ascii="Arial" w:cs="Arial" w:eastAsia="Arial" w:hAnsi="Arial"/>
          <w:sz w:val="18"/>
          <w:szCs w:val="18"/>
          <w:b w:val="1"/>
          <w:bCs w:val="1"/>
          <w:i w:val="1"/>
          <w:iCs w:val="1"/>
          <w:color w:val="auto"/>
        </w:rPr>
        <w:t>Increasing customer preference for alternatives to landfill disposal and waste-to-energy facilities could reduce our ability to operate at full capacity and cause our revenues and operating results to decline.</w:t>
      </w:r>
    </w:p>
    <w:p>
      <w:pPr>
        <w:spacing w:after="0" w:line="5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customers are increasingly diverting waste to alternatives to landfill and waste-to-energy disposal, such as recycling and composting, while also working to reduce the amount of waste they generate. In addition, several state and local governments mandate recycling and waste reduction at the source and prohibit the disposal of certain types of waste, such as yard and food waste, at landfills or waste-to-energy facilities. Where such organic waste is not banned from the landfill or waste-to-energy facility, some large customers such as grocery stores and restaurants are choosing to divert their organic waste from landfills. Zero-waste goals (sending no waste to the landfill) have been set by many of North America’s largest companies. Although such mandates and initiatives help to protect our environment, these developments reduce the volume of waste going to landfills and waste-to-energy facilities in certain areas, which may affect our ability to operate our landfills and waste-to-energy facilities at full capacity, as well as affecting the prices that we can charge for landfill disposal and waste-to-energy services. Our landfills and our waste-to-energy facilities currently provide and have historically provided our highest income from operations margins. If we are not successful in expanding our service offerings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and growing lines of businesses to service waste streams that do not go to landfills or waste-to-energy facilities and to provide services for customers that wish to reduce waste entirely, then our revenues and operating results will decline. Additionally, despite the development of new service offerings and lines of business, it is reasonably possible that our revenues and our income from operations margins could be negatively affected due to disposal alternatives.</w:t>
      </w:r>
    </w:p>
    <w:p>
      <w:pPr>
        <w:spacing w:after="0" w:line="107" w:lineRule="exact"/>
        <w:rPr>
          <w:sz w:val="20"/>
          <w:szCs w:val="20"/>
          <w:color w:val="auto"/>
        </w:rPr>
      </w:pPr>
    </w:p>
    <w:p>
      <w:pPr>
        <w:ind w:left="240" w:right="600"/>
        <w:spacing w:after="0" w:line="332" w:lineRule="auto"/>
        <w:rPr>
          <w:sz w:val="20"/>
          <w:szCs w:val="20"/>
          <w:color w:val="auto"/>
        </w:rPr>
      </w:pPr>
      <w:r>
        <w:rPr>
          <w:rFonts w:ascii="Arial" w:cs="Arial" w:eastAsia="Arial" w:hAnsi="Arial"/>
          <w:sz w:val="16"/>
          <w:szCs w:val="16"/>
          <w:b w:val="1"/>
          <w:bCs w:val="1"/>
          <w:i w:val="1"/>
          <w:iCs w:val="1"/>
          <w:color w:val="auto"/>
        </w:rPr>
        <w:t>Developments in technology could trigger a fundamental change in the waste management industry, as waste streams are increasingly viewed as a resource, which may adversely impact volumes at our landfills and waste-to-energy facilities and our profitability.</w:t>
      </w:r>
    </w:p>
    <w:p>
      <w:pPr>
        <w:spacing w:after="0" w:line="4"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Our Company and others have recognized the value of the traditional waste stream as a potential resource. Research and development activities are on-going to provide disposal alternatives that maximize the value of waste, including using waste as a source for renewable energy and other valuable by-products. We and many other companies are investing in these technologies. It is possible that such investments and technological advancements may reduce the cost of waste disposal or power production to a level below our costs and may reduce the demand for landfill space and waste-to-energy facilities. As a result, our revenues and margins could be adversely affected due to advancements in disposal alternatives.</w:t>
      </w:r>
    </w:p>
    <w:p>
      <w:pPr>
        <w:spacing w:after="0" w:line="116" w:lineRule="exact"/>
        <w:rPr>
          <w:sz w:val="20"/>
          <w:szCs w:val="20"/>
          <w:color w:val="auto"/>
        </w:rPr>
      </w:pPr>
    </w:p>
    <w:p>
      <w:pPr>
        <w:ind w:left="240" w:right="940"/>
        <w:spacing w:after="0" w:line="268" w:lineRule="auto"/>
        <w:rPr>
          <w:sz w:val="20"/>
          <w:szCs w:val="20"/>
          <w:color w:val="auto"/>
        </w:rPr>
      </w:pPr>
      <w:r>
        <w:rPr>
          <w:rFonts w:ascii="Arial" w:cs="Arial" w:eastAsia="Arial" w:hAnsi="Arial"/>
          <w:sz w:val="18"/>
          <w:szCs w:val="18"/>
          <w:b w:val="1"/>
          <w:bCs w:val="1"/>
          <w:i w:val="1"/>
          <w:iCs w:val="1"/>
          <w:color w:val="auto"/>
        </w:rPr>
        <w:t>If we are not able to develop new service offerings and protect intellectual property, or if a competitor develops or obtains exclusive rights to a breakthrough technology, our financial results may suffer.</w:t>
      </w:r>
    </w:p>
    <w:p>
      <w:pPr>
        <w:spacing w:after="0" w:line="5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existing and proposed service offerings to customers may require that we invest in, develop or license, and protect, new technologies. Research and development of new technologies and investment in emerging technologies often requires significant spending that may divert capital investment away from our traditional business operations. We may experience difficulties or delays in the research, development, production and/or marketing of new products and services or emerging technologies in which we have invested, which may negatively impact our operating results and prevent us from recouping or realizing a return on the investments required to bring new products and services to market. Further, protecting our intellectual property rights and combating unlicensed copying and use of intellectual property is difficult, and any inability to obtain or protect new technologies could impact our services to customers and development of new revenue sources. Our Company and others are increasingly focusing on new technologies that provide alternatives to traditional disposal and maximize the resource value of waste. If a competitor develops or obtains exclusive rights to a “breakthrough technology” that provides a revolutionary change in traditional waste management, or if we have inferior intellectual property to our competitors, our financial results may suffer.</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depends on our reputation and the value of our brand.</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we have developed a reputation for high-quality service, reliability and social and environmental responsibility, and we believe our brand symbolizes these attributes. The Waste Management brand name, trademarks and logos and our reputation are powerful sales and marketing tools, and we devote significant resources to promoting and protecting them. Adverse publicity, whether or not justified, relating to activities by our operations, employees or agents could tarnish our reputation and reduce the value of our brand. Damage to our reputation and loss of brand equity could reduce demand for our services. This reduction in demand, together with the dedication of time and expense necessary to defend our reputation, could have an adverse effect on our financial condition, liquidity and results of operations, as well as require additional resources to rebuild our reputation and restore the value of our brand.</w:t>
      </w:r>
    </w:p>
    <w:p>
      <w:pPr>
        <w:spacing w:after="0" w:line="120" w:lineRule="exact"/>
        <w:rPr>
          <w:sz w:val="20"/>
          <w:szCs w:val="20"/>
          <w:color w:val="auto"/>
        </w:rPr>
      </w:pPr>
    </w:p>
    <w:p>
      <w:pPr>
        <w:ind w:left="240" w:right="460"/>
        <w:spacing w:after="0" w:line="268" w:lineRule="auto"/>
        <w:rPr>
          <w:sz w:val="20"/>
          <w:szCs w:val="20"/>
          <w:color w:val="auto"/>
        </w:rPr>
      </w:pPr>
      <w:r>
        <w:rPr>
          <w:rFonts w:ascii="Arial" w:cs="Arial" w:eastAsia="Arial" w:hAnsi="Arial"/>
          <w:sz w:val="18"/>
          <w:szCs w:val="18"/>
          <w:b w:val="1"/>
          <w:bCs w:val="1"/>
          <w:i w:val="1"/>
          <w:iCs w:val="1"/>
          <w:color w:val="auto"/>
        </w:rPr>
        <w:t>Our operations are subject to environmental, health and safety laws and regulations, as well as contractual obligations that may result in significant liabilities.</w:t>
      </w:r>
    </w:p>
    <w:p>
      <w:pPr>
        <w:spacing w:after="0" w:line="51"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There is risk of incurring significant environmental liabilities in the use, treatment, storage, transfer and disposal of waste materials. Under applicable environmental laws and regulations, we could be liable if our operations cause environmental damage to our properties or to the property of other landowners, particularly as a result of the contamination of air, drinking water or soil. Under current law, we could also be held liable for damage caused by conditions that existed before we acquired the assets or operations involved. This risk is of particular concern as we execute our growth strategy, partially though acquisitions, because we may be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unsuccessful in identifying and assessing potential liabilities during our due diligence investigations. Further, the counterparties in such transactions may be unable to perform their indemnification obligations owed to us. Additionally,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 the ordinary course of our business, we have in the past, we are currently, and we may in the future, become involved in legal and administrative proceedings relating to land use and environmental laws and regulations. These include proceedings in which:</w:t>
      </w:r>
    </w:p>
    <w:p>
      <w:pPr>
        <w:spacing w:after="0" w:line="51" w:lineRule="exact"/>
        <w:rPr>
          <w:sz w:val="20"/>
          <w:szCs w:val="20"/>
          <w:color w:val="auto"/>
        </w:rPr>
      </w:pPr>
    </w:p>
    <w:p>
      <w:pPr>
        <w:ind w:left="700" w:right="200" w:hanging="246"/>
        <w:spacing w:after="0" w:line="268"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50" w:lineRule="exact"/>
        <w:rPr>
          <w:rFonts w:ascii="Arial" w:cs="Arial" w:eastAsia="Arial" w:hAnsi="Arial"/>
          <w:sz w:val="18"/>
          <w:szCs w:val="18"/>
          <w:color w:val="auto"/>
        </w:rPr>
      </w:pPr>
    </w:p>
    <w:p>
      <w:pPr>
        <w:ind w:left="700" w:right="140" w:hanging="246"/>
        <w:spacing w:after="0" w:line="332"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local communities, citizen groups,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generally seek to work with the authorities or other persons involved in these proceedings to resolve any issues raised. If we are not successful, the adverse outcome of one or more of these proceedings could result in, among other things, material increases in our costs or liabilities as well as material charges for asset impairments.</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Further,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 Costs to remediate or restore the condition of closed sites may be significant.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economic conditions can directly and adversely affect our revenues and our income from operations margins.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business is directly affected by changes in national and general economic factors that are outside of our control, including consumer confidence, interest rates and access to capital markets. A weak economy generally results in decreased consumer spending and decreases in volumes of waste generated, which decreases our revenues. A weak market for consumer goods can significantly decrease demand by paper mills for recycled corrugated cardboard used in packaging; such decrease in demand can negatively impact commodity prices and our operating income and cash flows. In addition, we have a relatively high fixed-cost structure, which is difficult to quickly adjust to match shifting volume levels. Consumer uncertainty and the loss of consumer confidence may limit the number or amount of services requested by customers. Economic conditions may also limit our ability to implement our pricing strategy. For example, many of our contracts have price adjustment provisions that are tied to an index such as the Consumer Price Index, and our costs may increase in excess of the increase, if any, in the Consumer Price Index.</w:t>
      </w:r>
    </w:p>
    <w:p>
      <w:pPr>
        <w:spacing w:after="0" w:line="118"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b w:val="1"/>
          <w:bCs w:val="1"/>
          <w:i w:val="1"/>
          <w:iCs w:val="1"/>
          <w:color w:val="auto"/>
        </w:rPr>
        <w:t>Some of our customers, including governmental entities, have suffered financial difficulties affecting their credit risk, which could negatively impact our operating results.</w:t>
      </w:r>
    </w:p>
    <w:p>
      <w:pPr>
        <w:spacing w:after="0" w:line="5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provide service to a number of governmental entities and municipalities, some of which have suffered significant financial difficulties due to the downturn in the economy, reduced tax revenue and/or high cost structures. Some of these entities could be unable to pay amounts owed to us or renew contracts with us at previous or increased rates.</w:t>
      </w:r>
    </w:p>
    <w:p>
      <w:pPr>
        <w:spacing w:after="0" w:line="14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Many non-governmental customers have also suffered serious financial difficulties, including bankruptcy in some cases. Purchasers of our recyclable commodities can be particularly vulnerable to financial difficulties in times of commodity price volatility. The inability of our customers to pay us in a timely manner or to pay increased rates, particularly large national accounts, could negatively affect our operating results.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the financial difficulties of municipalities could result in a decline in investors’ demand for municipal bonds and a correlating increase in interest rates. As of December 31, 2013, we had $577 million of variable-rate tax-exempt bonds that are subject to repricing on either a daily or a weekly basis through a remarketing process and $939 million of tax-exempt bonds with term interest rate periods that are subject to repricing within the next twelve months. If the weakness in the municipal debt market results in repricing of our tax-exempt bonds at significantly higher interest rates, we will incur increased interest expenses that may negatively affect our operating results and cash flows.</w:t>
      </w:r>
    </w:p>
    <w:p>
      <w:pPr>
        <w:spacing w:after="0" w:line="143"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b w:val="1"/>
          <w:bCs w:val="1"/>
          <w:i w:val="1"/>
          <w:iCs w:val="1"/>
          <w:color w:val="auto"/>
        </w:rPr>
        <w:t>We may be unable to obtain or maintain required permits or to expand existing permitted capacity of our landfills, which could decrease our revenue and increase our costs.</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ability to meet our financial and operating objectives depends in part on our ability to obtain and maintain the permits necessary to operate landfill sites. Permits to build, operate and expand solid waste management facilities, including landfills and transfer stations, have become more difficult and expensive to obtain and maintain. Permits often take years to obtain as a result of numerous hearings and compliance requirements with regard to zoning, environmental and other regulations. These permits are also often subject to resistance from citizen or other groups and other political pressures. Local communities and citizen groups, adjacent landowners or governmental agencies may oppose the issuance of a permit or approval we may need, allege violations of the permits under which we currently operate or laws or regulations to which we are subject, or seek to impose liability on us for environmental damage. Responding to these challenges has, at times, increased our costs and extended the time associated with establishing new facilities and expanding existing facilities. In addition, failure to receive regulatory and zoning approval may prohibit us from establishing new facilities or expanding existing facilities. Our failure to obtain the required permits to operate our landfills could have a material adverse impact on our consolidated financial condition, results of operations and cash flows.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shortages in diesel fuel supply or increases in diesel fuel prices will increase our operating expenses.</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price and supply of diesel fuel can fluctuate significantly based on international, political and economic circumstances, as well as other factors outside our control, such as actions by the Organization of the Petroleum Exporting Countries (“OPEC”) and other oil and gas producers, regional production patterns, weather conditions and environmental concerns. Average diesel fuel prices decreased in 2013 but increased in both 2012 and 2011. We need diesel fuel to run a significant portion of our collection and transfer trucks and our equipment used in our landfill operations. Supply shortages could substantially increase our operating expenses. Additionally, as fuel prices increase, our direct operating expenses increase and many of our vendors raise their prices as a means to offset their own rising costs. We have in place a fuel surcharge program, designed to offset increased fuel expenses; however, we may not be able to pass through all of our increased costs and some customers’ contracts prohibit any pass-through of the increased costs. Additionally, we are currently party to pending litigation that pertains to our fuel and environmental charges included on our invoices and generally alleges that such charges were not properly disclosed, were unfair, and were contrary to customer service contracts. See Note 11 of the Consolidated Financial Statements for more information. Regardless of any offsetting surcharge programs, increased operating costs due to higher diesel fuel prices will decrease our income from operations margins.</w:t>
      </w:r>
    </w:p>
    <w:p>
      <w:pPr>
        <w:spacing w:after="0" w:line="123"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We are expanding our compressed natural gas (“CNG”) truck fleet, which makes us increasingly dependent on the availability of CNG and CNG fueling infrastructure and vulnerable to CNG prices.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currently operate the largest CNG fleet in the waste industry, and we plan to continue to transition a significant portion of our collection fleet from diesel fuel to CNG. However, CNG is not yet broadly available in North America; as a result, we have constructed and operate natural gas fueling stations, some of which also serve the public or pre-approved third parties. Until the public and third parties in North America broadly adopt CNG, which may not be on the timetable we anticipate, it will remain necessary for us to invest capital in CNG fueling infrastructure in order to power our CNG fleet. Concerns have been raised about the potential for emissions from fueling infrastructure that serve natural gas-fueled vehicles. New regulation of, or restrictions on, CNG fueling infrastructure or reductions in associated tax incentives could increase our operating costs.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jc w:val="both"/>
        <w:ind w:right="340"/>
        <w:spacing w:after="0" w:line="306" w:lineRule="auto"/>
        <w:rPr>
          <w:sz w:val="20"/>
          <w:szCs w:val="20"/>
          <w:color w:val="auto"/>
        </w:rPr>
      </w:pPr>
      <w:r>
        <w:rPr>
          <w:rFonts w:ascii="Arial" w:cs="Arial" w:eastAsia="Arial" w:hAnsi="Arial"/>
          <w:sz w:val="16"/>
          <w:szCs w:val="16"/>
          <w:color w:val="auto"/>
        </w:rPr>
        <w:t>Additionally, fluctuations in the price and supply of CNG could substantially increase our operating expenses, and a reduction in the existing cost differential between CNG and diesel fuel could materially reduce the benefits we anticipate from our investment in CNG vehicles. Further, our fuel surcharge program is currently indexed to diesel fuel prices, and price fluctuations for CNG may not effectively be recovered by this program.</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are increasingly dependent on technology in our operations and if our technology fails, our business could be adversely affected.</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experience problems with the operation of our current information technology systems or the technology systems of third parties on which we rely, as well as the development and deployment of new information technology systems, that could adversely affect, or even temporarily disrupt, all or a portion of our operations until resolved. Inabilities and delays in implementing new systems can also affect our ability to realize projected or expected cost savings. Additionally, any systems failures could impede our ability to timely collect and report financial results in accordance with applicable laws and regulations.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cybersecurity incident could negatively impact our business and our relationships with customers.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use computers in substantially all aspects of our business operations. We also use mobile devices, social networking and other online activities to connect with our employees and our customers. Such uses give rise to cybersecurity risks, including security breach, espionage, system disruption, theft and inadvertent release of information. Our business involves the storage and transmission of numerous classes of sensitive and/or confidential information and intellectual property, including customers’ personal information, private information about employees, and financial and strategic information about the Company and its business partners. We also rely on a Payment Card Industry compliant third party to protect our customers’ credit card information. Further, as the Company pursues its strategy to grow through acquisitions and to pursue new initiatives that improve our operations and cost structure, the Company is also expanding and improving its information technologies, resulting in a larger technological presence and corresponding exposure to cybersecurity risk. If we fail to assess and identify cybersecurity risks associated with acquisitions and new initiatives, we may become increasingly vulnerable to such risks. Additionally, while we have implemented measures to prevent security breaches and cyber incidents, our preventative measures and incident response efforts may not be entirely effective.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liability and competitive disadvantage.</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operating expenses could increase as a result of labor unions organizing or changes in regulations related to labor unions.</w:t>
      </w:r>
    </w:p>
    <w:p>
      <w:pPr>
        <w:spacing w:after="0" w:line="90"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Labor unions continually attempt to organize our employees, and these efforts will likely continue in the future. Certain groups of our employees are currently represented by unions, and we have negotiated collective bargaining agreements with these unions. Additional groups of employees may seek union representation in the future, and, if successful, the negotiation of collective bargaining agreements could divert management attention and result in increased operating expenses and lower net income. If we are unable to negotiate acceptable collective bargaining agreements, our operating expenses could increase significantly as a result of work stoppages, including strikes. Any of these matters could adversely affect our financial condition, results of operations and cash flows.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could face significant liabilities for withdrawal from multiemployer pension plans.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a participating employer in a number of trustee-managed multiemployer, defined benefit pension plans for employees who are covered by collective bargaining agreements. The risks of participating in these multiemployer plans are different from single-employer plans in that (i) assets contributed to the multiemployer plan by one employer may be used to provide benefits to employees or former employees of other participating employers; (ii) if a participating employer stops contributing to the plan, the unfunded obligations of the plan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may be required to be assumed by the remaining participating employers and (iii) if we choose to stop participating in any of our multiemployer plans, we may be required to pay those plans a withdrawal amount based on the underfunded status of the plan.</w:t>
      </w:r>
    </w:p>
    <w:p>
      <w:pPr>
        <w:spacing w:after="0" w:line="132"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In connection with our ongoing renegotiations of various collective bargaining agreements, we may discuss and negotiate for the complete or partial withdrawal from one or more of these pension plans. Further, business events, such as the discontinuation or nonrenewal of a customer contract, the decertification of a union, or relocation, reduction or discontinuance of certain operations, which result in the decline of Company contributions to a multiemployer pension plan, could trigger a partial or complete withdrawal. In the event of a withdrawal, we may incur expenses associated with our obligations for unfunded vested benefits at the time of the withdrawal. Various factors affect our liabilities for a plan’s underfunded status, including the numbers of retirees and active workers in the plan, the ongoing solvency of participating employers, the investment returns obtained on plan assets, and the ratio of our historical participation in such plan to all employers’ historical participation; depending on such factors, future withdrawals could have a material adverse effect on results of operations for a particular reporting period. We reflect any withdrawal liability as an operating expense in our statement of operations and as a liability on our balance sheet.</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have previously withdrawn several employee bargaining units from underfunded multiemployer pension plans, and we recognized related expenses of $5 million in 2013 and $10 million in 2012. We are still negotiating and litigating final resolutions of our withdrawal liability for certain withdrawals, which could be higher than the charges we have recognized.</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is subject to operational and safety risks, including the risk of personal injury to employees and others.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Providing environmental and waste management services, including constructing and operating landfills, involves risks such as truck accidents, equipment defects, malfunctions and failures, mass instability or waste slides, severe weather and natural disasters, which could potentially result in releases of hazardous materials and odors, injury or death of employees and others, or a need to shut down or reduce operation of our facilities while remedial actions are undertaken. Additionally, we have built and are operating CNG fueling stations to serve our growing fleet of CNG trucks, some of which also serve the public or third parties. Operation of fueling stations, landfill gas collection and control systems and waste to energy plants involves additional risks of fire and explosion. All of these risks expose us to potential liability for pollution and other environmental damages, personal injury, loss of life, business interruption, and property damage or destruction.</w:t>
      </w:r>
    </w:p>
    <w:p>
      <w:pPr>
        <w:spacing w:after="0" w:line="14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While we seek to minimize our exposure to such risks through comprehensive training and compliance programs, as well as vehicle and equipment maintenance programs, if we were to incur substantial liabilities in excess of any applicable insurance, our business, results of operations and financial condition could be adversely affected. Any such incidents could also tarnish our reputation and reduce the value of our brand.</w:t>
      </w:r>
    </w:p>
    <w:p>
      <w:pPr>
        <w:spacing w:after="0" w:line="107" w:lineRule="exact"/>
        <w:rPr>
          <w:sz w:val="20"/>
          <w:szCs w:val="20"/>
          <w:color w:val="auto"/>
        </w:rPr>
      </w:pPr>
    </w:p>
    <w:p>
      <w:pPr>
        <w:ind w:left="240" w:right="620"/>
        <w:spacing w:after="0" w:line="332" w:lineRule="auto"/>
        <w:rPr>
          <w:sz w:val="20"/>
          <w:szCs w:val="20"/>
          <w:color w:val="auto"/>
        </w:rPr>
      </w:pPr>
      <w:r>
        <w:rPr>
          <w:rFonts w:ascii="Arial" w:cs="Arial" w:eastAsia="Arial" w:hAnsi="Arial"/>
          <w:sz w:val="16"/>
          <w:szCs w:val="16"/>
          <w:b w:val="1"/>
          <w:bCs w:val="1"/>
          <w:i w:val="1"/>
          <w:iCs w:val="1"/>
          <w:color w:val="auto"/>
        </w:rPr>
        <w:t>We have substantial financial assurance and insurance requirements, and increases in the costs of obtaining adequate financial assurance, or the inadequacy of our insurance coverages, could negatively impact our liquidity and increase our liabilities.</w:t>
      </w:r>
    </w:p>
    <w:p>
      <w:pPr>
        <w:spacing w:after="0" w:line="4"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amount of insurance we are required to maintain for environmental liability is governed by statutory requirements. We believe that the cost for such insurance is high relative to the coverage it would provide and, therefore, our coverages are generally maintained at the minimum statutorily-required levels. We face the risk of incurring additional costs for environmental damage if our insurance coverage is ultimately inadequate to cover those damages. We also carry a broad range of other insurance coverages that are customary for a company our size. We use these programs to mitigate risk of loss, thereby enabling us to manage our self-insurance exposure associated with claims. The inability of our insurers to meet their commitments in a timely manner and the effect of significant claims or litigation against insurance companies may subject us to additional risks. To the extent our insurers are unable to meet their obligations, or our own obligations for claims are more than we estimated, there could be a material adverse effect to our financial results.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addition, to fulfill our financial assurance obligations with respect to variable-rate tax-exempt debt, final capping, closure, post-closure and environmental remediation obligations, we generally obtain letters of credit or surety bonds, rely on insurance, including captive insurance, fund trust and escrow accounts or rely upon WM financial guarantees. We currently have in place all financial assurance instruments necessary for our operations. Our financial position, which can be negatively affected by asset impairments, our credit profile and general economic factors, may adversely affect the cost of our current financial assurance instruments, and changes in regulations may impose stricter requirements on the types of financial assurance that will be accepted. Additionally, in the event we are unable to obtain sufficient surety bonding, letters of credit or third-party insurance coverage at reasonable cost, or one or more states cease to view captive insurance as adequate coverage, we would need to rely on other forms of financial assurance. It is possible that we could be forced to deposit cash to collateralize our obligations. Other forms of financial assurance could be more expensive to obtain, and any requirements to use cash to support our obligations would negatively impact our liquidity and capital resources and could affect our ability to meet our obligations as they become due.</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record material charges against our earnings due to any number of events that could cause impairments to our assets.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accordance with GAAP, we capitalize certain expenditures and advances relating to disposal site development, expansion projects, acquisitions, software development costs and other projects. Events that could, in some circumstances, lead to an impairment include, but are not limited to, shutting down a facility or operation or abandoning a development project or the denial of an expansion permit. Additionally, declining waste volumes and development of, and customer preference for, alternatives to traditional waste disposal could warrant asset impairments. If we determine an asset or expansion project is impaired, we will charge against earnings any unamortized capitalized expenditures and advances relating to such asset or project reduced by any portion of the capitalized costs that we estimate will be recoverable, through sale or otherwise. We also carry a significant amount of goodwill on our Consolidated Balance Sheet, which is required to be assessed for impairment annually, and more frequently in the case of certain triggering events. We may be required to incur charges against earnings if such impairment tests indicate that the fair value of a reporting unit is below its carrying value. Any such charges could have a material adverse effect on our results of operations.</w:t>
      </w:r>
    </w:p>
    <w:p>
      <w:pPr>
        <w:spacing w:after="0" w:line="120" w:lineRule="exact"/>
        <w:rPr>
          <w:sz w:val="20"/>
          <w:szCs w:val="20"/>
          <w:color w:val="auto"/>
        </w:rPr>
      </w:pPr>
    </w:p>
    <w:p>
      <w:pPr>
        <w:ind w:left="240" w:right="660"/>
        <w:spacing w:after="0" w:line="268" w:lineRule="auto"/>
        <w:rPr>
          <w:sz w:val="20"/>
          <w:szCs w:val="20"/>
          <w:color w:val="auto"/>
        </w:rPr>
      </w:pPr>
      <w:r>
        <w:rPr>
          <w:rFonts w:ascii="Arial" w:cs="Arial" w:eastAsia="Arial" w:hAnsi="Arial"/>
          <w:sz w:val="18"/>
          <w:szCs w:val="18"/>
          <w:b w:val="1"/>
          <w:bCs w:val="1"/>
          <w:i w:val="1"/>
          <w:iCs w:val="1"/>
          <w:color w:val="auto"/>
        </w:rPr>
        <w:t>Our capital requirements and our business strategy could increase our expenses, cause us to change our growth and development plans, or fail to maintain our desired credit profile.</w:t>
      </w:r>
    </w:p>
    <w:p>
      <w:pPr>
        <w:spacing w:after="0" w:line="5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If economic conditions or other risks and uncertainties cause a significant reduction in our cash flows from operations, we may reduce or suspend capital expenditures, growth and acquisition activity, implementation of our business strategy, dividend declarations or share repurchases. We may choose to incur indebtedness to pay for these activities, although our access to capital markets is not assured and we may not be able to incur indebtedness at a cost that is consistent with current borrowing rates. We also may need to incur indebtedness to refinance scheduled debt maturities, and it is possible that the cost of financing could increase significantly, thereby increasing our expenses and decreasing our net income. Further, our ability to execute our financial strategy and our ability to incur indebtedness is somewhat dependent upon our ability to maintain investment grade ratings on our senior debt. The credit rating process is contingent upon our credit profile, as well as a number of other factors, many of which are beyond our control, including methodologies established and interpreted by third party rating agencies. If we were unable to maintain our investment grade credit ratings in the future, our interest expense would increase and our ability to obtain financing on favorable terms could be adversely affected.</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Additionally, we have $2.4 billion of debt as of December 31, 2013 that is exposed to changes in market interest rates within the next 12 months because of the combined impact of our tax-exempt bonds and borrowings outstanding under our $2.25 billion revolving credit facility and Canadian credit facility and term loan. If interest rates increase, our interest expense would also increase, lowering our net income and decreasing our cash flow.</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may use our $2.25 billion revolving credit facility and our C$150 million Canadian revolving credit facility to meet our cash needs, to the extent available, until maturity in July 2018 and November 2017, respectively. As of December 31, 2013, we had $420 million of outstanding borrowings and $872 million of letters of credit issued and supported by the $2.25 billion revolving credit facility, leaving an unused and available credit capacity of $958 million, and we had $9 million of borrowings under the Canadian revolving credit facility. In the event of a default under our credit facilities, we could be required to immediately repay all outstanding borrowings and make cash deposits as collateral for all obligations the facility supports, which we may not be able to do. Additionally, any such default could cause a default under many of our other credit agreements and debt instruments. Without waivers from lenders party to those agreements, any such default would have a material adverse effect on our ability to continue to operate.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The adoption of climate change legislation or regulations restricting emissions of “greenhouse gases” could increase our costs to operate.</w:t>
      </w:r>
    </w:p>
    <w:p>
      <w:pPr>
        <w:spacing w:after="0" w:line="11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Our landfill operations emit methane, identified as a GHG. There are a number of legislative and regulatory efforts at the state, regional and federal levels to curtail the emission of GHGs to ameliorate the effect of climate change. Should comprehensive federal climate change legislation be enacted, we expect it could impose costs on our operations that might not be offset by the revenue increases associated with our lower-carbon service options, the materiality of which we cannot predict. In 2010, the EPA published a Prevention of Significant Deterioration and Title V Greenhouse Gas Tailoring Rule, which expanded the EPA’s federal air permitting authority to include the six GHGs. The rule sets new thresholds for GHG emissions that define when Clean Air Act permits are required. The current requirements of these rules have not significantly affected our operations or cash flows, due to the tailored thresholds and exclusions of certain emissions from regulation.</w:t>
      </w:r>
    </w:p>
    <w:p>
      <w:pPr>
        <w:spacing w:after="0" w:line="14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On October 1, 2013, the Supreme Court granted petitions for certiorari to consider whether the EPA’s regulation of GHG emissions from new motor vehicles triggered permitting requirements under the Clean Air Act. If the Supreme Court decides that permitting requirements were triggered for GHGs, and if certain changes to these regulations are enacted, such as the lowering of thresholds or inclusion of biogenic emissions, such amendments could have a material adverse effect on our results of operations or cash flows that would not be mitigated by increased revenues associated with the services we offer customers to reduce their GHG footprints.</w:t>
      </w:r>
    </w:p>
    <w:p>
      <w:pPr>
        <w:spacing w:after="0" w:line="143" w:lineRule="exact"/>
        <w:rPr>
          <w:sz w:val="20"/>
          <w:szCs w:val="20"/>
          <w:color w:val="auto"/>
        </w:rPr>
      </w:pPr>
    </w:p>
    <w:p>
      <w:pPr>
        <w:ind w:left="240" w:right="60"/>
        <w:spacing w:after="0" w:line="268" w:lineRule="auto"/>
        <w:rPr>
          <w:sz w:val="20"/>
          <w:szCs w:val="20"/>
          <w:color w:val="auto"/>
        </w:rPr>
      </w:pPr>
      <w:r>
        <w:rPr>
          <w:rFonts w:ascii="Arial" w:cs="Arial" w:eastAsia="Arial" w:hAnsi="Arial"/>
          <w:sz w:val="18"/>
          <w:szCs w:val="18"/>
          <w:b w:val="1"/>
          <w:bCs w:val="1"/>
          <w:i w:val="1"/>
          <w:iCs w:val="1"/>
          <w:color w:val="auto"/>
        </w:rPr>
        <w:t>Changes in oil and gas prices and drilling activity, and changes in regulations applicable to oil and gas drilling and production, could adversely affect our Energy Service business.</w:t>
      </w:r>
    </w:p>
    <w:p>
      <w:pPr>
        <w:spacing w:after="0" w:line="5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provide specialized disposal services for oil and gas exploration and production operations. Demand for these services may be adversely affected if drilling activity slows due to industry conditions beyond our control, including changes in oil and gas prices. Additionally, changes in laws or government regulations regarding GHG emissions from oil and gas operations and/or hydraulic fracturing could increase our customers’ costs of doing business and reduce oil and gas exploration and production by customers. Recently, there has been increased attention from the public, some states and the EPA to the alleged potential for hydraulic fracturing to impact drinking water supplies. Increased regulation of oil and gas exploration and production and new rules regarding the treatment and disposal of wastes associated with exploration and production operations could increase our costs to provide oilfield services and reduce our margins and revenue from such services.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The seasonal nature of our business, severe weather events and “one-time” special projects cause our results to fluctuate, and prior performance is not necessarily indicative of our future results.</w:t>
      </w:r>
    </w:p>
    <w:p>
      <w:pPr>
        <w:spacing w:after="0" w:line="51"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The operating results of our first quarter often reflect higher repair and maintenance expenses because we rely on the slower winter months, when waste flows are generally lower, to perform scheduled maintenance at our waste-to-energy facilities.</w:t>
      </w:r>
    </w:p>
    <w:p>
      <w:pPr>
        <w:spacing w:after="0" w:line="9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Service disruptions caused by severe storms, extended periods of inclement weather or climate extremes resulting from climate change can significantly affect the operating results of the affected Areas. On the other hand, certain destructive weather conditions that tend to occur during the second half of the year, such as the hurricanes that most often impact our operations in the Southern and Eastern U.S., can actually increase our revenues in the areas affected. While weather-related and other “one-time” occurrences can boost revenues through additional work for a limited time span, as a result of significant start-up costs and other factors, such revenue sometimes generates earnings at comparatively lower margins.</w:t>
      </w:r>
    </w:p>
    <w:p>
      <w:pPr>
        <w:spacing w:after="0" w:line="116"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For these and other reasons, operating results in any interim period are not necessarily indicative of operating results for an entire year, and operating results for any historical period are not necessarily indicative of operating results for a future period. Our stock price may be negatively impacted by interim variations in our results.</w:t>
      </w:r>
    </w:p>
    <w:p>
      <w:pPr>
        <w:spacing w:after="0" w:line="140" w:lineRule="exact"/>
        <w:rPr>
          <w:sz w:val="20"/>
          <w:szCs w:val="20"/>
          <w:color w:val="auto"/>
        </w:rPr>
      </w:pPr>
    </w:p>
    <w:p>
      <w:pPr>
        <w:ind w:left="240" w:right="380"/>
        <w:spacing w:after="0" w:line="268" w:lineRule="auto"/>
        <w:rPr>
          <w:sz w:val="20"/>
          <w:szCs w:val="20"/>
          <w:color w:val="auto"/>
        </w:rPr>
      </w:pPr>
      <w:r>
        <w:rPr>
          <w:rFonts w:ascii="Arial" w:cs="Arial" w:eastAsia="Arial" w:hAnsi="Arial"/>
          <w:sz w:val="18"/>
          <w:szCs w:val="18"/>
          <w:b w:val="1"/>
          <w:bCs w:val="1"/>
          <w:i w:val="1"/>
          <w:iCs w:val="1"/>
          <w:color w:val="auto"/>
        </w:rPr>
        <w:t>We could be subject to significant fines and penalties, and our reputation could be adversely affected, if our businesses, or third parties with whom we have a relationship, were to fail to comply with United States or foreign laws or regulations.</w:t>
      </w:r>
    </w:p>
    <w:p>
      <w:pPr>
        <w:spacing w:after="0" w:line="5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Some of our projects and new business may be conducted in countries where corruption has historically been prevalent. It is our policy to comply with all applicable anti-bribery laws, such as the U.S. Foreign Corrupt Practices Act, and with applicable local laws of the foreign countries in which we operate, and we monitor our local partners’ compliance with such laws as well. Our reputation may be adversely affected if we were reported to be associated with corrupt practices or if we or our local partners failed to comply with such laws. Such damage to our reputation could adversely affect our ability to grow our business. Additionally, violations of such laws could subject us to significant fines and penalties.</w:t>
      </w:r>
    </w:p>
    <w:p>
      <w:pPr>
        <w:spacing w:after="0" w:line="116"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b w:val="1"/>
          <w:bCs w:val="1"/>
          <w:i w:val="1"/>
          <w:iCs w:val="1"/>
          <w:color w:val="auto"/>
        </w:rPr>
        <w:t>The construction of new international waste-to-energy facilities is subject to many business risks and uncertainties that could cause such projects to fail to achieve the financial results anticipated.</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Wheelabrator business has invested in growing its waste-to-energy business in China and Europe through partnerships and joint ventures established to develop, construct and/or operate new facilities. Development and construction of a waste-to-energy facility is a complex, capital intensive, long-term process subject to risks of delays, cost overruns, failure to receive governmental or regulatory approvals and financing difficulty. Additionally, technology incorporated in such facilities may not perform as anticipated. Any of these risks, among others, may cause such projects to fail to achieve the financial results anticipated, which could have a negative impact on our operating results.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Additionally, the financing, development, construction and operation of projects outside the United States can entail significant political and financial risks, which vary by country, including:</w:t>
      </w:r>
    </w:p>
    <w:p>
      <w:pPr>
        <w:spacing w:after="0" w:line="51" w:lineRule="exact"/>
        <w:rPr>
          <w:sz w:val="20"/>
          <w:szCs w:val="20"/>
          <w:color w:val="auto"/>
        </w:rPr>
      </w:pPr>
    </w:p>
    <w:p>
      <w:pPr>
        <w:ind w:left="700" w:hanging="2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law or regulations;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disposal and electricity pricing;</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foreign tax laws and regulations;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700" w:hanging="24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United States federal, state and local laws, including tax laws, related to foreign operations;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United States federal, state and local foreign corrupt practices laws;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government policies or personnel;</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general economic conditions affecting each country, including conditions in financial markets;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labor relations in operations outside the United States;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economic or military instability and civil unrest;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credit quality of entities that purchase our power.</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legal and financial environment in foreign countries could also make it more difficult for us to enforce our rights under agreements. Any or all of the risks identified above with respect to our international projects could adversely affect our revenue and cash generation.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Currently pending or future litigation or governmental proceedings could result in material adverse consequences, including judgments or settlements.</w:t>
      </w:r>
    </w:p>
    <w:p>
      <w:pPr>
        <w:spacing w:after="0" w:line="12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are involved in civil litigation in the ordinary course of our business and from time-to-time are involved in governmental proceedings relating to the conduct of our business. The timing of the final resolutions to these types of matters is often uncertain. Additionally, the possible outcomes or resolutions to these matters could include adverse judgments or settlements, either of which could require substantial payments, adversely affecting our liquidity.</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experience adverse impacts on our reported results of operations as a result of adopting new accounting standards or interpretations.</w:t>
      </w:r>
    </w:p>
    <w:p>
      <w:pPr>
        <w:spacing w:after="0" w:line="11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Our implementation of and compliance with changes in accounting rules, including new accounting rules and interpretations, could adversely affect our reported financial position or operating results or cause unanticipated fluctuations in our reported operating results in future periods.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principal executive offices are in Houston, Texas, where we lease approximately 440,000 square feet under leases expiring through 2020. We also have administrative offices in Arizona, Illinois, Texas, Connecticut, New Hampshire, the United Kingdom and India. We own or lease real property in most locations where we have operations or administrative functions. We have operations in all 50 states. We also have operations in the District of Columbia, Puerto Rico and throughout Canada.</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principal property and equipment consists of land (primarily landfills and other disposal facilities, transfer stations and bases for collection operations), buildings, vehicles and equipment. We believe that our vehicles, equipment, and operating properties are adequately maintained and sufficient for our current operations. However, we expect to continue to make investments in additional equipment and property for expansion, for replacement of assets, and in connection with our strategic growth plans. For more information, see Item 7. Management’s Discussion and Analysis of Financial Condition and Results of Operations included within this report.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various operations at December 31 for the periods noted:</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3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2013</w:t>
            </w:r>
          </w:p>
        </w:tc>
        <w:tc>
          <w:tcPr>
            <w:tcW w:w="4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9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Landfills:</w:t>
            </w: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Owned</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209</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211</w:t>
            </w: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Operated through lease agreements</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r>
      <w:tr>
        <w:trPr>
          <w:trHeight w:val="223"/>
        </w:trPr>
        <w:tc>
          <w:tcPr>
            <w:tcW w:w="9360" w:type="dxa"/>
            <w:vAlign w:val="bottom"/>
          </w:tcPr>
          <w:p>
            <w:pPr>
              <w:ind w:left="440"/>
              <w:spacing w:after="0"/>
              <w:rPr>
                <w:sz w:val="20"/>
                <w:szCs w:val="20"/>
                <w:color w:val="auto"/>
              </w:rPr>
            </w:pPr>
            <w:r>
              <w:rPr>
                <w:rFonts w:ascii="Arial" w:cs="Arial" w:eastAsia="Arial" w:hAnsi="Arial"/>
                <w:sz w:val="18"/>
                <w:szCs w:val="18"/>
                <w:color w:val="auto"/>
              </w:rPr>
              <w:t>Operated through contractual agreements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r>
      <w:tr>
        <w:trPr>
          <w:trHeight w:val="216"/>
        </w:trPr>
        <w:tc>
          <w:tcPr>
            <w:tcW w:w="9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267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269</w:t>
            </w: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Transfer stations</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300</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297</w:t>
            </w: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Material recovery facilities</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120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114</w:t>
            </w: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Secondary processing facilities</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5</w:t>
            </w: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Waste-to-energy facilities</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22"/>
        </w:trPr>
        <w:tc>
          <w:tcPr>
            <w:tcW w:w="9360" w:type="dxa"/>
            <w:vAlign w:val="bottom"/>
          </w:tcPr>
          <w:p>
            <w:pPr>
              <w:spacing w:after="0"/>
              <w:rPr>
                <w:sz w:val="20"/>
                <w:szCs w:val="20"/>
                <w:color w:val="auto"/>
              </w:rPr>
            </w:pPr>
            <w:r>
              <w:rPr>
                <w:rFonts w:ascii="Arial" w:cs="Arial" w:eastAsia="Arial" w:hAnsi="Arial"/>
                <w:sz w:val="18"/>
                <w:szCs w:val="18"/>
                <w:color w:val="auto"/>
              </w:rPr>
              <w:t>Independent power production plants</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4</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provides certain information regarding the 231 landfills owned or operated through lease agreements and a count of landfills operated through contractual agreements, transfer stations and material recovery facilities as of December 31, 2013: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8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w w:val="92"/>
              </w:rPr>
              <w:t>Landfills Owned or Operated</w:t>
            </w: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jc w:val="right"/>
              <w:ind w:right="27"/>
              <w:spacing w:after="0"/>
              <w:rPr>
                <w:sz w:val="20"/>
                <w:szCs w:val="20"/>
                <w:color w:val="auto"/>
              </w:rPr>
            </w:pPr>
            <w:r>
              <w:rPr>
                <w:rFonts w:ascii="Arial" w:cs="Arial" w:eastAsia="Arial" w:hAnsi="Arial"/>
                <w:sz w:val="14"/>
                <w:szCs w:val="14"/>
                <w:b w:val="1"/>
                <w:bCs w:val="1"/>
                <w:color w:val="auto"/>
              </w:rPr>
              <w:t>Landfills</w:t>
            </w: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1500" w:type="dxa"/>
            <w:vAlign w:val="bottom"/>
          </w:tcPr>
          <w:p>
            <w:pPr>
              <w:spacing w:after="0"/>
              <w:rPr>
                <w:sz w:val="7"/>
                <w:szCs w:val="7"/>
                <w:color w:val="auto"/>
              </w:rPr>
            </w:pPr>
          </w:p>
        </w:tc>
        <w:tc>
          <w:tcPr>
            <w:tcW w:w="2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80" w:type="dxa"/>
            <w:vAlign w:val="bottom"/>
            <w:gridSpan w:val="4"/>
            <w:vMerge w:val="continue"/>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vMerge w:val="restart"/>
          </w:tcPr>
          <w:p>
            <w:pPr>
              <w:jc w:val="right"/>
              <w:ind w:right="7"/>
              <w:spacing w:after="0"/>
              <w:rPr>
                <w:sz w:val="20"/>
                <w:szCs w:val="20"/>
                <w:color w:val="auto"/>
              </w:rPr>
            </w:pPr>
            <w:r>
              <w:rPr>
                <w:rFonts w:ascii="Arial" w:cs="Arial" w:eastAsia="Arial" w:hAnsi="Arial"/>
                <w:sz w:val="14"/>
                <w:szCs w:val="14"/>
                <w:b w:val="1"/>
                <w:bCs w:val="1"/>
                <w:color w:val="auto"/>
                <w:w w:val="90"/>
              </w:rPr>
              <w:t>Operating</w:t>
            </w: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80" w:type="dxa"/>
            <w:vAlign w:val="bottom"/>
            <w:gridSpan w:val="4"/>
          </w:tcPr>
          <w:p>
            <w:pPr>
              <w:jc w:val="right"/>
              <w:ind w:right="540"/>
              <w:spacing w:after="0" w:line="135" w:lineRule="exact"/>
              <w:rPr>
                <w:sz w:val="20"/>
                <w:szCs w:val="20"/>
                <w:color w:val="auto"/>
              </w:rPr>
            </w:pPr>
            <w:r>
              <w:rPr>
                <w:rFonts w:ascii="Arial" w:cs="Arial" w:eastAsia="Arial" w:hAnsi="Arial"/>
                <w:sz w:val="14"/>
                <w:szCs w:val="14"/>
                <w:b w:val="1"/>
                <w:bCs w:val="1"/>
                <w:color w:val="auto"/>
                <w:w w:val="92"/>
              </w:rPr>
              <w:t>Through Lease Agreements</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15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vMerge w:val="restart"/>
          </w:tcPr>
          <w:p>
            <w:pPr>
              <w:jc w:val="right"/>
              <w:ind w:right="27"/>
              <w:spacing w:after="0" w:line="149" w:lineRule="exact"/>
              <w:rPr>
                <w:sz w:val="20"/>
                <w:szCs w:val="20"/>
                <w:color w:val="auto"/>
              </w:rPr>
            </w:pPr>
            <w:r>
              <w:rPr>
                <w:rFonts w:ascii="Arial" w:cs="Arial" w:eastAsia="Arial" w:hAnsi="Arial"/>
                <w:sz w:val="14"/>
                <w:szCs w:val="14"/>
                <w:b w:val="1"/>
                <w:bCs w:val="1"/>
                <w:color w:val="auto"/>
              </w:rPr>
              <w:t>Through</w:t>
            </w: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Material</w:t>
            </w:r>
          </w:p>
        </w:tc>
        <w:tc>
          <w:tcPr>
            <w:tcW w:w="0" w:type="dxa"/>
            <w:vAlign w:val="bottom"/>
          </w:tcPr>
          <w:p>
            <w:pPr>
              <w:spacing w:after="0"/>
              <w:rPr>
                <w:sz w:val="1"/>
                <w:szCs w:val="1"/>
                <w:color w:val="auto"/>
              </w:rPr>
            </w:pPr>
          </w:p>
        </w:tc>
      </w:tr>
      <w:tr>
        <w:trPr>
          <w:trHeight w:val="102"/>
        </w:trPr>
        <w:tc>
          <w:tcPr>
            <w:tcW w:w="15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Total</w:t>
            </w: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2"/>
              </w:rPr>
              <w:t>Permitted</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Expansion</w:t>
            </w:r>
          </w:p>
        </w:tc>
        <w:tc>
          <w:tcPr>
            <w:tcW w:w="5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Contractual</w:t>
            </w:r>
          </w:p>
        </w:tc>
        <w:tc>
          <w:tcPr>
            <w:tcW w:w="500" w:type="dxa"/>
            <w:vAlign w:val="bottom"/>
          </w:tcPr>
          <w:p>
            <w:pPr>
              <w:spacing w:after="0"/>
              <w:rPr>
                <w:sz w:val="12"/>
                <w:szCs w:val="12"/>
                <w:color w:val="auto"/>
              </w:rPr>
            </w:pPr>
          </w:p>
        </w:tc>
        <w:tc>
          <w:tcPr>
            <w:tcW w:w="10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5"/>
              </w:rPr>
              <w:t>Transfer</w:t>
            </w: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8"/>
              </w:rPr>
              <w:t>Recovery</w:t>
            </w: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6"/>
              </w:rPr>
              <w:t>Landfills</w:t>
            </w: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Acreage(a)</w:t>
            </w: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4"/>
              </w:rPr>
              <w:t>Acreage(b)</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5"/>
              </w:rPr>
              <w:t>Acreage(c)</w:t>
            </w:r>
          </w:p>
        </w:tc>
        <w:tc>
          <w:tcPr>
            <w:tcW w:w="5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1"/>
              </w:rPr>
              <w:t>Agreements</w:t>
            </w:r>
          </w:p>
        </w:tc>
        <w:tc>
          <w:tcPr>
            <w:tcW w:w="50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3"/>
              </w:rPr>
              <w:t>Stations</w:t>
            </w: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Facilities</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Solid Waste</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145,598</w:t>
            </w:r>
          </w:p>
        </w:tc>
        <w:tc>
          <w:tcPr>
            <w:tcW w:w="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37,238</w:t>
            </w:r>
          </w:p>
        </w:tc>
        <w:tc>
          <w:tcPr>
            <w:tcW w:w="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4</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781</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341</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500"/>
              <w:spacing w:after="0"/>
              <w:rPr>
                <w:sz w:val="20"/>
                <w:szCs w:val="20"/>
                <w:color w:val="auto"/>
              </w:rPr>
            </w:pPr>
            <w:r>
              <w:rPr>
                <w:rFonts w:ascii="Arial" w:cs="Arial" w:eastAsia="Arial" w:hAnsi="Arial"/>
                <w:sz w:val="18"/>
                <w:szCs w:val="18"/>
                <w:color w:val="auto"/>
              </w:rPr>
              <w:t>3</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231</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146,379</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37,579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5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500" w:type="dxa"/>
            <w:vAlign w:val="bottom"/>
            <w:tcBorders>
              <w:bottom w:val="single" w:sz="8" w:color="auto"/>
            </w:tcBorders>
          </w:tcPr>
          <w:p>
            <w:pPr>
              <w:spacing w:after="0"/>
              <w:rPr>
                <w:sz w:val="7"/>
                <w:szCs w:val="7"/>
                <w:color w:val="auto"/>
              </w:rPr>
            </w:pPr>
          </w:p>
        </w:tc>
        <w:tc>
          <w:tcPr>
            <w:tcW w:w="2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acreage” includes permitted acreage, expansion acreage, other acreage available for future disposal that has not been permitted, buffer land and other land owned or leased by our landfill operations.</w:t>
      </w: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“Permitted acreage” consists of all acreage at the landfill encompassed by an active permit to dispose of waste.</w:t>
      </w:r>
    </w:p>
    <w:p>
      <w:pPr>
        <w:spacing w:after="0" w:line="9" w:lineRule="exact"/>
        <w:rPr>
          <w:rFonts w:ascii="Arial" w:cs="Arial" w:eastAsia="Arial" w:hAnsi="Arial"/>
          <w:sz w:val="18"/>
          <w:szCs w:val="18"/>
          <w:color w:val="auto"/>
        </w:rPr>
      </w:pPr>
    </w:p>
    <w:p>
      <w:pPr>
        <w:ind w:left="460" w:right="340" w:hanging="452"/>
        <w:spacing w:after="0" w:line="255"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“Expansion acreage” consists of unpermitted acreage where the related expansion efforts meet our criteria to be included as expansion airspace. A discussion of the related criteria is included within Item 7. Management’s Discussion and Analysis of Financial Condition and Results of Operations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Critical Accounting Estimates and Assumptions </w:t>
      </w:r>
      <w:r>
        <w:rPr>
          <w:rFonts w:ascii="Arial" w:cs="Arial" w:eastAsia="Arial" w:hAnsi="Arial"/>
          <w:sz w:val="18"/>
          <w:szCs w:val="18"/>
          <w:color w:val="auto"/>
        </w:rPr>
        <w:t>included herein.</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 xml:space="preserve">Information regarding our legal proceedings can be found under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11 in the Consolidated Financial Statements included in this report.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annual report.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common stock is traded on the New York Stock Exchange (“NYSE”) under the symbol “WM.” The following table sets forth the range of the high and low per-share sales prices for our common stock as reported on the NYSE:</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6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r>
      <w:tr>
        <w:trPr>
          <w:trHeight w:val="196"/>
        </w:trPr>
        <w:tc>
          <w:tcPr>
            <w:tcW w:w="5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2012</w:t>
            </w:r>
          </w:p>
        </w:tc>
        <w:tc>
          <w:tcPr>
            <w:tcW w:w="29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8"/>
                <w:szCs w:val="18"/>
                <w:color w:val="auto"/>
              </w:rPr>
              <w:t>First Quarter</w:t>
            </w:r>
          </w:p>
        </w:tc>
        <w:tc>
          <w:tcPr>
            <w:tcW w:w="3920" w:type="dxa"/>
            <w:vAlign w:val="bottom"/>
            <w:gridSpan w:val="3"/>
          </w:tcPr>
          <w:p>
            <w:pPr>
              <w:jc w:val="right"/>
              <w:ind w:right="500"/>
              <w:spacing w:after="0"/>
              <w:rPr>
                <w:sz w:val="20"/>
                <w:szCs w:val="20"/>
                <w:color w:val="auto"/>
              </w:rPr>
            </w:pPr>
            <w:r>
              <w:rPr>
                <w:rFonts w:ascii="Arial" w:cs="Arial" w:eastAsia="Arial" w:hAnsi="Arial"/>
                <w:sz w:val="18"/>
                <w:szCs w:val="18"/>
                <w:color w:val="auto"/>
              </w:rPr>
              <w:t>$35.75</w:t>
            </w:r>
          </w:p>
        </w:tc>
        <w:tc>
          <w:tcPr>
            <w:tcW w:w="500" w:type="dxa"/>
            <w:vAlign w:val="bottom"/>
          </w:tcPr>
          <w:p>
            <w:pPr>
              <w:jc w:val="right"/>
              <w:spacing w:after="0"/>
              <w:rPr>
                <w:sz w:val="20"/>
                <w:szCs w:val="20"/>
                <w:color w:val="auto"/>
              </w:rPr>
            </w:pPr>
            <w:r>
              <w:rPr>
                <w:rFonts w:ascii="Arial" w:cs="Arial" w:eastAsia="Arial" w:hAnsi="Arial"/>
                <w:sz w:val="18"/>
                <w:szCs w:val="18"/>
                <w:color w:val="auto"/>
                <w:w w:val="79"/>
              </w:rPr>
              <w:t>$ 32.11</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Second Quarter</w:t>
            </w:r>
          </w:p>
        </w:tc>
        <w:tc>
          <w:tcPr>
            <w:tcW w:w="39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36.35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8"/>
                <w:szCs w:val="18"/>
                <w:color w:val="auto"/>
              </w:rPr>
              <w:t>Third Quarter</w:t>
            </w:r>
          </w:p>
        </w:tc>
        <w:tc>
          <w:tcPr>
            <w:tcW w:w="3920" w:type="dxa"/>
            <w:vAlign w:val="bottom"/>
            <w:gridSpan w:val="3"/>
          </w:tcPr>
          <w:p>
            <w:pPr>
              <w:jc w:val="right"/>
              <w:ind w:right="500"/>
              <w:spacing w:after="0"/>
              <w:rPr>
                <w:sz w:val="20"/>
                <w:szCs w:val="20"/>
                <w:color w:val="auto"/>
              </w:rPr>
            </w:pPr>
            <w:r>
              <w:rPr>
                <w:rFonts w:ascii="Arial" w:cs="Arial" w:eastAsia="Arial" w:hAnsi="Arial"/>
                <w:sz w:val="18"/>
                <w:szCs w:val="18"/>
                <w:color w:val="auto"/>
              </w:rPr>
              <w:t>35.70</w:t>
            </w:r>
          </w:p>
        </w:tc>
        <w:tc>
          <w:tcPr>
            <w:tcW w:w="500" w:type="dxa"/>
            <w:vAlign w:val="bottom"/>
          </w:tcPr>
          <w:p>
            <w:pPr>
              <w:jc w:val="right"/>
              <w:spacing w:after="0"/>
              <w:rPr>
                <w:sz w:val="20"/>
                <w:szCs w:val="20"/>
                <w:color w:val="auto"/>
              </w:rPr>
            </w:pPr>
            <w:r>
              <w:rPr>
                <w:rFonts w:ascii="Arial" w:cs="Arial" w:eastAsia="Arial" w:hAnsi="Arial"/>
                <w:sz w:val="18"/>
                <w:szCs w:val="18"/>
                <w:color w:val="auto"/>
              </w:rPr>
              <w:t>31.08</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Fourth Quarter</w:t>
            </w:r>
          </w:p>
        </w:tc>
        <w:tc>
          <w:tcPr>
            <w:tcW w:w="39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34.45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2013</w:t>
            </w:r>
          </w:p>
        </w:tc>
        <w:tc>
          <w:tcPr>
            <w:tcW w:w="2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First Quarter</w:t>
            </w:r>
          </w:p>
        </w:tc>
        <w:tc>
          <w:tcPr>
            <w:tcW w:w="39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$39.26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$33.70</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8"/>
                <w:szCs w:val="18"/>
                <w:color w:val="auto"/>
              </w:rPr>
              <w:t>Second Quarter</w:t>
            </w:r>
          </w:p>
        </w:tc>
        <w:tc>
          <w:tcPr>
            <w:tcW w:w="3920" w:type="dxa"/>
            <w:vAlign w:val="bottom"/>
            <w:gridSpan w:val="3"/>
          </w:tcPr>
          <w:p>
            <w:pPr>
              <w:jc w:val="right"/>
              <w:ind w:right="500"/>
              <w:spacing w:after="0"/>
              <w:rPr>
                <w:sz w:val="20"/>
                <w:szCs w:val="20"/>
                <w:color w:val="auto"/>
              </w:rPr>
            </w:pPr>
            <w:r>
              <w:rPr>
                <w:rFonts w:ascii="Arial" w:cs="Arial" w:eastAsia="Arial" w:hAnsi="Arial"/>
                <w:sz w:val="18"/>
                <w:szCs w:val="18"/>
                <w:color w:val="auto"/>
              </w:rPr>
              <w:t>42.99</w:t>
            </w:r>
          </w:p>
        </w:tc>
        <w:tc>
          <w:tcPr>
            <w:tcW w:w="500" w:type="dxa"/>
            <w:vAlign w:val="bottom"/>
          </w:tcPr>
          <w:p>
            <w:pPr>
              <w:jc w:val="right"/>
              <w:spacing w:after="0"/>
              <w:rPr>
                <w:sz w:val="20"/>
                <w:szCs w:val="20"/>
                <w:color w:val="auto"/>
              </w:rPr>
            </w:pPr>
            <w:r>
              <w:rPr>
                <w:rFonts w:ascii="Arial" w:cs="Arial" w:eastAsia="Arial" w:hAnsi="Arial"/>
                <w:sz w:val="18"/>
                <w:szCs w:val="18"/>
                <w:color w:val="auto"/>
              </w:rPr>
              <w:t>37.97</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Third Quarter</w:t>
            </w:r>
          </w:p>
        </w:tc>
        <w:tc>
          <w:tcPr>
            <w:tcW w:w="39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43.58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8"/>
                <w:szCs w:val="18"/>
                <w:color w:val="auto"/>
              </w:rPr>
              <w:t>Fourth Quarter</w:t>
            </w:r>
          </w:p>
        </w:tc>
        <w:tc>
          <w:tcPr>
            <w:tcW w:w="3920" w:type="dxa"/>
            <w:vAlign w:val="bottom"/>
            <w:gridSpan w:val="3"/>
          </w:tcPr>
          <w:p>
            <w:pPr>
              <w:jc w:val="right"/>
              <w:ind w:right="500"/>
              <w:spacing w:after="0"/>
              <w:rPr>
                <w:sz w:val="20"/>
                <w:szCs w:val="20"/>
                <w:color w:val="auto"/>
              </w:rPr>
            </w:pPr>
            <w:r>
              <w:rPr>
                <w:rFonts w:ascii="Arial" w:cs="Arial" w:eastAsia="Arial" w:hAnsi="Arial"/>
                <w:sz w:val="18"/>
                <w:szCs w:val="18"/>
                <w:color w:val="auto"/>
              </w:rPr>
              <w:t>46.37</w:t>
            </w:r>
          </w:p>
        </w:tc>
        <w:tc>
          <w:tcPr>
            <w:tcW w:w="500" w:type="dxa"/>
            <w:vAlign w:val="bottom"/>
          </w:tcPr>
          <w:p>
            <w:pPr>
              <w:jc w:val="right"/>
              <w:spacing w:after="0"/>
              <w:rPr>
                <w:sz w:val="20"/>
                <w:szCs w:val="20"/>
                <w:color w:val="auto"/>
              </w:rPr>
            </w:pPr>
            <w:r>
              <w:rPr>
                <w:rFonts w:ascii="Arial" w:cs="Arial" w:eastAsia="Arial" w:hAnsi="Arial"/>
                <w:sz w:val="18"/>
                <w:szCs w:val="18"/>
                <w:color w:val="auto"/>
              </w:rPr>
              <w:t>40.29</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5980" w:type="dxa"/>
            <w:vAlign w:val="bottom"/>
          </w:tcPr>
          <w:p>
            <w:pPr>
              <w:ind w:left="220"/>
              <w:spacing w:after="0"/>
              <w:rPr>
                <w:sz w:val="20"/>
                <w:szCs w:val="20"/>
                <w:color w:val="auto"/>
              </w:rPr>
            </w:pPr>
            <w:r>
              <w:rPr>
                <w:rFonts w:ascii="Arial" w:cs="Arial" w:eastAsia="Arial" w:hAnsi="Arial"/>
                <w:sz w:val="18"/>
                <w:szCs w:val="18"/>
                <w:color w:val="auto"/>
              </w:rPr>
              <w:t>First Quarter (through February 7, 2014)</w:t>
            </w:r>
          </w:p>
        </w:tc>
        <w:tc>
          <w:tcPr>
            <w:tcW w:w="3920" w:type="dxa"/>
            <w:vAlign w:val="bottom"/>
            <w:gridSpan w:val="3"/>
          </w:tcPr>
          <w:p>
            <w:pPr>
              <w:jc w:val="right"/>
              <w:ind w:right="500"/>
              <w:spacing w:after="0"/>
              <w:rPr>
                <w:sz w:val="20"/>
                <w:szCs w:val="20"/>
                <w:color w:val="auto"/>
              </w:rPr>
            </w:pPr>
            <w:r>
              <w:rPr>
                <w:rFonts w:ascii="Arial" w:cs="Arial" w:eastAsia="Arial" w:hAnsi="Arial"/>
                <w:sz w:val="18"/>
                <w:szCs w:val="18"/>
                <w:color w:val="auto"/>
              </w:rPr>
              <w:t>$44.80</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$40.90</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On February 7, 2014, the closing sales price as reported on the NYSE was $42.84 per share. The number of holders of record of our common stock on February 7, 2014 was 12,527.</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graph below shows the relative investment performance of Waste Management, Inc. common stock, the Dow Jones Waste &amp; Disposal Services Index and the S&amp;P 500 Index for the last five years, assuming reinvestment of dividends at date of payment into the common stock. The graph is presented pursuant to SEC rules and is not meant to be an indication of our future performance.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Cumulative Five Year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143510</wp:posOffset>
            </wp:positionV>
            <wp:extent cx="4716780" cy="22040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16780"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12/31/08</w:t>
            </w:r>
          </w:p>
        </w:tc>
        <w:tc>
          <w:tcPr>
            <w:tcW w:w="24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12/31/09</w:t>
            </w:r>
          </w:p>
        </w:tc>
        <w:tc>
          <w:tcPr>
            <w:tcW w:w="4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12/31/10</w:t>
            </w:r>
          </w:p>
        </w:tc>
        <w:tc>
          <w:tcPr>
            <w:tcW w:w="4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12/31/11</w:t>
            </w:r>
          </w:p>
        </w:tc>
        <w:tc>
          <w:tcPr>
            <w:tcW w:w="24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12/31/12</w:t>
            </w: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3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Inc.</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S&amp;P 500 Index</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126</w:t>
            </w:r>
          </w:p>
        </w:tc>
        <w:tc>
          <w:tcPr>
            <w:tcW w:w="4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146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149</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172</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Dow Jones Waste &amp; Disposal Services Index</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640" w:type="dxa"/>
            <w:vAlign w:val="bottom"/>
          </w:tcPr>
          <w:p>
            <w:pPr>
              <w:jc w:val="right"/>
              <w:ind w:right="156"/>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quarterly dividends have been declared and approved by our Board of Directors and paid in accordance with our financial plans. Cash dividends declared and paid were $683 million in 2013, or $1.46 per common share, $658 million in 2012, or $1.42 per common share, and $637 million in 2011, or $1.36 per common share.</w:t>
      </w:r>
    </w:p>
    <w:p>
      <w:pPr>
        <w:spacing w:after="0" w:line="14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In February 2014, we announced that our Board of Directors expects to increase the quarterly dividend from $0.365 to $0.375 per share for dividends declared in 2014. However, all future dividend declarations are at the discretion of the Board of Directors and depend on various factors, including our net earnings, financial condition, cash required for future business plans and other factors the Board may deem relevant.</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share repurchases have been made in accordance with financial plans approved by our Board of Directors. In December 2012, the Board of Directors authorized up to $500 million in share repurchases, and we repurchased $239 million of our common stock pursuant to that authorization in 2013. In February 2014, the Board of Directors authorized up to $600 million in future share repurchases; this authorization both replaces and increases the amount that remained available for share repurchases under the prior authorization. Any future share repurchases will be made at the discretion of management, and will depend on factors similar to those considered by the Board in making dividend declarations.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common stock repurchases made during the fourth quarter of 2013:</w:t>
      </w:r>
    </w:p>
    <w:p>
      <w:pPr>
        <w:spacing w:after="0" w:line="3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Approximate Maximum</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3"/>
              </w:rPr>
              <w:t>Average</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Dollar Value of Shares that</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3100" w:type="dxa"/>
            <w:vAlign w:val="bottom"/>
            <w:gridSpan w:val="2"/>
            <w:vMerge w:val="restart"/>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840" w:type="dxa"/>
            <w:vAlign w:val="bottom"/>
          </w:tcPr>
          <w:p>
            <w:pPr>
              <w:spacing w:after="0"/>
              <w:rPr>
                <w:sz w:val="12"/>
                <w:szCs w:val="12"/>
                <w:color w:val="auto"/>
              </w:rPr>
            </w:pPr>
          </w:p>
        </w:tc>
        <w:tc>
          <w:tcPr>
            <w:tcW w:w="158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91"/>
              </w:rPr>
              <w:t>Price Paid</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Announced Plans or</w:t>
            </w:r>
          </w:p>
        </w:tc>
        <w:tc>
          <w:tcPr>
            <w:tcW w:w="840" w:type="dxa"/>
            <w:vAlign w:val="bottom"/>
          </w:tcPr>
          <w:p>
            <w:pPr>
              <w:spacing w:after="0"/>
              <w:rPr>
                <w:sz w:val="12"/>
                <w:szCs w:val="12"/>
                <w:color w:val="auto"/>
              </w:rPr>
            </w:pPr>
          </w:p>
        </w:tc>
        <w:tc>
          <w:tcPr>
            <w:tcW w:w="1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3100" w:type="dxa"/>
            <w:vAlign w:val="bottom"/>
            <w:gridSpan w:val="2"/>
            <w:vMerge w:val="continue"/>
          </w:tcPr>
          <w:p>
            <w:pPr>
              <w:spacing w:after="0"/>
              <w:rPr>
                <w:sz w:val="14"/>
                <w:szCs w:val="14"/>
                <w:color w:val="auto"/>
              </w:rPr>
            </w:pPr>
          </w:p>
        </w:tc>
        <w:tc>
          <w:tcPr>
            <w:tcW w:w="7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Purchased</w:t>
            </w:r>
          </w:p>
        </w:tc>
        <w:tc>
          <w:tcPr>
            <w:tcW w:w="840" w:type="dxa"/>
            <w:vAlign w:val="bottom"/>
          </w:tcPr>
          <w:p>
            <w:pPr>
              <w:spacing w:after="0"/>
              <w:rPr>
                <w:sz w:val="14"/>
                <w:szCs w:val="14"/>
                <w:color w:val="auto"/>
              </w:rPr>
            </w:pPr>
          </w:p>
        </w:tc>
        <w:tc>
          <w:tcPr>
            <w:tcW w:w="15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per Share(a)</w:t>
            </w:r>
          </w:p>
        </w:tc>
        <w:tc>
          <w:tcPr>
            <w:tcW w:w="11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Programs</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5"/>
              </w:rPr>
              <w:t>the Plans or Programs</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350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October 1 — 31</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ind w:left="840"/>
              <w:spacing w:after="0" w:line="203" w:lineRule="exact"/>
              <w:rPr>
                <w:sz w:val="20"/>
                <w:szCs w:val="20"/>
                <w:color w:val="auto"/>
              </w:rPr>
            </w:pPr>
            <w:r>
              <w:rPr>
                <w:rFonts w:ascii="Arial" w:cs="Arial" w:eastAsia="Arial" w:hAnsi="Arial"/>
                <w:sz w:val="18"/>
                <w:szCs w:val="18"/>
                <w:color w:val="auto"/>
                <w:w w:val="90"/>
              </w:rPr>
              <w:t>500 million</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November 1 — 30</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2,071,715</w:t>
            </w:r>
          </w:p>
        </w:tc>
        <w:tc>
          <w:tcPr>
            <w:tcW w:w="960" w:type="dxa"/>
            <w:vAlign w:val="bottom"/>
            <w:gridSpan w:val="2"/>
          </w:tcPr>
          <w:p>
            <w:pPr>
              <w:ind w:left="84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44.86</w:t>
            </w:r>
          </w:p>
        </w:tc>
        <w:tc>
          <w:tcPr>
            <w:tcW w:w="8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2,071,715</w:t>
            </w:r>
          </w:p>
        </w:tc>
        <w:tc>
          <w:tcPr>
            <w:tcW w:w="920" w:type="dxa"/>
            <w:vAlign w:val="bottom"/>
            <w:gridSpan w:val="2"/>
          </w:tcPr>
          <w:p>
            <w:pPr>
              <w:ind w:left="840"/>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ind w:left="840"/>
              <w:spacing w:after="0"/>
              <w:rPr>
                <w:sz w:val="20"/>
                <w:szCs w:val="20"/>
                <w:color w:val="auto"/>
              </w:rPr>
            </w:pPr>
            <w:r>
              <w:rPr>
                <w:rFonts w:ascii="Arial" w:cs="Arial" w:eastAsia="Arial" w:hAnsi="Arial"/>
                <w:sz w:val="18"/>
                <w:szCs w:val="18"/>
                <w:color w:val="auto"/>
              </w:rPr>
              <w:t>407 million</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 — 31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3,296,214</w:t>
            </w:r>
          </w:p>
        </w:tc>
        <w:tc>
          <w:tcPr>
            <w:tcW w:w="9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8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3,296,214</w:t>
            </w:r>
          </w:p>
        </w:tc>
        <w:tc>
          <w:tcPr>
            <w:tcW w:w="920" w:type="dxa"/>
            <w:vAlign w:val="bottom"/>
            <w:gridSpan w:val="2"/>
            <w:shd w:val="clear" w:color="auto" w:fill="CCEEFF"/>
          </w:tcPr>
          <w:p>
            <w:pPr>
              <w:ind w:left="840"/>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261 million</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3500" w:type="dxa"/>
            <w:vAlign w:val="bottom"/>
            <w:gridSpan w:val="3"/>
          </w:tcPr>
          <w:p>
            <w:pPr>
              <w:ind w:left="22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5,367,929</w:t>
            </w:r>
          </w:p>
        </w:tc>
        <w:tc>
          <w:tcPr>
            <w:tcW w:w="960" w:type="dxa"/>
            <w:vAlign w:val="bottom"/>
            <w:gridSpan w:val="2"/>
          </w:tcPr>
          <w:p>
            <w:pPr>
              <w:ind w:left="84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44.55</w:t>
            </w:r>
          </w:p>
        </w:tc>
        <w:tc>
          <w:tcPr>
            <w:tcW w:w="84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5,367,929</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4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1860" w:hanging="5612"/>
        <w:spacing w:after="0" w:line="440" w:lineRule="auto"/>
        <w:tabs>
          <w:tab w:leader="none" w:pos="4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amount represents the weighted average price paid per share and includes a per-share commission paid for all repurchases. 32</w:t>
      </w:r>
    </w:p>
    <w:p>
      <w:pPr>
        <w:sectPr>
          <w:pgSz w:w="11900" w:h="16838" w:orient="portrait"/>
          <w:cols w:equalWidth="0" w:num="1">
            <w:col w:w="11280"/>
          </w:cols>
          <w:pgMar w:left="240" w:top="459" w:right="3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information below was derived from the audited Consolidated Financial Statements included in this report and in previous annual reports we filed with the SEC. This information should be read together with those Consolidated Financial Statements and the notes thereto. The adoption of new accounting pronouncements, changes in certain accounting policies and certain reclassifications impact the comparability of the financial information presented below. These historical results are not necessarily indicative of the results to be expected in the future.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8"/>
          </w:tcPr>
          <w:p>
            <w:pPr>
              <w:jc w:val="center"/>
              <w:ind w:left="314"/>
              <w:spacing w:after="0"/>
              <w:rPr>
                <w:sz w:val="20"/>
                <w:szCs w:val="20"/>
                <w:color w:val="auto"/>
              </w:rPr>
            </w:pPr>
            <w:r>
              <w:rPr>
                <w:rFonts w:ascii="Arial" w:cs="Arial" w:eastAsia="Arial" w:hAnsi="Arial"/>
                <w:sz w:val="14"/>
                <w:szCs w:val="14"/>
                <w:b w:val="1"/>
                <w:bCs w:val="1"/>
                <w:color w:val="auto"/>
                <w:w w:val="86"/>
              </w:rPr>
              <w:t>Years Ended December 31,</w:t>
            </w:r>
          </w:p>
        </w:tc>
        <w:tc>
          <w:tcPr>
            <w:tcW w:w="4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Borders>
              <w:bottom w:val="single" w:sz="8" w:color="auto"/>
            </w:tcBorders>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w w:val="99"/>
              </w:rPr>
              <w:t>2013(a)</w:t>
            </w:r>
          </w:p>
        </w:tc>
        <w:tc>
          <w:tcPr>
            <w:tcW w:w="820" w:type="dxa"/>
            <w:vAlign w:val="bottom"/>
            <w:tcBorders>
              <w:bottom w:val="single" w:sz="8" w:color="auto"/>
            </w:tcBorders>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w w:val="99"/>
              </w:rPr>
              <w:t>2012(a)</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w w:val="86"/>
              </w:rPr>
              <w:t>2011(a)</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2010</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10"/>
          </w:tcPr>
          <w:p>
            <w:pPr>
              <w:jc w:val="center"/>
              <w:ind w:right="520"/>
              <w:spacing w:after="0" w:line="142" w:lineRule="exact"/>
              <w:rPr>
                <w:sz w:val="20"/>
                <w:szCs w:val="20"/>
                <w:color w:val="auto"/>
              </w:rPr>
            </w:pPr>
            <w:r>
              <w:rPr>
                <w:rFonts w:ascii="Arial" w:cs="Arial" w:eastAsia="Arial" w:hAnsi="Arial"/>
                <w:sz w:val="14"/>
                <w:szCs w:val="14"/>
                <w:b w:val="1"/>
                <w:bCs w:val="1"/>
                <w:color w:val="auto"/>
                <w:w w:val="86"/>
              </w:rPr>
              <w:t>(In millions, except per share amounts)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83"/>
              </w:rPr>
              <w:t>13,983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13,649</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13,378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12,515</w:t>
            </w: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Operating</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9,112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8,541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7,824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1,468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1,333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1,229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1,194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Restructuring</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Goodwill impairments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509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(Income) expense from divestitures, asset impairments (other than goodwill) and</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unusual items</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83"/>
              </w:rPr>
              <w:t>12,904</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11,798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11,350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10,399</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9,904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1,079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(585)</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(485)</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511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spacing w:after="0"/>
              <w:rPr>
                <w:sz w:val="20"/>
                <w:szCs w:val="20"/>
                <w:color w:val="auto"/>
              </w:rPr>
            </w:pPr>
            <w:r>
              <w:rPr>
                <w:rFonts w:ascii="Arial" w:cs="Arial" w:eastAsia="Arial" w:hAnsi="Arial"/>
                <w:sz w:val="18"/>
                <w:szCs w:val="18"/>
                <w:color w:val="auto"/>
              </w:rPr>
              <w:t>Basic earnings per common share</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80" w:type="dxa"/>
            <w:vAlign w:val="bottom"/>
            <w:gridSpan w:val="3"/>
            <w:vMerge w:val="continue"/>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0.21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2.05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1.98</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80" w:type="dxa"/>
            <w:vAlign w:val="bottom"/>
            <w:gridSpan w:val="3"/>
            <w:vMerge w:val="continue"/>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1.42</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1.36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1.26</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4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 (at end of period):</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Working capital (deficit)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(689)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and other intangible assets,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6,599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83"/>
              </w:rPr>
              <w:t>22,603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23,097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22,569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21,476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including current portion</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10,226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Total Waste Management, Inc. stockholders’ equity</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5,707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6,070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6,260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6,002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4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40" w:hanging="452"/>
        <w:spacing w:after="0" w:line="306"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 more information regarding these financial data, see Item 7. Management’s Discussion and Analysis of Financial Condition and Results of Operations included in this report. For disclosures associated with the impact of the adoption of new accounting pronouncements and changes in our accounting policies on the comparability of this information, see Note 2 to the Consolidated Financial Statements.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This section includes a discussion of our results of operations for the three years ended December 31, 2013. This discussion may contain forward-looking statements that anticipate results based on management’s plans that are subject to uncertainty. We discuss in more detail various factors that could cause actual results to differ from expectations in Item 1A, </w:t>
      </w:r>
      <w:r>
        <w:rPr>
          <w:rFonts w:ascii="Arial" w:cs="Arial" w:eastAsia="Arial" w:hAnsi="Arial"/>
          <w:sz w:val="18"/>
          <w:szCs w:val="18"/>
          <w:i w:val="1"/>
          <w:iCs w:val="1"/>
          <w:color w:val="auto"/>
        </w:rPr>
        <w:t>Risk Factors</w:t>
      </w:r>
      <w:r>
        <w:rPr>
          <w:rFonts w:ascii="Arial" w:cs="Arial" w:eastAsia="Arial" w:hAnsi="Arial"/>
          <w:sz w:val="18"/>
          <w:szCs w:val="18"/>
          <w:color w:val="auto"/>
        </w:rPr>
        <w:t>. The following discussion should be read in light of that disclosure and together with the Consolidated Financial Statements and the notes to the Consolidated Financial Statements.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Every day, we are helping industries, communities and individuals reduce, reuse and remove waste better through sound sustainability strategies. We have a precise day-to-day focus on collecting and handling our customers’ waste efficiently and responsibly. Meanwhile, we are also developing and implementing new ways to handle and extract value from waste. Our employees are committed to delivering environmental performance — our mission is to maximize resource value, while minimizing environmental impact, so that both our economy and our environment can thrive. Drawing on our resources and experience, we actively pursue projects and initiatives that benefit the waste industry, the customers and communities we serve and the environment.</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also committed to providing long-term value to our stockholders by successfully executing on our strategic goals of optimizing our business, knowing and servicing the customer better than anyone else, and extracting more value from the materials we handle. In pursuit of these long-term goals, we have sharpened our focus on the following key priorities:</w:t>
      </w:r>
    </w:p>
    <w:p>
      <w:pPr>
        <w:spacing w:after="0" w:line="59" w:lineRule="exact"/>
        <w:rPr>
          <w:sz w:val="20"/>
          <w:szCs w:val="20"/>
          <w:color w:val="auto"/>
        </w:rPr>
      </w:pPr>
    </w:p>
    <w:p>
      <w:pPr>
        <w:ind w:left="700" w:hanging="24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Pursue revenue growth through customer-focused segmentation, pricing discipline and strategic acquisitions;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Continually emphasize cost control and investment in technology and systems that enhance the efficiency of our operations; and</w:t>
      </w:r>
    </w:p>
    <w:p>
      <w:pPr>
        <w:spacing w:after="0" w:line="90" w:lineRule="exact"/>
        <w:rPr>
          <w:rFonts w:ascii="Arial" w:cs="Arial" w:eastAsia="Arial" w:hAnsi="Arial"/>
          <w:sz w:val="18"/>
          <w:szCs w:val="18"/>
          <w:color w:val="auto"/>
        </w:rPr>
      </w:pPr>
    </w:p>
    <w:p>
      <w:pPr>
        <w:ind w:left="700" w:right="160" w:hanging="246"/>
        <w:spacing w:after="0" w:line="268"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 in emerging technologies that offer alternatives to traditional disposal and generate additional value from the waste, recycling and other streams we manage.</w:t>
      </w:r>
    </w:p>
    <w:p>
      <w:pPr>
        <w:spacing w:after="0" w:line="5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believe that execution of our strategy through these key priorities will drive continued growth and leadership in a dynamic industry, as customers increasingly seek non-traditional solutions.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Notable items of our 2013 financial results include:</w:t>
      </w:r>
    </w:p>
    <w:p>
      <w:pPr>
        <w:spacing w:after="0" w:line="90" w:lineRule="exact"/>
        <w:rPr>
          <w:sz w:val="20"/>
          <w:szCs w:val="20"/>
          <w:color w:val="auto"/>
        </w:rPr>
      </w:pPr>
    </w:p>
    <w:p>
      <w:pPr>
        <w:ind w:left="700" w:right="340" w:hanging="246"/>
        <w:spacing w:after="0" w:line="298" w:lineRule="auto"/>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Revenues of $14.0 billion in 2013 compared with $13.6 billion in 2012, an increase of $334 million, or 2.4%. This increase in revenues is primarily attributable to (i) positive revenue growth from yield on our collection and disposal operations of $235 million, or 2.1%, and (ii) revenue from acquisitions, driven in large part by our acquisitions of Greenstar and RCI, which increased revenues by $138 million and $80 million, respectively. These increases were partially offset by lower volumes, which decreased our revenues by $133 million;</w:t>
      </w:r>
    </w:p>
    <w:p>
      <w:pPr>
        <w:spacing w:after="0" w:line="31" w:lineRule="exact"/>
        <w:rPr>
          <w:rFonts w:ascii="Arial" w:cs="Arial" w:eastAsia="Arial" w:hAnsi="Arial"/>
          <w:sz w:val="16"/>
          <w:szCs w:val="16"/>
          <w:color w:val="auto"/>
        </w:rPr>
      </w:pPr>
    </w:p>
    <w:p>
      <w:pPr>
        <w:ind w:left="700" w:right="20" w:hanging="246"/>
        <w:spacing w:after="0" w:line="254"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expenses of $9.1 billion in 2013, or 65.2% of revenues, compared with $8.9 billion, or 65.1% of revenues, in 2012. This increase of $233 million is largely due to (i) our acquisition of Greenstar, which increased operating expenses by $131 million, and was primarily related to cost of goods sold and, to a lesser extent, labor and related benefits and other categories; (ii) higher labor and related benefits due to merit increases and higher incentive compensation costs attributed to higher anticipated payouts and (iii) higher costs from the acquired RCI operations, primarily subcontractor costs and, to a lesser extent, cost of goods sold. The increases attributable to Greenstar and RCI were incurred in connection with the acquisition revenues discussed above;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700" w:right="140" w:hanging="246"/>
        <w:spacing w:after="0" w:line="306"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Selling, general and administrative expenses of $1,468 million in 2013, or 10.5% of revenues, compared with $1,472 million, or 10.8% of revenues, in 2012. This decrease of $4 million is primarily due to our restructuring efforts and cost control initiatives and the collection of reserved receivables in Puerto Rico offset, in part, by higher compensation costs due to an increase in the accrual for incentive plan payouts due to improved performance;</w:t>
      </w:r>
    </w:p>
    <w:p>
      <w:pPr>
        <w:spacing w:after="0" w:line="25" w:lineRule="exact"/>
        <w:rPr>
          <w:rFonts w:ascii="Arial" w:cs="Arial" w:eastAsia="Arial" w:hAnsi="Arial"/>
          <w:sz w:val="16"/>
          <w:szCs w:val="16"/>
          <w:color w:val="auto"/>
        </w:rPr>
      </w:pPr>
    </w:p>
    <w:p>
      <w:pPr>
        <w:ind w:left="700" w:right="100" w:hanging="246"/>
        <w:spacing w:after="0" w:line="268"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Income from operations of $1.1 billion, or 7.7% of revenues, in 2013 compared with $1.9 billion, or 13.6% of revenues, in 2012, the decrease of which is primarily attributable to the impairment charges discussed below;</w:t>
      </w:r>
    </w:p>
    <w:p>
      <w:pPr>
        <w:spacing w:after="0" w:line="50" w:lineRule="exact"/>
        <w:rPr>
          <w:rFonts w:ascii="Arial" w:cs="Arial" w:eastAsia="Arial" w:hAnsi="Arial"/>
          <w:sz w:val="18"/>
          <w:szCs w:val="18"/>
          <w:color w:val="auto"/>
        </w:rPr>
      </w:pPr>
    </w:p>
    <w:p>
      <w:pPr>
        <w:ind w:left="700" w:right="300" w:hanging="246"/>
        <w:spacing w:after="0" w:line="332"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Net income attributable to Waste Management, Inc. of $98 million, or $0.21 per diluted share for 2013, as compared with $817 million, or $1.76 per diluted share for 2012, the decrease of which is primarily attributable to the impairment charges discussed below;</w:t>
      </w:r>
    </w:p>
    <w:p>
      <w:pPr>
        <w:spacing w:after="0" w:line="4" w:lineRule="exact"/>
        <w:rPr>
          <w:rFonts w:ascii="Arial" w:cs="Arial" w:eastAsia="Arial" w:hAnsi="Arial"/>
          <w:sz w:val="16"/>
          <w:szCs w:val="16"/>
          <w:color w:val="auto"/>
        </w:rPr>
      </w:pPr>
    </w:p>
    <w:p>
      <w:pPr>
        <w:ind w:left="700" w:hanging="246"/>
        <w:spacing w:after="0"/>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Net cash provided by operating activities of $2,455 million in 2013, as compared with $2,295 million in 2012, an increase $160 million; and</w:t>
      </w:r>
    </w:p>
    <w:p>
      <w:pPr>
        <w:spacing w:after="0" w:line="113" w:lineRule="exact"/>
        <w:rPr>
          <w:rFonts w:ascii="Arial" w:cs="Arial" w:eastAsia="Arial" w:hAnsi="Arial"/>
          <w:sz w:val="16"/>
          <w:szCs w:val="16"/>
          <w:color w:val="auto"/>
        </w:rPr>
      </w:pPr>
    </w:p>
    <w:p>
      <w:pPr>
        <w:ind w:left="700" w:right="320" w:hanging="246"/>
        <w:spacing w:after="0" w:line="268"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2013, we returned $683 million and $239 million to our shareholders through dividends and share repurchases, respectively, compared with $658 million through dividends in 2012.</w:t>
      </w:r>
    </w:p>
    <w:p>
      <w:pPr>
        <w:spacing w:after="0" w:line="51"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The following explanation of certain items that impacted the comparability of our 2013 results with 2012 has been provided to support investors’ understanding of our performance. Our 2013 results were affected by the following:</w:t>
      </w:r>
    </w:p>
    <w:p>
      <w:pPr>
        <w:spacing w:after="0" w:line="51" w:lineRule="exact"/>
        <w:rPr>
          <w:sz w:val="20"/>
          <w:szCs w:val="20"/>
          <w:color w:val="auto"/>
        </w:rPr>
      </w:pPr>
    </w:p>
    <w:p>
      <w:pPr>
        <w:ind w:left="700" w:hanging="246"/>
        <w:spacing w:after="0" w:line="294" w:lineRule="auto"/>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recognition of net pre-tax charges aggregating $1.0 billion, primarily related to (i) a $483 million charge to impair goodwill associated with our Wheelabrator business; (ii) $262 million of charges to impair certain landfills, primarily in our Eastern Canada Area; (iii) $144 million of charges to write down the carrying value of three waste-to-energy facilities and (iv) $71 million of impairment charges relating to investments in waste diversion technology companies. We do not expect these impairment charges to materially impact our future results of operations or cash flows. These items had a negative impact of $1.91 on our diluted earnings per share; and</w:t>
      </w:r>
    </w:p>
    <w:p>
      <w:pPr>
        <w:spacing w:after="0" w:line="34" w:lineRule="exact"/>
        <w:rPr>
          <w:rFonts w:ascii="Arial" w:cs="Arial" w:eastAsia="Arial" w:hAnsi="Arial"/>
          <w:sz w:val="16"/>
          <w:szCs w:val="16"/>
          <w:color w:val="auto"/>
        </w:rPr>
      </w:pPr>
    </w:p>
    <w:p>
      <w:pPr>
        <w:ind w:left="700" w:right="720" w:hanging="246"/>
        <w:spacing w:after="0" w:line="332" w:lineRule="auto"/>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recognition of pre-tax charges aggregating $23 million primarily related to our acquisitions of Greenstar and RCI as well as our July 2012 restructuring and other charges. These items had a negative impact of $0.03 on our diluted earnings per share.</w:t>
      </w:r>
    </w:p>
    <w:p>
      <w:pPr>
        <w:spacing w:after="0" w:line="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explanation of certain notable items that impacted the comparability of our 2012 results with 2011 has been provided to support investors’ understanding of our performance. Our 2012 results were affected by the following:</w:t>
      </w:r>
    </w:p>
    <w:p>
      <w:pPr>
        <w:spacing w:after="0" w:line="51" w:lineRule="exact"/>
        <w:rPr>
          <w:sz w:val="20"/>
          <w:szCs w:val="20"/>
          <w:color w:val="auto"/>
        </w:rPr>
      </w:pPr>
    </w:p>
    <w:p>
      <w:pPr>
        <w:ind w:left="700" w:right="200" w:hanging="246"/>
        <w:spacing w:after="0" w:line="332" w:lineRule="auto"/>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recognition of pre-tax impairment charges aggregating $109 million attributable primarily to facilities in our medical waste services business and investments in waste diversion technologies. These items had a negative impact of $0.17 on our diluted earnings per share;</w:t>
      </w:r>
    </w:p>
    <w:p>
      <w:pPr>
        <w:spacing w:after="0" w:line="4" w:lineRule="exact"/>
        <w:rPr>
          <w:rFonts w:ascii="Arial" w:cs="Arial" w:eastAsia="Arial" w:hAnsi="Arial"/>
          <w:sz w:val="16"/>
          <w:szCs w:val="16"/>
          <w:color w:val="auto"/>
        </w:rPr>
      </w:pPr>
    </w:p>
    <w:p>
      <w:pPr>
        <w:ind w:left="700" w:right="540" w:hanging="246"/>
        <w:spacing w:after="0" w:line="332" w:lineRule="auto"/>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recognition of pre-tax restructuring costs aggregating $82 million primarily related to our July 2012 restructuring as well as integration costs associated with our acquisition of Oakleaf. These items had a negative impact of $0.11 on our diluted earnings per share;</w:t>
      </w:r>
    </w:p>
    <w:p>
      <w:pPr>
        <w:spacing w:after="0" w:line="4" w:lineRule="exact"/>
        <w:rPr>
          <w:rFonts w:ascii="Arial" w:cs="Arial" w:eastAsia="Arial" w:hAnsi="Arial"/>
          <w:sz w:val="16"/>
          <w:szCs w:val="16"/>
          <w:color w:val="auto"/>
        </w:rPr>
      </w:pPr>
    </w:p>
    <w:p>
      <w:pPr>
        <w:ind w:left="700" w:right="200" w:hanging="246"/>
        <w:spacing w:after="0" w:line="332" w:lineRule="auto"/>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recognition of a pre-tax charge of $10 million related to the withdrawal from an underfunded multiemployer pension plan and a pre-tax charge of $6 million resulting from a labor union dispute. These items had a negative impact of $0.02 on our diluted earnings per share; and</w:t>
      </w:r>
    </w:p>
    <w:p>
      <w:pPr>
        <w:spacing w:after="0" w:line="4" w:lineRule="exact"/>
        <w:rPr>
          <w:rFonts w:ascii="Arial" w:cs="Arial" w:eastAsia="Arial" w:hAnsi="Arial"/>
          <w:sz w:val="16"/>
          <w:szCs w:val="16"/>
          <w:color w:val="auto"/>
        </w:rPr>
      </w:pPr>
    </w:p>
    <w:p>
      <w:pPr>
        <w:ind w:left="700" w:right="100" w:hanging="246"/>
        <w:spacing w:after="0" w:line="357" w:lineRule="auto"/>
        <w:tabs>
          <w:tab w:leader="none" w:pos="7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recognition of pre-tax charges aggregating $10 million related to an accrual for legal reserves and the impact of a decrease in the risk-free discount rate used to measure our environmental remediation liabilities. These items had a negative impact of $0.01 on our diluted earnings per share.</w:t>
      </w:r>
    </w:p>
    <w:p>
      <w:pPr>
        <w:ind w:left="460"/>
        <w:spacing w:after="0"/>
        <w:rPr>
          <w:sz w:val="20"/>
          <w:szCs w:val="20"/>
          <w:color w:val="auto"/>
        </w:rPr>
      </w:pPr>
      <w:r>
        <w:rPr>
          <w:rFonts w:ascii="Arial" w:cs="Arial" w:eastAsia="Arial" w:hAnsi="Arial"/>
          <w:sz w:val="18"/>
          <w:szCs w:val="18"/>
          <w:color w:val="auto"/>
        </w:rPr>
        <w:t>Our 2011 results were affected by the following:</w:t>
      </w:r>
    </w:p>
    <w:p>
      <w:pPr>
        <w:spacing w:after="0" w:line="90" w:lineRule="exact"/>
        <w:rPr>
          <w:sz w:val="20"/>
          <w:szCs w:val="20"/>
          <w:color w:val="auto"/>
        </w:rPr>
      </w:pPr>
    </w:p>
    <w:p>
      <w:pPr>
        <w:ind w:left="5620" w:right="20" w:hanging="5166"/>
        <w:spacing w:after="0" w:line="440" w:lineRule="auto"/>
        <w:tabs>
          <w:tab w:leader="none" w:pos="69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recognition of a pre-tax charge of $24 million as a result of a litigation loss, which had a negative impact of $0.03 on our diluted earnings per share; 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jc w:val="both"/>
        <w:ind w:left="700" w:right="320" w:hanging="246"/>
        <w:spacing w:after="0" w:line="259"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recognition of pre-tax restructuring charges, excluding charges recognized in the operating results of Oakleaf, of $17 million related to our cost savings programs. These charges were primarily related to employee severance and benefit costs and had a negative impact of $0.02 on our diluted earnings per share;</w:t>
      </w:r>
    </w:p>
    <w:p>
      <w:pPr>
        <w:spacing w:after="0" w:line="59" w:lineRule="exact"/>
        <w:rPr>
          <w:rFonts w:ascii="Arial" w:cs="Arial" w:eastAsia="Arial" w:hAnsi="Arial"/>
          <w:sz w:val="18"/>
          <w:szCs w:val="18"/>
          <w:color w:val="auto"/>
        </w:rPr>
      </w:pPr>
    </w:p>
    <w:p>
      <w:pPr>
        <w:ind w:left="700" w:right="180" w:hanging="246"/>
        <w:spacing w:after="0" w:line="332" w:lineRule="auto"/>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reduction in pre-tax earnings of approximately $11 million related to the Oakleaf acquisition, which includes the operating results of Oakleaf and related interest expense and integration costs. These items had a negative impact of $0.01 on our diluted earnings per share;</w:t>
      </w:r>
    </w:p>
    <w:p>
      <w:pPr>
        <w:spacing w:after="0" w:line="4" w:lineRule="exact"/>
        <w:rPr>
          <w:rFonts w:ascii="Arial" w:cs="Arial" w:eastAsia="Arial" w:hAnsi="Arial"/>
          <w:sz w:val="16"/>
          <w:szCs w:val="16"/>
          <w:color w:val="auto"/>
        </w:rPr>
      </w:pPr>
    </w:p>
    <w:p>
      <w:pPr>
        <w:ind w:left="700" w:right="220" w:hanging="246"/>
        <w:spacing w:after="0" w:line="268"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recognition of a favorable pre-tax benefit of $9 million from a revision to an environmental remediation liability at a closed landfill, which had a positive impact of $0.01 on our diluted earnings per share;</w:t>
      </w:r>
    </w:p>
    <w:p>
      <w:pPr>
        <w:spacing w:after="0" w:line="50" w:lineRule="exact"/>
        <w:rPr>
          <w:rFonts w:ascii="Arial" w:cs="Arial" w:eastAsia="Arial" w:hAnsi="Arial"/>
          <w:sz w:val="18"/>
          <w:szCs w:val="18"/>
          <w:color w:val="auto"/>
        </w:rPr>
      </w:pPr>
    </w:p>
    <w:p>
      <w:pPr>
        <w:ind w:left="700" w:right="520" w:hanging="246"/>
        <w:spacing w:after="0" w:line="268"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recognition of non-cash, pre-tax asset impairment charges of $9 million primarily related to two of our medical waste services facilities. The impairment charges had a negative impact of $0.01 on our diluted earnings per share; and</w:t>
      </w:r>
    </w:p>
    <w:p>
      <w:pPr>
        <w:spacing w:after="0" w:line="50" w:lineRule="exact"/>
        <w:rPr>
          <w:rFonts w:ascii="Arial" w:cs="Arial" w:eastAsia="Arial" w:hAnsi="Arial"/>
          <w:sz w:val="18"/>
          <w:szCs w:val="18"/>
          <w:color w:val="auto"/>
        </w:rPr>
      </w:pPr>
    </w:p>
    <w:p>
      <w:pPr>
        <w:ind w:left="700" w:right="160" w:hanging="246"/>
        <w:spacing w:after="0" w:line="268"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recognition of a tax benefit of $19 million due to favorable tax audit settlements and favorable adjustments relating to the finalization of our 2010 tax returns. These items had a positive impact of $0.04 on our diluted earnings per share.</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experienced notably stronger free cash flow in 2013 when compared to 2012 due to improvements in cash flow from operations, primarily as a result of our pricing discipline. In 2013, we delivered on our prior expectation related to pricing, with internal revenue growth from yield at its highest level for the year in the fourth quarter and greater than 2.0% for the full year for the first time since 2010. Our cash flow also benefitted from our increased focus on capital spending management, and we continued to see the anticipated benefits from our cost savings programs, including lower selling, general and administrative costs when compared to 2012. Further, we increased the amount we returned to stockholders in 2013 compared to 2012 by increasing our dividend and repurchasing shares. Our fourth quarter and full year results for 2013 have laid a foundation that we expect will benefit us in 2014, allowing us to focus on generating solid earnings and cash flow driven by increased yield and cost controls. We also expect to continue to use our free cash flow to pay our dividends, repurchase shares, reduce debt and make appropriate acquisitions and investments in our traditional solid waste business.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Free Cash Flow</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As is our practice, 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(net of cash divested) and other sales of assets.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However, we believe free cash flow gives investors useful insight into how we view our liquidity. Nevertheless, the use of free cash flow as a liquidity measure has material limitations because it excludes certain expenditures that are required or that we have committed to, such as declared dividend payments and debt service requirements.</w:t>
      </w:r>
    </w:p>
    <w:p>
      <w:pPr>
        <w:spacing w:after="0" w:line="3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calculation of free cash flow and reconciliation to “Net cash provided by operating activities” is shown in the table below (in millions), and may not be calculated the same as similarly-titled measures presented by other companies: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87"/>
              </w:rPr>
              <w:t>Years Ended 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2012</w:t>
            </w:r>
          </w:p>
        </w:tc>
        <w:tc>
          <w:tcPr>
            <w:tcW w:w="580" w:type="dxa"/>
            <w:vAlign w:val="bottom"/>
          </w:tcPr>
          <w:p>
            <w:pPr>
              <w:spacing w:after="0"/>
              <w:rPr>
                <w:sz w:val="12"/>
                <w:szCs w:val="12"/>
                <w:color w:val="auto"/>
              </w:rPr>
            </w:pPr>
          </w:p>
        </w:tc>
        <w:tc>
          <w:tcPr>
            <w:tcW w:w="66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$ 2,455</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2,295</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$ 2,469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Capital expenditures</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(1,271)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(1,510)</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w w:val="92"/>
              </w:rPr>
              <w:t>Proceeds from divestitures of businesses (net of cash divested) and other sales of assets (a)</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Free cash flow</w:t>
            </w:r>
          </w:p>
        </w:tc>
        <w:tc>
          <w:tcPr>
            <w:tcW w:w="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60" w:type="dxa"/>
            <w:vAlign w:val="bottom"/>
            <w:vMerge w:val="continue"/>
          </w:tcPr>
          <w:p>
            <w:pPr>
              <w:spacing w:after="0"/>
              <w:rPr>
                <w:sz w:val="19"/>
                <w:szCs w:val="19"/>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$ 1,322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829</w:t>
            </w:r>
          </w:p>
        </w:tc>
        <w:tc>
          <w:tcPr>
            <w:tcW w:w="58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$ 1,198</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5160"/>
              <w:spacing w:after="0"/>
              <w:rPr>
                <w:sz w:val="20"/>
                <w:szCs w:val="20"/>
                <w:color w:val="auto"/>
              </w:rPr>
            </w:pPr>
            <w:r>
              <w:rPr>
                <w:rFonts w:ascii="Arial" w:cs="Arial" w:eastAsia="Arial" w:hAnsi="Arial"/>
                <w:sz w:val="18"/>
                <w:szCs w:val="18"/>
                <w:color w:val="auto"/>
              </w:rPr>
              <w:t>36</w:t>
            </w: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9436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2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Proceeds from divestitures of businesses for the year ended December 31, 2011 included the receipt of a payment of $17 million related to a note receivable from a prior year divestiture. This receipt is included as a component of “Other” within “Cash flows from investing activities” in our Consolidated Statement of Cash Flows.</w:t>
      </w:r>
    </w:p>
    <w:p>
      <w:pPr>
        <w:spacing w:after="0" w:line="59"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color w:val="auto"/>
        </w:rPr>
        <w:t>When comparing our cash flows from operating activities for the year ended December 31, 2013 to the comparable period in 2012, the increase of $160 million was primarily related to the impact of higher cash earnings, favorable impacts of working capital changes and the payment of $59 million to settle the liabilities associated with the termination of our forward starting swaps in September 2012. The increase was partially offset by an increase in tax payments of $145 million and the favorable cash receipt of $72 million resulting from the termination of interest rate swaps in April 2012.</w:t>
      </w:r>
    </w:p>
    <w:p>
      <w:pPr>
        <w:spacing w:after="0" w:line="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When comparing our cash flows from operating activities for the year ended December 31, 2012 to the comparable period in 2011, the decrease of $174 million was primarily related to the impact of lower cash earnings, an increase in tax payments of $63 million, the payment of $59 million to settle the liabilities associated with the termination of our forward starting swaps in September 2012 and unfavorable impacts of working capital changes. The decrease was partially offset by a favorable cash receipt of $72 million resulting from the termination of interest rate swaps in April 2012.</w:t>
      </w:r>
    </w:p>
    <w:p>
      <w:pPr>
        <w:spacing w:after="0" w:line="32"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decrease in capital expenditures when comparing the year ended December 31, 2013 to the comparable period can generally be attributed to increased focus on capital spending management. The increase in capital expenditures when comparing the year ended December 31, 2012 to the comparable period in 2011 is a result of our increased spending on compressed natural gas vehicles, related fueling infrastructure and growth initiatives, and the impact of timing differences associated with cash payments for the previous years’ fourth quarter capital spending. We generally use a significant portion of our free cash flow on capital spending in the fourth quarter of each year. A more significant portion of our fourth quarter 2011 spending was paid in cash in 2012 than in the preceding year.</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i w:val="1"/>
          <w:iCs w:val="1"/>
          <w:color w:val="auto"/>
        </w:rPr>
        <w:t xml:space="preserve">Greenstar, LLC </w:t>
      </w:r>
      <w:r>
        <w:rPr>
          <w:rFonts w:ascii="Arial" w:cs="Arial" w:eastAsia="Arial" w:hAnsi="Arial"/>
          <w:sz w:val="16"/>
          <w:szCs w:val="16"/>
          <w:color w:val="auto"/>
        </w:rPr>
        <w:t>— On January 31, 2013, we paid $170 million inclusive of certain adjustments, to acquire Greenstar, LLC (“Greenstar”). Pursuant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 and purchase agreement, up to an additional $40 million is payable to the sellers during the period from 2014 to 2018, of which $20 million is guaranteed. The remaining $20 million of this consideration is contingent based on changes in certain recyclable commodity indexes and had a preliminary estimated fair value at closing of $16 million. Greenstar was an operator of recycling and resource recovery facilities. This acquisition provides the Company’s customers with greater access to recycling solutions, having supplemented our extensive nationwide recycling network with the operations of one of the nation’s largest private recyclers. Since the acquisition date, the Greenstar business has recognized revenues of $139 million and net losses of $17 million, which are included in our Consolidated Statement of Operations.</w:t>
      </w:r>
    </w:p>
    <w:p>
      <w:pPr>
        <w:spacing w:after="0" w:line="3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RCI Environnement, Inc. </w:t>
      </w:r>
      <w:r>
        <w:rPr>
          <w:rFonts w:ascii="Arial" w:cs="Arial" w:eastAsia="Arial" w:hAnsi="Arial"/>
          <w:sz w:val="16"/>
          <w:szCs w:val="16"/>
          <w:color w:val="auto"/>
        </w:rPr>
        <w:t>— On July 5, 2013, we paid C$509 million, or $481 million, to acquire substantially all of the assets of RCI Environnement, Inc.</w:t>
      </w:r>
      <w:r>
        <w:rPr>
          <w:rFonts w:ascii="Arial" w:cs="Arial" w:eastAsia="Arial" w:hAnsi="Arial"/>
          <w:sz w:val="16"/>
          <w:szCs w:val="16"/>
          <w:i w:val="1"/>
          <w:iCs w:val="1"/>
          <w:color w:val="auto"/>
        </w:rPr>
        <w:t xml:space="preserve"> </w:t>
      </w:r>
      <w:r>
        <w:rPr>
          <w:rFonts w:ascii="Arial" w:cs="Arial" w:eastAsia="Arial" w:hAnsi="Arial"/>
          <w:sz w:val="16"/>
          <w:szCs w:val="16"/>
          <w:color w:val="auto"/>
        </w:rPr>
        <w:t>(“RCI”), the largest waste management company in Quebec, and certain related entities. Total consideration, inclusive of amounts for estimated working capital, was C$515 million, or $487 million. RCI provides collection, transfer, recycling and disposal operations throughout the Greater Montreal area. The acquired RCI operations complement and expand the Company’s existing assets and operations in Quebec. Since the acquisition date, the RCI business has recognized revenues of $87 million and net income of $7 million, which are included in our Consolidated Statement of Operations.</w:t>
      </w:r>
    </w:p>
    <w:p>
      <w:pPr>
        <w:spacing w:after="0" w:line="3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Oakleaf Global Holdings </w:t>
      </w:r>
      <w:r>
        <w:rPr>
          <w:rFonts w:ascii="Arial" w:cs="Arial" w:eastAsia="Arial" w:hAnsi="Arial"/>
          <w:sz w:val="16"/>
          <w:szCs w:val="16"/>
          <w:color w:val="auto"/>
        </w:rPr>
        <w:t>— On July 28, 2011, we paid $432 million, net of cash received of $4 million and inclusive of certain adjustments, to acquire</w:t>
      </w:r>
      <w:r>
        <w:rPr>
          <w:rFonts w:ascii="Arial" w:cs="Arial" w:eastAsia="Arial" w:hAnsi="Arial"/>
          <w:sz w:val="16"/>
          <w:szCs w:val="16"/>
          <w:i w:val="1"/>
          <w:iCs w:val="1"/>
          <w:color w:val="auto"/>
        </w:rPr>
        <w:t xml:space="preserve"> </w:t>
      </w:r>
      <w:r>
        <w:rPr>
          <w:rFonts w:ascii="Arial" w:cs="Arial" w:eastAsia="Arial" w:hAnsi="Arial"/>
          <w:sz w:val="16"/>
          <w:szCs w:val="16"/>
          <w:color w:val="auto"/>
        </w:rPr>
        <w:t>Oakleaf. Oakleaf provides outsourced waste and recycling services through a nationwide network of third-party haulers. We acquired Oakleaf to advance our growth and transformation strategies and increase our national accounts customer base while enhancing our ability to provide comprehensive environmental solutions. For the year ended December 31, 2011, subsequent to the acquisition date, Oakleaf recognized revenues of $265 million and net income of less than $1 million, which are included in our Consolidated Statement of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 of Consolidated Financial Information</w:t>
      </w:r>
    </w:p>
    <w:p>
      <w:pPr>
        <w:spacing w:after="0" w:line="90"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5"/>
          <w:szCs w:val="15"/>
          <w:i w:val="1"/>
          <w:iCs w:val="1"/>
          <w:color w:val="auto"/>
        </w:rPr>
        <w:t xml:space="preserve">Comprehensive Income </w:t>
      </w:r>
      <w:r>
        <w:rPr>
          <w:rFonts w:ascii="Arial" w:cs="Arial" w:eastAsia="Arial" w:hAnsi="Arial"/>
          <w:sz w:val="15"/>
          <w:szCs w:val="15"/>
          <w:color w:val="auto"/>
        </w:rPr>
        <w:t>— In February 2013, the Financial Accounting Standards Board (“FASB”) issued amended authoritative guidance associated with</w:t>
      </w:r>
      <w:r>
        <w:rPr>
          <w:rFonts w:ascii="Arial" w:cs="Arial" w:eastAsia="Arial" w:hAnsi="Arial"/>
          <w:sz w:val="15"/>
          <w:szCs w:val="15"/>
          <w:i w:val="1"/>
          <w:iCs w:val="1"/>
          <w:color w:val="auto"/>
        </w:rPr>
        <w:t xml:space="preserve"> </w:t>
      </w:r>
      <w:r>
        <w:rPr>
          <w:rFonts w:ascii="Arial" w:cs="Arial" w:eastAsia="Arial" w:hAnsi="Arial"/>
          <w:sz w:val="15"/>
          <w:szCs w:val="15"/>
          <w:color w:val="auto"/>
        </w:rPr>
        <w:t>comprehensive income, which requires companies to provide information about the amounts that are reclassified out of accumulated other comprehensive income by component. Additionally, companies are required to present significant amounts reclassified out of accumulated other comprehensive income by the respective line items of net income. The amendment to authoritative guidance associated with comprehensive income was effective for the Company on January 1, 2013.</w:t>
      </w:r>
    </w:p>
    <w:p>
      <w:pPr>
        <w:spacing w:after="0" w:line="3"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adoption of this guidance did not have a material impact on our consolidated financial statements. We have presented the information required by this amendment in Note 14 to the Consolidated Financial Statements.</w:t>
      </w:r>
    </w:p>
    <w:p>
      <w:pPr>
        <w:spacing w:after="0" w:line="57"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In June 2011, the FASB issued amended authoritative guidance associated with comprehensive income, which requires companies to present the total of comprehensive income, the components of net income, and the components of other comprehensive income either in a single continuous statement of comprehensive income or in two separate but consecutive statements. This update eliminates the option to present the components of other comprehensive income as part of the statement of changes in equity. The amendments to authoritative guidance associated with comprehensive income were effective for the Company on January 1, 2012 and have been applied retrospectively. The adoption of this guidance did not have a material impact on our consolidated financial statements.</w:t>
      </w:r>
    </w:p>
    <w:p>
      <w:pPr>
        <w:spacing w:after="0" w:line="6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Indefinite-Lived Intangible Assets Impairment Testing </w:t>
      </w:r>
      <w:r>
        <w:rPr>
          <w:rFonts w:ascii="Arial" w:cs="Arial" w:eastAsia="Arial" w:hAnsi="Arial"/>
          <w:sz w:val="16"/>
          <w:szCs w:val="16"/>
          <w:color w:val="auto"/>
        </w:rPr>
        <w:t>— In July 2012, the FASB amended authoritative guidance associated with indefinite-lived</w:t>
      </w:r>
      <w:r>
        <w:rPr>
          <w:rFonts w:ascii="Arial" w:cs="Arial" w:eastAsia="Arial" w:hAnsi="Arial"/>
          <w:sz w:val="16"/>
          <w:szCs w:val="16"/>
          <w:i w:val="1"/>
          <w:iCs w:val="1"/>
          <w:color w:val="auto"/>
        </w:rPr>
        <w:t xml:space="preserve"> </w:t>
      </w:r>
      <w:r>
        <w:rPr>
          <w:rFonts w:ascii="Arial" w:cs="Arial" w:eastAsia="Arial" w:hAnsi="Arial"/>
          <w:sz w:val="16"/>
          <w:szCs w:val="16"/>
          <w:color w:val="auto"/>
        </w:rPr>
        <w:t>intangible assets impairment testing. The amended guidance provides companies the option to first assess qualitative factors to determine whether the existence of events or circumstances leads to a determination that it is more likely than not that the indefinite-lived intangible asset is impaired. If, after assessing the totality of events or circumstances, an entity determines it is not more likely than not that the indefinite-lived intangible asset is impaired, then the entity is not required to take further action. The amendments were effective for indefinite-lived intangible impairment tests performed for fiscal years beginning after September 15, 2012; however, early adoption was permitted. The Company’s early adoption of this guidance in 2012 did not have an impact on our consolidated financial statements. Additional information on impairment testing can be found in Note 3 to the Consolidated Financial Statements.</w:t>
      </w:r>
    </w:p>
    <w:p>
      <w:pPr>
        <w:spacing w:after="0" w:line="3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auto"/>
        </w:rPr>
        <w:t xml:space="preserve">Fair Value Measurement </w:t>
      </w:r>
      <w:r>
        <w:rPr>
          <w:rFonts w:ascii="Arial" w:cs="Arial" w:eastAsia="Arial" w:hAnsi="Arial"/>
          <w:sz w:val="16"/>
          <w:szCs w:val="16"/>
          <w:color w:val="auto"/>
        </w:rPr>
        <w:t>— In May 2011, the FASB amended authoritative guidance associated with fair value measurements. This amended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defines certain requirements for measuring fair value and for disclosing information about fair value measurements in accordance with GAAP. The amendments to authoritative guidance associated with fair value measurements were effective for the Company on January 1, 2012 and have been applied prospectively. The adoption of this guidance did not have a material impact on our consolidated financial statements.</w:t>
      </w:r>
    </w:p>
    <w:p>
      <w:pPr>
        <w:spacing w:after="0" w:line="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Goodwill Impairment Testing </w:t>
      </w:r>
      <w:r>
        <w:rPr>
          <w:rFonts w:ascii="Arial" w:cs="Arial" w:eastAsia="Arial" w:hAnsi="Arial"/>
          <w:sz w:val="16"/>
          <w:szCs w:val="16"/>
          <w:color w:val="auto"/>
        </w:rPr>
        <w:t>— In September 2011, the FASB amended authoritative guidance associated with goodwill impairment testing. The amended</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provides companies the option to first assess qualitative factors to determine whether the existence of events or circumstances leads to a determination that it is more likely than not that the fair value of a reporting unit is less than its carrying amount before performing the two-step impairment test. If, after assessing the totality of events or circumstances, an entity determines it is not more likely than not that the fair value of a reporting unit is less than its carrying amount, then performing the two-step impairment test is unnecessary. The amendments were effective for goodwill impairment tests performed for fiscal years beginning after December 15, 2011; however, early adoption was permitted. The Company’s early adoption of this guidance in 2011 did not have an impact on our consolidated financial statements. Additional information on impairment testing can be found in Note 3 to the Consolidated Financial Statements.</w:t>
      </w:r>
    </w:p>
    <w:p>
      <w:pPr>
        <w:spacing w:after="0" w:line="37"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i w:val="1"/>
          <w:iCs w:val="1"/>
          <w:color w:val="auto"/>
        </w:rPr>
        <w:t xml:space="preserve">Multiple-Deliverable Revenue Arrangements </w:t>
      </w:r>
      <w:r>
        <w:rPr>
          <w:rFonts w:ascii="Arial" w:cs="Arial" w:eastAsia="Arial" w:hAnsi="Arial"/>
          <w:sz w:val="18"/>
          <w:szCs w:val="18"/>
          <w:color w:val="auto"/>
        </w:rPr>
        <w:t>— In October 2009, the FASB amended authoritative guidance associated with multiple-deliverable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This amended guidance addresses the determination of when individual deliverables within an arrangement are required to be treated as separate units of accounting and modifies the manner in which consideration is allocated across the separately identifiable deliverables. The amendments to authoritative guidance associated with multiple-deliverable revenue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arrangements became effective for the Company on January 1, 2011. The new accounting standard has been applied prospectively to arrangements entered into or materially modified after the date of adoption. The adoption of this guidance has not had a material impact on our consolidated financial statements.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Estimates and Assumptions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Each of these items is discussed in additional detail below. Actual results could differ materially from the estimates and assumptions that we use in the preparation of our financial statements.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Landfills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Accounting for landfills requires that significant estimates and assumptions be made regarding (i) the cost to construct and develop each landfill asset;</w:t>
      </w:r>
    </w:p>
    <w:p>
      <w:pPr>
        <w:spacing w:after="0" w:line="38" w:lineRule="exact"/>
        <w:rPr>
          <w:sz w:val="20"/>
          <w:szCs w:val="20"/>
          <w:color w:val="auto"/>
        </w:rPr>
      </w:pPr>
    </w:p>
    <w:p>
      <w:pPr>
        <w:ind w:firstLine="8"/>
        <w:spacing w:after="0" w:line="352" w:lineRule="auto"/>
        <w:tabs>
          <w:tab w:leader="none" w:pos="258"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estimated fair value of final capping, closure and post-closure asset retirement obligations, which must consider both the expected cost and timing of these activities; (iii) the determination of each landfill’s remaining permitted and expansion airspace and (iv) the airspace associated with each final capping event.</w:t>
      </w:r>
    </w:p>
    <w:p>
      <w:pPr>
        <w:spacing w:after="0" w:line="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Landfill Costs </w:t>
      </w:r>
      <w:r>
        <w:rPr>
          <w:rFonts w:ascii="Arial" w:cs="Arial" w:eastAsia="Arial" w:hAnsi="Arial"/>
          <w:sz w:val="18"/>
          <w:szCs w:val="18"/>
          <w:color w:val="auto"/>
        </w:rPr>
        <w:t>— We estimate the total cost to develop each of our landfill sites to its remaining permitted and expansion capacity. This estimate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such costs as landfill liner material and installation, excavation for airspace, landfill leachate collection systems, landfill gas collection systems, environmental monitoring equipment for groundwater and landfill gas, directly related engineering, capitalized interest, on-site road construction and other capital infrastructure costs. Additionally, landfill development includes all land purchases for the landfill footprint and required landfill buffer property. The projection of these landfill costs is dependent, in part, on future events. The remaining amortizable basis of each landfill includes costs to develop a site to its remaining permitted and expansion capacity and includes amounts previously expended and capitalized, net of accumulated airspace amortization, and projections of future purchase and development costs.</w:t>
      </w:r>
    </w:p>
    <w:p>
      <w:pPr>
        <w:spacing w:after="0" w:line="6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 xml:space="preserve">Final Capping Costs </w:t>
      </w:r>
      <w:r>
        <w:rPr>
          <w:rFonts w:ascii="Arial" w:cs="Arial" w:eastAsia="Arial" w:hAnsi="Arial"/>
          <w:sz w:val="16"/>
          <w:szCs w:val="16"/>
          <w:color w:val="auto"/>
        </w:rPr>
        <w:t>— We estimate the cost for each final capping event based on the area to be finally capped and the capping materials and activities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The estimates also consider when these costs are anticipated to be paid and factor in inflation and discount rates. Our engineering personnel allocate landfill final capping costs to specific final capping events. The landfill capacity associated with each final capping event is then quantified and the final capping costs for each event are amortized over the related capacity associated with the event as waste is disposed of at the landfill. We review these costs annually, or more often if significant facts change. Changes in estimates, such as timing or cost of construction, for final capping events immediately impact the required liability and the corresponding asset. When the change in estimate relates to a fully consumed asset, the adjustment to the asset must be amortized immediately through expense. When the change in estimate relates to a final capping event that has not been fully consumed, the adjustment to the asset is recognized in income prospectively as a component of landfill airspace amortization.</w:t>
      </w:r>
    </w:p>
    <w:p>
      <w:pPr>
        <w:spacing w:after="0" w:line="3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Closure and Post-Closure Costs </w:t>
      </w:r>
      <w:r>
        <w:rPr>
          <w:rFonts w:ascii="Arial" w:cs="Arial" w:eastAsia="Arial" w:hAnsi="Arial"/>
          <w:sz w:val="16"/>
          <w:szCs w:val="16"/>
          <w:color w:val="auto"/>
        </w:rPr>
        <w:t>— We base our estimates for closure and post-closure costs on our interpretations of permit and regulatory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for closure and post-closure monitoring and maintenance. The estimates for landfill closure and post-closure costs also consider when the costs are anticipated to be paid and factor in inflation and discount rates. The possibility of changing legal and regulatory requirements and the forward-looking nature of these types of costs make any estimation or assumption less certain. Changes in estimates for closure and post-closure events immediately impact the required liability and the corresponding asset. When the change in estimate relates to a fully consumed asset, the adjustment to the asset must be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amortized immediately through expense. When the change in estimate relates to a landfill asset that has not been fully consumed, the adjustment to the asset is recognized in income prospectively as a component of landfill airspace amortization.</w:t>
      </w:r>
    </w:p>
    <w:p>
      <w:pPr>
        <w:spacing w:after="0" w:line="5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Remaining Permitted Airspace </w:t>
      </w:r>
      <w:r>
        <w:rPr>
          <w:rFonts w:ascii="Arial" w:cs="Arial" w:eastAsia="Arial" w:hAnsi="Arial"/>
          <w:sz w:val="18"/>
          <w:szCs w:val="18"/>
          <w:color w:val="auto"/>
        </w:rPr>
        <w:t>— Our engineers, in consultation with third-party engineering consultants and surveyors, are responsible for determining</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permitted airspace at our landfills. The remaining permitted airspace is determined by an annual survey, which is used to compare the existing landfill topography to the expected final landfill topography.</w:t>
      </w:r>
    </w:p>
    <w:p>
      <w:pPr>
        <w:spacing w:after="0" w:line="5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Expansion Airspace </w:t>
      </w:r>
      <w:r>
        <w:rPr>
          <w:rFonts w:ascii="Arial" w:cs="Arial" w:eastAsia="Arial" w:hAnsi="Arial"/>
          <w:sz w:val="18"/>
          <w:szCs w:val="18"/>
          <w:color w:val="auto"/>
        </w:rPr>
        <w:t>— We also include currently unpermitted expansion airspace in our estimate of remaining permitted and expansion airspace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First, to include airspace associated with an expansion effort, we must generally expect the initial expansion permit application to be submitted within one year, and the final expansion permit to be received within five years. Second, we must believe that obtaining the expansion permit is likely, considering the following criteria:</w:t>
      </w:r>
    </w:p>
    <w:p>
      <w:pPr>
        <w:spacing w:after="0" w:line="62" w:lineRule="exact"/>
        <w:rPr>
          <w:sz w:val="20"/>
          <w:szCs w:val="20"/>
          <w:color w:val="auto"/>
        </w:rPr>
      </w:pPr>
    </w:p>
    <w:p>
      <w:pPr>
        <w:ind w:left="700" w:hanging="246"/>
        <w:spacing w:after="0"/>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Personnel are actively working on the expansion of an existing landfill, including efforts to obtain land use and local, state or provincial approvals;</w:t>
      </w:r>
    </w:p>
    <w:p>
      <w:pPr>
        <w:spacing w:after="0" w:line="113" w:lineRule="exact"/>
        <w:rPr>
          <w:rFonts w:ascii="Arial" w:cs="Arial" w:eastAsia="Arial" w:hAnsi="Arial"/>
          <w:sz w:val="16"/>
          <w:szCs w:val="16"/>
          <w:color w:val="auto"/>
        </w:rPr>
      </w:pPr>
    </w:p>
    <w:p>
      <w:pPr>
        <w:ind w:left="700" w:right="180" w:hanging="246"/>
        <w:spacing w:after="0" w:line="268"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is likely that the approvals will be received within the normal application and processing time periods for approvals in the jurisdiction in which the landfill is located;</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a legal right to use or obtain land to be included in the expansion plan;</w:t>
      </w:r>
    </w:p>
    <w:p>
      <w:pPr>
        <w:spacing w:after="0" w:line="90" w:lineRule="exact"/>
        <w:rPr>
          <w:rFonts w:ascii="Arial" w:cs="Arial" w:eastAsia="Arial" w:hAnsi="Arial"/>
          <w:sz w:val="18"/>
          <w:szCs w:val="18"/>
          <w:color w:val="auto"/>
        </w:rPr>
      </w:pPr>
    </w:p>
    <w:p>
      <w:pPr>
        <w:ind w:left="700" w:right="300" w:hanging="246"/>
        <w:spacing w:after="0" w:line="268"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are no significant known technical, legal, community, business, or political restrictions or similar issues that could impair the success of such expansion;</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Financial analysis has been completed, and the results demonstrate that the expansion has a positive financial and operational impact; and</w:t>
      </w:r>
    </w:p>
    <w:p>
      <w:pPr>
        <w:spacing w:after="0" w:line="113" w:lineRule="exact"/>
        <w:rPr>
          <w:rFonts w:ascii="Arial" w:cs="Arial" w:eastAsia="Arial" w:hAnsi="Arial"/>
          <w:sz w:val="16"/>
          <w:szCs w:val="16"/>
          <w:color w:val="auto"/>
        </w:rPr>
      </w:pPr>
    </w:p>
    <w:p>
      <w:pPr>
        <w:ind w:left="700" w:hanging="24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Airspace and related costs, including additional closure and post-closure costs, have been estimated based on conceptual design.</w:t>
      </w:r>
    </w:p>
    <w:p>
      <w:pPr>
        <w:spacing w:after="0" w:line="90"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For unpermitted airspace to be initially included in our estimate of remaining permitted and expansion airspace, the expansion effort must meet all of the criteria listed above. 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and a review by the Audit Committee of our Board of Directors on a quarterly basis. Of the 25 landfill sites with expansions included at December 31, 2013, seven landfills required the Chief Financial Officer to approve the inclusion of the unpermitted airspace. Three of these landfills required approval by our Chief Financial Officer because of community or political opposition that could impede the expansion process. The remaining four landfills required approval due to local zoning restrictions or because the permit application processes do not meet the one- or five-year requirements.</w:t>
      </w:r>
    </w:p>
    <w:p>
      <w:pPr>
        <w:spacing w:after="0" w:line="2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amortization basis of the landfill.</w:t>
      </w:r>
    </w:p>
    <w:p>
      <w:pPr>
        <w:spacing w:after="0" w:line="5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Once the remaining permitted and expansion airspace is determined in cubic yards, an airspace utilization factor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take into account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459"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59"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amortization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32"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or higher expenses; or higher profitability may result if the opposite occurs. Most significantly, if it is determined that expansion capacity should no longer be considered in calculating the recoverability of a landfill asset, we may be required to recognize an asset impairment or incur significantly higher amortization expense. If at any time management makes the decision to abandon the expansion effort, the capitalized costs related to the expansion effort are expensed immediately.</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Environmental Remediation Liabilities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subject to an array of laws and regulations relating to the protection of the environment. Under current laws and regulations, we may have liabilities for environmental damage caused by operations, or for damage caused by conditions that existed before we acquired a site. These liabilities include potentially responsible party (“PRP”) investigations, settlements, and certain legal and consultant fees, as well as costs directly associated with site investigation and clean up, such as materials, external contractor costs and incremental internal costs directly related to the remedy. We provide for expenses associated with environmental remediation obligations when such amounts are probable and can be reasonably estimated. We routinely review and evaluate sites that require remediation and determine our estimated cost for the likely remedy based on a number of estimates and assumptions.</w:t>
      </w:r>
    </w:p>
    <w:p>
      <w:pPr>
        <w:spacing w:after="0" w:line="3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Where it is probable that a liability has been incurred, we estimate costs required to remediate sites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type of information with respect to other named and unnamed PRPs. Estimates of the costs for the likely remedy are then either developed using our internal resources or by third-party environmental engineers or other service providers. Internally developed estimates are based on:</w:t>
      </w:r>
    </w:p>
    <w:p>
      <w:pPr>
        <w:spacing w:after="0" w:line="35" w:lineRule="exact"/>
        <w:rPr>
          <w:sz w:val="20"/>
          <w:szCs w:val="20"/>
          <w:color w:val="auto"/>
        </w:rPr>
      </w:pPr>
    </w:p>
    <w:p>
      <w:pPr>
        <w:ind w:left="700" w:hanging="24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Management’s judgment and experience in remediating our own and unrelated parties’ sites;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Information available from regulatory agencies as to costs of remediation;</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number, financial resources and relative degree of responsibility of other PRPs who may be liable for remediation of a specific site; and</w:t>
      </w:r>
    </w:p>
    <w:p>
      <w:pPr>
        <w:spacing w:after="0" w:line="113" w:lineRule="exact"/>
        <w:rPr>
          <w:rFonts w:ascii="Arial" w:cs="Arial" w:eastAsia="Arial" w:hAnsi="Arial"/>
          <w:sz w:val="16"/>
          <w:szCs w:val="16"/>
          <w:color w:val="auto"/>
        </w:rPr>
      </w:pPr>
    </w:p>
    <w:p>
      <w:pPr>
        <w:ind w:left="700" w:hanging="24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typical allocation of costs among PRPs, unless the actual allocation has been determined.</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Asset Impairments</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Our long-lived assets, including landfills and landfill expansions, are carried on our financial statements based on their cost less accumulated depreciation or amortization. We monitor the carrying value of our long-lived assets for potential impairment on a nonrecurring basis and test the recoverability of such assets using significant unobservable (“Level 3”) inputs whenever events or changes in circumstances indicate that their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Fair value is generally determined by considering (i) internally developed discounted projected cash flow analysis of the asset or asset group; (ii) actual third-party valuations and/or (iii) information available regarding the current market for similar assets. If the fair value of an asset or asset group is determined to be less than the carrying amount of the asset or asset group, an impairment in the amount of the difference is recorded in the period that the impairment indicator occurs and is included in the “Goodwill impairments” and “(Income) expense from divestitures, asset impairments (other than goodwill) and unusual items” line items in our Consolidated Statement of Operations. Estimating future cash flows requires significant judgment and projections may vary from the cash flows eventually realized, which could impact our ability to accurately assess whether an asset has been impaired.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additional considerations for impairments of landfills, goodwill and other indefinite-lived intangible assets, as described below.</w:t>
      </w:r>
    </w:p>
    <w:p>
      <w:pPr>
        <w:spacing w:after="0" w:line="9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i w:val="1"/>
          <w:iCs w:val="1"/>
          <w:color w:val="auto"/>
        </w:rPr>
        <w:t xml:space="preserve">Landfills </w:t>
      </w:r>
      <w:r>
        <w:rPr>
          <w:rFonts w:ascii="Arial" w:cs="Arial" w:eastAsia="Arial" w:hAnsi="Arial"/>
          <w:sz w:val="16"/>
          <w:szCs w:val="16"/>
          <w:color w:val="auto"/>
        </w:rPr>
        <w:t>— The assessment of impairment indicators and the recoverability of our capitalized costs associated with landfills and related expansion projects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 See Item 7. Management’s Discussion and Analysis of Financial Condition and Results of Operations — </w:t>
      </w:r>
      <w:r>
        <w:rPr>
          <w:rFonts w:ascii="Arial" w:cs="Arial" w:eastAsia="Arial" w:hAnsi="Arial"/>
          <w:sz w:val="16"/>
          <w:szCs w:val="16"/>
          <w:i w:val="1"/>
          <w:iCs w:val="1"/>
          <w:color w:val="auto"/>
        </w:rPr>
        <w:t>Critical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Estimates and Assumptions — Expansion Airspace </w:t>
      </w:r>
      <w:r>
        <w:rPr>
          <w:rFonts w:ascii="Arial" w:cs="Arial" w:eastAsia="Arial" w:hAnsi="Arial"/>
          <w:sz w:val="16"/>
          <w:szCs w:val="16"/>
          <w:color w:val="auto"/>
        </w:rPr>
        <w:t>above for discussion of criteria involved in assessing our likelihood of obtaining an expansion</w:t>
      </w:r>
      <w:r>
        <w:rPr>
          <w:rFonts w:ascii="Arial" w:cs="Arial" w:eastAsia="Arial" w:hAnsi="Arial"/>
          <w:sz w:val="16"/>
          <w:szCs w:val="16"/>
          <w:i w:val="1"/>
          <w:iCs w:val="1"/>
          <w:color w:val="auto"/>
        </w:rPr>
        <w:t xml:space="preserve"> </w:t>
      </w:r>
      <w:r>
        <w:rPr>
          <w:rFonts w:ascii="Arial" w:cs="Arial" w:eastAsia="Arial" w:hAnsi="Arial"/>
          <w:sz w:val="16"/>
          <w:szCs w:val="16"/>
          <w:color w:val="auto"/>
        </w:rPr>
        <w:t>permit. At December 31, 2013, one of our landfill sites for which we believe receipt of the expansion permit is probable, is not currently accepting waste. The net recorded capitalized landfill asset cost for this site was $261 million at December 31, 2013. We performed a test of recoverability for this landfill and the undiscounted cash flows resulting from our probability-weighted estimation approach significantly exceeded the carrying value of this site. During the year ended December 31, 2013, we recognized $262 million of charges to impair certain of our landfills, primarily as a result of our consideration of management’s decision in the fourth quarter of 2013 not to actively pursue expansion and/or development of such landfills. These charges were primarily associated with two landfills in our Eastern Canada Area, which are no longer accepting waste. We had previously concluded that receipt of permits for these landfills was probable. However, in connection with our asset rationalization and capital allocation analysis, which was influenced, in some cases, by our acquisition of RCI, we determined that the future costs to construct these landfills could be avoided as we are able to allocate disposal that would have gone to these landfills to other facilities and not materially impact operations. As a result of management’s decision, we determined that the carrying values of landfill assets were no longer able to be recovered by the undiscounted cash flows attributable to these assets. As such, we wrote their carrying values down to their estimated fair values using a market approach considering the highest and best use of the assets.</w:t>
      </w:r>
    </w:p>
    <w:p>
      <w:pPr>
        <w:spacing w:after="0" w:line="4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See Item 7. Management’s Discussion and Analysis of Financial Condition and Results of Operations — </w:t>
      </w:r>
      <w:r>
        <w:rPr>
          <w:rFonts w:ascii="Arial" w:cs="Arial" w:eastAsia="Arial" w:hAnsi="Arial"/>
          <w:sz w:val="18"/>
          <w:szCs w:val="18"/>
          <w:i w:val="1"/>
          <w:iCs w:val="1"/>
          <w:color w:val="auto"/>
        </w:rPr>
        <w:t>(Income) Expense from Divestitures, Asset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Impairments (Other than Goodwill) </w:t>
      </w:r>
      <w:r>
        <w:rPr>
          <w:rFonts w:ascii="Arial" w:cs="Arial" w:eastAsia="Arial" w:hAnsi="Arial"/>
          <w:sz w:val="18"/>
          <w:szCs w:val="18"/>
          <w:color w:val="auto"/>
        </w:rPr>
        <w:t>and</w:t>
      </w:r>
      <w:r>
        <w:rPr>
          <w:rFonts w:ascii="Arial" w:cs="Arial" w:eastAsia="Arial" w:hAnsi="Arial"/>
          <w:sz w:val="18"/>
          <w:szCs w:val="18"/>
          <w:i w:val="1"/>
          <w:iCs w:val="1"/>
          <w:color w:val="auto"/>
        </w:rPr>
        <w:t xml:space="preserve"> Unusual Items </w:t>
      </w:r>
      <w:r>
        <w:rPr>
          <w:rFonts w:ascii="Arial" w:cs="Arial" w:eastAsia="Arial" w:hAnsi="Arial"/>
          <w:sz w:val="18"/>
          <w:szCs w:val="18"/>
          <w:color w:val="auto"/>
        </w:rPr>
        <w:t>and Note 13 to the Consolidated Financial Statements for additional information related to landfill asset</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impairments recognized during the reported periods.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 At least annually, and more frequently if warranted on a nonrecurring basis, we assess our goodwill for impairment using Level 3 inputs.</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assess whether a goodwill impairment exists using both qualitative and quantitative assessments. Our qualitative assessment involves determining whether events or circumstances exist that indicate it is more likely than not that the fair value of a reporting unit is less than its carrying amount, including goodwill. If based on this qualitative assessment we determine it is not more likely than not that the fair value of a reporting unit is less than its carrying amount, we will not perform a quantitative assessment.</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qualitative assessment indicates that it is more likely than not that the fair value of a reporting unit is less than its carrying amount or if we elect not to perform a qualitative assessment, we perform a quantitative assessment, or two-step impairment test, to determine whether a goodwill impairment exists at the reporting unit. The first step in our quantitative assessment identifies potential impairments by comparing the estimated fair value of the reporting unit to its carrying value, including goodwill. If the carrying value exceeds estimated fair value, there is an indication of potential impairment and the second step is performed to measure the amount of impairment. Fair value is typically estimated using a combination of the income approach and market approach or only an income approach when applicable. The income approach is based on the long-term projected future cash flows of the reporting units. We discount the estimated cash flows to present value using a weighted-average cost of capital that considers factors such as market assumptions, the timing of the cash flows and the risks inherent in those cash flows. We believe that this approach is appropriate because it provides a fair value estimate based upon the reporting units’ expected long-term performance considering the economic and market conditions that generally affect our business. The market approach estimates fair value by measuring the aggregate market value of publicly-traded companies with similar characteristics to our business as a multiple of their reported cash flows. We then apply that multiple to the reporting units’ cash flows to estimate their fair values. We believe that this approach is appropriate because it provides a fair value estimate using valuation inputs from entities with operations and economic characteristics comparable to our reporting units.</w:t>
      </w:r>
    </w:p>
    <w:p>
      <w:pPr>
        <w:spacing w:after="0" w:line="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Fair value computed by these two methods is arrived at using a number of factors, including projected future operating results, economic projections, anticipated future cash flows, comparable marketplace data and the cost of capital. There are inherent uncertainties related to these factors and to our judgment in applying them to this analysis. However, we believe that these two methods provide a reasonable approach to estimating the fair value of our reporting units.</w:t>
      </w:r>
    </w:p>
    <w:p>
      <w:pPr>
        <w:spacing w:after="0" w:line="2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a result of our annual fourth quarter impairment tests for our Wheelabrator business during the years ended December 31, 2012 and 2011, we concluded that goodwill was not impaired. In the second quarter of 2012, we believed an impairment indicator existed such that the fair value of our Wheelabrator business could potentially be less than its carrying amount because of the negative effect on our revenues of the continued deterioration of electricity commodity prices, coupled with our continued increased exposure to market prices as a result of the expiration of several long-term, fixed-rate electricity commodity contracts at our waste-to-energy and independent power facilities, and the expiration of several long-term disposal contracts at above-market rates. We performed the interim quantitative assessment using both an income and a market approach in the second quarter of 2012, which indicated that the estimated fair value of our Wheelabrator business exceeded its carrying value. In the fourth quarter of 2012, we again performed our annual impairment test of our goodwill balances, which indicated that the estimated fair value of our Wheelabrator business exceeded its carrying value by approximately 10% compared to an excess of 30% at our annual fourth quarter 2011 test. This quantitative assessment was performed using both an income and market approach.</w:t>
      </w:r>
    </w:p>
    <w:p>
      <w:pPr>
        <w:spacing w:after="0" w:line="3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During 2013, we noted no indicators of impairment that required us to perform an interim impairment test; however, during our annual impairment test of our goodwill balances we determined the fair value of our Wheelabrator business had declined and the associated goodwill was impaired. As a result, we recognized an impairment charge of $483 million, which had no related tax benefit. We estimated the implied fair value of our Wheelabrator reporting unit goodwill using a combination of income and market approaches. Because the annual impairment test indicated that Wheelabrator’s carrying value exceeded its estimated fair value, we performed the “step two” analysis. In the “step two” analysis, the fair values of all assets and liabilities were estimated, including tangible assets, power contracts, customer relationships and trade name for the purpose of deriving an estimate of the implied fair value of goodwill. The implied fair value of goodwill was then compared to the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carrying amount of goodwill to determine the amount of the impairment. The factors contributing to the $483 million goodwill impairment charge principally relate to the continued challenging business environment in areas of the country in which Wheelabrator operates, characterized by lower available disposal volumes (which impact disposal rates and overall disposal revenue, as well as the amount of electricity Wheelabrator is able to generate), lower electricity pricing due to the pricing pressure created by availability of natural gas and increased operating costs as our facilities age. These factors caused us, relative to the 2012 impairment test, to lower assumptions for electricity and disposal revenue, and increase assumed operating costs. Additionally, the discount factor utilized in the income approach increased relative to that utilized in 2012 mainly due to increases in interest rates. If market prices for electricity are lower than our projections, our disposal volumes or rates decline, our costs or capital expenditures exceed our forecasts or our costs of capital increase, the estimated fair value of our Wheelabrator business could further decrease and potentially result in an additional impairment charge in a future period. We will continue to monitor our Wheelabrator business and the recoverability of the remaining $305 million goodwill balance.</w:t>
      </w:r>
    </w:p>
    <w:p>
      <w:pPr>
        <w:spacing w:after="0" w:line="3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a result of our annual fourth quarter impairment tests for our Eastern Canada Area during the years ended December 31, 2013, 2012 and 2011, we concluded that goodwill was not impaired. In 2013 and 2012, our annual goodwill impairment tests indicated that the estimated fair value of our Eastern Canada Area exceeded its carrying value by approximately 15% and 5%, respectively. These quantitative assessments were performed using both an income and market approach. If we do not achieve our anticipated disposal volumes, our collection or disposal rates decline, our costs or capital expenditures exceed our forecasts, costs of capital increase, or we do not receive anticipated landfill expansions, the estimated fair value of our Eastern Canada Area could decrease and potentially result in an impairment charge in a future period. We will continue to monitor our Eastern Canada Area.</w:t>
      </w:r>
    </w:p>
    <w:p>
      <w:pPr>
        <w:spacing w:after="0" w:line="39"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 xml:space="preserve">See Item 7. Management’s Discussion and Analysis of Financial Condition and Results of Operations — </w:t>
      </w:r>
      <w:r>
        <w:rPr>
          <w:rFonts w:ascii="Arial" w:cs="Arial" w:eastAsia="Arial" w:hAnsi="Arial"/>
          <w:sz w:val="16"/>
          <w:szCs w:val="16"/>
          <w:i w:val="1"/>
          <w:iCs w:val="1"/>
          <w:color w:val="auto"/>
        </w:rPr>
        <w:t>Goodwill Impairments</w:t>
      </w:r>
      <w:r>
        <w:rPr>
          <w:rFonts w:ascii="Arial" w:cs="Arial" w:eastAsia="Arial" w:hAnsi="Arial"/>
          <w:sz w:val="16"/>
          <w:szCs w:val="16"/>
          <w:color w:val="auto"/>
        </w:rPr>
        <w:t xml:space="preserve"> and Notes 6 and 13 to the Consolidated Financial Statements for additional information related to goodwill impairments recognized during the reported periods.</w:t>
      </w:r>
    </w:p>
    <w:p>
      <w:pPr>
        <w:spacing w:after="0" w:line="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 xml:space="preserve">Indefinite-Lived Intangible Assets Other Than Goodwill </w:t>
      </w:r>
      <w:r>
        <w:rPr>
          <w:rFonts w:ascii="Arial" w:cs="Arial" w:eastAsia="Arial" w:hAnsi="Arial"/>
          <w:sz w:val="18"/>
          <w:szCs w:val="18"/>
          <w:color w:val="auto"/>
        </w:rPr>
        <w:t>— At least annually, and more frequently if warranted, we assess indefinite-lived intangible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goodwill for impairment.</w:t>
      </w:r>
    </w:p>
    <w:p>
      <w:pPr>
        <w:spacing w:after="0" w:line="5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When performing the impairment test for indefinite-lived intangible assets, we generally first conduct a qualitative analysis to determine whether we believe it is more likely than not that an asset has been impaired. If we believe an impairment has occurred, we then evaluate for impairment by comparing the estimated fair value of assets to the carrying value. An impairment charge is recognized if the asset’s estimated fair value is less than its carrying value.</w:t>
      </w:r>
    </w:p>
    <w:p>
      <w:pPr>
        <w:spacing w:after="0" w:line="2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Fair value is typically estimated using an income approach. The income approach is based on the long-term projected future cash flows. We discount the estimated cash flows to present value using a weighted-average cost of capital that considers factors such as market assumptions, the timing of the cash flows and the risks inherent in those cash flows. We believe that this approach is appropriate because it provides a fair value estimate based upon the expected long-term performance considering the economic and market conditions that generally affect our business.</w:t>
      </w:r>
    </w:p>
    <w:p>
      <w:pPr>
        <w:spacing w:after="0" w:line="32"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Fair value computed by this method is arrived at using a number of factors, including projected future operating results, economic projections, anticipated future cash flows, comparable marketplace data and the cost of capital. There are inherent uncertainties related to these factors and to our judgment in applying them to this analysis. However, we believe that this method provides a reasonable approach to estimating the fair value of the reporting units.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Income Taxes</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Deferred income taxes are based on the difference between the financial reporting and tax basis of assets and liabilities. The deferred income tax provision represents the change during the reporting period in the deferred tax assets and deferred tax liabilities, net of the effect of acquisitions and dispositions. Deferred tax assets include tax loss and credit carry-forwards and are reduced by a valuation allowance if, based on available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evidence, it is more likely than not that some portion or all of the deferred tax assets will not be realized. Significant judgment is required in assessing the timing and amounts of deductible and taxable items. We establish reserves for uncertain tax positions when, despite our belief that our tax return positions are fully supportable, we believe that certain positions may be challenged and potentially disallowed. When facts and circumstances change, we adjust these reserves through our provision for income taxes.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Insured and Self-Insured Claims</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have retained a significant portion of the risks related to our health and welfare, automobile, general liability and workers’ compensation insurance programs. Our liabilities associated with the exposure for unpaid claims and associated expenses, including incurred but not reported losses, are based on an actuarial valuation and internal estimates. The accruals for these liabilities could be revised if future occurrences or loss development significantly differ from our assumptions used. Estimated recoveries associated with our insured claims are recorded as assets when we believe that the receipt of such amounts is probable.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90" w:lineRule="exact"/>
        <w:rPr>
          <w:sz w:val="20"/>
          <w:szCs w:val="20"/>
          <w:color w:val="auto"/>
        </w:rPr>
      </w:pPr>
    </w:p>
    <w:p>
      <w:pPr>
        <w:ind w:firstLine="456"/>
        <w:spacing w:after="0" w:line="299" w:lineRule="auto"/>
        <w:rPr>
          <w:sz w:val="20"/>
          <w:szCs w:val="20"/>
          <w:color w:val="auto"/>
        </w:rPr>
      </w:pPr>
      <w:r>
        <w:rPr>
          <w:rFonts w:ascii="Arial" w:cs="Arial" w:eastAsia="Arial" w:hAnsi="Arial"/>
          <w:sz w:val="15"/>
          <w:szCs w:val="15"/>
          <w:color w:val="auto"/>
        </w:rPr>
        <w:t>Our operating revenues generally come from fees charged for our collection, disposal, transfer, recycling and resource recovery, and waste-to-energy services and from sales of commodities by our recycling, waste-to-energy and landfill gas-to-energy operations. Revenues from our collection operations are influenced by factors such as collection frequency, type of collection equipment furnished, type and volume or weight of the waste collected, distance to the disposal facility or MRF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taking into account our cost of loading, transporting and disposing of the solid waste at a disposal site. Recycling revenue generally consists of tipping fees and the sale of recyclable commodities to third parties. The fees we charge for our collection, disposal, transfer and recycling services generally include fuel surcharges, which are indexed to current market costs for diesel fuel. Our waste-to-energy revenues, which are generated by our Wheelabrator business, are based on the type and weight or volume of waste received at our waste-to-energy facilities and IPPs and amounts charged for the sale of energy and steam. Our “Other” lines of business include WM Sustainability Business Services, our landfill gas-to-energy operations, Port-O-Let</w:t>
      </w:r>
      <w:r>
        <w:rPr>
          <w:rFonts w:ascii="Arial" w:cs="Arial" w:eastAsia="Arial" w:hAnsi="Arial"/>
          <w:sz w:val="19"/>
          <w:szCs w:val="19"/>
          <w:color w:val="auto"/>
          <w:vertAlign w:val="superscript"/>
        </w:rPr>
        <w:t>®</w:t>
      </w:r>
      <w:r>
        <w:rPr>
          <w:rFonts w:ascii="Arial" w:cs="Arial" w:eastAsia="Arial" w:hAnsi="Arial"/>
          <w:sz w:val="15"/>
          <w:szCs w:val="15"/>
          <w:color w:val="auto"/>
        </w:rPr>
        <w:t xml:space="preserve"> services, portable self-storage, fluorescent lamp recycling and oil and gas producing properties. Intercompany revenues between our operations have been eliminated in the consolidated financial statements. These operations are presented as “Other” in the table below. Shown below (in millions) is the contribution to revenues during each year by reportable segment:</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2013</w:t>
            </w: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200" w:type="dxa"/>
            <w:vAlign w:val="bottom"/>
          </w:tcPr>
          <w:p>
            <w:pPr>
              <w:spacing w:after="0"/>
              <w:rPr>
                <w:sz w:val="7"/>
                <w:szCs w:val="7"/>
                <w:color w:val="auto"/>
              </w:rPr>
            </w:pPr>
          </w:p>
        </w:tc>
        <w:tc>
          <w:tcPr>
            <w:tcW w:w="4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Solid Waste:</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Tier 1</w:t>
            </w:r>
          </w:p>
        </w:tc>
        <w:tc>
          <w:tcPr>
            <w:tcW w:w="4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3,487</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3,370</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Tier 3</w:t>
            </w: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3,552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3,413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3,329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Solid Waste</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13,477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3"/>
              </w:rPr>
              <w:t>13,056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Wheelabrator</w:t>
            </w: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846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Intercompany</w:t>
            </w: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92"/>
              <w:spacing w:after="0"/>
              <w:rPr>
                <w:sz w:val="20"/>
                <w:szCs w:val="20"/>
                <w:color w:val="auto"/>
              </w:rPr>
            </w:pPr>
            <w:r>
              <w:rPr>
                <w:rFonts w:ascii="Arial" w:cs="Arial" w:eastAsia="Arial" w:hAnsi="Arial"/>
                <w:sz w:val="18"/>
                <w:szCs w:val="18"/>
                <w:color w:val="auto"/>
                <w:w w:val="91"/>
              </w:rPr>
              <w:t>(2,524)</w:t>
            </w: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(2,359)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(2,031)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13,983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3"/>
              </w:rPr>
              <w:t>13,649</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380" w:type="dxa"/>
            <w:vAlign w:val="bottom"/>
            <w:vMerge w:val="restart"/>
          </w:tcPr>
          <w:p>
            <w:pPr>
              <w:jc w:val="right"/>
              <w:ind w:right="2172"/>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mix of operating revenues from our major lines of business is reflected in the table below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2013</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Collection:</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20"/>
              <w:spacing w:after="0"/>
              <w:rPr>
                <w:sz w:val="20"/>
                <w:szCs w:val="20"/>
                <w:color w:val="auto"/>
              </w:rPr>
            </w:pPr>
            <w:r>
              <w:rPr>
                <w:rFonts w:ascii="Arial" w:cs="Arial" w:eastAsia="Arial" w:hAnsi="Arial"/>
                <w:sz w:val="18"/>
                <w:szCs w:val="18"/>
                <w:color w:val="auto"/>
              </w:rPr>
              <w:t>Commercial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3,423</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3,417</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16"/>
        </w:trPr>
        <w:tc>
          <w:tcPr>
            <w:tcW w:w="7600" w:type="dxa"/>
            <w:vAlign w:val="bottom"/>
          </w:tcPr>
          <w:p>
            <w:pPr>
              <w:ind w:left="220"/>
              <w:spacing w:after="0"/>
              <w:rPr>
                <w:sz w:val="20"/>
                <w:szCs w:val="20"/>
                <w:color w:val="auto"/>
              </w:rPr>
            </w:pPr>
            <w:r>
              <w:rPr>
                <w:rFonts w:ascii="Arial" w:cs="Arial" w:eastAsia="Arial" w:hAnsi="Arial"/>
                <w:sz w:val="18"/>
                <w:szCs w:val="18"/>
                <w:color w:val="auto"/>
              </w:rPr>
              <w:t>Industrial</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2,209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2,129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660"/>
              <w:spacing w:after="0"/>
              <w:rPr>
                <w:sz w:val="20"/>
                <w:szCs w:val="20"/>
                <w:color w:val="auto"/>
              </w:rPr>
            </w:pPr>
            <w:r>
              <w:rPr>
                <w:rFonts w:ascii="Arial" w:cs="Arial" w:eastAsia="Arial" w:hAnsi="Arial"/>
                <w:sz w:val="18"/>
                <w:szCs w:val="18"/>
                <w:color w:val="auto"/>
              </w:rPr>
              <w:t>Total collection</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8,513</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8,405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8,406</w:t>
            </w:r>
          </w:p>
        </w:tc>
        <w:tc>
          <w:tcPr>
            <w:tcW w:w="0" w:type="dxa"/>
            <w:vAlign w:val="bottom"/>
          </w:tcPr>
          <w:p>
            <w:pPr>
              <w:spacing w:after="0"/>
              <w:rPr>
                <w:sz w:val="1"/>
                <w:szCs w:val="1"/>
                <w:color w:val="auto"/>
              </w:rPr>
            </w:pPr>
          </w:p>
        </w:tc>
      </w:tr>
      <w:tr>
        <w:trPr>
          <w:trHeight w:val="218"/>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Landfill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Transfer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1,329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1,296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Wheelabrator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Recycling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1,447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1,360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Intercompany(b)</w:t>
            </w:r>
          </w:p>
        </w:tc>
        <w:tc>
          <w:tcPr>
            <w:tcW w:w="100" w:type="dxa"/>
            <w:vAlign w:val="bottom"/>
          </w:tcPr>
          <w:p>
            <w:pPr>
              <w:spacing w:after="0"/>
              <w:rPr>
                <w:sz w:val="18"/>
                <w:szCs w:val="18"/>
                <w:color w:val="auto"/>
              </w:rPr>
            </w:pPr>
          </w:p>
        </w:tc>
        <w:tc>
          <w:tcPr>
            <w:tcW w:w="1000" w:type="dxa"/>
            <w:vAlign w:val="bottom"/>
            <w:gridSpan w:val="2"/>
          </w:tcPr>
          <w:p>
            <w:pPr>
              <w:jc w:val="right"/>
              <w:ind w:right="392"/>
              <w:spacing w:after="0"/>
              <w:rPr>
                <w:sz w:val="20"/>
                <w:szCs w:val="20"/>
                <w:color w:val="auto"/>
              </w:rPr>
            </w:pPr>
            <w:r>
              <w:rPr>
                <w:rFonts w:ascii="Arial" w:cs="Arial" w:eastAsia="Arial" w:hAnsi="Arial"/>
                <w:sz w:val="18"/>
                <w:szCs w:val="18"/>
                <w:color w:val="auto"/>
                <w:w w:val="91"/>
              </w:rPr>
              <w:t>(2,524)</w:t>
            </w: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(2,359)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(2,031)</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13,983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3"/>
              </w:rPr>
              <w:t>13,649</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13,378</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following table provides details associated with the period-to-period change in revenues (dollars in millions) along with an explanation of the significant components of the current period changes: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40" w:type="dxa"/>
            <w:vAlign w:val="bottom"/>
            <w:gridSpan w:val="4"/>
          </w:tcPr>
          <w:p>
            <w:pPr>
              <w:jc w:val="center"/>
              <w:ind w:right="1400"/>
              <w:spacing w:after="0"/>
              <w:rPr>
                <w:sz w:val="20"/>
                <w:szCs w:val="20"/>
                <w:color w:val="auto"/>
              </w:rPr>
            </w:pPr>
            <w:r>
              <w:rPr>
                <w:rFonts w:ascii="Arial" w:cs="Arial" w:eastAsia="Arial" w:hAnsi="Arial"/>
                <w:sz w:val="14"/>
                <w:szCs w:val="14"/>
                <w:b w:val="1"/>
                <w:bCs w:val="1"/>
                <w:color w:val="auto"/>
                <w:w w:val="87"/>
              </w:rPr>
              <w:t>Period-to-Period</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w w:val="89"/>
              </w:rPr>
              <w:t>Period-to-Period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3"/>
          </w:tcPr>
          <w:p>
            <w:pPr>
              <w:jc w:val="center"/>
              <w:ind w:right="1500"/>
              <w:spacing w:after="0" w:line="149" w:lineRule="exact"/>
              <w:rPr>
                <w:sz w:val="20"/>
                <w:szCs w:val="20"/>
                <w:color w:val="auto"/>
              </w:rPr>
            </w:pPr>
            <w:r>
              <w:rPr>
                <w:rFonts w:ascii="Arial" w:cs="Arial" w:eastAsia="Arial" w:hAnsi="Arial"/>
                <w:sz w:val="14"/>
                <w:szCs w:val="14"/>
                <w:b w:val="1"/>
                <w:bCs w:val="1"/>
                <w:color w:val="auto"/>
                <w:w w:val="85"/>
              </w:rPr>
              <w:t>Change</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84"/>
              </w:rPr>
              <w:t>2013 vs. 2012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2"/>
              </w:rPr>
              <w:t>2012 vs. 2011</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As a % of</w:t>
            </w:r>
          </w:p>
        </w:tc>
        <w:tc>
          <w:tcPr>
            <w:tcW w:w="9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42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Company(a)</w:t>
            </w:r>
          </w:p>
        </w:tc>
        <w:tc>
          <w:tcPr>
            <w:tcW w:w="9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Company(a)</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Average yield(b)</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(319)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Volume</w:t>
            </w:r>
          </w:p>
        </w:tc>
        <w:tc>
          <w:tcPr>
            <w:tcW w:w="1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5"/>
              </w:rPr>
              <w:t>(133)</w:t>
            </w:r>
          </w:p>
        </w:tc>
        <w:tc>
          <w:tcPr>
            <w:tcW w:w="2340" w:type="dxa"/>
            <w:vAlign w:val="bottom"/>
            <w:gridSpan w:val="3"/>
          </w:tcPr>
          <w:p>
            <w:pPr>
              <w:jc w:val="right"/>
              <w:ind w:right="8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460" w:type="dxa"/>
            <w:vAlign w:val="bottom"/>
            <w:gridSpan w:val="2"/>
          </w:tcPr>
          <w:p>
            <w:pPr>
              <w:jc w:val="right"/>
              <w:ind w:right="32"/>
              <w:spacing w:after="0"/>
              <w:rPr>
                <w:sz w:val="20"/>
                <w:szCs w:val="20"/>
                <w:color w:val="auto"/>
              </w:rPr>
            </w:pPr>
            <w:r>
              <w:rPr>
                <w:rFonts w:ascii="Arial" w:cs="Arial" w:eastAsia="Arial" w:hAnsi="Arial"/>
                <w:sz w:val="18"/>
                <w:szCs w:val="18"/>
                <w:color w:val="auto"/>
              </w:rPr>
              <w:t>67</w:t>
            </w:r>
          </w:p>
        </w:tc>
        <w:tc>
          <w:tcPr>
            <w:tcW w:w="1700" w:type="dxa"/>
            <w:vAlign w:val="bottom"/>
            <w:gridSpan w:val="3"/>
          </w:tcPr>
          <w:p>
            <w:pPr>
              <w:jc w:val="right"/>
              <w:ind w:right="2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Internal revenue growth</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(252)</w:t>
            </w:r>
          </w:p>
        </w:tc>
        <w:tc>
          <w:tcPr>
            <w:tcW w:w="1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18"/>
                <w:szCs w:val="18"/>
                <w:color w:val="auto"/>
              </w:rPr>
            </w:pPr>
          </w:p>
        </w:tc>
        <w:tc>
          <w:tcPr>
            <w:tcW w:w="460" w:type="dxa"/>
            <w:vAlign w:val="bottom"/>
            <w:gridSpan w:val="2"/>
          </w:tcPr>
          <w:p>
            <w:pPr>
              <w:jc w:val="right"/>
              <w:ind w:right="32"/>
              <w:spacing w:after="0"/>
              <w:rPr>
                <w:sz w:val="20"/>
                <w:szCs w:val="20"/>
                <w:color w:val="auto"/>
              </w:rPr>
            </w:pPr>
            <w:r>
              <w:rPr>
                <w:rFonts w:ascii="Arial" w:cs="Arial" w:eastAsia="Arial" w:hAnsi="Arial"/>
                <w:sz w:val="18"/>
                <w:szCs w:val="18"/>
                <w:color w:val="auto"/>
              </w:rPr>
              <w:t>292</w:t>
            </w:r>
          </w:p>
        </w:tc>
        <w:tc>
          <w:tcPr>
            <w:tcW w:w="2340" w:type="dxa"/>
            <w:vAlign w:val="bottom"/>
            <w:gridSpan w:val="3"/>
          </w:tcPr>
          <w:p>
            <w:pPr>
              <w:jc w:val="right"/>
              <w:ind w:right="9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460" w:type="dxa"/>
            <w:vAlign w:val="bottom"/>
            <w:gridSpan w:val="2"/>
          </w:tcPr>
          <w:p>
            <w:pPr>
              <w:jc w:val="right"/>
              <w:ind w:right="32"/>
              <w:spacing w:after="0"/>
              <w:rPr>
                <w:sz w:val="20"/>
                <w:szCs w:val="20"/>
                <w:color w:val="auto"/>
              </w:rPr>
            </w:pPr>
            <w:r>
              <w:rPr>
                <w:rFonts w:ascii="Arial" w:cs="Arial" w:eastAsia="Arial" w:hAnsi="Arial"/>
                <w:sz w:val="18"/>
                <w:szCs w:val="18"/>
                <w:color w:val="auto"/>
              </w:rPr>
              <w:t>535</w:t>
            </w:r>
          </w:p>
        </w:tc>
        <w:tc>
          <w:tcPr>
            <w:tcW w:w="1700" w:type="dxa"/>
            <w:vAlign w:val="bottom"/>
            <w:gridSpan w:val="3"/>
          </w:tcPr>
          <w:p>
            <w:pPr>
              <w:jc w:val="right"/>
              <w:ind w:right="2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Divestitures</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340" w:type="dxa"/>
            <w:vAlign w:val="bottom"/>
            <w:gridSpan w:val="3"/>
          </w:tcPr>
          <w:p>
            <w:pPr>
              <w:jc w:val="right"/>
              <w:ind w:right="84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271</w:t>
            </w: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4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Calculated by dividing the amount of current year increase or decrease by the prior year’s total company revenue adjusted to exclude the impacts of current year divestitures ($13,643 million and $13,374 million for 2013 and 2012, respectively).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460" w:right="60" w:hanging="452"/>
        <w:spacing w:after="0" w:line="256"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 We also analyze the changes in average yield in terms of related-business revenues in order to differentiate the changes in yield attributable to our pricing strategies from the changes that are caused by market-driven price changes in commodities. The following table summarizes changes in revenues from average yield on a related-business basis (dollars in millions):</w:t>
      </w:r>
    </w:p>
    <w:p>
      <w:pPr>
        <w:spacing w:after="0" w:line="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5"/>
          </w:tcPr>
          <w:p>
            <w:pPr>
              <w:jc w:val="center"/>
              <w:ind w:right="940"/>
              <w:spacing w:after="0"/>
              <w:rPr>
                <w:sz w:val="20"/>
                <w:szCs w:val="20"/>
                <w:color w:val="auto"/>
              </w:rPr>
            </w:pPr>
            <w:r>
              <w:rPr>
                <w:rFonts w:ascii="Arial" w:cs="Arial" w:eastAsia="Arial" w:hAnsi="Arial"/>
                <w:sz w:val="14"/>
                <w:szCs w:val="14"/>
                <w:b w:val="1"/>
                <w:bCs w:val="1"/>
                <w:color w:val="auto"/>
                <w:w w:val="87"/>
              </w:rPr>
              <w:t>Period-to-Period</w:t>
            </w:r>
          </w:p>
        </w:tc>
        <w:tc>
          <w:tcPr>
            <w:tcW w:w="140" w:type="dxa"/>
            <w:vAlign w:val="bottom"/>
          </w:tcPr>
          <w:p>
            <w:pPr>
              <w:spacing w:after="0"/>
              <w:rPr>
                <w:sz w:val="14"/>
                <w:szCs w:val="14"/>
                <w:color w:val="auto"/>
              </w:rPr>
            </w:pPr>
          </w:p>
        </w:tc>
        <w:tc>
          <w:tcPr>
            <w:tcW w:w="18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Period-to-Period</w:t>
            </w:r>
          </w:p>
        </w:tc>
      </w:tr>
      <w:tr>
        <w:trPr>
          <w:trHeight w:val="149"/>
        </w:trPr>
        <w:tc>
          <w:tcPr>
            <w:tcW w:w="11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3"/>
          </w:tcPr>
          <w:p>
            <w:pPr>
              <w:jc w:val="center"/>
              <w:ind w:right="1380"/>
              <w:spacing w:after="0" w:line="149" w:lineRule="exact"/>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Change</w:t>
            </w:r>
          </w:p>
        </w:tc>
      </w:tr>
      <w:tr>
        <w:trPr>
          <w:trHeight w:val="161"/>
        </w:trPr>
        <w:tc>
          <w:tcPr>
            <w:tcW w:w="11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gridSpan w:val="4"/>
          </w:tcPr>
          <w:p>
            <w:pPr>
              <w:jc w:val="center"/>
              <w:ind w:right="1260"/>
              <w:spacing w:after="0"/>
              <w:rPr>
                <w:sz w:val="20"/>
                <w:szCs w:val="20"/>
                <w:color w:val="auto"/>
              </w:rPr>
            </w:pPr>
            <w:r>
              <w:rPr>
                <w:rFonts w:ascii="Arial" w:cs="Arial" w:eastAsia="Arial" w:hAnsi="Arial"/>
                <w:sz w:val="14"/>
                <w:szCs w:val="14"/>
                <w:b w:val="1"/>
                <w:bCs w:val="1"/>
                <w:color w:val="auto"/>
                <w:w w:val="84"/>
              </w:rPr>
              <w:t>2013 vs. 2012</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4"/>
              </w:rPr>
              <w:t>2012 vs. 2011</w:t>
            </w:r>
          </w:p>
        </w:tc>
      </w:tr>
      <w:tr>
        <w:trPr>
          <w:trHeight w:val="129"/>
        </w:trPr>
        <w:tc>
          <w:tcPr>
            <w:tcW w:w="114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As a % of</w:t>
            </w:r>
          </w:p>
        </w:tc>
        <w:tc>
          <w:tcPr>
            <w:tcW w:w="7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200" w:type="dxa"/>
            <w:vAlign w:val="bottom"/>
          </w:tcPr>
          <w:p>
            <w:pPr>
              <w:spacing w:after="0"/>
              <w:rPr>
                <w:sz w:val="11"/>
                <w:szCs w:val="11"/>
                <w:color w:val="auto"/>
              </w:rPr>
            </w:pPr>
          </w:p>
        </w:tc>
      </w:tr>
      <w:tr>
        <w:trPr>
          <w:trHeight w:val="149"/>
        </w:trPr>
        <w:tc>
          <w:tcPr>
            <w:tcW w:w="11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Related</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Related</w:t>
            </w:r>
          </w:p>
        </w:tc>
      </w:tr>
      <w:tr>
        <w:trPr>
          <w:trHeight w:val="161"/>
        </w:trPr>
        <w:tc>
          <w:tcPr>
            <w:tcW w:w="11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580" w:type="dxa"/>
            <w:vAlign w:val="bottom"/>
          </w:tcPr>
          <w:p>
            <w:pPr>
              <w:spacing w:after="0"/>
              <w:rPr>
                <w:sz w:val="14"/>
                <w:szCs w:val="14"/>
                <w:color w:val="auto"/>
              </w:rPr>
            </w:pPr>
          </w:p>
        </w:tc>
        <w:tc>
          <w:tcPr>
            <w:tcW w:w="14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2"/>
              </w:rPr>
              <w:t>Business(i)</w:t>
            </w: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Business(i)</w:t>
            </w:r>
          </w:p>
        </w:tc>
      </w:tr>
      <w:tr>
        <w:trPr>
          <w:trHeight w:val="196"/>
        </w:trPr>
        <w:tc>
          <w:tcPr>
            <w:tcW w:w="59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Average yield:</w:t>
            </w:r>
          </w:p>
        </w:tc>
        <w:tc>
          <w:tcPr>
            <w:tcW w:w="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5900" w:type="dxa"/>
            <w:vAlign w:val="bottom"/>
            <w:gridSpan w:val="2"/>
          </w:tcPr>
          <w:p>
            <w:pPr>
              <w:ind w:left="220"/>
              <w:spacing w:after="0"/>
              <w:rPr>
                <w:sz w:val="20"/>
                <w:szCs w:val="20"/>
                <w:color w:val="auto"/>
              </w:rPr>
            </w:pPr>
            <w:r>
              <w:rPr>
                <w:rFonts w:ascii="Arial" w:cs="Arial" w:eastAsia="Arial" w:hAnsi="Arial"/>
                <w:sz w:val="18"/>
                <w:szCs w:val="18"/>
                <w:color w:val="auto"/>
              </w:rPr>
              <w:t>Collection, landfill and transfer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241</w:t>
            </w:r>
          </w:p>
        </w:tc>
        <w:tc>
          <w:tcPr>
            <w:tcW w:w="120" w:type="dxa"/>
            <w:vAlign w:val="bottom"/>
          </w:tcPr>
          <w:p>
            <w:pPr>
              <w:spacing w:after="0"/>
              <w:rPr>
                <w:sz w:val="18"/>
                <w:szCs w:val="18"/>
                <w:color w:val="auto"/>
              </w:rPr>
            </w:pPr>
          </w:p>
        </w:tc>
        <w:tc>
          <w:tcPr>
            <w:tcW w:w="1980" w:type="dxa"/>
            <w:vAlign w:val="bottom"/>
            <w:gridSpan w:val="3"/>
          </w:tcPr>
          <w:p>
            <w:pPr>
              <w:jc w:val="right"/>
              <w:ind w:right="62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5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Waste-to-energy disposal(ii)</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9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r>
      <w:tr>
        <w:trPr>
          <w:trHeight w:val="221"/>
        </w:trPr>
        <w:tc>
          <w:tcPr>
            <w:tcW w:w="5900" w:type="dxa"/>
            <w:vAlign w:val="bottom"/>
            <w:gridSpan w:val="2"/>
          </w:tcPr>
          <w:p>
            <w:pPr>
              <w:spacing w:after="0"/>
              <w:rPr>
                <w:sz w:val="20"/>
                <w:szCs w:val="20"/>
                <w:color w:val="auto"/>
              </w:rPr>
            </w:pPr>
            <w:r>
              <w:rPr>
                <w:rFonts w:ascii="Arial" w:cs="Arial" w:eastAsia="Arial" w:hAnsi="Arial"/>
                <w:sz w:val="18"/>
                <w:szCs w:val="18"/>
                <w:color w:val="auto"/>
              </w:rPr>
              <w:t>Collection and disposal(ii)</w:t>
            </w:r>
          </w:p>
        </w:tc>
        <w:tc>
          <w:tcPr>
            <w:tcW w:w="1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235</w:t>
            </w:r>
          </w:p>
        </w:tc>
        <w:tc>
          <w:tcPr>
            <w:tcW w:w="120" w:type="dxa"/>
            <w:vAlign w:val="bottom"/>
          </w:tcPr>
          <w:p>
            <w:pPr>
              <w:spacing w:after="0"/>
              <w:rPr>
                <w:sz w:val="19"/>
                <w:szCs w:val="19"/>
                <w:color w:val="auto"/>
              </w:rPr>
            </w:pPr>
          </w:p>
        </w:tc>
        <w:tc>
          <w:tcPr>
            <w:tcW w:w="1980" w:type="dxa"/>
            <w:vAlign w:val="bottom"/>
            <w:gridSpan w:val="3"/>
          </w:tcPr>
          <w:p>
            <w:pPr>
              <w:jc w:val="right"/>
              <w:ind w:right="780"/>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9"/>
                <w:szCs w:val="19"/>
                <w:color w:val="auto"/>
              </w:rPr>
            </w:pPr>
          </w:p>
        </w:tc>
      </w:tr>
      <w:tr>
        <w:trPr>
          <w:trHeight w:val="218"/>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Recycling commodities</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9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(428)</w:t>
            </w: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(26.6)</w:t>
            </w: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Electricity(ii)</w:t>
            </w: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980" w:type="dxa"/>
            <w:vAlign w:val="bottom"/>
            <w:gridSpan w:val="3"/>
          </w:tcPr>
          <w:p>
            <w:pPr>
              <w:jc w:val="right"/>
              <w:ind w:right="78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(3.7)</w:t>
            </w: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surcharges and mandated fees</w:t>
            </w:r>
          </w:p>
        </w:tc>
        <w:tc>
          <w:tcPr>
            <w:tcW w:w="1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r>
      <w:tr>
        <w:trPr>
          <w:trHeight w:val="222"/>
        </w:trPr>
        <w:tc>
          <w:tcPr>
            <w:tcW w:w="5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206</w:t>
            </w:r>
          </w:p>
        </w:tc>
        <w:tc>
          <w:tcPr>
            <w:tcW w:w="120" w:type="dxa"/>
            <w:vAlign w:val="bottom"/>
          </w:tcPr>
          <w:p>
            <w:pPr>
              <w:spacing w:after="0"/>
              <w:rPr>
                <w:sz w:val="19"/>
                <w:szCs w:val="19"/>
                <w:color w:val="auto"/>
              </w:rPr>
            </w:pPr>
          </w:p>
        </w:tc>
        <w:tc>
          <w:tcPr>
            <w:tcW w:w="1980" w:type="dxa"/>
            <w:vAlign w:val="bottom"/>
            <w:gridSpan w:val="3"/>
          </w:tcPr>
          <w:p>
            <w:pPr>
              <w:jc w:val="right"/>
              <w:ind w:right="78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5"/>
              </w:rPr>
              <w:t>(319)</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(2.4)</w:t>
            </w:r>
          </w:p>
        </w:tc>
      </w:tr>
      <w:tr>
        <w:trPr>
          <w:trHeight w:val="20"/>
        </w:trPr>
        <w:tc>
          <w:tcPr>
            <w:tcW w:w="11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90"/>
        </w:trPr>
        <w:tc>
          <w:tcPr>
            <w:tcW w:w="1140" w:type="dxa"/>
            <w:vAlign w:val="bottom"/>
            <w:tcBorders>
              <w:bottom w:val="single" w:sz="8" w:color="auto"/>
            </w:tcBorders>
          </w:tcPr>
          <w:p>
            <w:pPr>
              <w:spacing w:after="0"/>
              <w:rPr>
                <w:sz w:val="7"/>
                <w:szCs w:val="7"/>
                <w:color w:val="auto"/>
              </w:rPr>
            </w:pPr>
          </w:p>
        </w:tc>
        <w:tc>
          <w:tcPr>
            <w:tcW w:w="4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r>
    </w:tbl>
    <w:p>
      <w:pPr>
        <w:spacing w:after="0" w:line="19" w:lineRule="exact"/>
        <w:rPr>
          <w:sz w:val="20"/>
          <w:szCs w:val="20"/>
          <w:color w:val="auto"/>
        </w:rPr>
      </w:pPr>
    </w:p>
    <w:p>
      <w:pPr>
        <w:ind w:left="900" w:right="16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by the prior year’s related business revenue, adjusted to exclude the impacts of divestitures for the current year. The table below summarizes the related business revenues for each year, adjusted to exclude the impacts of divestitures (in millions):</w:t>
      </w:r>
    </w:p>
    <w:p>
      <w:pPr>
        <w:spacing w:after="0" w:line="5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4"/>
          </w:tcPr>
          <w:p>
            <w:pPr>
              <w:ind w:left="520"/>
              <w:spacing w:after="0"/>
              <w:rPr>
                <w:sz w:val="20"/>
                <w:szCs w:val="20"/>
                <w:color w:val="auto"/>
              </w:rPr>
            </w:pPr>
            <w:r>
              <w:rPr>
                <w:rFonts w:ascii="Arial" w:cs="Arial" w:eastAsia="Arial" w:hAnsi="Arial"/>
                <w:sz w:val="14"/>
                <w:szCs w:val="14"/>
                <w:b w:val="1"/>
                <w:bCs w:val="1"/>
                <w:color w:val="auto"/>
              </w:rPr>
              <w:t>Denominator</w:t>
            </w:r>
          </w:p>
        </w:tc>
      </w:tr>
      <w:tr>
        <w:trPr>
          <w:trHeight w:val="142"/>
        </w:trPr>
        <w:tc>
          <w:tcPr>
            <w:tcW w:w="7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2013</w:t>
            </w:r>
          </w:p>
        </w:tc>
        <w:tc>
          <w:tcPr>
            <w:tcW w:w="6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7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Related-business revenues:</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8"/>
                <w:szCs w:val="18"/>
                <w:color w:val="auto"/>
              </w:rPr>
              <w:t>Collection, landfill and transfer</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$10,939</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$10,414</w:t>
            </w:r>
          </w:p>
        </w:tc>
        <w:tc>
          <w:tcPr>
            <w:tcW w:w="100" w:type="dxa"/>
            <w:vAlign w:val="bottom"/>
          </w:tcPr>
          <w:p>
            <w:pPr>
              <w:spacing w:after="0"/>
              <w:rPr>
                <w:sz w:val="18"/>
                <w:szCs w:val="18"/>
                <w:color w:val="auto"/>
              </w:rPr>
            </w:pPr>
          </w:p>
        </w:tc>
      </w:tr>
      <w:tr>
        <w:trPr>
          <w:trHeight w:val="216"/>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Waste-to-energy disposal</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6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Collection and disposal</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11,370</w:t>
            </w: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10,871</w:t>
            </w:r>
          </w:p>
        </w:tc>
        <w:tc>
          <w:tcPr>
            <w:tcW w:w="100" w:type="dxa"/>
            <w:vAlign w:val="bottom"/>
          </w:tcPr>
          <w:p>
            <w:pPr>
              <w:spacing w:after="0"/>
              <w:rPr>
                <w:sz w:val="19"/>
                <w:szCs w:val="19"/>
                <w:color w:val="auto"/>
              </w:rPr>
            </w:pPr>
          </w:p>
        </w:tc>
      </w:tr>
      <w:tr>
        <w:trPr>
          <w:trHeight w:val="217"/>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Recycling commodities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Electricity</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Fuel surcharges and mandated fees</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6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8"/>
                <w:szCs w:val="18"/>
                <w:color w:val="auto"/>
              </w:rPr>
            </w:pP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Total Company</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13,643</w:t>
            </w:r>
          </w:p>
        </w:tc>
        <w:tc>
          <w:tcPr>
            <w:tcW w:w="6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13,374</w:t>
            </w:r>
          </w:p>
        </w:tc>
        <w:tc>
          <w:tcPr>
            <w:tcW w:w="10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90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Average revenue growth for yield for “Collection and disposal” excludes all electricity-related revenues generated by our Wheelabrator business and our landfill gas-to-energy operations, which are reported as “Electricity” revenues.</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revenues increased $334 million, or 2.4%, and $271 million, or 2.0%, for the years ended December 31, 2013 and 2012, respectively. The year-over-year change in revenues for both periods has been driven by (i) acquisitions, particularly the acquisitions of Greenstar in January 2013 and RCI in July 2013, which increased revenues by $138 million and $80 million, respectively, and the acquisition of Oakleaf in July 2011, which increased revenues by $314 million for 2012; (ii) increased revenue growth from our collection and disposal average yield; (iii) higher revenues provided by our fuel surcharge program; (iv) market factors, including fluctuations in electricity prices at our merchant waste-to-energy facilities that favorably affected our revenues in 2013 but negatively affected our revenues in 2012; recyclable commodity prices that negatively affected</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459" w:right="3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revenues in both 2013 and 2012 and foreign currency translation, which negatively affected revenues from our Canadian operations in both 2013 and 2012 and</w:t>
      </w:r>
    </w:p>
    <w:p>
      <w:pPr>
        <w:spacing w:after="0" w:line="38" w:lineRule="exact"/>
        <w:rPr>
          <w:sz w:val="20"/>
          <w:szCs w:val="20"/>
          <w:color w:val="auto"/>
        </w:rPr>
      </w:pPr>
    </w:p>
    <w:p>
      <w:pPr>
        <w:ind w:left="460" w:right="3400" w:hanging="452"/>
        <w:spacing w:after="0" w:line="429" w:lineRule="auto"/>
        <w:tabs>
          <w:tab w:leader="none" w:pos="252" w:val="left"/>
        </w:tabs>
        <w:numPr>
          <w:ilvl w:val="0"/>
          <w:numId w:val="34"/>
        </w:numPr>
        <w:rPr>
          <w:rFonts w:ascii="Arial" w:cs="Arial" w:eastAsia="Arial" w:hAnsi="Arial"/>
          <w:sz w:val="16"/>
          <w:szCs w:val="16"/>
          <w:color w:val="auto"/>
        </w:rPr>
      </w:pPr>
      <w:r>
        <w:rPr>
          <w:rFonts w:ascii="Arial" w:cs="Arial" w:eastAsia="Arial" w:hAnsi="Arial"/>
          <w:sz w:val="16"/>
          <w:szCs w:val="16"/>
          <w:color w:val="auto"/>
        </w:rPr>
        <w:t>lower volumes, which drove revenue declines in 2013, while higher volumes drove revenue increases in 2012. The following provides further details associated with our period-to-period change in revenues.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yield</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Collection and disposal average yield </w:t>
      </w:r>
      <w:r>
        <w:rPr>
          <w:rFonts w:ascii="Arial" w:cs="Arial" w:eastAsia="Arial" w:hAnsi="Arial"/>
          <w:sz w:val="18"/>
          <w:szCs w:val="18"/>
          <w:color w:val="auto"/>
        </w:rPr>
        <w:t>— This measure reflects the effect on our revenue from the pricing activities of our collection, transfer, landfill and</w:t>
      </w:r>
      <w:r>
        <w:rPr>
          <w:rFonts w:ascii="Arial" w:cs="Arial" w:eastAsia="Arial" w:hAnsi="Arial"/>
          <w:sz w:val="18"/>
          <w:szCs w:val="18"/>
          <w:i w:val="1"/>
          <w:iCs w:val="1"/>
          <w:color w:val="auto"/>
        </w:rPr>
        <w:t xml:space="preserve"> </w:t>
      </w:r>
      <w:r>
        <w:rPr>
          <w:rFonts w:ascii="Arial" w:cs="Arial" w:eastAsia="Arial" w:hAnsi="Arial"/>
          <w:sz w:val="18"/>
          <w:szCs w:val="18"/>
          <w:color w:val="auto"/>
        </w:rPr>
        <w:t>waste-to-energy disposal operations, exclusive of volume changes. Revenue growth from collection and disposal average yield during both years includes not only base rate changes and environmental and service fee increases, but also (i) certain average price changes related to the overall mix of services, which are due to both the types of services provided and the geographic locations where our services are provided; (ii) changes in average price from new and lost business and (iii) price decreases to retain customers.</w:t>
      </w:r>
    </w:p>
    <w:p>
      <w:pPr>
        <w:spacing w:after="0" w:line="6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Revenue growth from collection and disposal average yield was $235 million, or 2.1%, and $86 million, or 0.8%, for the years ended December 31, 2013 and 2012, respectively. This revenue growth from yield in 2013 was primarily driven by an aggressive pricing strategy, which decreased the dollar impact of rollbacks associated with those price increases and improved pricing on our new business, primarily in our collection operations, with growth of $232 million for the year ended December 31, 2013. We experienced growth in all three of our principal collection lines of business in both 2013 and 2012, as follows:</w:t>
      </w:r>
    </w:p>
    <w:p>
      <w:pPr>
        <w:spacing w:after="0" w:line="1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6"/>
              </w:rPr>
              <w:t>Average Yield</w:t>
            </w:r>
          </w:p>
        </w:tc>
      </w:tr>
      <w:tr>
        <w:trPr>
          <w:trHeight w:val="161"/>
        </w:trPr>
        <w:tc>
          <w:tcPr>
            <w:tcW w:w="8560" w:type="dxa"/>
            <w:vAlign w:val="bottom"/>
          </w:tcPr>
          <w:p>
            <w:pPr>
              <w:spacing w:after="0"/>
              <w:rPr>
                <w:sz w:val="14"/>
                <w:szCs w:val="14"/>
                <w:color w:val="auto"/>
              </w:rPr>
            </w:pPr>
          </w:p>
        </w:tc>
        <w:tc>
          <w:tcPr>
            <w:tcW w:w="19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1"/>
              </w:rPr>
              <w:t>Years Ended December 31,</w:t>
            </w:r>
          </w:p>
        </w:tc>
      </w:tr>
      <w:tr>
        <w:trPr>
          <w:trHeight w:val="142"/>
        </w:trPr>
        <w:tc>
          <w:tcPr>
            <w:tcW w:w="856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2013</w:t>
            </w:r>
          </w:p>
        </w:tc>
        <w:tc>
          <w:tcPr>
            <w:tcW w:w="16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3.3%</w:t>
            </w:r>
          </w:p>
        </w:tc>
        <w:tc>
          <w:tcPr>
            <w:tcW w:w="10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1.4%</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Industrial</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4.5%</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1.8%</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r>
    </w:tbl>
    <w:p>
      <w:pPr>
        <w:spacing w:after="0" w:line="15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While our collection line of business was the primary driver of the year-over-year yield growth in both periods presented, our 2013 growth was more significant than our growth during 2012. This was driven, in part, by our more aggressive pricing strategy implemented in 2013. Conversely, our revenue growth due to volume has been negatively affected by our pricing strategy, with more significant volume declines during 2013. However, our pricing actions and our focus on controlling variable costs have consistently provided margin improvements in our collection line of business.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Part of the year-over-year revenue growth from yield in 2013 is attributable to the new regulatory cost recovery fee that we instituted in April 2013 to help us recover a portion of the significant regulatory costs and fees, such as host fees and disposal taxes, which have not been recouped by our pricing programs. This new fee contributed approximately $43 million to our revenue growth for the year ended December 31, 2013, principally in our collection business, with the most significant impact in our commercial collection line of business. Additionally, revenue growth from yield in our industrial line of business was aided by our continued expansion in the Energy Service business, which typically has higher average rates due to extended transportation distances, special waste handling costs and higher disposal costs. With respect to our residential line of business, we are focused on bidding on contracts that improve our yield performance and increase our overall returns. Our effort to increase yield in our residential line of business is a challenge due principally to a very competitive environment. A high percentage of our residential business is in municipal franchise markets, and many municipalities are facing significant budget challenges, which results in very competitive bid processes as we rebid contracts and try to win new contracts. Finally, yield growth from our landfill and transfer station operations also increased for both 2013 and 2012. Improving yield in our landfill business has proved to be a challenge, due, in part, to excess disposal capacity that exists in many of the markets in which we own or operate landfills.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expiration and renegotiation of two long-term waste-to-energy disposal contracts in South Florida at lower rates negatively impacted our revenue growth from yield in our waste-to-energy line of business by $6 million and $21 million for the years ended December 31, 2013 and 2012, respectively. The year-over-year negative impact from the renegotiated contracts will continue through the first half of 2014.</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Revenues from our environmental fee, which are included in average yield on collection and disposal, totaled $344 million in both 2013 and 2012 and $303 million in 2011. Revenue increase from environmental fees flattened, as we did not implement fee increases in 2013 commensurate with the prior year. Additionally, as mentioned above, we instituted a new regulatory cost recovery fee in April 2013 that contributed approximately $43 million to revenue growth for the year ended December 31, 2013.</w:t>
      </w:r>
    </w:p>
    <w:p>
      <w:pPr>
        <w:spacing w:after="0" w:line="14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i w:val="1"/>
          <w:iCs w:val="1"/>
          <w:color w:val="auto"/>
        </w:rPr>
        <w:t xml:space="preserve">Recycling commodities </w:t>
      </w:r>
      <w:r>
        <w:rPr>
          <w:rFonts w:ascii="Arial" w:cs="Arial" w:eastAsia="Arial" w:hAnsi="Arial"/>
          <w:sz w:val="18"/>
          <w:szCs w:val="18"/>
          <w:color w:val="auto"/>
        </w:rPr>
        <w:t>— Year-over-year commodity price declines of approximately 5% and 25% resulted in decreased revenues of $79 million and $428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years ended December 31, 2013 and 2012, respectively. The estimated negative impact on income from operations was approximately $20 million and $130 million for years ended December 31, 2013 and 2012, respectively.</w:t>
      </w:r>
    </w:p>
    <w:p>
      <w:pPr>
        <w:spacing w:after="0" w:line="14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 xml:space="preserve">Fuel surcharges and mandated fees — </w:t>
      </w:r>
      <w:r>
        <w:rPr>
          <w:rFonts w:ascii="Arial" w:cs="Arial" w:eastAsia="Arial" w:hAnsi="Arial"/>
          <w:sz w:val="18"/>
          <w:szCs w:val="18"/>
          <w:color w:val="auto"/>
        </w:rPr>
        <w:t>These revenues, which are predominantly generated by our fuel surcharge program, increased by $32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$33 million for the years ended December 31, 2013 and 2012, respectively. These revenues fluctuate in response to changes in the national average prices for diesel fuel on which our surcharge is based. Although we experienced lower year-over-year average fuel prices in 2013, our fuel surcharge revenues increased as a result of a revision of the surcharge calculation implemented to better capture price increases intended to be recovered by the surcharge. The mandated fees included in this line item are primarily related to pass-through fees and taxes assessed by various state, county and municipal government agencies at our landfills and transfer stations.</w:t>
      </w:r>
    </w:p>
    <w:p>
      <w:pPr>
        <w:spacing w:after="0" w:line="14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Volume </w:t>
      </w:r>
      <w:r>
        <w:rPr>
          <w:rFonts w:ascii="Arial" w:cs="Arial" w:eastAsia="Arial" w:hAnsi="Arial"/>
          <w:sz w:val="16"/>
          <w:szCs w:val="16"/>
          <w:color w:val="auto"/>
        </w:rPr>
        <w:t>— Changes in our volume caused our revenue to decrease $133 million, or 1.0%, for the year ended December 31, 2013. This is a notable decrease</w:t>
      </w:r>
      <w:r>
        <w:rPr>
          <w:rFonts w:ascii="Arial" w:cs="Arial" w:eastAsia="Arial" w:hAnsi="Arial"/>
          <w:sz w:val="16"/>
          <w:szCs w:val="16"/>
          <w:i w:val="1"/>
          <w:iCs w:val="1"/>
          <w:color w:val="auto"/>
        </w:rPr>
        <w:t xml:space="preserve"> </w:t>
      </w:r>
      <w:r>
        <w:rPr>
          <w:rFonts w:ascii="Arial" w:cs="Arial" w:eastAsia="Arial" w:hAnsi="Arial"/>
          <w:sz w:val="16"/>
          <w:szCs w:val="16"/>
          <w:color w:val="auto"/>
        </w:rPr>
        <w:t>when compared to our revenue increase on account of volume of $67 million, or 0.5%, for the year ended December 31, 2012. Our volume fluctuations are generally attributable to economic conditions, pricing changes, competition and diversion of waste by customers. Our collection business experienced revenue declines due to lower volumes in both periods presented. Collection business revenue declines due to lower volumes were $170 million for 2013 and $65 million in 2012. Our more aggressive pricing strategy during 2013 was a significant contributor to the higher volume declines.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Other drivers affecting the comparability of volumes for the periods presented include:</w:t>
      </w:r>
    </w:p>
    <w:p>
      <w:pPr>
        <w:spacing w:after="0" w:line="90" w:lineRule="exact"/>
        <w:rPr>
          <w:sz w:val="20"/>
          <w:szCs w:val="20"/>
          <w:color w:val="auto"/>
        </w:rPr>
      </w:pPr>
    </w:p>
    <w:p>
      <w:pPr>
        <w:ind w:left="700" w:right="320" w:hanging="246"/>
        <w:spacing w:after="0" w:line="268"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Strategic accounts </w:t>
      </w:r>
      <w:r>
        <w:rPr>
          <w:rFonts w:ascii="Arial" w:cs="Arial" w:eastAsia="Arial" w:hAnsi="Arial"/>
          <w:sz w:val="18"/>
          <w:szCs w:val="18"/>
          <w:color w:val="auto"/>
        </w:rPr>
        <w:t>— We experienced revenue declines due to lower volumes associated with the loss of certain strategic accounts including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large retail mall customers in 2013.</w:t>
      </w:r>
    </w:p>
    <w:p>
      <w:pPr>
        <w:spacing w:after="0" w:line="50" w:lineRule="exact"/>
        <w:rPr>
          <w:rFonts w:ascii="Arial" w:cs="Arial" w:eastAsia="Arial" w:hAnsi="Arial"/>
          <w:sz w:val="18"/>
          <w:szCs w:val="18"/>
          <w:color w:val="auto"/>
        </w:rPr>
      </w:pPr>
    </w:p>
    <w:p>
      <w:pPr>
        <w:ind w:left="700" w:right="80" w:hanging="246"/>
        <w:spacing w:after="0" w:line="259"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Hurricane Sandy </w:t>
      </w:r>
      <w:r>
        <w:rPr>
          <w:rFonts w:ascii="Arial" w:cs="Arial" w:eastAsia="Arial" w:hAnsi="Arial"/>
          <w:sz w:val="18"/>
          <w:szCs w:val="18"/>
          <w:color w:val="auto"/>
        </w:rPr>
        <w:t>— The $26 million of revenues resulting from the Hurricane Sandy cleanup efforts in the fourth quarter of 2012, primarily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landfill line of business, negatively affected our year-over-year volume change for the year ended December 31, 2013 while favorably affecting volume in 2012.</w:t>
      </w:r>
    </w:p>
    <w:p>
      <w:pPr>
        <w:spacing w:after="0" w:line="59" w:lineRule="exact"/>
        <w:rPr>
          <w:rFonts w:ascii="Arial" w:cs="Arial" w:eastAsia="Arial" w:hAnsi="Arial"/>
          <w:sz w:val="18"/>
          <w:szCs w:val="18"/>
          <w:color w:val="auto"/>
        </w:rPr>
      </w:pPr>
    </w:p>
    <w:p>
      <w:pPr>
        <w:ind w:left="700" w:right="100" w:hanging="246"/>
        <w:spacing w:after="0" w:line="259"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Higher landfill volumes </w:t>
      </w:r>
      <w:r>
        <w:rPr>
          <w:rFonts w:ascii="Arial" w:cs="Arial" w:eastAsia="Arial" w:hAnsi="Arial"/>
          <w:sz w:val="18"/>
          <w:szCs w:val="18"/>
          <w:color w:val="auto"/>
        </w:rPr>
        <w:t>— We experienced higher landfill volumes in both comparable periods. In 2013, higher landfill volumes were primarily driven</w:t>
      </w:r>
      <w:r>
        <w:rPr>
          <w:rFonts w:ascii="Arial" w:cs="Arial" w:eastAsia="Arial" w:hAnsi="Arial"/>
          <w:sz w:val="18"/>
          <w:szCs w:val="18"/>
          <w:i w:val="1"/>
          <w:iCs w:val="1"/>
          <w:color w:val="auto"/>
        </w:rPr>
        <w:t xml:space="preserve"> </w:t>
      </w:r>
      <w:r>
        <w:rPr>
          <w:rFonts w:ascii="Arial" w:cs="Arial" w:eastAsia="Arial" w:hAnsi="Arial"/>
          <w:sz w:val="18"/>
          <w:szCs w:val="18"/>
          <w:color w:val="auto"/>
        </w:rPr>
        <w:t>by our municipal solid waste business while higher special waste volumes in the eastern and mid-western parts of the country were the principal contributor to our higher landfill volumes in 2012.</w:t>
      </w:r>
    </w:p>
    <w:p>
      <w:pPr>
        <w:spacing w:after="0" w:line="59" w:lineRule="exact"/>
        <w:rPr>
          <w:rFonts w:ascii="Arial" w:cs="Arial" w:eastAsia="Arial" w:hAnsi="Arial"/>
          <w:sz w:val="18"/>
          <w:szCs w:val="18"/>
          <w:color w:val="auto"/>
        </w:rPr>
      </w:pPr>
    </w:p>
    <w:p>
      <w:pPr>
        <w:jc w:val="both"/>
        <w:ind w:left="700" w:right="440" w:hanging="246"/>
        <w:spacing w:after="0" w:line="259"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Recycling commodities </w:t>
      </w:r>
      <w:r>
        <w:rPr>
          <w:rFonts w:ascii="Arial" w:cs="Arial" w:eastAsia="Arial" w:hAnsi="Arial"/>
          <w:sz w:val="18"/>
          <w:szCs w:val="18"/>
          <w:color w:val="auto"/>
        </w:rPr>
        <w:t>— Revenues increased from year-over-year volume growth in our recycling brokerage business and our material recovery</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for both 2013 and 2012. The additional recycling capacity that we added in 2011 and 2012 contributed to this increase in revenues due to volume.</w:t>
      </w:r>
    </w:p>
    <w:p>
      <w:pPr>
        <w:spacing w:after="0" w:line="5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Revenues increased $292 million and $535 million for the years ended December 31, 2013 and 2012, respectively, due to acquisitions.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2013, the revenue increase due to acquisition was principally associated with the acquisition of Greenstar, which is reported in our “Recycling” line of business, and the acquisition of RCI, which is reported primarily in our “Collection” line of business. In 2012, the significant revenue increase due to acquisitions was principally associated with Oakleaf, included in our “Other” business,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jc w:val="both"/>
        <w:ind w:right="80"/>
        <w:spacing w:after="0" w:line="370" w:lineRule="auto"/>
        <w:rPr>
          <w:sz w:val="20"/>
          <w:szCs w:val="20"/>
          <w:color w:val="auto"/>
        </w:rPr>
      </w:pPr>
      <w:r>
        <w:rPr>
          <w:rFonts w:ascii="Arial" w:cs="Arial" w:eastAsia="Arial" w:hAnsi="Arial"/>
          <w:sz w:val="15"/>
          <w:szCs w:val="15"/>
          <w:color w:val="auto"/>
        </w:rPr>
        <w:t>which anniversaried in July 2012. Additionally, in 2012, acquisitions increased our revenues in our collection line of business, due in part to our Energy Service and recycling lines of business. These acquisitions demonstrate our focus on identifying strategic growth opportunities in new, complementary lines of business.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Our operating expenses include (i) labor and related benefits (excluding labor costs associated with maintenance and repairs discussed below), which include salaries and wages, bonuses, related payroll taxes, insurance and benefits costs and the costs associated with contract labor; (ii) transfer and disposal costs, which include tipping fees paid to third-party disposal facilities and transfer stations; (iii) maintenance and repairs relating to equipment, vehicles and facilities and related labor costs; (iv) subcontractor costs, which include the costs of independent haulers who transport waste collected by us to disposal facilities and are affected by variables such as volumes, distance and fuel prices; (v) costs of goods sold, which are primarily rebates paid to suppliers associated with recycling commodities; (vi) fuel costs, which represent the costs of fuel and oil to operate our truck fleet and landfill operating equipment; (vii) disposal and franchise fees and taxes, which include landfill taxes, municipal franchise fees, host community fees, contingent landfill lease payments and royalties;</w:t>
      </w:r>
    </w:p>
    <w:p>
      <w:pPr>
        <w:spacing w:after="0" w:line="5" w:lineRule="exact"/>
        <w:rPr>
          <w:sz w:val="20"/>
          <w:szCs w:val="20"/>
          <w:color w:val="auto"/>
        </w:rPr>
      </w:pPr>
    </w:p>
    <w:p>
      <w:pPr>
        <w:ind w:right="420" w:firstLine="8"/>
        <w:spacing w:after="0" w:line="295" w:lineRule="auto"/>
        <w:tabs>
          <w:tab w:leader="none" w:pos="395" w:val="left"/>
        </w:tabs>
        <w:numPr>
          <w:ilvl w:val="0"/>
          <w:numId w:val="36"/>
        </w:numPr>
        <w:rPr>
          <w:rFonts w:ascii="Arial" w:cs="Arial" w:eastAsia="Arial" w:hAnsi="Arial"/>
          <w:sz w:val="16"/>
          <w:szCs w:val="16"/>
          <w:color w:val="auto"/>
        </w:rPr>
      </w:pPr>
      <w:r>
        <w:rPr>
          <w:rFonts w:ascii="Arial" w:cs="Arial" w:eastAsia="Arial" w:hAnsi="Arial"/>
          <w:sz w:val="16"/>
          <w:szCs w:val="16"/>
          <w:color w:val="auto"/>
        </w:rPr>
        <w:t>landfill operating costs, which include interest accretion on landfill liabilities, interest accretion on and discount rate adjustments to environmental remediation liabilities and recovery assets, leachate and methane collection and treatment, landfill remediation costs and other landfill site costs; (ix) risk management costs, which include auto liability, workers’ compensation, general liability and insurance and claim costs and (x) other operating costs, which include telecommunications, equipment and facility rent, property taxes, utilities and supplies.</w:t>
      </w:r>
    </w:p>
    <w:p>
      <w:pPr>
        <w:spacing w:after="0" w:line="3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Our operating expenses increased $233 million, or 2.6%, when comparing 2013 with 2012 and increased $338 million, or 4.0%, when comparing 2012 with 2011. Operating expenses as a percentage of revenues were 65.2% in 2013, 65.1% in 2012 and 63.8% in 2011. The increases in our operating expenses during the years ended December 31, 2013 and 2012 can largely be attributed to the following:</w:t>
      </w:r>
    </w:p>
    <w:p>
      <w:pPr>
        <w:spacing w:after="0" w:line="59" w:lineRule="exact"/>
        <w:rPr>
          <w:sz w:val="20"/>
          <w:szCs w:val="20"/>
          <w:color w:val="auto"/>
        </w:rPr>
      </w:pPr>
    </w:p>
    <w:p>
      <w:pPr>
        <w:ind w:left="460" w:right="60" w:firstLine="438"/>
        <w:spacing w:after="0" w:line="290" w:lineRule="auto"/>
        <w:rPr>
          <w:sz w:val="20"/>
          <w:szCs w:val="20"/>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 During the three years ended December 31, 2013, we made three acquisitions that were the most significant drivers of our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expense increases. In January 2013, we acquired Greenstar, an operator of recycling and resource recovery facilities. The acquisition primarily increased cost of goods sold and, to a lesser extent, labor and related benefits and other categories. In July 2013, we acquired RCI, a waste management company comprised of collection, transfer, recycling and disposal operations. The acquisition increased operating costs, primarily in subcontractor costs and, to a lesser extent, cost of goods sold. The Oakleaf acquisition contributed to higher operating costs in 2012 when compared to the prior year period, primarily impacting subcontractor costs. The increase in operating expenses was incurred in connection with the related acquisition revenues discussed above in </w:t>
      </w:r>
      <w:r>
        <w:rPr>
          <w:rFonts w:ascii="Arial" w:cs="Arial" w:eastAsia="Arial" w:hAnsi="Arial"/>
          <w:sz w:val="16"/>
          <w:szCs w:val="16"/>
          <w:i w:val="1"/>
          <w:iCs w:val="1"/>
          <w:color w:val="auto"/>
        </w:rPr>
        <w:t>Operating Revenues</w:t>
      </w:r>
      <w:r>
        <w:rPr>
          <w:rFonts w:ascii="Arial" w:cs="Arial" w:eastAsia="Arial" w:hAnsi="Arial"/>
          <w:sz w:val="16"/>
          <w:szCs w:val="16"/>
          <w:color w:val="auto"/>
        </w:rPr>
        <w:t>.</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major components of our operating expenses, including the impact of foreign currency translation,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89"/>
              </w:rPr>
              <w:t>Period-to-Period</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9"/>
              </w:rPr>
              <w:t>Period-to-Period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3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right="12"/>
              <w:spacing w:after="0"/>
              <w:rPr>
                <w:sz w:val="20"/>
                <w:szCs w:val="20"/>
                <w:color w:val="auto"/>
              </w:rPr>
            </w:pPr>
            <w:r>
              <w:rPr>
                <w:rFonts w:ascii="Arial" w:cs="Arial" w:eastAsia="Arial" w:hAnsi="Arial"/>
                <w:sz w:val="14"/>
                <w:szCs w:val="14"/>
                <w:b w:val="1"/>
                <w:bCs w:val="1"/>
                <w:color w:val="auto"/>
                <w:w w:val="85"/>
              </w:rPr>
              <w:t>Change</w:t>
            </w:r>
          </w:p>
        </w:tc>
        <w:tc>
          <w:tcPr>
            <w:tcW w:w="4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 and related benefits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$2,407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$2,336</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500" w:type="dxa"/>
            <w:vAlign w:val="bottom"/>
          </w:tcPr>
          <w:p>
            <w:pPr>
              <w:jc w:val="right"/>
              <w:spacing w:after="0"/>
              <w:rPr>
                <w:sz w:val="20"/>
                <w:szCs w:val="20"/>
                <w:color w:val="auto"/>
              </w:rPr>
            </w:pPr>
            <w:r>
              <w:rPr>
                <w:rFonts w:ascii="Arial" w:cs="Arial" w:eastAsia="Arial" w:hAnsi="Arial"/>
                <w:sz w:val="18"/>
                <w:szCs w:val="18"/>
                <w:color w:val="auto"/>
              </w:rPr>
              <w:t>973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300" w:type="dxa"/>
            <w:vAlign w:val="bottom"/>
          </w:tcPr>
          <w:p>
            <w:pPr>
              <w:jc w:val="right"/>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964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2.9</w:t>
            </w:r>
          </w:p>
        </w:tc>
        <w:tc>
          <w:tcPr>
            <w:tcW w:w="500" w:type="dxa"/>
            <w:vAlign w:val="bottom"/>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1,157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Subcontractor costs</w:t>
            </w:r>
          </w:p>
        </w:tc>
        <w:tc>
          <w:tcPr>
            <w:tcW w:w="500" w:type="dxa"/>
            <w:vAlign w:val="bottom"/>
          </w:tcPr>
          <w:p>
            <w:pPr>
              <w:jc w:val="right"/>
              <w:spacing w:after="0"/>
              <w:rPr>
                <w:sz w:val="20"/>
                <w:szCs w:val="20"/>
                <w:color w:val="auto"/>
              </w:rPr>
            </w:pPr>
            <w:r>
              <w:rPr>
                <w:rFonts w:ascii="Arial" w:cs="Arial" w:eastAsia="Arial" w:hAnsi="Arial"/>
                <w:sz w:val="18"/>
                <w:szCs w:val="18"/>
                <w:color w:val="auto"/>
              </w:rPr>
              <w:t>1,182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(0.7)</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1,190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242</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25.5</w:t>
            </w:r>
          </w:p>
        </w:tc>
        <w:tc>
          <w:tcPr>
            <w:tcW w:w="500" w:type="dxa"/>
            <w:vAlign w:val="bottom"/>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(152)</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Fuel</w:t>
            </w:r>
          </w:p>
        </w:tc>
        <w:tc>
          <w:tcPr>
            <w:tcW w:w="500" w:type="dxa"/>
            <w:vAlign w:val="bottom"/>
          </w:tcPr>
          <w:p>
            <w:pPr>
              <w:jc w:val="right"/>
              <w:spacing w:after="0"/>
              <w:rPr>
                <w:sz w:val="20"/>
                <w:szCs w:val="20"/>
                <w:color w:val="auto"/>
              </w:rPr>
            </w:pPr>
            <w:r>
              <w:rPr>
                <w:rFonts w:ascii="Arial" w:cs="Arial" w:eastAsia="Arial" w:hAnsi="Arial"/>
                <w:sz w:val="18"/>
                <w:szCs w:val="18"/>
                <w:color w:val="auto"/>
              </w:rPr>
              <w:t>603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(7.1)</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649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3.3</w:t>
            </w:r>
          </w:p>
        </w:tc>
        <w:tc>
          <w:tcPr>
            <w:tcW w:w="50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Disposal and franchise fees and taxes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500" w:type="dxa"/>
            <w:vAlign w:val="bottom"/>
          </w:tcPr>
          <w:p>
            <w:pPr>
              <w:jc w:val="right"/>
              <w:spacing w:after="0"/>
              <w:rPr>
                <w:sz w:val="20"/>
                <w:szCs w:val="20"/>
                <w:color w:val="auto"/>
              </w:rPr>
            </w:pPr>
            <w:r>
              <w:rPr>
                <w:rFonts w:ascii="Arial" w:cs="Arial" w:eastAsia="Arial" w:hAnsi="Arial"/>
                <w:sz w:val="18"/>
                <w:szCs w:val="18"/>
                <w:color w:val="auto"/>
              </w:rPr>
              <w:t>232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224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(12.2)</w:t>
            </w:r>
          </w:p>
        </w:tc>
        <w:tc>
          <w:tcPr>
            <w:tcW w:w="50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12.6</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r>
      <w:tr>
        <w:trPr>
          <w:trHeight w:val="216"/>
        </w:trPr>
        <w:tc>
          <w:tcPr>
            <w:tcW w:w="6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79"/>
              </w:rPr>
              <w:t>$ 9,112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233</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8,879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8,541</w:t>
            </w:r>
          </w:p>
        </w:tc>
        <w:tc>
          <w:tcPr>
            <w:tcW w:w="100" w:type="dxa"/>
            <w:vAlign w:val="bottom"/>
            <w:shd w:val="clear" w:color="auto" w:fill="CCEEFF"/>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changes in our operating expenses are discussed below.</w:t>
      </w:r>
    </w:p>
    <w:p>
      <w:pPr>
        <w:spacing w:after="0" w:line="90" w:lineRule="exact"/>
        <w:rPr>
          <w:sz w:val="20"/>
          <w:szCs w:val="20"/>
          <w:color w:val="auto"/>
        </w:rPr>
      </w:pPr>
    </w:p>
    <w:p>
      <w:pPr>
        <w:ind w:left="700" w:hanging="24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Significant items affecting the comparability of expenses for the periods presented include:</w:t>
      </w:r>
    </w:p>
    <w:p>
      <w:pPr>
        <w:spacing w:after="0" w:line="90" w:lineRule="exact"/>
        <w:rPr>
          <w:rFonts w:ascii="Arial" w:cs="Arial" w:eastAsia="Arial" w:hAnsi="Arial"/>
          <w:sz w:val="18"/>
          <w:szCs w:val="18"/>
          <w:color w:val="auto"/>
        </w:rPr>
      </w:pPr>
    </w:p>
    <w:p>
      <w:pPr>
        <w:ind w:left="920" w:right="240" w:hanging="237"/>
        <w:spacing w:after="0" w:line="268" w:lineRule="auto"/>
        <w:tabs>
          <w:tab w:leader="none" w:pos="9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Higher wages due to merit increases effective in the second quarter of 2013 and the effect of acquisitions, particularly the Greenstar acquisition in 2013;</w:t>
      </w:r>
    </w:p>
    <w:p>
      <w:pPr>
        <w:spacing w:after="0" w:line="50" w:lineRule="exact"/>
        <w:rPr>
          <w:rFonts w:ascii="Arial" w:cs="Arial" w:eastAsia="Arial" w:hAnsi="Arial"/>
          <w:sz w:val="18"/>
          <w:szCs w:val="18"/>
          <w:color w:val="auto"/>
        </w:rPr>
      </w:pPr>
    </w:p>
    <w:p>
      <w:pPr>
        <w:ind w:left="920" w:right="160" w:hanging="237"/>
        <w:spacing w:after="0" w:line="268" w:lineRule="auto"/>
        <w:tabs>
          <w:tab w:leader="none" w:pos="9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Incentive compensation expense fluctuations due to higher anticipated payouts for 2013 as compared to the prior year period and lower payouts for 2012 as compared to 2011;</w:t>
      </w:r>
    </w:p>
    <w:p>
      <w:pPr>
        <w:spacing w:after="0" w:line="50" w:lineRule="exact"/>
        <w:rPr>
          <w:rFonts w:ascii="Arial" w:cs="Arial" w:eastAsia="Arial" w:hAnsi="Arial"/>
          <w:sz w:val="18"/>
          <w:szCs w:val="18"/>
          <w:color w:val="auto"/>
        </w:rPr>
      </w:pPr>
    </w:p>
    <w:p>
      <w:pPr>
        <w:ind w:left="920" w:hanging="237"/>
        <w:spacing w:after="0"/>
        <w:tabs>
          <w:tab w:leader="none" w:pos="9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Increased contract labor in both 2013 and 2012 principally attributed to the recycling line of business;</w:t>
      </w:r>
    </w:p>
    <w:p>
      <w:pPr>
        <w:spacing w:after="0" w:line="90" w:lineRule="exact"/>
        <w:rPr>
          <w:rFonts w:ascii="Arial" w:cs="Arial" w:eastAsia="Arial" w:hAnsi="Arial"/>
          <w:sz w:val="18"/>
          <w:szCs w:val="18"/>
          <w:color w:val="auto"/>
        </w:rPr>
      </w:pPr>
    </w:p>
    <w:p>
      <w:pPr>
        <w:ind w:left="920" w:right="60" w:hanging="237"/>
        <w:spacing w:after="0" w:line="268" w:lineRule="auto"/>
        <w:tabs>
          <w:tab w:leader="none" w:pos="9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Headcount, exclusive of acquisitions, decreased in 2013 compared to the prior year period; conversely, headcount increased in 2012 when compared to 2011; and</w:t>
      </w:r>
    </w:p>
    <w:p>
      <w:pPr>
        <w:spacing w:after="0" w:line="50" w:lineRule="exact"/>
        <w:rPr>
          <w:rFonts w:ascii="Arial" w:cs="Arial" w:eastAsia="Arial" w:hAnsi="Arial"/>
          <w:sz w:val="18"/>
          <w:szCs w:val="18"/>
          <w:color w:val="auto"/>
        </w:rPr>
      </w:pPr>
    </w:p>
    <w:p>
      <w:pPr>
        <w:ind w:left="920" w:right="220" w:hanging="237"/>
        <w:spacing w:after="0" w:line="268" w:lineRule="auto"/>
        <w:tabs>
          <w:tab w:leader="none" w:pos="9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Non-cash charges incurred during the third quarter of 2013 and the second quarter of 2012 as a result of our partial withdrawals from underfunded multiemployer pension plans.</w:t>
      </w:r>
    </w:p>
    <w:p>
      <w:pPr>
        <w:spacing w:after="0" w:line="50" w:lineRule="exact"/>
        <w:rPr>
          <w:rFonts w:ascii="Arial" w:cs="Arial" w:eastAsia="Arial" w:hAnsi="Arial"/>
          <w:sz w:val="18"/>
          <w:szCs w:val="18"/>
          <w:color w:val="auto"/>
        </w:rPr>
      </w:pPr>
    </w:p>
    <w:p>
      <w:pPr>
        <w:ind w:left="700" w:right="40" w:hanging="246"/>
        <w:spacing w:after="0" w:line="256"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Maintenance and repairs </w:t>
      </w:r>
      <w:r>
        <w:rPr>
          <w:rFonts w:ascii="Arial" w:cs="Arial" w:eastAsia="Arial" w:hAnsi="Arial"/>
          <w:sz w:val="18"/>
          <w:szCs w:val="18"/>
          <w:color w:val="auto"/>
        </w:rPr>
        <w:t>— The increase in 2013 compared to 2012 was driven by (i) the Greenstar acquisition and (ii) higher internal shop labor costs</w:t>
      </w:r>
      <w:r>
        <w:rPr>
          <w:rFonts w:ascii="Arial" w:cs="Arial" w:eastAsia="Arial" w:hAnsi="Arial"/>
          <w:sz w:val="18"/>
          <w:szCs w:val="18"/>
          <w:i w:val="1"/>
          <w:iCs w:val="1"/>
          <w:color w:val="auto"/>
        </w:rPr>
        <w:t xml:space="preserve"> </w:t>
      </w:r>
      <w:r>
        <w:rPr>
          <w:rFonts w:ascii="Arial" w:cs="Arial" w:eastAsia="Arial" w:hAnsi="Arial"/>
          <w:sz w:val="18"/>
          <w:szCs w:val="18"/>
          <w:color w:val="auto"/>
        </w:rPr>
        <w:t>due in part to higher incentive compensation and merit increases. The increase in 2012 as compared to 2011 is primarily due to (i) increased fleet maintenance costs, which include services provided by third-parties, tires, parts and internal shop labor costs and (ii) differences in the timing and scope of planned maintenance projects at our waste-to-energy facilities.</w:t>
      </w:r>
    </w:p>
    <w:p>
      <w:pPr>
        <w:spacing w:after="0" w:line="62" w:lineRule="exact"/>
        <w:rPr>
          <w:rFonts w:ascii="Arial" w:cs="Arial" w:eastAsia="Arial" w:hAnsi="Arial"/>
          <w:sz w:val="18"/>
          <w:szCs w:val="18"/>
          <w:color w:val="auto"/>
        </w:rPr>
      </w:pPr>
    </w:p>
    <w:p>
      <w:pPr>
        <w:ind w:left="700" w:right="20" w:hanging="246"/>
        <w:spacing w:after="0" w:line="259"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Subcontractor costs </w:t>
      </w:r>
      <w:r>
        <w:rPr>
          <w:rFonts w:ascii="Arial" w:cs="Arial" w:eastAsia="Arial" w:hAnsi="Arial"/>
          <w:sz w:val="18"/>
          <w:szCs w:val="18"/>
          <w:color w:val="auto"/>
        </w:rPr>
        <w:t>— The decrease in 2013 was driven primarily by the volume decline associated with the loss of certain strategic accounts. These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decreases were offset, in part, by higher costs associated with the acquired RCI operations. The increase in 2012 was driven in part by (i) the acquisition of Oakleaf in July 2011 and (ii) increased volumes related to Hurricane Sandy.</w:t>
      </w:r>
    </w:p>
    <w:p>
      <w:pPr>
        <w:spacing w:after="0" w:line="59" w:lineRule="exact"/>
        <w:rPr>
          <w:rFonts w:ascii="Arial" w:cs="Arial" w:eastAsia="Arial" w:hAnsi="Arial"/>
          <w:sz w:val="18"/>
          <w:szCs w:val="18"/>
          <w:color w:val="auto"/>
        </w:rPr>
      </w:pPr>
    </w:p>
    <w:p>
      <w:pPr>
        <w:ind w:left="700" w:right="320" w:hanging="246"/>
        <w:spacing w:after="0" w:line="306" w:lineRule="auto"/>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 The increase in cost of goods sold in 2013 is due in large part to higher customer rebates resulting from higher volumes in our</w:t>
      </w:r>
      <w:r>
        <w:rPr>
          <w:rFonts w:ascii="Arial" w:cs="Arial" w:eastAsia="Arial" w:hAnsi="Arial"/>
          <w:sz w:val="16"/>
          <w:szCs w:val="16"/>
          <w:i w:val="1"/>
          <w:iCs w:val="1"/>
          <w:color w:val="auto"/>
        </w:rPr>
        <w:t xml:space="preserve"> </w:t>
      </w:r>
      <w:r>
        <w:rPr>
          <w:rFonts w:ascii="Arial" w:cs="Arial" w:eastAsia="Arial" w:hAnsi="Arial"/>
          <w:sz w:val="16"/>
          <w:szCs w:val="16"/>
          <w:color w:val="auto"/>
        </w:rPr>
        <w:t>recycling commodity business driven primarily by the acquired Greenstar operations. The significantly reduced market prices for recyclable commodities in 2012 drove the majority of the cost decrease when compared to the prior period.</w:t>
      </w:r>
    </w:p>
    <w:p>
      <w:pPr>
        <w:spacing w:after="0" w:line="25" w:lineRule="exact"/>
        <w:rPr>
          <w:rFonts w:ascii="Arial" w:cs="Arial" w:eastAsia="Arial" w:hAnsi="Arial"/>
          <w:sz w:val="16"/>
          <w:szCs w:val="16"/>
          <w:color w:val="auto"/>
        </w:rPr>
      </w:pPr>
    </w:p>
    <w:p>
      <w:pPr>
        <w:jc w:val="both"/>
        <w:ind w:left="700" w:right="100" w:hanging="246"/>
        <w:spacing w:after="0" w:line="306" w:lineRule="auto"/>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Fuel — </w:t>
      </w:r>
      <w:r>
        <w:rPr>
          <w:rFonts w:ascii="Arial" w:cs="Arial" w:eastAsia="Arial" w:hAnsi="Arial"/>
          <w:sz w:val="16"/>
          <w:szCs w:val="16"/>
          <w:color w:val="auto"/>
        </w:rPr>
        <w:t>The decrease in fuel expense in 2013 compared to 2012 was due to (i) a retroactive CNG fuel excise tax credit recognized in the first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2013; (ii) reduced fuel purchases due to reduced collection volumes; (iii) lower costs as we convert our fleet to CNG vehicles and (iv) lower diesel fuel prices. The increase in fuel expense in 2012 compared to 2011 was mainly driven by higher diesel fuel prices.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700" w:right="100" w:hanging="246"/>
        <w:spacing w:after="0" w:line="256"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Disposal and franchise fees and taxes — </w:t>
      </w:r>
      <w:r>
        <w:rPr>
          <w:rFonts w:ascii="Arial" w:cs="Arial" w:eastAsia="Arial" w:hAnsi="Arial"/>
          <w:sz w:val="18"/>
          <w:szCs w:val="18"/>
          <w:color w:val="auto"/>
        </w:rPr>
        <w:t>The increase in costs in both 2013 and 2012 can be attributable to higher disposal fees and taxes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landfill volumes. The current period increase was also driven by (i) higher municipal franchise fees relating to the collection line of business and (ii) a disposal surcharge at one of our waste-to-energy facilities. A host fee increase in 2012 contributed to the unfavorable variance when compared to the prior year.</w:t>
      </w:r>
    </w:p>
    <w:p>
      <w:pPr>
        <w:spacing w:after="0" w:line="62" w:lineRule="exact"/>
        <w:rPr>
          <w:rFonts w:ascii="Arial" w:cs="Arial" w:eastAsia="Arial" w:hAnsi="Arial"/>
          <w:sz w:val="18"/>
          <w:szCs w:val="18"/>
          <w:color w:val="auto"/>
        </w:rPr>
      </w:pPr>
    </w:p>
    <w:p>
      <w:pPr>
        <w:ind w:left="700" w:hanging="24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Landfill operating costs — </w:t>
      </w:r>
      <w:r>
        <w:rPr>
          <w:rFonts w:ascii="Arial" w:cs="Arial" w:eastAsia="Arial" w:hAnsi="Arial"/>
          <w:sz w:val="18"/>
          <w:szCs w:val="18"/>
          <w:color w:val="auto"/>
        </w:rPr>
        <w:t>Significant items affecting the comparability of expenses for the periods presented include:</w:t>
      </w:r>
    </w:p>
    <w:p>
      <w:pPr>
        <w:spacing w:after="0" w:line="90" w:lineRule="exact"/>
        <w:rPr>
          <w:rFonts w:ascii="Arial" w:cs="Arial" w:eastAsia="Arial" w:hAnsi="Arial"/>
          <w:sz w:val="18"/>
          <w:szCs w:val="18"/>
          <w:color w:val="auto"/>
        </w:rPr>
      </w:pPr>
    </w:p>
    <w:p>
      <w:pPr>
        <w:ind w:left="920" w:hanging="237"/>
        <w:spacing w:after="0"/>
        <w:tabs>
          <w:tab w:leader="none" w:pos="9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Higher leachate costs caused by increased precipitation in several of our Areas for all comparable periods;</w:t>
      </w:r>
    </w:p>
    <w:p>
      <w:pPr>
        <w:spacing w:after="0" w:line="90" w:lineRule="exact"/>
        <w:rPr>
          <w:rFonts w:ascii="Arial" w:cs="Arial" w:eastAsia="Arial" w:hAnsi="Arial"/>
          <w:sz w:val="18"/>
          <w:szCs w:val="18"/>
          <w:color w:val="auto"/>
        </w:rPr>
      </w:pPr>
    </w:p>
    <w:p>
      <w:pPr>
        <w:ind w:left="920" w:right="320" w:hanging="237"/>
        <w:spacing w:after="0" w:line="268" w:lineRule="auto"/>
        <w:tabs>
          <w:tab w:leader="none" w:pos="9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Favorable adjustments in 2013 and unfavorable adjustments in both 2012 and 2011 related to changes in U.S. Treasury rates used to discount the present value of our environmental remediation obligations and recovery assets; and</w:t>
      </w:r>
    </w:p>
    <w:p>
      <w:pPr>
        <w:spacing w:after="0" w:line="50" w:lineRule="exact"/>
        <w:rPr>
          <w:rFonts w:ascii="Arial" w:cs="Arial" w:eastAsia="Arial" w:hAnsi="Arial"/>
          <w:sz w:val="18"/>
          <w:szCs w:val="18"/>
          <w:color w:val="auto"/>
        </w:rPr>
      </w:pPr>
    </w:p>
    <w:p>
      <w:pPr>
        <w:ind w:left="920" w:hanging="237"/>
        <w:spacing w:after="0"/>
        <w:tabs>
          <w:tab w:leader="none" w:pos="9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favorable remediation adjustment in 2012.</w:t>
      </w:r>
    </w:p>
    <w:p>
      <w:pPr>
        <w:spacing w:after="0" w:line="90" w:lineRule="exact"/>
        <w:rPr>
          <w:rFonts w:ascii="Arial" w:cs="Arial" w:eastAsia="Arial" w:hAnsi="Arial"/>
          <w:sz w:val="18"/>
          <w:szCs w:val="18"/>
          <w:color w:val="auto"/>
        </w:rPr>
      </w:pPr>
    </w:p>
    <w:p>
      <w:pPr>
        <w:ind w:left="700" w:right="220" w:hanging="246"/>
        <w:spacing w:after="0" w:line="294" w:lineRule="auto"/>
        <w:tabs>
          <w:tab w:leader="none" w:pos="70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 The increased costs in 2013 when compared to 2012 were driven in part by (i) higher telecommunications costs driven by our initiative to</w:t>
      </w:r>
      <w:r>
        <w:rPr>
          <w:rFonts w:ascii="Arial" w:cs="Arial" w:eastAsia="Arial" w:hAnsi="Arial"/>
          <w:sz w:val="16"/>
          <w:szCs w:val="16"/>
          <w:i w:val="1"/>
          <w:iCs w:val="1"/>
          <w:color w:val="auto"/>
        </w:rPr>
        <w:t xml:space="preserve"> </w:t>
      </w:r>
      <w:r>
        <w:rPr>
          <w:rFonts w:ascii="Arial" w:cs="Arial" w:eastAsia="Arial" w:hAnsi="Arial"/>
          <w:sz w:val="16"/>
          <w:szCs w:val="16"/>
          <w:color w:val="auto"/>
        </w:rPr>
        <w:t>equip our fleet with onboard computers; (ii) higher utilities; (iii) higher property taxes and (iv) lower gains on the sale of assets. These increases were offset, in part, by favorable adjustments to contingent consideration associated with the Greenstar acquisition. The increase in costs in 2012 when compared to the prior period was driven in part by (i) costs associated with a 2012 labor union dispute in the Seattle Area; (ii) increased oil and gas development expense in 2012 and (iii) higher rental costs in 2012, primarily associated with Oakleaf.</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520" w:firstLine="456"/>
        <w:spacing w:after="0" w:line="305" w:lineRule="auto"/>
        <w:rPr>
          <w:sz w:val="20"/>
          <w:szCs w:val="20"/>
          <w:color w:val="auto"/>
        </w:rPr>
      </w:pPr>
      <w:r>
        <w:rPr>
          <w:rFonts w:ascii="Arial" w:cs="Arial" w:eastAsia="Arial" w:hAnsi="Arial"/>
          <w:sz w:val="15"/>
          <w:szCs w:val="15"/>
          <w:color w:val="auto"/>
        </w:rPr>
        <w:t>Our selling, general and administrative expenses consist of (i) labor and related benefit costs, which include salaries, bonuses, related insurance and benefits, contract labor, payroll taxes and equity-based compensation; (ii) professional fees, which include fees for consulting, legal, audit and tax services;</w:t>
      </w:r>
    </w:p>
    <w:p>
      <w:pPr>
        <w:jc w:val="both"/>
        <w:ind w:right="140" w:firstLine="8"/>
        <w:spacing w:after="0" w:line="331" w:lineRule="auto"/>
        <w:tabs>
          <w:tab w:leader="none" w:pos="307" w:val="left"/>
        </w:tabs>
        <w:numPr>
          <w:ilvl w:val="0"/>
          <w:numId w:val="39"/>
        </w:numPr>
        <w:rPr>
          <w:rFonts w:ascii="Arial" w:cs="Arial" w:eastAsia="Arial" w:hAnsi="Arial"/>
          <w:sz w:val="15"/>
          <w:szCs w:val="15"/>
          <w:color w:val="auto"/>
        </w:rPr>
      </w:pPr>
      <w:r>
        <w:rPr>
          <w:rFonts w:ascii="Arial" w:cs="Arial" w:eastAsia="Arial" w:hAnsi="Arial"/>
          <w:sz w:val="15"/>
          <w:szCs w:val="15"/>
          <w:color w:val="auto"/>
        </w:rPr>
        <w:t>provision for bad debts, which includes allowances for uncollectible customer accounts and collection fees and (iv) other selling, general and administrative expenses, which include, among other costs, facility-related expenses, voice and data telecommunication, advertising, travel and entertainment, rentals, postage and printing. In addition, the financial impacts of litigation settlements generally are included in our “Other” selling, general and administrative expenses.</w:t>
      </w:r>
    </w:p>
    <w:p>
      <w:pPr>
        <w:spacing w:after="0" w:line="9"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Our selling, general and administrative expenses decreased by $4 million, or 0.3%, and decreased by $79 million, or 5.1%, when comparing 2013 with 2012 and 2012 with 2011, respectively. Our selling, general and administrative expenses as a percentage of revenues were 10.5% in 2013, 10.8% in 2012 and 11.6% in 2011.</w:t>
      </w:r>
    </w:p>
    <w:p>
      <w:pPr>
        <w:spacing w:after="0" w:line="59"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following table summarizes the major components of our selling, general and administrative costs for the years ended December 31 (dollars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0"/>
              </w:rPr>
              <w:t>Period-to-</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Period-to-</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Period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2013</w:t>
            </w:r>
          </w:p>
        </w:tc>
        <w:tc>
          <w:tcPr>
            <w:tcW w:w="300" w:type="dxa"/>
            <w:vAlign w:val="bottom"/>
          </w:tcPr>
          <w:p>
            <w:pPr>
              <w:spacing w:after="0"/>
              <w:rPr>
                <w:sz w:val="14"/>
                <w:szCs w:val="14"/>
                <w:color w:val="auto"/>
              </w:rPr>
            </w:pPr>
          </w:p>
        </w:tc>
        <w:tc>
          <w:tcPr>
            <w:tcW w:w="144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6"/>
              </w:rPr>
              <w:t>Period Change</w:t>
            </w:r>
          </w:p>
        </w:tc>
        <w:tc>
          <w:tcPr>
            <w:tcW w:w="100" w:type="dxa"/>
            <w:vAlign w:val="bottom"/>
          </w:tcPr>
          <w:p>
            <w:pPr>
              <w:spacing w:after="0"/>
              <w:rPr>
                <w:sz w:val="14"/>
                <w:szCs w:val="14"/>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2012</w:t>
            </w:r>
          </w:p>
        </w:tc>
        <w:tc>
          <w:tcPr>
            <w:tcW w:w="300" w:type="dxa"/>
            <w:vAlign w:val="bottom"/>
          </w:tcPr>
          <w:p>
            <w:pPr>
              <w:spacing w:after="0"/>
              <w:rPr>
                <w:sz w:val="14"/>
                <w:szCs w:val="14"/>
                <w:color w:val="auto"/>
              </w:rPr>
            </w:pPr>
          </w:p>
        </w:tc>
        <w:tc>
          <w:tcPr>
            <w:tcW w:w="14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72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2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Professional fees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(32)</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163</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(22)</w:t>
            </w: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(19)</w:t>
            </w:r>
          </w:p>
        </w:tc>
        <w:tc>
          <w:tcPr>
            <w:tcW w:w="7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Other</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(34)</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399</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1,468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1,472</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20" w:type="dxa"/>
            <w:vAlign w:val="bottom"/>
            <w:vMerge w:val="restart"/>
          </w:tcPr>
          <w:p>
            <w:pPr>
              <w:jc w:val="right"/>
              <w:ind w:right="472"/>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Factors affecting the year-over-year changes in our labor and related benefits costs include:</w:t>
      </w:r>
    </w:p>
    <w:p>
      <w:pPr>
        <w:spacing w:after="0" w:line="90" w:lineRule="exact"/>
        <w:rPr>
          <w:sz w:val="20"/>
          <w:szCs w:val="20"/>
          <w:color w:val="auto"/>
        </w:rPr>
      </w:pPr>
    </w:p>
    <w:p>
      <w:pPr>
        <w:ind w:left="700" w:hanging="246"/>
        <w:spacing w:after="0"/>
        <w:tabs>
          <w:tab w:leader="none" w:pos="7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Higher incentive compensation costs of $94 million in 2013 and $73 million in 2011, as compared with 2012, as a result of higher anticipated payouts.</w:t>
      </w:r>
    </w:p>
    <w:p>
      <w:pPr>
        <w:spacing w:after="0" w:line="113" w:lineRule="exact"/>
        <w:rPr>
          <w:rFonts w:ascii="Arial" w:cs="Arial" w:eastAsia="Arial" w:hAnsi="Arial"/>
          <w:sz w:val="16"/>
          <w:szCs w:val="16"/>
          <w:color w:val="auto"/>
        </w:rPr>
      </w:pPr>
    </w:p>
    <w:p>
      <w:pPr>
        <w:ind w:left="700" w:right="120" w:hanging="246"/>
        <w:spacing w:after="0" w:line="259"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Higher non-cash compensation expense recognized in 2013 as compared to 2012, in part due to the payout of performance share units granted in 2010, which was approved in 2013. Expense associated with these awards had been reversed in 2012 when it no longer appeared probable that threshold performance would be achieved.</w:t>
      </w:r>
    </w:p>
    <w:p>
      <w:pPr>
        <w:spacing w:after="0" w:line="59" w:lineRule="exact"/>
        <w:rPr>
          <w:rFonts w:ascii="Arial" w:cs="Arial" w:eastAsia="Arial" w:hAnsi="Arial"/>
          <w:sz w:val="18"/>
          <w:szCs w:val="18"/>
          <w:color w:val="auto"/>
        </w:rPr>
      </w:pPr>
    </w:p>
    <w:p>
      <w:pPr>
        <w:ind w:left="700" w:hanging="24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 savings of $45 million in 2013 driven primarily from our July 2012 restructuring.</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 xml:space="preserve">Professional fees </w:t>
      </w:r>
      <w:r>
        <w:rPr>
          <w:rFonts w:ascii="Arial" w:cs="Arial" w:eastAsia="Arial" w:hAnsi="Arial"/>
          <w:sz w:val="18"/>
          <w:szCs w:val="18"/>
          <w:color w:val="auto"/>
        </w:rPr>
        <w:t>— Consulting fees declined year over year as company-wide initiatives, which began in 2011, were implemented; partially offset by</w:t>
      </w:r>
      <w:r>
        <w:rPr>
          <w:rFonts w:ascii="Arial" w:cs="Arial" w:eastAsia="Arial" w:hAnsi="Arial"/>
          <w:sz w:val="18"/>
          <w:szCs w:val="18"/>
          <w:i w:val="1"/>
          <w:iCs w:val="1"/>
          <w:color w:val="auto"/>
        </w:rPr>
        <w:t xml:space="preserve"> </w:t>
      </w:r>
      <w:r>
        <w:rPr>
          <w:rFonts w:ascii="Arial" w:cs="Arial" w:eastAsia="Arial" w:hAnsi="Arial"/>
          <w:sz w:val="18"/>
          <w:szCs w:val="18"/>
          <w:color w:val="auto"/>
        </w:rPr>
        <w:t>higher legal fees in 2012 as compared with 2013 and 2011.</w:t>
      </w:r>
    </w:p>
    <w:p>
      <w:pPr>
        <w:spacing w:after="0" w:line="5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Provision for bad debts </w:t>
      </w:r>
      <w:r>
        <w:rPr>
          <w:rFonts w:ascii="Arial" w:cs="Arial" w:eastAsia="Arial" w:hAnsi="Arial"/>
          <w:sz w:val="18"/>
          <w:szCs w:val="18"/>
          <w:color w:val="auto"/>
        </w:rPr>
        <w:t>— Our provision for bad debts decreased in 2013 as a result of the collection of certain fully reserved receivables 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Puerto Rico operations. Additionally, many of the billing delay issues we experienced throughout fiscal year 2012 with certain of our strategic account customers have been resolved, favorably affecting our year-over-year bad debt comparisons.</w:t>
      </w:r>
    </w:p>
    <w:p>
      <w:pPr>
        <w:spacing w:after="0" w:line="5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In 2013, controllable costs associated with (i) building and equipment; (ii) advertising; (iii) computer and telecommunication; (iv) travel and</w:t>
      </w:r>
      <w:r>
        <w:rPr>
          <w:rFonts w:ascii="Arial" w:cs="Arial" w:eastAsia="Arial" w:hAnsi="Arial"/>
          <w:sz w:val="18"/>
          <w:szCs w:val="18"/>
          <w:i w:val="1"/>
          <w:iCs w:val="1"/>
          <w:color w:val="auto"/>
        </w:rPr>
        <w:t xml:space="preserve"> </w:t>
      </w:r>
      <w:r>
        <w:rPr>
          <w:rFonts w:ascii="Arial" w:cs="Arial" w:eastAsia="Arial" w:hAnsi="Arial"/>
          <w:sz w:val="18"/>
          <w:szCs w:val="18"/>
          <w:color w:val="auto"/>
        </w:rPr>
        <w:t>entertainment and (v) seminars and education have declined primarily as a result of our July 2012 restructuring and continued focus on cost-control initiatives. In 2012, we experienced decreases in (i) litigation settlement costs and (ii) insurance and claims. These decreases were partially offset by increases in (i) computer and telecommunications costs, due in part to improvements we are making to our information technology systems and (ii) building and equipment costs, which include rental and utilities.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90"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Depreciation and amortization includes (i) depreciation of property and equipment, including assets recorded for capital leases, on a straight-line basis from three to 50 years; (ii) amortization of landfill costs, including those incurred and all estimated future costs for landfill development, construction and asset retirement costs arising from closure and post-closure, on a units-of-consumption method as landfill airspace is consumed over the total estimated remaining capacity of a site, which includes both permitted capacity and expansion capacity that meets our Company-specific criteria for amortization purposes;</w:t>
      </w:r>
    </w:p>
    <w:p>
      <w:pPr>
        <w:spacing w:after="0" w:line="3" w:lineRule="exact"/>
        <w:rPr>
          <w:sz w:val="20"/>
          <w:szCs w:val="20"/>
          <w:color w:val="auto"/>
        </w:rPr>
      </w:pPr>
    </w:p>
    <w:p>
      <w:pPr>
        <w:ind w:right="220" w:firstLine="8"/>
        <w:spacing w:after="0" w:line="302" w:lineRule="auto"/>
        <w:tabs>
          <w:tab w:leader="none" w:pos="307" w:val="left"/>
        </w:tabs>
        <w:numPr>
          <w:ilvl w:val="0"/>
          <w:numId w:val="41"/>
        </w:numPr>
        <w:rPr>
          <w:rFonts w:ascii="Arial" w:cs="Arial" w:eastAsia="Arial" w:hAnsi="Arial"/>
          <w:sz w:val="16"/>
          <w:szCs w:val="16"/>
          <w:color w:val="auto"/>
        </w:rPr>
      </w:pPr>
      <w:r>
        <w:rPr>
          <w:rFonts w:ascii="Arial" w:cs="Arial" w:eastAsia="Arial" w:hAnsi="Arial"/>
          <w:sz w:val="16"/>
          <w:szCs w:val="16"/>
          <w:color w:val="auto"/>
        </w:rPr>
        <w:t>amortization of landfill asset retirement costs arising from final capping obligations on a units-of-consumption method as airspace is consumed over the estimated capacity associated with each final capping event and (iv) amortization of intangible assets with a definite life, using either a 150% declining balance approach or a straight-line basis over the definitive terms of the related agreements, which are generally from two to 15 years depending on the type of asset.</w:t>
      </w:r>
    </w:p>
    <w:p>
      <w:pPr>
        <w:spacing w:after="0" w:line="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components of our depreciation and amortization costs for the years ended December 31 (dollars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Period-to-</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Period-to-</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Period</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Period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540" w:type="dxa"/>
            <w:vAlign w:val="bottom"/>
            <w:tcBorders>
              <w:bottom w:val="single" w:sz="8" w:color="CCEEFF"/>
            </w:tcBorders>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2013</w:t>
            </w:r>
          </w:p>
        </w:tc>
        <w:tc>
          <w:tcPr>
            <w:tcW w:w="3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Change</w:t>
            </w: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2012</w:t>
            </w:r>
          </w:p>
        </w:tc>
        <w:tc>
          <w:tcPr>
            <w:tcW w:w="3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Change</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of tangible property and equipment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w:t>
            </w: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400</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660" w:type="dxa"/>
            <w:vAlign w:val="bottom"/>
          </w:tcPr>
          <w:p>
            <w:pPr>
              <w:ind w:left="440"/>
              <w:spacing w:after="0"/>
              <w:rPr>
                <w:sz w:val="20"/>
                <w:szCs w:val="20"/>
                <w:color w:val="auto"/>
              </w:rPr>
            </w:pPr>
            <w:r>
              <w:rPr>
                <w:rFonts w:ascii="Arial" w:cs="Arial" w:eastAsia="Arial" w:hAnsi="Arial"/>
                <w:sz w:val="18"/>
                <w:szCs w:val="18"/>
                <w:color w:val="auto"/>
                <w:w w:val="79"/>
              </w:rPr>
              <w:t>4.5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15.9</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40" w:type="dxa"/>
            <w:vAlign w:val="bottom"/>
          </w:tcPr>
          <w:p>
            <w:pPr>
              <w:spacing w:after="0"/>
              <w:rPr>
                <w:sz w:val="19"/>
                <w:szCs w:val="19"/>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1,333</w:t>
            </w:r>
          </w:p>
        </w:tc>
        <w:tc>
          <w:tcPr>
            <w:tcW w:w="2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1,297</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w:t>
            </w: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5.5%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940" w:type="dxa"/>
            <w:vAlign w:val="bottom"/>
            <w:vMerge w:val="restart"/>
          </w:tcPr>
          <w:p>
            <w:pPr>
              <w:jc w:val="right"/>
              <w:ind w:right="592"/>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4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increase in amortization of intangible assets in 2013 is primarily related to the amortization of customer relationships acquired through our acquisition of RCI. The increase in amortization of intangible assets in 2012 is primarily related to the amortization of customer relationships acquired through our acquisition of Oakleaf in 2011 and by our Areas located in the Northern U.S.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Restructuring</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During the year ended December 31, 2013, we recognized a total of $18 million of pre-tax restructuring charges, of which $7 million was related to employee severance and benefit costs, including costs associated with our acquisitions of Greenstar and RCI and our 2012 restructurings. The remaining charges were primarily related to operating lease obligations for property that will no longer be utilized. We do not expect to incur any material charges associated with our past restructuring efforts in future periods.</w:t>
      </w:r>
    </w:p>
    <w:p>
      <w:pPr>
        <w:spacing w:after="0" w:line="6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July 2012, we announced a reorganization of operations, designed to streamline management and staff support and reduce our cost structure, while not disrupting our front-line operations. Principal organizational changes included removing the management layer of our four geographic Groups, each of which previously constituted a reportable segment, and consolidating and reducing the number of our geographic Areas through which we evaluate and oversee our Solid Waste subsidiaries from 22 to 17. This reorganization eliminated approximately 700 employee positions throughout the Company, including positions at both the management and support level. Voluntary separation arrangements were offered to many employees.</w:t>
      </w:r>
    </w:p>
    <w:p>
      <w:pPr>
        <w:spacing w:after="0" w:line="35"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During the year ended December 31, 2012, we recognized a total of $67 million of pre-tax restructuring charges, of which $56 million were primarily related to employee severance and benefit costs associated with our July 2012 restructuring. The remaining charges were primarily related to operating lease obligations for property that will no longer be utilized.</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Impairments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During the year ended December 31, 2013, we recognized $509 million of goodwill impairment charges, primarily related to (i) $483 million associated with our Wheelabrator business; (ii) $10 million associated with our Puerto Rico operations and (iii) $9 million associated with a majority-owned waste diversion technology company. During the years ended December 31, 2012 and 2011, we recognized goodwill impairment charges of $4 million and $1 million, respectively, related to certain of our non-Solid Waste operations. See Item 7. Management’s Discussion and Analysis of Financial Condition and Results of Operations — </w:t>
      </w:r>
      <w:r>
        <w:rPr>
          <w:rFonts w:ascii="Arial" w:cs="Arial" w:eastAsia="Arial" w:hAnsi="Arial"/>
          <w:sz w:val="16"/>
          <w:szCs w:val="16"/>
          <w:i w:val="1"/>
          <w:iCs w:val="1"/>
          <w:color w:val="auto"/>
        </w:rPr>
        <w:t>Critical Estimates and Assumptions — Asset Impairments</w:t>
      </w:r>
      <w:r>
        <w:rPr>
          <w:rFonts w:ascii="Arial" w:cs="Arial" w:eastAsia="Arial" w:hAnsi="Arial"/>
          <w:sz w:val="16"/>
          <w:szCs w:val="16"/>
          <w:color w:val="auto"/>
        </w:rPr>
        <w:t xml:space="preserve"> and Notes 3 and 6 to the Consolidated Financial Statements for additional information related to these impairment charges as well as the accounting policy and analysis involved in identifying and calculating impairments.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Expense from Divestitures, Asset Impairments (Other than Goodwill) and Unusual Items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major components of “(Income) expense from divestitures, asset impairments and unusual items”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for the respective periods (in millions):</w:t>
      </w:r>
    </w:p>
    <w:p>
      <w:pPr>
        <w:spacing w:after="0" w:line="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Years Ended December 31,</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tcBorders>
              <w:bottom w:val="single" w:sz="8" w:color="CCEEFF"/>
            </w:tcBorders>
          </w:tcPr>
          <w:p>
            <w:pPr>
              <w:spacing w:after="0"/>
              <w:rPr>
                <w:sz w:val="12"/>
                <w:szCs w:val="12"/>
                <w:color w:val="auto"/>
              </w:rPr>
            </w:pPr>
          </w:p>
        </w:tc>
        <w:tc>
          <w:tcPr>
            <w:tcW w:w="4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2013</w:t>
            </w:r>
          </w:p>
        </w:tc>
        <w:tc>
          <w:tcPr>
            <w:tcW w:w="6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6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expense from divestitures</w:t>
            </w:r>
          </w:p>
        </w:tc>
        <w:tc>
          <w:tcPr>
            <w:tcW w:w="4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Asset impairments</w:t>
            </w:r>
          </w:p>
        </w:tc>
        <w:tc>
          <w:tcPr>
            <w:tcW w:w="4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79</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79</w:t>
            </w:r>
          </w:p>
        </w:tc>
        <w:tc>
          <w:tcPr>
            <w:tcW w:w="2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4100" w:type="dxa"/>
            <w:vAlign w:val="bottom"/>
            <w:vMerge w:val="restart"/>
          </w:tcPr>
          <w:p>
            <w:pPr>
              <w:jc w:val="right"/>
              <w:ind w:right="2512"/>
              <w:spacing w:after="0"/>
              <w:rPr>
                <w:sz w:val="20"/>
                <w:szCs w:val="20"/>
                <w:color w:val="auto"/>
              </w:rPr>
            </w:pPr>
            <w:r>
              <w:rPr>
                <w:rFonts w:ascii="Arial" w:cs="Arial" w:eastAsia="Arial" w:hAnsi="Arial"/>
                <w:sz w:val="18"/>
                <w:szCs w:val="18"/>
                <w:color w:val="auto"/>
              </w:rPr>
              <w:t>54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84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 ended December 31, 2013, we recognized net charges of $464 million, primarily related to the following:</w:t>
      </w:r>
    </w:p>
    <w:p>
      <w:pPr>
        <w:spacing w:after="0" w:line="90" w:lineRule="exact"/>
        <w:rPr>
          <w:sz w:val="20"/>
          <w:szCs w:val="20"/>
          <w:color w:val="auto"/>
        </w:rPr>
      </w:pPr>
    </w:p>
    <w:p>
      <w:pPr>
        <w:ind w:left="700" w:right="80" w:hanging="246"/>
        <w:spacing w:after="0" w:line="289" w:lineRule="auto"/>
        <w:tabs>
          <w:tab w:leader="none" w:pos="70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Landfill impairments </w:t>
      </w:r>
      <w:r>
        <w:rPr>
          <w:rFonts w:ascii="Arial" w:cs="Arial" w:eastAsia="Arial" w:hAnsi="Arial"/>
          <w:sz w:val="16"/>
          <w:szCs w:val="16"/>
          <w:color w:val="auto"/>
        </w:rPr>
        <w:t>— We recognized $262 million of charges to impair certain of our landfills, primarily as a result of our consideration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management’s decision in the fourth quarter of 2013 not to actively pursue expansion and/or development of such landfills. These charges were primarily associated with two landfills in our Eastern Canada Area, which are no longer accepting waste. We had previously concluded that receipt of permits for these landfills was probable. However, in connection with our asset rationalization and capital allocation analysis, which was influenced, in some cases, by our acquisition of RCI, we determined that the future costs to construct these landfills could be avoided as we are able to allocate disposal that would have gone to these landfills to other facilities and not materially impact operations. As a result of management’s decision, we determined that the landfill assets were no longer able to be recovered by the undiscounted cash flows attributable to these assets. As such, we wrote them down to their estimated fair values using a market approach considering the highest and best use of the assets.</w:t>
      </w:r>
    </w:p>
    <w:p>
      <w:pPr>
        <w:spacing w:after="0" w:line="37" w:lineRule="exact"/>
        <w:rPr>
          <w:rFonts w:ascii="Arial" w:cs="Arial" w:eastAsia="Arial" w:hAnsi="Arial"/>
          <w:sz w:val="16"/>
          <w:szCs w:val="16"/>
          <w:color w:val="auto"/>
        </w:rPr>
      </w:pPr>
    </w:p>
    <w:p>
      <w:pPr>
        <w:ind w:left="700" w:right="60" w:hanging="246"/>
        <w:spacing w:after="0" w:line="256"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Waste-to-energy impairments </w:t>
      </w:r>
      <w:r>
        <w:rPr>
          <w:rFonts w:ascii="Arial" w:cs="Arial" w:eastAsia="Arial" w:hAnsi="Arial"/>
          <w:sz w:val="18"/>
          <w:szCs w:val="18"/>
          <w:color w:val="auto"/>
        </w:rPr>
        <w:t>— We recognized $144 million of impairment charges relating to three waste-to-energy facilities, primarily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closure or anticipated closure due to continued difficulty securing sufficient volumes to operate the plants at capacity and the prospect of additional capacity entering the market where the largest facility is located. We wrote down the carrying value of our facilities to their estimated fair value using a market approach.</w:t>
      </w:r>
    </w:p>
    <w:p>
      <w:pPr>
        <w:spacing w:after="0" w:line="62" w:lineRule="exact"/>
        <w:rPr>
          <w:rFonts w:ascii="Arial" w:cs="Arial" w:eastAsia="Arial" w:hAnsi="Arial"/>
          <w:sz w:val="18"/>
          <w:szCs w:val="18"/>
          <w:color w:val="auto"/>
        </w:rPr>
      </w:pPr>
    </w:p>
    <w:p>
      <w:pPr>
        <w:ind w:left="700" w:right="180" w:hanging="246"/>
        <w:spacing w:after="0" w:line="259"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Other impairments </w:t>
      </w:r>
      <w:r>
        <w:rPr>
          <w:rFonts w:ascii="Arial" w:cs="Arial" w:eastAsia="Arial" w:hAnsi="Arial"/>
          <w:sz w:val="18"/>
          <w:szCs w:val="18"/>
          <w:color w:val="auto"/>
        </w:rPr>
        <w:t>— The remainder of our 2013 charges were attributable to (i) $31 million of charges to impair various recycling assets; (ii) $20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charges to write down assets related to a majority-owned waste diversion technology company and (iii) a $15 million charge to write down the carrying value of an oil and gas property to its estimated fair value.</w:t>
      </w:r>
    </w:p>
    <w:p>
      <w:pPr>
        <w:spacing w:after="0" w:line="59" w:lineRule="exact"/>
        <w:rPr>
          <w:rFonts w:ascii="Arial" w:cs="Arial" w:eastAsia="Arial" w:hAnsi="Arial"/>
          <w:sz w:val="18"/>
          <w:szCs w:val="18"/>
          <w:color w:val="auto"/>
        </w:rPr>
      </w:pPr>
    </w:p>
    <w:p>
      <w:pPr>
        <w:ind w:left="700" w:hanging="24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Divestitures — </w:t>
      </w:r>
      <w:r>
        <w:rPr>
          <w:rFonts w:ascii="Arial" w:cs="Arial" w:eastAsia="Arial" w:hAnsi="Arial"/>
          <w:sz w:val="18"/>
          <w:szCs w:val="18"/>
          <w:color w:val="auto"/>
        </w:rPr>
        <w:t>Partially offsetting these charges were $8 million of net gains on divestitures.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During the year ended December 31, 2012, we recognized impairment charges aggregating $79 million, attributable to (i) $45 million of charges related to three facilities in our medical waste services business as a result of projected operating losses at each of these facilities; (ii) $20 million of charges related to investments in waste diversion technology companies and (iii) other charges to write down the carrying value of assets to their estimated fair values, all of which are individually immaterial.</w:t>
      </w:r>
    </w:p>
    <w:p>
      <w:pPr>
        <w:spacing w:after="0" w:line="6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During the year ended December 31, 2011, we recognized impairment charges relating to two facilities in our medical waste services business, in addition to the three facilities impaired in 2012 discussed above, as a result of the closure of one site and continuing operating losses at the other site.</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See Item 7. Management’s Discussion and Analysis of Financial Condition and Results of Operations — </w:t>
      </w:r>
      <w:r>
        <w:rPr>
          <w:rFonts w:ascii="Arial" w:cs="Arial" w:eastAsia="Arial" w:hAnsi="Arial"/>
          <w:sz w:val="16"/>
          <w:szCs w:val="16"/>
          <w:i w:val="1"/>
          <w:iCs w:val="1"/>
          <w:color w:val="auto"/>
        </w:rPr>
        <w:t>Critical Accounting Estimates and Assumptions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 Asset Impairments </w:t>
      </w:r>
      <w:r>
        <w:rPr>
          <w:rFonts w:ascii="Arial" w:cs="Arial" w:eastAsia="Arial" w:hAnsi="Arial"/>
          <w:sz w:val="16"/>
          <w:szCs w:val="16"/>
          <w:color w:val="auto"/>
        </w:rPr>
        <w:t>for additional information related to the accounting policy and analysis involved in identifying and calculating impairments.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to the impairments discussed above, we are continuing to evaluate opportunities associated with the sale or discontinued use of underperforming assets or assets that may no longer meet our strategic objectives. Accordingly, it is possible that additional charges may be recorded as assets are sold or become held-for-sale.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income from operations for the years ended December 31 (dollars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90"/>
              </w:rPr>
              <w:t>Period-to-</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0"/>
              </w:rPr>
              <w:t>Period-to-</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5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Period</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Period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15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2013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Pr>
          <w:p>
            <w:pPr>
              <w:spacing w:after="0"/>
              <w:rPr>
                <w:sz w:val="14"/>
                <w:szCs w:val="14"/>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2012</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r>
      <w:tr>
        <w:trPr>
          <w:trHeight w:val="196"/>
        </w:trPr>
        <w:tc>
          <w:tcPr>
            <w:tcW w:w="1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Solid Waste:</w:t>
            </w:r>
          </w:p>
        </w:tc>
        <w:tc>
          <w:tcPr>
            <w:tcW w:w="4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500" w:type="dxa"/>
            <w:vAlign w:val="bottom"/>
          </w:tcPr>
          <w:p>
            <w:pPr>
              <w:ind w:left="220"/>
              <w:spacing w:after="0"/>
              <w:rPr>
                <w:sz w:val="20"/>
                <w:szCs w:val="20"/>
                <w:color w:val="auto"/>
              </w:rPr>
            </w:pPr>
            <w:r>
              <w:rPr>
                <w:rFonts w:ascii="Arial" w:cs="Arial" w:eastAsia="Arial" w:hAnsi="Arial"/>
                <w:sz w:val="18"/>
                <w:szCs w:val="18"/>
                <w:color w:val="auto"/>
              </w:rPr>
              <w:t>Tier 1</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852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0.1%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851</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r>
      <w:tr>
        <w:trPr>
          <w:trHeight w:val="216"/>
        </w:trPr>
        <w:tc>
          <w:tcPr>
            <w:tcW w:w="1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1,291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1,270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1,237</w:t>
            </w:r>
          </w:p>
        </w:tc>
      </w:tr>
      <w:tr>
        <w:trPr>
          <w:trHeight w:val="216"/>
        </w:trPr>
        <w:tc>
          <w:tcPr>
            <w:tcW w:w="1500" w:type="dxa"/>
            <w:vAlign w:val="bottom"/>
          </w:tcPr>
          <w:p>
            <w:pPr>
              <w:ind w:left="220"/>
              <w:spacing w:after="0"/>
              <w:rPr>
                <w:sz w:val="20"/>
                <w:szCs w:val="20"/>
                <w:color w:val="auto"/>
              </w:rPr>
            </w:pPr>
            <w:r>
              <w:rPr>
                <w:rFonts w:ascii="Arial" w:cs="Arial" w:eastAsia="Arial" w:hAnsi="Arial"/>
                <w:sz w:val="18"/>
                <w:szCs w:val="18"/>
                <w:color w:val="auto"/>
              </w:rPr>
              <w:t>Tier 3</w:t>
            </w: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(213)</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(42.3)</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512</w:t>
            </w:r>
          </w:p>
        </w:tc>
      </w:tr>
      <w:tr>
        <w:trPr>
          <w:trHeight w:val="27"/>
        </w:trPr>
        <w:tc>
          <w:tcPr>
            <w:tcW w:w="15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Solid Waste</w:t>
            </w: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2,434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(191)</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2,625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2,608</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Wheelabrator</w:t>
            </w: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(517)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(630)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w w:val="91"/>
              </w:rPr>
              <w:t>Corporate and other</w:t>
            </w: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(667)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480" w:type="dxa"/>
            <w:vAlign w:val="bottom"/>
          </w:tcPr>
          <w:p>
            <w:pPr>
              <w:jc w:val="right"/>
              <w:spacing w:after="0"/>
              <w:rPr>
                <w:sz w:val="20"/>
                <w:szCs w:val="20"/>
                <w:color w:val="auto"/>
              </w:rPr>
            </w:pPr>
            <w:r>
              <w:rPr>
                <w:rFonts w:ascii="Arial" w:cs="Arial" w:eastAsia="Arial" w:hAnsi="Arial"/>
                <w:sz w:val="18"/>
                <w:szCs w:val="18"/>
                <w:color w:val="auto"/>
              </w:rPr>
              <w:t>9.7</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(588)</w:t>
            </w:r>
          </w:p>
        </w:tc>
      </w:tr>
      <w:tr>
        <w:trPr>
          <w:trHeight w:val="27"/>
        </w:trPr>
        <w:tc>
          <w:tcPr>
            <w:tcW w:w="15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1,079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(772)</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1,851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(177)</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2,028</w:t>
            </w:r>
          </w:p>
        </w:tc>
      </w:tr>
      <w:tr>
        <w:trPr>
          <w:trHeight w:val="20"/>
        </w:trPr>
        <w:tc>
          <w:tcPr>
            <w:tcW w:w="15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9"/>
        </w:trPr>
        <w:tc>
          <w:tcPr>
            <w:tcW w:w="1500" w:type="dxa"/>
            <w:vAlign w:val="bottom"/>
            <w:tcBorders>
              <w:bottom w:val="single" w:sz="8" w:color="auto"/>
            </w:tcBorders>
          </w:tcPr>
          <w:p>
            <w:pPr>
              <w:spacing w:after="0"/>
              <w:rPr>
                <w:sz w:val="7"/>
                <w:szCs w:val="7"/>
                <w:color w:val="auto"/>
              </w:rPr>
            </w:pPr>
          </w:p>
        </w:tc>
        <w:tc>
          <w:tcPr>
            <w:tcW w:w="4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19"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i w:val="1"/>
          <w:iCs w:val="1"/>
          <w:color w:val="auto"/>
        </w:rPr>
      </w:pPr>
      <w:r>
        <w:rPr>
          <w:rFonts w:ascii="Arial" w:cs="Arial" w:eastAsia="Arial" w:hAnsi="Arial"/>
          <w:sz w:val="18"/>
          <w:szCs w:val="18"/>
          <w:color w:val="auto"/>
        </w:rPr>
        <w:t>Percentage change does not provide a meaningful comparison.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Items affecting the comparability of our results of operations during 2013 and 2012 include (i) restructuring charges recognized in 2012 associated with our July 2012 restructuring; (ii) subsequent benefits realized as a result of our July 2012 restructuring and ongoing cost containment efforts; (iii) increased labor costs due to merit increases effective in 2013 and 2011 and (iv) lower 2012 year-over-year incentive compensation payouts. Also affecting comparability, excluding Wheelabrator, was the reclassification of employees to </w:t>
      </w:r>
      <w:r>
        <w:rPr>
          <w:rFonts w:ascii="Arial" w:cs="Arial" w:eastAsia="Arial" w:hAnsi="Arial"/>
          <w:sz w:val="16"/>
          <w:szCs w:val="16"/>
          <w:i w:val="1"/>
          <w:iCs w:val="1"/>
          <w:color w:val="auto"/>
        </w:rPr>
        <w:t>Solid Waste</w:t>
      </w:r>
      <w:r>
        <w:rPr>
          <w:rFonts w:ascii="Arial" w:cs="Arial" w:eastAsia="Arial" w:hAnsi="Arial"/>
          <w:sz w:val="16"/>
          <w:szCs w:val="16"/>
          <w:color w:val="auto"/>
        </w:rPr>
        <w:t xml:space="preserve"> from </w:t>
      </w:r>
      <w:r>
        <w:rPr>
          <w:rFonts w:ascii="Arial" w:cs="Arial" w:eastAsia="Arial" w:hAnsi="Arial"/>
          <w:sz w:val="16"/>
          <w:szCs w:val="16"/>
          <w:i w:val="1"/>
          <w:iCs w:val="1"/>
          <w:color w:val="auto"/>
        </w:rPr>
        <w:t>Other</w:t>
      </w:r>
      <w:r>
        <w:rPr>
          <w:rFonts w:ascii="Arial" w:cs="Arial" w:eastAsia="Arial" w:hAnsi="Arial"/>
          <w:sz w:val="16"/>
          <w:szCs w:val="16"/>
          <w:color w:val="auto"/>
        </w:rPr>
        <w:t xml:space="preserve"> and </w:t>
      </w:r>
      <w:r>
        <w:rPr>
          <w:rFonts w:ascii="Arial" w:cs="Arial" w:eastAsia="Arial" w:hAnsi="Arial"/>
          <w:sz w:val="16"/>
          <w:szCs w:val="16"/>
          <w:i w:val="1"/>
          <w:iCs w:val="1"/>
          <w:color w:val="auto"/>
        </w:rPr>
        <w:t>Corporate and Other</w:t>
      </w:r>
      <w:r>
        <w:rPr>
          <w:rFonts w:ascii="Arial" w:cs="Arial" w:eastAsia="Arial" w:hAnsi="Arial"/>
          <w:sz w:val="16"/>
          <w:szCs w:val="16"/>
          <w:color w:val="auto"/>
        </w:rPr>
        <w:t>.</w:t>
      </w:r>
    </w:p>
    <w:p>
      <w:pPr>
        <w:spacing w:after="0" w:line="3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 xml:space="preserve">Solid Waste — </w:t>
      </w:r>
      <w:r>
        <w:rPr>
          <w:rFonts w:ascii="Arial" w:cs="Arial" w:eastAsia="Arial" w:hAnsi="Arial"/>
          <w:sz w:val="18"/>
          <w:szCs w:val="18"/>
          <w:color w:val="auto"/>
        </w:rPr>
        <w:t>Our Solid Waste business income from operations declined $191 million when comparing 2013 with 2012, principally as a result of $279</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of net charges primarily related to impairments recognized in 2013. The most significant impairment charges were in our Eastern Canada Area, which is included in Tier 3, and were associated with the impairment of certain landfills as discussed above in </w:t>
      </w:r>
      <w:r>
        <w:rPr>
          <w:rFonts w:ascii="Arial" w:cs="Arial" w:eastAsia="Arial" w:hAnsi="Arial"/>
          <w:sz w:val="18"/>
          <w:szCs w:val="18"/>
          <w:i w:val="1"/>
          <w:iCs w:val="1"/>
          <w:color w:val="auto"/>
        </w:rPr>
        <w:t>(Income) Expense from Divestitures, Asset Impairments</w:t>
      </w:r>
      <w:r>
        <w:rPr>
          <w:rFonts w:ascii="Arial" w:cs="Arial" w:eastAsia="Arial" w:hAnsi="Arial"/>
          <w:sz w:val="18"/>
          <w:szCs w:val="18"/>
          <w:color w:val="auto"/>
        </w:rPr>
        <w:t xml:space="preserve"> </w:t>
      </w:r>
      <w:r>
        <w:rPr>
          <w:rFonts w:ascii="Arial" w:cs="Arial" w:eastAsia="Arial" w:hAnsi="Arial"/>
          <w:sz w:val="18"/>
          <w:szCs w:val="18"/>
          <w:i w:val="1"/>
          <w:iCs w:val="1"/>
          <w:color w:val="auto"/>
        </w:rPr>
        <w:t>(Other than Goodwill) and Unusual Items</w:t>
      </w:r>
      <w:r>
        <w:rPr>
          <w:rFonts w:ascii="Arial" w:cs="Arial" w:eastAsia="Arial" w:hAnsi="Arial"/>
          <w:sz w:val="18"/>
          <w:szCs w:val="18"/>
          <w:color w:val="auto"/>
        </w:rPr>
        <w:t>. Other significant items affecting the results of operations of our Solid Waste business during the three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2013 are summarized below:</w:t>
      </w:r>
    </w:p>
    <w:p>
      <w:pPr>
        <w:spacing w:after="0" w:line="62" w:lineRule="exact"/>
        <w:rPr>
          <w:sz w:val="20"/>
          <w:szCs w:val="20"/>
          <w:color w:val="auto"/>
        </w:rPr>
      </w:pPr>
    </w:p>
    <w:p>
      <w:pPr>
        <w:jc w:val="both"/>
        <w:ind w:left="700" w:right="40" w:hanging="246"/>
        <w:spacing w:after="0" w:line="259"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base business benefited from (i) internal revenue growth, principally in our collection and disposal business and (ii) increased fuel cost recovery in 2013. These favorable variances were offset, in part, by net cost increases mainly driven by higher operating expenses including maintenance and repair and transfer and disposal in 2012;</w:t>
      </w:r>
    </w:p>
    <w:p>
      <w:pPr>
        <w:spacing w:after="0" w:line="59" w:lineRule="exact"/>
        <w:rPr>
          <w:rFonts w:ascii="Arial" w:cs="Arial" w:eastAsia="Arial" w:hAnsi="Arial"/>
          <w:sz w:val="18"/>
          <w:szCs w:val="18"/>
          <w:color w:val="auto"/>
        </w:rPr>
      </w:pPr>
    </w:p>
    <w:p>
      <w:pPr>
        <w:ind w:left="700" w:right="60" w:hanging="246"/>
        <w:spacing w:after="0" w:line="259"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Results from our recycling business were lower compared to prior year periods due primarily to (i) lower prices for commodities primarily affecting the 2012 period; (ii) higher processing costs driven in part by increased outbound quality control in 2013 and (iii) operating losses related to the acquired operations of Greenstar in 2013;</w:t>
      </w:r>
    </w:p>
    <w:p>
      <w:pPr>
        <w:spacing w:after="0" w:line="59" w:lineRule="exact"/>
        <w:rPr>
          <w:rFonts w:ascii="Arial" w:cs="Arial" w:eastAsia="Arial" w:hAnsi="Arial"/>
          <w:sz w:val="18"/>
          <w:szCs w:val="18"/>
          <w:color w:val="auto"/>
        </w:rPr>
      </w:pPr>
    </w:p>
    <w:p>
      <w:pPr>
        <w:ind w:left="700" w:hanging="24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accretive benefits of the RCI acquisition;</w:t>
      </w:r>
    </w:p>
    <w:p>
      <w:pPr>
        <w:spacing w:after="0" w:line="90" w:lineRule="exact"/>
        <w:rPr>
          <w:rFonts w:ascii="Arial" w:cs="Arial" w:eastAsia="Arial" w:hAnsi="Arial"/>
          <w:sz w:val="18"/>
          <w:szCs w:val="18"/>
          <w:color w:val="auto"/>
        </w:rPr>
      </w:pPr>
    </w:p>
    <w:p>
      <w:pPr>
        <w:ind w:left="700" w:right="160" w:hanging="246"/>
        <w:spacing w:after="0" w:line="268"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decrease in bad debt expense during 2013 due primarily to the collection of receivables previously reserved during 2012, principally in Puerto Rico, which is included in Tier 3;</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charge for the withdrawal from an underfunded multiemployer pension plan in New England in 2012, which is included in Tier 2;</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Incremental operating expenses due to a labor union dispute in the Pacific Northwest Area in 2012, which is included in Tier 3;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charge associated with a litigation loss in Southern California in 2011, which is included in Tier 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auto"/>
        </w:rPr>
        <w:t xml:space="preserve">Wheelabrator — </w:t>
      </w:r>
      <w:r>
        <w:rPr>
          <w:rFonts w:ascii="Arial" w:cs="Arial" w:eastAsia="Arial" w:hAnsi="Arial"/>
          <w:sz w:val="16"/>
          <w:szCs w:val="16"/>
          <w:color w:val="auto"/>
        </w:rPr>
        <w:t>The decrease in income from operations of our Wheelabrator business for the year ended December 31, 2013 as compared to 2012 was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largely driven by (i) $627 million of pre-tax charges to impair goodwill and certain waste-to-energy facilities as discussed above in </w:t>
      </w:r>
      <w:r>
        <w:rPr>
          <w:rFonts w:ascii="Arial" w:cs="Arial" w:eastAsia="Arial" w:hAnsi="Arial"/>
          <w:sz w:val="16"/>
          <w:szCs w:val="16"/>
          <w:i w:val="1"/>
          <w:iCs w:val="1"/>
          <w:color w:val="auto"/>
        </w:rPr>
        <w:t>Goodwill Impairments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(Income) Expense from Divestitures, Asset Impairments (Other than Goodwill) and Unusual Items; </w:t>
      </w:r>
      <w:r>
        <w:rPr>
          <w:rFonts w:ascii="Arial" w:cs="Arial" w:eastAsia="Arial" w:hAnsi="Arial"/>
          <w:sz w:val="16"/>
          <w:szCs w:val="16"/>
          <w:color w:val="auto"/>
        </w:rPr>
        <w:t>(iii) higher labor costs and (iv) a disposal surcharge at one of</w:t>
      </w:r>
      <w:r>
        <w:rPr>
          <w:rFonts w:ascii="Arial" w:cs="Arial" w:eastAsia="Arial" w:hAnsi="Arial"/>
          <w:sz w:val="16"/>
          <w:szCs w:val="16"/>
          <w:i w:val="1"/>
          <w:iCs w:val="1"/>
          <w:color w:val="auto"/>
        </w:rPr>
        <w:t xml:space="preserve"> </w:t>
      </w:r>
      <w:r>
        <w:rPr>
          <w:rFonts w:ascii="Arial" w:cs="Arial" w:eastAsia="Arial" w:hAnsi="Arial"/>
          <w:sz w:val="16"/>
          <w:szCs w:val="16"/>
          <w:color w:val="auto"/>
        </w:rPr>
        <w:t>our waste-to-energy facilities. The impact of these unfavorable items was offset, in part, by improved energy pricing and metal sales.</w:t>
      </w:r>
    </w:p>
    <w:p>
      <w:pPr>
        <w:spacing w:after="0" w:line="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decrease in income from operations in 2012 as compared to 2011 was largely driven by (i) lower revenues due to the expiration of long-term contracts at certain of our waste-to-energy facilities; (ii) lower energy pricing at our merchant facilities; (iii) increased maintenance and repair costs, primarily due to differences in the timing and scope of planned maintenance activities and (iv) increased international development costs.</w:t>
      </w:r>
    </w:p>
    <w:p>
      <w:pPr>
        <w:spacing w:after="0" w:line="26" w:lineRule="exact"/>
        <w:rPr>
          <w:sz w:val="20"/>
          <w:szCs w:val="20"/>
          <w:color w:val="auto"/>
        </w:rPr>
      </w:pPr>
    </w:p>
    <w:p>
      <w:pPr>
        <w:ind w:right="180" w:firstLine="456"/>
        <w:spacing w:after="0" w:line="302" w:lineRule="auto"/>
        <w:rPr>
          <w:sz w:val="20"/>
          <w:szCs w:val="20"/>
          <w:color w:val="auto"/>
        </w:rPr>
      </w:pPr>
      <w:r>
        <w:rPr>
          <w:rFonts w:ascii="Arial" w:cs="Arial" w:eastAsia="Arial" w:hAnsi="Arial"/>
          <w:sz w:val="15"/>
          <w:szCs w:val="15"/>
          <w:i w:val="1"/>
          <w:iCs w:val="1"/>
          <w:color w:val="auto"/>
        </w:rPr>
        <w:t xml:space="preserve">Other </w:t>
      </w:r>
      <w:r>
        <w:rPr>
          <w:rFonts w:ascii="Arial" w:cs="Arial" w:eastAsia="Arial" w:hAnsi="Arial"/>
          <w:sz w:val="15"/>
          <w:szCs w:val="15"/>
          <w:color w:val="auto"/>
        </w:rPr>
        <w:t>— Our “Other” income from operations includes (i) those elements of our in-plant services, landfill gas-to-energy operations, and third-party</w:t>
      </w:r>
      <w:r>
        <w:rPr>
          <w:rFonts w:ascii="Arial" w:cs="Arial" w:eastAsia="Arial" w:hAnsi="Arial"/>
          <w:sz w:val="15"/>
          <w:szCs w:val="15"/>
          <w:i w:val="1"/>
          <w:iCs w:val="1"/>
          <w:color w:val="auto"/>
        </w:rPr>
        <w:t xml:space="preserve"> </w:t>
      </w:r>
      <w:r>
        <w:rPr>
          <w:rFonts w:ascii="Arial" w:cs="Arial" w:eastAsia="Arial" w:hAnsi="Arial"/>
          <w:sz w:val="15"/>
          <w:szCs w:val="15"/>
          <w:color w:val="auto"/>
        </w:rPr>
        <w:t>subcontract and administration revenues managed by our Sustainability Services and Renewable Energy organizations, that are not included with the operations of our reportable segments; (ii) our recycling brokerage and electronic recycling services and (iii) the results of investments that we are making in expanded service offerings, such as portable self-storage and fluorescent lamp recycling, and in oil and gas producing properties. In addition, our “Other” income from operations reflects the results of (i) non-operating entities that provide financial assurance and self-insurance support for our Solid Waste business and</w:t>
      </w:r>
    </w:p>
    <w:p>
      <w:pPr>
        <w:spacing w:after="0" w:line="2" w:lineRule="exact"/>
        <w:rPr>
          <w:sz w:val="20"/>
          <w:szCs w:val="20"/>
          <w:color w:val="auto"/>
        </w:rPr>
      </w:pPr>
    </w:p>
    <w:p>
      <w:pPr>
        <w:ind w:left="460" w:right="800" w:hanging="452"/>
        <w:spacing w:after="0" w:line="340" w:lineRule="auto"/>
        <w:tabs>
          <w:tab w:leader="none" w:pos="262"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reclasses to include the costs of our former geographic Group offices that, prior to our 2012 restructuring, were included in our operating segments. Significant items affecting the comparability of expenses for the periods presented include:</w:t>
      </w:r>
    </w:p>
    <w:p>
      <w:pPr>
        <w:spacing w:after="0" w:line="1" w:lineRule="exact"/>
        <w:rPr>
          <w:rFonts w:ascii="Arial" w:cs="Arial" w:eastAsia="Arial" w:hAnsi="Arial"/>
          <w:sz w:val="18"/>
          <w:szCs w:val="18"/>
          <w:color w:val="auto"/>
        </w:rPr>
      </w:pPr>
    </w:p>
    <w:p>
      <w:pPr>
        <w:ind w:left="700" w:right="80" w:hanging="246"/>
        <w:spacing w:after="0" w:line="332" w:lineRule="auto"/>
        <w:tabs>
          <w:tab w:leader="none" w:pos="7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Impairment charges recognized in 2013 and 2012 as discussed in </w:t>
      </w:r>
      <w:r>
        <w:rPr>
          <w:rFonts w:ascii="Arial" w:cs="Arial" w:eastAsia="Arial" w:hAnsi="Arial"/>
          <w:sz w:val="16"/>
          <w:szCs w:val="16"/>
          <w:i w:val="1"/>
          <w:iCs w:val="1"/>
          <w:color w:val="auto"/>
        </w:rPr>
        <w:t>Goodwill Impairments, Asset Impairments</w:t>
      </w:r>
      <w:r>
        <w:rPr>
          <w:rFonts w:ascii="Arial" w:cs="Arial" w:eastAsia="Arial" w:hAnsi="Arial"/>
          <w:sz w:val="16"/>
          <w:szCs w:val="16"/>
          <w:color w:val="auto"/>
        </w:rPr>
        <w:t xml:space="preserve">, </w:t>
      </w:r>
      <w:r>
        <w:rPr>
          <w:rFonts w:ascii="Arial" w:cs="Arial" w:eastAsia="Arial" w:hAnsi="Arial"/>
          <w:sz w:val="16"/>
          <w:szCs w:val="16"/>
          <w:i w:val="1"/>
          <w:iCs w:val="1"/>
          <w:color w:val="auto"/>
        </w:rPr>
        <w:t>(Income) Expense from Divestitures, Asset</w:t>
      </w:r>
      <w:r>
        <w:rPr>
          <w:rFonts w:ascii="Arial" w:cs="Arial" w:eastAsia="Arial" w:hAnsi="Arial"/>
          <w:sz w:val="16"/>
          <w:szCs w:val="16"/>
          <w:color w:val="auto"/>
        </w:rPr>
        <w:t xml:space="preserve"> </w:t>
      </w:r>
      <w:r>
        <w:rPr>
          <w:rFonts w:ascii="Arial" w:cs="Arial" w:eastAsia="Arial" w:hAnsi="Arial"/>
          <w:sz w:val="16"/>
          <w:szCs w:val="16"/>
          <w:i w:val="1"/>
          <w:iCs w:val="1"/>
          <w:color w:val="auto"/>
        </w:rPr>
        <w:t>Impairments (Other than Goodwill) and Unusual Items, Equity in Net Losses of Unconsolidated Entities and Other, net;</w:t>
      </w:r>
    </w:p>
    <w:p>
      <w:pPr>
        <w:spacing w:after="0" w:line="4" w:lineRule="exact"/>
        <w:rPr>
          <w:rFonts w:ascii="Arial" w:cs="Arial" w:eastAsia="Arial" w:hAnsi="Arial"/>
          <w:sz w:val="16"/>
          <w:szCs w:val="16"/>
          <w:color w:val="auto"/>
        </w:rPr>
      </w:pPr>
    </w:p>
    <w:p>
      <w:pPr>
        <w:ind w:left="700" w:hanging="246"/>
        <w:spacing w:after="0"/>
        <w:tabs>
          <w:tab w:leader="none" w:pos="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Improved results from our organics and medical waste service businesses in 2013;</w:t>
      </w:r>
    </w:p>
    <w:p>
      <w:pPr>
        <w:spacing w:after="0" w:line="90" w:lineRule="exact"/>
        <w:rPr>
          <w:rFonts w:ascii="Arial" w:cs="Arial" w:eastAsia="Arial" w:hAnsi="Arial"/>
          <w:sz w:val="18"/>
          <w:szCs w:val="18"/>
          <w:color w:val="auto"/>
        </w:rPr>
      </w:pPr>
    </w:p>
    <w:p>
      <w:pPr>
        <w:ind w:left="700" w:right="420" w:hanging="246"/>
        <w:spacing w:after="0" w:line="332" w:lineRule="auto"/>
        <w:tabs>
          <w:tab w:leader="none" w:pos="7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Losses in 2013 and 2012 from our efforts to integrate our strategic accounts business with Oakleaf, including the loss of certain strategic accounts. However, in 2013, we have experienced year-over-year improvements as a result of our system and process enhancements; and</w:t>
      </w:r>
    </w:p>
    <w:p>
      <w:pPr>
        <w:spacing w:after="0" w:line="4" w:lineRule="exact"/>
        <w:rPr>
          <w:rFonts w:ascii="Arial" w:cs="Arial" w:eastAsia="Arial" w:hAnsi="Arial"/>
          <w:sz w:val="16"/>
          <w:szCs w:val="16"/>
          <w:color w:val="auto"/>
        </w:rPr>
      </w:pPr>
    </w:p>
    <w:p>
      <w:pPr>
        <w:ind w:left="700" w:right="320" w:hanging="246"/>
        <w:spacing w:after="0" w:line="268" w:lineRule="auto"/>
        <w:tabs>
          <w:tab w:leader="none" w:pos="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favorable adjustment to contingent consideration associated with the Greenstar acquisition, offset by higher administrative and restructuring costs associated with the acquired operations.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Corporate and Other — </w:t>
      </w:r>
      <w:r>
        <w:rPr>
          <w:rFonts w:ascii="Arial" w:cs="Arial" w:eastAsia="Arial" w:hAnsi="Arial"/>
          <w:sz w:val="18"/>
          <w:szCs w:val="18"/>
          <w:color w:val="auto"/>
        </w:rPr>
        <w:t>Significant items affecting the comparability of expenses for the periods presented include:</w:t>
      </w:r>
    </w:p>
    <w:p>
      <w:pPr>
        <w:spacing w:after="0" w:line="90" w:lineRule="exact"/>
        <w:rPr>
          <w:sz w:val="20"/>
          <w:szCs w:val="20"/>
          <w:color w:val="auto"/>
        </w:rPr>
      </w:pPr>
    </w:p>
    <w:p>
      <w:pPr>
        <w:ind w:left="700" w:right="160" w:hanging="246"/>
        <w:spacing w:after="0" w:line="268"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Lower year-over-year professional fees primarily due to higher consulting fees incurred during 2012 and 2011 in connection with the start-up phase of our cost savings programs;</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Favorable adjustments in 2013 and unfavorable adjustments in both 2012 and 2011 related to changes in U.S. Treasury rates used to discount the present value of our environmental remediation obligations and recovery assets;</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Favorable adjustments to our estimated environmental remediation obligations in 2013 and 2011; and</w:t>
      </w:r>
    </w:p>
    <w:p>
      <w:pPr>
        <w:spacing w:after="0" w:line="90" w:lineRule="exact"/>
        <w:rPr>
          <w:rFonts w:ascii="Arial" w:cs="Arial" w:eastAsia="Arial" w:hAnsi="Arial"/>
          <w:sz w:val="18"/>
          <w:szCs w:val="18"/>
          <w:color w:val="auto"/>
        </w:rPr>
      </w:pPr>
    </w:p>
    <w:p>
      <w:pPr>
        <w:ind w:left="700" w:right="280" w:hanging="246"/>
        <w:spacing w:after="0" w:line="268"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Higher year-over-year risk management expense in 2013 and 2012, primarily due to increased overall costs associated with auto and general liability insurance.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interest expense was $481 million in 2013, $488 million in 2012 and $481 million in 2011. During 2013, our debt balances increased by approximately $300 million, which can generally be attributed to the debt financing of our acquisition of RCI offset by debt repayments. In spite of this increase in debt, we reduced our interest costs by (i) reducing the interest rate periods of some of our tax-exempt bonds, allowing us to benefit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from lower rates available for shorter-term remarketings; (ii) issuing new debt at lower fixed interest rates than debt repaid upon scheduled maturities and</w:t>
      </w:r>
    </w:p>
    <w:p>
      <w:pPr>
        <w:spacing w:after="0" w:line="38" w:lineRule="exact"/>
        <w:rPr>
          <w:sz w:val="20"/>
          <w:szCs w:val="20"/>
          <w:color w:val="auto"/>
        </w:rPr>
      </w:pPr>
    </w:p>
    <w:p>
      <w:pPr>
        <w:ind w:right="20" w:firstLine="8"/>
        <w:spacing w:after="0" w:line="292" w:lineRule="auto"/>
        <w:tabs>
          <w:tab w:leader="none" w:pos="307"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reducing the cost of our revolving credit facility by amending the credit agreement to provide for lower fees and rates. The increase in interest expense from 2011 to 2012 was primarily due to higher average debt balances, which were incurred to support acquisitions and investments in our long-term growth, and a decrease in the benefits provided by active and terminated interest rate swap agreements. These increases were partially offset by a decrease in interest due to (i) a decline in our weighted average borrowing rate achieved by refinancing matured debt with new borrowings at much lower fixed interest rates and (ii) the impacts that lower market interest rates had on the cost of certain of our tax-exempt debt.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We recognized “Equity in net losses of unconsolidated entities” of $34 million in 2013, $46 million in 2012 and $31 million in 2011. These losses are primarily related to our noncontrolling interests in two limited liability companies established to invest in and manage low-income housing properties and a refined coal facility, as well as (i) noncontrolling investments made to support our strategic initiatives and (ii) unconsolidated trusts for final capping, closure, post-closure or environmental obligations. The tax impacts realized as a result of our investments in low-income housing properties and the refined coal facility are discussed below in </w:t>
      </w:r>
      <w:r>
        <w:rPr>
          <w:rFonts w:ascii="Arial" w:cs="Arial" w:eastAsia="Arial" w:hAnsi="Arial"/>
          <w:sz w:val="16"/>
          <w:szCs w:val="16"/>
          <w:i w:val="1"/>
          <w:iCs w:val="1"/>
          <w:color w:val="auto"/>
        </w:rPr>
        <w:t>Provision for Income Taxes.</w:t>
      </w:r>
      <w:r>
        <w:rPr>
          <w:rFonts w:ascii="Arial" w:cs="Arial" w:eastAsia="Arial" w:hAnsi="Arial"/>
          <w:sz w:val="16"/>
          <w:szCs w:val="16"/>
          <w:color w:val="auto"/>
        </w:rPr>
        <w:t xml:space="preserve"> Refer to Notes 9 and 20 to the Consolidated Financial Statements for more information related to these investments. The decrease in 2013 is primarily attributable to the recognition of a $10 million charge in 2012 related to a payment we made under a guarantee on behalf of an unconsolidated entity that went into liquidation. This investment was accounted for under the equity method.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net</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recognized other, net expense of $74 million, $18 million and $4 million in 2013, 2012 and 2011, respectively. The expense in 2013 was impacted by impairment charges of $71 million relating to other-than-temporary declines in the value of investments in waste diversion technology companies accounted for under the cost method. We wrote down the carrying value of our investments to their fair value, which was primarily determined using an income approach based on estimated future cash flow projections obtained in the fourth quarter of 2013 and, to a lesser extent, third-party investors’ recent transactions in these securities. Partially offsetting these charges was a $4 million gain on the sale of a similar investment.</w:t>
      </w:r>
    </w:p>
    <w:p>
      <w:pPr>
        <w:spacing w:after="0" w:line="3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expense in 2012 was impacted by an impairment charge of $16 million related to an other-than-temporary decline in the value of an investment in a waste diversion technology company accounted for under the cost method. We wrote down the carrying value of our investment to its fair value based on other third-party investors’ recent transactions in these securities, which are considered to be the best evidence of fair value currently available. The remaining expenses recognized during the reported periods are primarily related to the impact of foreign currency translation.</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recorded provisions for income taxes of $364 million in 2013, $443 million in 2012 and $511 million in 2011. These tax provisions resulted in an effective income tax rate of approximately 73.8%, 34.0%, and 33.6% for 2013, 2012 and 2011, respectively. The comparability of our reported income taxes for the years ended December 31, 2013, 2012 and 2011 is primarily affected by (i) variations in our income before income taxes; (ii) federal tax credits ; (iii) tax audit settlements; (iv) the realization of federal and state net operating loss and credit carry-forwards and (v) the tax implications of impairments. The impacts of these items are summarized below:</w:t>
      </w:r>
    </w:p>
    <w:p>
      <w:pPr>
        <w:spacing w:after="0" w:line="62" w:lineRule="exact"/>
        <w:rPr>
          <w:sz w:val="20"/>
          <w:szCs w:val="20"/>
          <w:color w:val="auto"/>
        </w:rPr>
      </w:pPr>
    </w:p>
    <w:p>
      <w:pPr>
        <w:ind w:left="700" w:right="20" w:hanging="246"/>
        <w:spacing w:after="0" w:line="259"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Investment in Refined Coal Facility </w:t>
      </w:r>
      <w:r>
        <w:rPr>
          <w:rFonts w:ascii="Arial" w:cs="Arial" w:eastAsia="Arial" w:hAnsi="Arial"/>
          <w:sz w:val="18"/>
          <w:szCs w:val="18"/>
          <w:color w:val="auto"/>
        </w:rPr>
        <w:t>— Our refined coal facility investment and the resulting credits reduced our provision for income taxes by $20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$21 million and $17 million for the years ended December 31, 2013, 2012 and 2011, respectively. Refer to Note 9 to the Consolidated Financial Statements for more information related to our refined coal facility investment.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700" w:right="80" w:hanging="246"/>
        <w:spacing w:after="0" w:line="259"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Investment in Low-Income Housing Properties </w:t>
      </w:r>
      <w:r>
        <w:rPr>
          <w:rFonts w:ascii="Arial" w:cs="Arial" w:eastAsia="Arial" w:hAnsi="Arial"/>
          <w:sz w:val="18"/>
          <w:szCs w:val="18"/>
          <w:color w:val="auto"/>
        </w:rPr>
        <w:t>— Our low-income housing investment and the resulting federal tax credits reduced our provision for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taxes by $38 million for each of the years ended December 31, 2013, 2012 and 2011. Refer to Note 9 to the Consolidated Financial Statements for more information related to our low-income housing investment.</w:t>
      </w:r>
    </w:p>
    <w:p>
      <w:pPr>
        <w:spacing w:after="0" w:line="59" w:lineRule="exact"/>
        <w:rPr>
          <w:rFonts w:ascii="Arial" w:cs="Arial" w:eastAsia="Arial" w:hAnsi="Arial"/>
          <w:sz w:val="18"/>
          <w:szCs w:val="18"/>
          <w:color w:val="auto"/>
        </w:rPr>
      </w:pPr>
    </w:p>
    <w:p>
      <w:pPr>
        <w:ind w:left="700" w:right="100" w:hanging="246"/>
        <w:spacing w:after="0" w:line="268"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Tax Audit Settlements </w:t>
      </w:r>
      <w:r>
        <w:rPr>
          <w:rFonts w:ascii="Arial" w:cs="Arial" w:eastAsia="Arial" w:hAnsi="Arial"/>
          <w:sz w:val="18"/>
          <w:szCs w:val="18"/>
          <w:color w:val="auto"/>
        </w:rPr>
        <w:t>— The settlement of various tax audits resulted in reductions in income tax expense of $11 million, $10 million and $12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years ended December 31, 2013, 2012 and 2011, respectively.</w:t>
      </w:r>
    </w:p>
    <w:p>
      <w:pPr>
        <w:spacing w:after="0" w:line="50" w:lineRule="exact"/>
        <w:rPr>
          <w:rFonts w:ascii="Arial" w:cs="Arial" w:eastAsia="Arial" w:hAnsi="Arial"/>
          <w:sz w:val="18"/>
          <w:szCs w:val="18"/>
          <w:color w:val="auto"/>
        </w:rPr>
      </w:pPr>
    </w:p>
    <w:p>
      <w:pPr>
        <w:ind w:left="700" w:right="80" w:hanging="246"/>
        <w:spacing w:after="0" w:line="268"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State Net Operating Loss and Credit Carry-forwards </w:t>
      </w:r>
      <w:r>
        <w:rPr>
          <w:rFonts w:ascii="Arial" w:cs="Arial" w:eastAsia="Arial" w:hAnsi="Arial"/>
          <w:sz w:val="18"/>
          <w:szCs w:val="18"/>
          <w:color w:val="auto"/>
        </w:rPr>
        <w:t>— During 2013, 2012 and 2011, we recognized state net operating loss and credit carry-forwards</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in a reduction to our provision for income taxes of $16 million, $5 million and $4 million, respectively.</w:t>
      </w:r>
    </w:p>
    <w:p>
      <w:pPr>
        <w:spacing w:after="0" w:line="50" w:lineRule="exact"/>
        <w:rPr>
          <w:rFonts w:ascii="Arial" w:cs="Arial" w:eastAsia="Arial" w:hAnsi="Arial"/>
          <w:sz w:val="18"/>
          <w:szCs w:val="18"/>
          <w:color w:val="auto"/>
        </w:rPr>
      </w:pPr>
    </w:p>
    <w:p>
      <w:pPr>
        <w:ind w:left="700" w:right="620" w:hanging="246"/>
        <w:spacing w:after="0" w:line="268"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Federal Net Operating Loss Carry-Forwards </w:t>
      </w:r>
      <w:r>
        <w:rPr>
          <w:rFonts w:ascii="Arial" w:cs="Arial" w:eastAsia="Arial" w:hAnsi="Arial"/>
          <w:sz w:val="18"/>
          <w:szCs w:val="18"/>
          <w:color w:val="auto"/>
        </w:rPr>
        <w:t>— During 2012, we recognized additional federal net operating loss carry-forwards resulting in a</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to our provision for income taxes of $8 million.</w:t>
      </w:r>
    </w:p>
    <w:p>
      <w:pPr>
        <w:spacing w:after="0" w:line="50" w:lineRule="exact"/>
        <w:rPr>
          <w:rFonts w:ascii="Arial" w:cs="Arial" w:eastAsia="Arial" w:hAnsi="Arial"/>
          <w:sz w:val="18"/>
          <w:szCs w:val="18"/>
          <w:color w:val="auto"/>
        </w:rPr>
      </w:pPr>
    </w:p>
    <w:p>
      <w:pPr>
        <w:ind w:left="700" w:right="360" w:hanging="246"/>
        <w:spacing w:after="0" w:line="306" w:lineRule="auto"/>
        <w:tabs>
          <w:tab w:leader="none" w:pos="70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Tax Implications of Impairments </w:t>
      </w:r>
      <w:r>
        <w:rPr>
          <w:rFonts w:ascii="Arial" w:cs="Arial" w:eastAsia="Arial" w:hAnsi="Arial"/>
          <w:sz w:val="16"/>
          <w:szCs w:val="16"/>
          <w:color w:val="auto"/>
        </w:rPr>
        <w:t>— During 2013 and 2012, the recording of impairments and the related income tax impacts resulted in permanent</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differences which increased our provision for income taxes by $235 million and $7 million, respectively. See Notes 6 and 13 to the Consolidated Financial Statements for more information related to asset impairments and unusual items.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expect our 2014 recurring effective tax rate will be approximately 35.0% based on projected income levels, federal tax credits and other permanent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items.</w:t>
      </w:r>
    </w:p>
    <w:p>
      <w:pPr>
        <w:spacing w:after="0" w:line="8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American Taxpayer Relief Act of 2012 was signed into law on January 2, 2013 and included an extension for one year of the bonus depreciation allowance. As a result, 50% of qualifying capital expenditures on property placed in service before January 1, 2014 were depreciated immediately. The acceleration of deductions on 2013 qualifying capital expenditures resulting from the bonus depreciation provisions had no impact on our effective income tax rate for 2013. However, the ability to accelerate depreciation deductions decreased our 2013 cash taxes by approximately $70 million. Taking the accelerated tax depreciation will result in increased cash taxes in subsequent periods when the deductions for these capital expenditures would have otherwise been taken.</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Net income attributable to noncontrolling interests was $32 million in 2013, $43 million in 2012 and $48 million in 2011. These amounts are principally related to third parties’ equity interests in two limited liability companies that own three waste-to-energy facilities operated by our Wheelabrator business. Refer to Note 20 to the Consolidated Financial Statements for information related to the consolidation of these variable interest entities. The decrease in 2013 is primarily due to the net loss of $10 million attributable to noncontrolling interest holders associated with the $20 million impairment charge related to a majority-owned waste diversion technology company discussed above in </w:t>
      </w:r>
      <w:r>
        <w:rPr>
          <w:rFonts w:ascii="Arial" w:cs="Arial" w:eastAsia="Arial" w:hAnsi="Arial"/>
          <w:sz w:val="18"/>
          <w:szCs w:val="18"/>
          <w:i w:val="1"/>
          <w:iCs w:val="1"/>
          <w:color w:val="auto"/>
        </w:rPr>
        <w:t>(Income) Expense from Divestitures, Asset Impairments (Other than Goodwill) and Unusual</w:t>
      </w:r>
      <w:r>
        <w:rPr>
          <w:rFonts w:ascii="Arial" w:cs="Arial" w:eastAsia="Arial" w:hAnsi="Arial"/>
          <w:sz w:val="18"/>
          <w:szCs w:val="18"/>
          <w:color w:val="auto"/>
        </w:rPr>
        <w:t xml:space="preserve"> </w:t>
      </w:r>
      <w:r>
        <w:rPr>
          <w:rFonts w:ascii="Arial" w:cs="Arial" w:eastAsia="Arial" w:hAnsi="Arial"/>
          <w:sz w:val="18"/>
          <w:szCs w:val="18"/>
          <w:i w:val="1"/>
          <w:iCs w:val="1"/>
          <w:color w:val="auto"/>
        </w:rPr>
        <w:t>Items</w:t>
      </w:r>
      <w:r>
        <w:rPr>
          <w:rFonts w:ascii="Arial" w:cs="Arial" w:eastAsia="Arial" w:hAnsi="Arial"/>
          <w:sz w:val="18"/>
          <w:szCs w:val="18"/>
          <w:color w:val="auto"/>
        </w:rPr>
        <w:t>.</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Landfill and Environmental Remediation Discussion and Analysis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owned or operated 262 solid waste and five secure hazardous waste landfills at December 31, 2013 and 264 solid waste and five secure hazardous waste landfills at December 31, 2012. At December 31, 2013 and 2012, the expected remaining capacity, in cubic yards and tonnage of waste that can be accepted at our owned or operated landfills, is shown below (in millions):</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December 31, 2013</w:t>
            </w:r>
          </w:p>
        </w:tc>
        <w:tc>
          <w:tcPr>
            <w:tcW w:w="5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December 31, 2012</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08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Remaining</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Remaining</w:t>
            </w: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0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Permitted</w:t>
            </w:r>
          </w:p>
        </w:tc>
        <w:tc>
          <w:tcPr>
            <w:tcW w:w="56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4"/>
              </w:rPr>
              <w:t>Expansion</w:t>
            </w: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Total</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Permitted</w:t>
            </w:r>
          </w:p>
        </w:tc>
        <w:tc>
          <w:tcPr>
            <w:tcW w:w="54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4"/>
              </w:rPr>
              <w:t>Expansion</w:t>
            </w: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Total</w:t>
            </w:r>
          </w:p>
        </w:tc>
      </w:tr>
      <w:tr>
        <w:trPr>
          <w:trHeight w:val="161"/>
        </w:trPr>
        <w:tc>
          <w:tcPr>
            <w:tcW w:w="4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2"/>
              </w:rPr>
              <w:t>Capacity</w:t>
            </w:r>
          </w:p>
        </w:tc>
        <w:tc>
          <w:tcPr>
            <w:tcW w:w="56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5"/>
              </w:rPr>
              <w:t>Capacity</w:t>
            </w: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Capacity</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5"/>
              </w:rPr>
              <w:t>Capacity</w:t>
            </w:r>
          </w:p>
        </w:tc>
        <w:tc>
          <w:tcPr>
            <w:tcW w:w="5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Capacity</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Capacity</w:t>
            </w:r>
          </w:p>
        </w:tc>
      </w:tr>
      <w:tr>
        <w:trPr>
          <w:trHeight w:val="210"/>
        </w:trPr>
        <w:tc>
          <w:tcPr>
            <w:tcW w:w="4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Remaining cubic yards</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4,839</w:t>
            </w:r>
          </w:p>
        </w:tc>
        <w:tc>
          <w:tcPr>
            <w:tcW w:w="5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5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5,118</w:t>
            </w:r>
          </w:p>
        </w:tc>
        <w:tc>
          <w:tcPr>
            <w:tcW w:w="5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4,778</w:t>
            </w:r>
          </w:p>
        </w:tc>
        <w:tc>
          <w:tcPr>
            <w:tcW w:w="5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5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Remaining tonnage</w:t>
            </w:r>
          </w:p>
        </w:tc>
        <w:tc>
          <w:tcPr>
            <w:tcW w:w="620" w:type="dxa"/>
            <w:vAlign w:val="bottom"/>
          </w:tcPr>
          <w:p>
            <w:pPr>
              <w:jc w:val="right"/>
              <w:spacing w:after="0"/>
              <w:rPr>
                <w:sz w:val="20"/>
                <w:szCs w:val="20"/>
                <w:color w:val="auto"/>
              </w:rPr>
            </w:pPr>
            <w:r>
              <w:rPr>
                <w:rFonts w:ascii="Arial" w:cs="Arial" w:eastAsia="Arial" w:hAnsi="Arial"/>
                <w:sz w:val="18"/>
                <w:szCs w:val="18"/>
                <w:color w:val="auto"/>
              </w:rPr>
              <w:t>4,769</w:t>
            </w:r>
          </w:p>
        </w:tc>
        <w:tc>
          <w:tcPr>
            <w:tcW w:w="1740" w:type="dxa"/>
            <w:vAlign w:val="bottom"/>
            <w:gridSpan w:val="3"/>
          </w:tcPr>
          <w:p>
            <w:pPr>
              <w:jc w:val="right"/>
              <w:ind w:right="560"/>
              <w:spacing w:after="0"/>
              <w:rPr>
                <w:sz w:val="20"/>
                <w:szCs w:val="20"/>
                <w:color w:val="auto"/>
              </w:rPr>
            </w:pPr>
            <w:r>
              <w:rPr>
                <w:rFonts w:ascii="Arial" w:cs="Arial" w:eastAsia="Arial" w:hAnsi="Arial"/>
                <w:sz w:val="18"/>
                <w:szCs w:val="18"/>
                <w:color w:val="auto"/>
              </w:rPr>
              <w:t>282</w:t>
            </w:r>
          </w:p>
        </w:tc>
        <w:tc>
          <w:tcPr>
            <w:tcW w:w="520" w:type="dxa"/>
            <w:vAlign w:val="bottom"/>
          </w:tcPr>
          <w:p>
            <w:pPr>
              <w:jc w:val="right"/>
              <w:spacing w:after="0"/>
              <w:rPr>
                <w:sz w:val="20"/>
                <w:szCs w:val="20"/>
                <w:color w:val="auto"/>
              </w:rPr>
            </w:pPr>
            <w:r>
              <w:rPr>
                <w:rFonts w:ascii="Arial" w:cs="Arial" w:eastAsia="Arial" w:hAnsi="Arial"/>
                <w:sz w:val="18"/>
                <w:szCs w:val="18"/>
                <w:color w:val="auto"/>
              </w:rPr>
              <w:t>5,051</w:t>
            </w:r>
          </w:p>
        </w:tc>
        <w:tc>
          <w:tcPr>
            <w:tcW w:w="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4,558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612</w:t>
            </w:r>
          </w:p>
        </w:tc>
        <w:tc>
          <w:tcPr>
            <w:tcW w:w="5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5,170</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Based on remaining permitted airspace as of December 31, 2013 and projected annual disposal volumes, the weighted average remaining landfill life for all of our owned or operated landfills is approximately 46 years. Many of our landfills have the potential for expanded disposal capacity beyond what is currently permitted. We monitor the availability of permitted disposal capacity at each of our landfills and evaluate whether to pursue an expansion at a given landfill based on estimated future waste volumes and prices, remaining capacity and likelihood of obtaining an expansion permit. We are seeking expansion permits at 25 of our landfills that meet the expansion criteria outlined in the </w:t>
      </w:r>
      <w:r>
        <w:rPr>
          <w:rFonts w:ascii="Arial" w:cs="Arial" w:eastAsia="Arial" w:hAnsi="Arial"/>
          <w:sz w:val="16"/>
          <w:szCs w:val="16"/>
          <w:i w:val="1"/>
          <w:iCs w:val="1"/>
          <w:color w:val="auto"/>
        </w:rPr>
        <w:t>Critical Accounting Estimates and Assumptions</w:t>
      </w:r>
      <w:r>
        <w:rPr>
          <w:rFonts w:ascii="Arial" w:cs="Arial" w:eastAsia="Arial" w:hAnsi="Arial"/>
          <w:sz w:val="16"/>
          <w:szCs w:val="16"/>
          <w:color w:val="auto"/>
        </w:rPr>
        <w:t xml:space="preserve"> section above. Although no assurances can be made that all future expansions will be permitted or permitted as designed, the weighted average remaining landfill life for all owned or operated landfills is approximately 49 years when considering remaining permitted airspace, expansion airspace and projected annual disposal volume.</w:t>
      </w:r>
    </w:p>
    <w:p>
      <w:pPr>
        <w:spacing w:after="0" w:line="3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number of landfills we own or operate as of December 31, 2013, segregated by their estimated operating lives (in years), based on remaining permitted and expansion airspace and projected annual disposal volume, was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1"/>
              </w:rPr>
              <w:t>0 to 5</w:t>
            </w:r>
          </w:p>
        </w:tc>
        <w:tc>
          <w:tcPr>
            <w:tcW w:w="5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1"/>
              </w:rPr>
              <w:t>6 to 10</w:t>
            </w:r>
          </w:p>
        </w:tc>
        <w:tc>
          <w:tcPr>
            <w:tcW w:w="48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11 to 20</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21 to 40</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480" w:type="dxa"/>
            <w:vAlign w:val="bottom"/>
          </w:tcPr>
          <w:p>
            <w:pPr>
              <w:spacing w:after="0"/>
              <w:rPr>
                <w:sz w:val="14"/>
                <w:szCs w:val="14"/>
                <w:color w:val="auto"/>
              </w:rPr>
            </w:pPr>
          </w:p>
        </w:tc>
        <w:tc>
          <w:tcPr>
            <w:tcW w:w="4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r>
      <w:tr>
        <w:trPr>
          <w:trHeight w:val="210"/>
        </w:trPr>
        <w:tc>
          <w:tcPr>
            <w:tcW w:w="460" w:type="dxa"/>
            <w:vAlign w:val="bottom"/>
          </w:tcPr>
          <w:p>
            <w:pPr>
              <w:spacing w:after="0"/>
              <w:rPr>
                <w:sz w:val="18"/>
                <w:szCs w:val="18"/>
                <w:color w:val="auto"/>
              </w:rPr>
            </w:pPr>
          </w:p>
        </w:tc>
        <w:tc>
          <w:tcPr>
            <w:tcW w:w="5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Owned</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4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Operated through lease(a)</w:t>
            </w: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4</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2</w:t>
            </w: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7</w:t>
            </w: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contracts(b)</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r>
      <w:tr>
        <w:trPr>
          <w:trHeight w:val="222"/>
        </w:trPr>
        <w:tc>
          <w:tcPr>
            <w:tcW w:w="6180" w:type="dxa"/>
            <w:vAlign w:val="bottom"/>
            <w:gridSpan w:val="3"/>
          </w:tcPr>
          <w:p>
            <w:pPr>
              <w:ind w:left="460"/>
              <w:spacing w:after="0"/>
              <w:rPr>
                <w:sz w:val="20"/>
                <w:szCs w:val="20"/>
                <w:color w:val="auto"/>
              </w:rPr>
            </w:pPr>
            <w:r>
              <w:rPr>
                <w:rFonts w:ascii="Arial" w:cs="Arial" w:eastAsia="Arial" w:hAnsi="Arial"/>
                <w:sz w:val="18"/>
                <w:szCs w:val="18"/>
                <w:color w:val="auto"/>
              </w:rPr>
              <w:t>Total landfills</w:t>
            </w:r>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40</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70</w:t>
            </w: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111</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267</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0"/>
        </w:trPr>
        <w:tc>
          <w:tcPr>
            <w:tcW w:w="4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4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19" w:lineRule="exact"/>
        <w:rPr>
          <w:sz w:val="20"/>
          <w:szCs w:val="20"/>
          <w:color w:val="auto"/>
        </w:rPr>
      </w:pPr>
    </w:p>
    <w:p>
      <w:pPr>
        <w:ind w:left="460" w:right="180" w:hanging="452"/>
        <w:spacing w:after="0" w:line="253"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Landfills we operate through lease agreements are similar to landfills we own because we own the landfill’s operating permit and will operate the landfill for the entire lease term, which in many cases is the life of the landfill. We are usually responsible for the final capping, closure and post-closure obligations of the landfills we lease.</w:t>
      </w:r>
    </w:p>
    <w:p>
      <w:pPr>
        <w:ind w:left="460" w:right="640" w:hanging="452"/>
        <w:spacing w:after="0" w:line="323"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For operating contracts, the property owner owns the permit and we operate the landfill for a contracted term, which may be the life of the landfill. However, we are generally responsible for final capping, closure and post-closure obligations under the operating contracts.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reflects landfill capacity and airspace changes, as measured in tons of waste, for landfills owned or operated by us during the years ended December 31, 2013 and 2012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90"/>
              </w:rPr>
              <w:t>December 31, 2013</w:t>
            </w:r>
          </w:p>
        </w:tc>
        <w:tc>
          <w:tcPr>
            <w:tcW w:w="5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90"/>
              </w:rPr>
              <w:t>December 31, 2012</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78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6"/>
              </w:rPr>
              <w:t>Remaining</w:t>
            </w: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6"/>
              </w:rPr>
              <w:t>Remaining</w:t>
            </w: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Permitted</w:t>
            </w:r>
          </w:p>
        </w:tc>
        <w:tc>
          <w:tcPr>
            <w:tcW w:w="360" w:type="dxa"/>
            <w:vAlign w:val="bottom"/>
          </w:tcPr>
          <w:p>
            <w:pPr>
              <w:spacing w:after="0"/>
              <w:rPr>
                <w:sz w:val="12"/>
                <w:szCs w:val="12"/>
                <w:color w:val="auto"/>
              </w:rPr>
            </w:pP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4"/>
              </w:rPr>
              <w:t>Expansion</w:t>
            </w:r>
          </w:p>
        </w:tc>
        <w:tc>
          <w:tcPr>
            <w:tcW w:w="102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Total</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Permitted</w:t>
            </w:r>
          </w:p>
        </w:tc>
        <w:tc>
          <w:tcPr>
            <w:tcW w:w="360" w:type="dxa"/>
            <w:vAlign w:val="bottom"/>
          </w:tcPr>
          <w:p>
            <w:pPr>
              <w:spacing w:after="0"/>
              <w:rPr>
                <w:sz w:val="12"/>
                <w:szCs w:val="12"/>
                <w:color w:val="auto"/>
              </w:rPr>
            </w:pP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4"/>
              </w:rPr>
              <w:t>Expansion</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Capacity</w:t>
            </w:r>
          </w:p>
        </w:tc>
        <w:tc>
          <w:tcPr>
            <w:tcW w:w="36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5"/>
              </w:rPr>
              <w:t>Capacity</w:t>
            </w: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Capacity</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Capacity</w:t>
            </w:r>
          </w:p>
        </w:tc>
        <w:tc>
          <w:tcPr>
            <w:tcW w:w="36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5"/>
              </w:rPr>
              <w:t>Capacity</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Capacity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4,558</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4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4,485</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Acquisitions, divestitures, newly permitted landfills and closures</w:t>
            </w: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22</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36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expansions pursued(a)</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33</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Expansion permits granted(b)</w:t>
            </w:r>
          </w:p>
        </w:tc>
        <w:tc>
          <w:tcPr>
            <w:tcW w:w="640" w:type="dxa"/>
            <w:vAlign w:val="bottom"/>
          </w:tcPr>
          <w:p>
            <w:pPr>
              <w:jc w:val="right"/>
              <w:spacing w:after="0"/>
              <w:rPr>
                <w:sz w:val="20"/>
                <w:szCs w:val="20"/>
                <w:color w:val="auto"/>
              </w:rPr>
            </w:pPr>
            <w:r>
              <w:rPr>
                <w:rFonts w:ascii="Arial" w:cs="Arial" w:eastAsia="Arial" w:hAnsi="Arial"/>
                <w:sz w:val="18"/>
                <w:szCs w:val="18"/>
                <w:color w:val="auto"/>
              </w:rPr>
              <w:t>364</w:t>
            </w:r>
          </w:p>
        </w:tc>
        <w:tc>
          <w:tcPr>
            <w:tcW w:w="140" w:type="dxa"/>
            <w:vAlign w:val="bottom"/>
          </w:tcPr>
          <w:p>
            <w:pPr>
              <w:spacing w:after="0"/>
              <w:rPr>
                <w:sz w:val="18"/>
                <w:szCs w:val="18"/>
                <w:color w:val="auto"/>
              </w:rPr>
            </w:pP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(364)</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(40)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Airspace consumed</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Changes in engineering estimates and other(c)</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(82)</w:t>
            </w:r>
          </w:p>
        </w:tc>
        <w:tc>
          <w:tcPr>
            <w:tcW w:w="1480" w:type="dxa"/>
            <w:vAlign w:val="bottom"/>
            <w:gridSpan w:val="3"/>
          </w:tcPr>
          <w:p>
            <w:pPr>
              <w:jc w:val="right"/>
              <w:ind w:right="50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(81)</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1480" w:type="dxa"/>
            <w:vAlign w:val="bottom"/>
            <w:gridSpan w:val="3"/>
          </w:tcPr>
          <w:p>
            <w:pPr>
              <w:jc w:val="right"/>
              <w:ind w:right="500"/>
              <w:spacing w:after="0"/>
              <w:rPr>
                <w:sz w:val="20"/>
                <w:szCs w:val="20"/>
                <w:color w:val="auto"/>
              </w:rPr>
            </w:pPr>
            <w:r>
              <w:rPr>
                <w:rFonts w:ascii="Arial" w:cs="Arial" w:eastAsia="Arial" w:hAnsi="Arial"/>
                <w:sz w:val="18"/>
                <w:szCs w:val="18"/>
                <w:color w:val="auto"/>
              </w:rPr>
              <w:t>22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end of year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282</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5,051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4,558</w:t>
            </w:r>
          </w:p>
        </w:tc>
        <w:tc>
          <w:tcPr>
            <w:tcW w:w="14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612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3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40" w:hanging="452"/>
        <w:spacing w:after="0" w:line="259"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Amounts reflected here relate to the combined impacts of (i) new expansions pursued; (ii) increases or decreases in the airspace being pursued for ongoing expansion efforts; (iii) adjustments for differences between the airspace being pursued and airspace granted and (iv) decreases due to decisions to no longer pursue expansion permits.</w:t>
      </w:r>
    </w:p>
    <w:p>
      <w:pPr>
        <w:spacing w:after="0" w:line="32"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received expansion permits at 12 of our landfills during 2013 and six of our landfills during 2012, demonstrating our continued success in working with municipalities and regulatory agencies to expand the disposal capacity of our existing landfills.</w:t>
      </w:r>
    </w:p>
    <w:p>
      <w:pPr>
        <w:spacing w:after="0" w:line="23" w:lineRule="exact"/>
        <w:rPr>
          <w:rFonts w:ascii="Arial" w:cs="Arial" w:eastAsia="Arial" w:hAnsi="Arial"/>
          <w:sz w:val="18"/>
          <w:szCs w:val="18"/>
          <w:color w:val="auto"/>
        </w:rPr>
      </w:pPr>
    </w:p>
    <w:p>
      <w:pPr>
        <w:ind w:left="460" w:right="320" w:hanging="452"/>
        <w:spacing w:after="0" w:line="290"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Changes in engineering estimates can result in changes to the estimated available remaining capacity of a landfill or changes in the utilization of such landfill capacity, affecting the number of tons that can be placed in the future. Estimates of the amount of waste that can be placed in the future are reviewed annually by our engineers and are based on a number of factors, including standard engineering techniques and site-specific factors such as current and projected mix of waste type; initial and projected waste density; estimated number of years of life remaining; depth of underlying waste; anticipated access to moisture through precipitation or recirculation of landfill leachate; and operating practices. We continually focus on improving the utilization of airspace through efforts that include recirculating landfill leachate where allowed by permit; optimizing the placement of daily cover materials; and increasing initial compaction through improved landfill equipment, operations and training.</w:t>
      </w:r>
    </w:p>
    <w:p>
      <w:pPr>
        <w:spacing w:after="0" w:line="37"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tons received at our landfills in 2013 and 2012 are shown below (tons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920" w:type="dxa"/>
            <w:vAlign w:val="bottom"/>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rPr>
              <w:t># of</w:t>
            </w:r>
          </w:p>
        </w:tc>
        <w:tc>
          <w:tcPr>
            <w:tcW w:w="116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Total</w:t>
            </w: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Tons per</w:t>
            </w:r>
          </w:p>
        </w:tc>
        <w:tc>
          <w:tcPr>
            <w:tcW w:w="540" w:type="dxa"/>
            <w:vAlign w:val="bottom"/>
          </w:tcPr>
          <w:p>
            <w:pPr>
              <w:spacing w:after="0"/>
              <w:rPr>
                <w:sz w:val="11"/>
                <w:szCs w:val="11"/>
                <w:color w:val="auto"/>
              </w:rPr>
            </w:pPr>
          </w:p>
        </w:tc>
        <w:tc>
          <w:tcPr>
            <w:tcW w:w="8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 of</w:t>
            </w:r>
          </w:p>
        </w:tc>
        <w:tc>
          <w:tcPr>
            <w:tcW w:w="1160" w:type="dxa"/>
            <w:vAlign w:val="bottom"/>
            <w:gridSpan w:val="2"/>
          </w:tcPr>
          <w:p>
            <w:pPr>
              <w:jc w:val="right"/>
              <w:ind w:right="740"/>
              <w:spacing w:after="0" w:line="129" w:lineRule="exact"/>
              <w:rPr>
                <w:sz w:val="20"/>
                <w:szCs w:val="20"/>
                <w:color w:val="auto"/>
              </w:rPr>
            </w:pPr>
            <w:r>
              <w:rPr>
                <w:rFonts w:ascii="Arial" w:cs="Arial" w:eastAsia="Arial" w:hAnsi="Arial"/>
                <w:sz w:val="14"/>
                <w:szCs w:val="14"/>
                <w:b w:val="1"/>
                <w:bCs w:val="1"/>
                <w:color w:val="auto"/>
              </w:rPr>
              <w:t>Total</w:t>
            </w: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Tons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37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Sites</w:t>
            </w:r>
          </w:p>
        </w:tc>
        <w:tc>
          <w:tcPr>
            <w:tcW w:w="5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Tons</w:t>
            </w:r>
          </w:p>
        </w:tc>
        <w:tc>
          <w:tcPr>
            <w:tcW w:w="6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Day</w:t>
            </w:r>
          </w:p>
        </w:tc>
        <w:tc>
          <w:tcPr>
            <w:tcW w:w="5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Sites</w:t>
            </w:r>
          </w:p>
        </w:tc>
        <w:tc>
          <w:tcPr>
            <w:tcW w:w="5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Tons</w:t>
            </w:r>
          </w:p>
        </w:tc>
        <w:tc>
          <w:tcPr>
            <w:tcW w:w="6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Day</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Solid waste landfills</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6"/>
              </w:rPr>
              <w:t>262(a)</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93,804</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264</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92,393</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Hazardous waste landfills.</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568</w:t>
            </w:r>
          </w:p>
        </w:tc>
        <w:tc>
          <w:tcPr>
            <w:tcW w:w="62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5</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640</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94,372</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347</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269</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4"/>
              </w:rPr>
              <w:t>93,033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ind w:left="460"/>
              <w:spacing w:after="0"/>
              <w:rPr>
                <w:sz w:val="20"/>
                <w:szCs w:val="20"/>
                <w:color w:val="auto"/>
              </w:rPr>
            </w:pPr>
            <w:r>
              <w:rPr>
                <w:rFonts w:ascii="Arial" w:cs="Arial" w:eastAsia="Arial" w:hAnsi="Arial"/>
                <w:sz w:val="18"/>
                <w:szCs w:val="18"/>
                <w:color w:val="auto"/>
              </w:rPr>
              <w:t>Solid waste landfills closed or divested during related year</w:t>
            </w:r>
          </w:p>
        </w:tc>
        <w:tc>
          <w:tcPr>
            <w:tcW w:w="92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rPr>
              <w:t>5</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390</w:t>
            </w:r>
          </w:p>
        </w:tc>
        <w:tc>
          <w:tcPr>
            <w:tcW w:w="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1</w:t>
            </w:r>
          </w:p>
        </w:tc>
        <w:tc>
          <w:tcPr>
            <w:tcW w:w="1160" w:type="dxa"/>
            <w:vAlign w:val="bottom"/>
            <w:gridSpan w:val="2"/>
            <w:vMerge w:val="restart"/>
          </w:tcPr>
          <w:p>
            <w:pPr>
              <w:jc w:val="right"/>
              <w:ind w:right="620"/>
              <w:spacing w:after="0"/>
              <w:rPr>
                <w:sz w:val="20"/>
                <w:szCs w:val="20"/>
                <w:color w:val="auto"/>
              </w:rPr>
            </w:pPr>
            <w:r>
              <w:rPr>
                <w:rFonts w:ascii="Arial" w:cs="Arial" w:eastAsia="Arial" w:hAnsi="Arial"/>
                <w:sz w:val="18"/>
                <w:szCs w:val="18"/>
                <w:color w:val="auto"/>
              </w:rPr>
              <w:t>189</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40" w:type="dxa"/>
            <w:vAlign w:val="bottom"/>
            <w:gridSpan w:val="3"/>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94,762(b)</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93,222(b)</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4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2013, we acquired five landfills (two of which were previously operated through lease arrangements), closed four landfills and our contract expired at one landfill.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jc w:val="both"/>
        <w:ind w:left="460" w:right="40" w:hanging="452"/>
        <w:spacing w:after="0" w:line="306"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These amounts include 1.5 million tons at December 31, 2013 and 1.3 million tons at December 31, 2012, that were received at our landfills but were used for beneficial purposes and generally were redirected from the permitted airspace to other areas of the landfill. Waste types that are frequently identified for beneficial use include green waste for composting and clean dirt for on-site construction projects.</w:t>
      </w:r>
    </w:p>
    <w:p>
      <w:pPr>
        <w:spacing w:after="0" w:line="2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When a landfill we own or operate receives certification of closure from the applicable regulatory agency, we generally transfer the management of the site, including any remediation activities, to our closed sites management group. As of December 31, 2013, our closed sites management group managed 212 closed landfills.</w:t>
      </w:r>
    </w:p>
    <w:p>
      <w:pPr>
        <w:spacing w:after="0" w:line="5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Landfill Assets </w:t>
      </w:r>
      <w:r>
        <w:rPr>
          <w:rFonts w:ascii="Arial" w:cs="Arial" w:eastAsia="Arial" w:hAnsi="Arial"/>
          <w:sz w:val="16"/>
          <w:szCs w:val="16"/>
          <w:color w:val="auto"/>
        </w:rPr>
        <w:t>— We capitalize various costs that we incur to prepare a landfill to accept waste. These costs generally include expenditures for land</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landfill footprint and required landfill buffer property), permitting, excavation, liner material and installation, landfill leachate collection systems, landfill gas collection systems, environmental monitoring equipment for groundwater and landfill gas, directly related engineering, capitalized interest, and on-site road construction and other capital infrastructure costs. The cost basis of our landfill assets also includes estimates of future costs associated with landfill final capping, closure and post-closure activities, which are discussed further below.</w:t>
      </w:r>
    </w:p>
    <w:p>
      <w:pPr>
        <w:spacing w:after="0" w:line="3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reflects the total cost basis of our landfill assets and accumulated landfill airspace amortization as of December 31, 2013 and 2012, and summarizes significant changes in these amounts during 2013 (in millions):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6"/>
              </w:rPr>
              <w:t>Accumulated</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Cost Basis of</w:t>
            </w:r>
          </w:p>
        </w:tc>
        <w:tc>
          <w:tcPr>
            <w:tcW w:w="12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Landfill</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3"/>
          </w:tcPr>
          <w:p>
            <w:pPr>
              <w:jc w:val="right"/>
              <w:ind w:right="1160"/>
              <w:spacing w:after="0" w:line="149" w:lineRule="exact"/>
              <w:rPr>
                <w:sz w:val="20"/>
                <w:szCs w:val="20"/>
                <w:color w:val="auto"/>
              </w:rPr>
            </w:pPr>
            <w:r>
              <w:rPr>
                <w:rFonts w:ascii="Arial" w:cs="Arial" w:eastAsia="Arial" w:hAnsi="Arial"/>
                <w:sz w:val="14"/>
                <w:szCs w:val="14"/>
                <w:b w:val="1"/>
                <w:bCs w:val="1"/>
                <w:color w:val="auto"/>
                <w:w w:val="92"/>
              </w:rPr>
              <w:t>Landfill</w:t>
            </w:r>
          </w:p>
        </w:tc>
        <w:tc>
          <w:tcPr>
            <w:tcW w:w="12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Airspace</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3"/>
          </w:tcPr>
          <w:p>
            <w:pPr>
              <w:jc w:val="right"/>
              <w:ind w:right="1200"/>
              <w:spacing w:after="0"/>
              <w:rPr>
                <w:sz w:val="20"/>
                <w:szCs w:val="20"/>
                <w:color w:val="auto"/>
              </w:rPr>
            </w:pPr>
            <w:r>
              <w:rPr>
                <w:rFonts w:ascii="Arial" w:cs="Arial" w:eastAsia="Arial" w:hAnsi="Arial"/>
                <w:sz w:val="14"/>
                <w:szCs w:val="14"/>
                <w:b w:val="1"/>
                <w:bCs w:val="1"/>
                <w:color w:val="auto"/>
                <w:w w:val="91"/>
              </w:rPr>
              <w:t>Assets</w:t>
            </w:r>
          </w:p>
        </w:tc>
        <w:tc>
          <w:tcPr>
            <w:tcW w:w="13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8"/>
              </w:rPr>
              <w:t>Amortization</w:t>
            </w:r>
          </w:p>
        </w:tc>
        <w:tc>
          <w:tcPr>
            <w:tcW w:w="46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Landfill Assets</w:t>
            </w: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December 31, 2012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13,266</w:t>
            </w: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(7,188)</w:t>
            </w:r>
          </w:p>
        </w:tc>
        <w:tc>
          <w:tcPr>
            <w:tcW w:w="5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Capital additions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397</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 incurred and capitalized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landfill airspace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(400)</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right"/>
              <w:ind w:right="94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retirements and other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December 31, 2013</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00" w:type="dxa"/>
            <w:vAlign w:val="bottom"/>
            <w:vMerge w:val="continue"/>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13,416</w:t>
            </w:r>
          </w:p>
        </w:tc>
        <w:tc>
          <w:tcPr>
            <w:tcW w:w="9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(7,518)</w:t>
            </w:r>
          </w:p>
        </w:tc>
        <w:tc>
          <w:tcPr>
            <w:tcW w:w="7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5,898</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December 31, 2013, we estimate that we will spend approximately $400 million in 2014, and approximately $800 million in 2015 and 2016 combined, for the construction and development of our landfill assets. The specific timing of landfill capital spending is dependent on future events, and spending estimates are subject to change due to fluctuations in landfill waste volumes, changes in environmental requirements and other factors impacting landfill operations.</w:t>
      </w:r>
    </w:p>
    <w:p>
      <w:pPr>
        <w:spacing w:after="0" w:line="6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Landfill and Environmental Remediation Liabilities </w:t>
      </w:r>
      <w:r>
        <w:rPr>
          <w:rFonts w:ascii="Arial" w:cs="Arial" w:eastAsia="Arial" w:hAnsi="Arial"/>
          <w:sz w:val="16"/>
          <w:szCs w:val="16"/>
          <w:color w:val="auto"/>
        </w:rPr>
        <w:t>— As we accept waste at our landfills, we incur significant asset retirement obligations, which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associated with landfill final capping, closure and post-closure activities. These liabilities are accounted for in accordance with authoritative guidance associated with accounting for asset retirement obligations and are discussed in Note 3 of our Consolidated Financial Statements. We also have liabilities for the remediation of properties that have incurred environmental damage, which generally was caused by operations or for damage caused by conditions that existed before we acquired operations or a site. We recognize environmental remediation liabilities when we determine that the liability is probable and the estimated cost for the likely remedy can be reasonably estimated.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following table reflects our landfill liabilities and our environmental remediation liabilities as of December 31, 2013 and 2012, and summarizes significant changes in these amounts during 2013 (in millions):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8"/>
              </w:rPr>
              <w:t>Environmental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Landfill</w:t>
            </w:r>
          </w:p>
        </w:tc>
        <w:tc>
          <w:tcPr>
            <w:tcW w:w="44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Remediation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December 31, 2012</w:t>
            </w:r>
          </w:p>
        </w:tc>
        <w:tc>
          <w:tcPr>
            <w:tcW w:w="2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$1,338</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Obligations incurred and capitalized</w:t>
            </w:r>
          </w:p>
        </w:tc>
        <w:tc>
          <w:tcPr>
            <w:tcW w:w="3220" w:type="dxa"/>
            <w:vAlign w:val="bottom"/>
            <w:gridSpan w:val="3"/>
          </w:tcPr>
          <w:p>
            <w:pPr>
              <w:jc w:val="right"/>
              <w:ind w:right="520"/>
              <w:spacing w:after="0"/>
              <w:rPr>
                <w:sz w:val="20"/>
                <w:szCs w:val="20"/>
                <w:color w:val="auto"/>
              </w:rPr>
            </w:pPr>
            <w:r>
              <w:rPr>
                <w:rFonts w:ascii="Arial" w:cs="Arial" w:eastAsia="Arial" w:hAnsi="Arial"/>
                <w:sz w:val="18"/>
                <w:szCs w:val="18"/>
                <w:color w:val="auto"/>
              </w:rPr>
              <w:t>59</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Obligations settled</w:t>
            </w:r>
          </w:p>
        </w:tc>
        <w:tc>
          <w:tcPr>
            <w:tcW w:w="3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(71)</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Interest accretion</w:t>
            </w:r>
          </w:p>
        </w:tc>
        <w:tc>
          <w:tcPr>
            <w:tcW w:w="3220" w:type="dxa"/>
            <w:vAlign w:val="bottom"/>
            <w:gridSpan w:val="3"/>
          </w:tcPr>
          <w:p>
            <w:pPr>
              <w:jc w:val="right"/>
              <w:ind w:right="520"/>
              <w:spacing w:after="0"/>
              <w:rPr>
                <w:sz w:val="20"/>
                <w:szCs w:val="20"/>
                <w:color w:val="auto"/>
              </w:rPr>
            </w:pPr>
            <w:r>
              <w:rPr>
                <w:rFonts w:ascii="Arial" w:cs="Arial" w:eastAsia="Arial" w:hAnsi="Arial"/>
                <w:sz w:val="18"/>
                <w:szCs w:val="18"/>
                <w:color w:val="auto"/>
              </w:rPr>
              <w:t>87</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Revisions in estimates and interest rate assumptions</w:t>
            </w:r>
          </w:p>
        </w:tc>
        <w:tc>
          <w:tcPr>
            <w:tcW w:w="32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Acquisitions, divestitures and other adjustments</w:t>
            </w:r>
          </w:p>
        </w:tc>
        <w:tc>
          <w:tcPr>
            <w:tcW w:w="22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2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1,421</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 xml:space="preserve">Landfill Costs and Expenses </w:t>
      </w:r>
      <w:r>
        <w:rPr>
          <w:rFonts w:ascii="Arial" w:cs="Arial" w:eastAsia="Arial" w:hAnsi="Arial"/>
          <w:sz w:val="18"/>
          <w:szCs w:val="18"/>
          <w:color w:val="auto"/>
        </w:rPr>
        <w:t>— As disclosed in the</w:t>
      </w:r>
      <w:r>
        <w:rPr>
          <w:rFonts w:ascii="Arial" w:cs="Arial" w:eastAsia="Arial" w:hAnsi="Arial"/>
          <w:sz w:val="18"/>
          <w:szCs w:val="18"/>
          <w:i w:val="1"/>
          <w:iCs w:val="1"/>
          <w:color w:val="auto"/>
        </w:rPr>
        <w:t xml:space="preserve"> Operating Expenses </w:t>
      </w:r>
      <w:r>
        <w:rPr>
          <w:rFonts w:ascii="Arial" w:cs="Arial" w:eastAsia="Arial" w:hAnsi="Arial"/>
          <w:sz w:val="18"/>
          <w:szCs w:val="18"/>
          <w:color w:val="auto"/>
        </w:rPr>
        <w:t>section above, our landfill operating costs include interest accretion on asset</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obligations, interest accretion on and discount rate adjustments to environmental remediation liabilities and recovery assets, leachate and methane collection and treatment, landfill remediation costs, and other landfill site costs. The following table summarizes these costs for each of the three years indicated (in millions):</w:t>
      </w:r>
    </w:p>
    <w:p>
      <w:pPr>
        <w:spacing w:after="0" w:line="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6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0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Interest accretion on landfill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w w:val="97"/>
              </w:rPr>
              <w:t>Interest accretion on and discount rate adjustments to environmental remediation liabilities and recovery</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9"/>
                <w:szCs w:val="19"/>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Leachate and methane collection and treatment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Landfill remediation costs</w:t>
            </w: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Other landfill site costs</w:t>
            </w: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80" w:type="dxa"/>
            <w:vAlign w:val="bottom"/>
            <w:gridSpan w:val="2"/>
          </w:tcPr>
          <w:p>
            <w:pPr>
              <w:spacing w:after="0"/>
              <w:rPr>
                <w:sz w:val="20"/>
                <w:szCs w:val="20"/>
                <w:color w:val="auto"/>
              </w:rPr>
            </w:pPr>
            <w:r>
              <w:rPr>
                <w:rFonts w:ascii="Arial" w:cs="Arial" w:eastAsia="Arial" w:hAnsi="Arial"/>
                <w:sz w:val="18"/>
                <w:szCs w:val="18"/>
                <w:color w:val="auto"/>
              </w:rPr>
              <w:t>Total landfill operating costs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232</w:t>
            </w:r>
          </w:p>
        </w:tc>
        <w:tc>
          <w:tcPr>
            <w:tcW w:w="2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224</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comparison of these costs for the reported periods has been significantly affected by accounting for changes in the risk-free discount rate that we use to estimate the present value of our environmental remediation liabilities and environmental remediation recovery assets, which is based on the rate for U.S. Treasury bonds with a term approximating the weighted-average period until settlement of the underlying obligations.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landfill airspace, which is included as a component of “Depreciation and amortization” expense, includes the following:</w:t>
      </w:r>
    </w:p>
    <w:p>
      <w:pPr>
        <w:spacing w:after="0" w:line="90" w:lineRule="exact"/>
        <w:rPr>
          <w:sz w:val="20"/>
          <w:szCs w:val="20"/>
          <w:color w:val="auto"/>
        </w:rPr>
      </w:pPr>
    </w:p>
    <w:p>
      <w:pPr>
        <w:ind w:left="700" w:right="840" w:hanging="246"/>
        <w:spacing w:after="0" w:line="332" w:lineRule="auto"/>
        <w:tabs>
          <w:tab w:leader="none" w:pos="7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amortization of landfill capital costs, including (i) costs that have been incurred and capitalized and (ii) estimated future costs for landfill development and construction required to develop our landfills to their remaining permitted and expansion airspace; and</w:t>
      </w:r>
    </w:p>
    <w:p>
      <w:pPr>
        <w:spacing w:after="0" w:line="4" w:lineRule="exact"/>
        <w:rPr>
          <w:rFonts w:ascii="Arial" w:cs="Arial" w:eastAsia="Arial" w:hAnsi="Arial"/>
          <w:sz w:val="16"/>
          <w:szCs w:val="16"/>
          <w:color w:val="auto"/>
        </w:rPr>
      </w:pPr>
    </w:p>
    <w:p>
      <w:pPr>
        <w:ind w:left="700" w:right="360" w:hanging="246"/>
        <w:spacing w:after="0" w:line="268"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amortization of asset retirement costs arising from landfill final capping, closure and post-closure obligations, including (i) costs that have been incurred and capitalized and (ii) projected asset retirement costs.</w:t>
      </w:r>
    </w:p>
    <w:p>
      <w:pPr>
        <w:spacing w:after="0" w:line="51"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Amortization expense is recorded on a units-of-consumption basis, applying cost as a rate per ton. The rate per ton is calculated by dividing each component of the amortizable basis of a landfill by the number of tons needed to fill the corresponding asset’s airspace. Landfill capital costs and closure and post-closure asset retirement costs are generally incurred to support the operation of the landfill over its entire operating life and are, therefore, amortized on a per-ton basis using a landfill’s total airspace capacity. Final capping asset retirement costs are related to a specific final capping event and are, therefore, amortized on a per-ton basis using each discrete final capping event’s estimated airspace capacity. Accordingly, each landfill has multiple per-ton amortization rates.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landfill airspace amortization expense on a per-ton basis: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340" w:type="dxa"/>
            <w:vAlign w:val="bottom"/>
            <w:gridSpan w:val="6"/>
          </w:tcPr>
          <w:p>
            <w:pPr>
              <w:ind w:left="34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60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00" w:type="dxa"/>
            <w:vAlign w:val="bottom"/>
            <w:tcBorders>
              <w:top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w w:val="96"/>
              </w:rPr>
              <w:t>2013</w:t>
            </w: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6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of landfill airspace (in millions)</w:t>
            </w:r>
          </w:p>
        </w:tc>
        <w:tc>
          <w:tcPr>
            <w:tcW w:w="2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$ 400</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$ 395</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Tons received, net of redirected waste (in millions)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420" w:type="dxa"/>
            <w:vAlign w:val="bottom"/>
            <w:gridSpan w:val="3"/>
          </w:tcPr>
          <w:p>
            <w:pPr>
              <w:jc w:val="right"/>
              <w:ind w:right="500"/>
              <w:spacing w:after="0"/>
              <w:rPr>
                <w:sz w:val="20"/>
                <w:szCs w:val="20"/>
                <w:color w:val="auto"/>
              </w:rPr>
            </w:pPr>
            <w:r>
              <w:rPr>
                <w:rFonts w:ascii="Arial" w:cs="Arial" w:eastAsia="Arial" w:hAnsi="Arial"/>
                <w:sz w:val="18"/>
                <w:szCs w:val="18"/>
                <w:color w:val="auto"/>
              </w:rPr>
              <w:t>92</w:t>
            </w:r>
          </w:p>
        </w:tc>
        <w:tc>
          <w:tcPr>
            <w:tcW w:w="4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Average landfill airspace amortization expense per ton</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4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$4.30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$ 4.19</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Different per-ton amortization rates are applied at each of our 267 landfills, and per-ton amortization rates vary significantly from one landfill to another due to (i) inconsistencies that often exist in construction costs and provincial, state and local regulatory requirements for landfill development and landfill final capping, closure and post-closure activities and (ii) differences in the cost basis of landfills that we develop versus those that we acquire. Accordingly, our landfill airspace amortization expense measured on a per-ton basis can fluctuate due to changes in the mix of volumes we receive across the Company year-over-year.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20" w:firstLine="456"/>
        <w:spacing w:after="0" w:line="303" w:lineRule="auto"/>
        <w:rPr>
          <w:sz w:val="20"/>
          <w:szCs w:val="20"/>
          <w:color w:val="auto"/>
        </w:rPr>
      </w:pPr>
      <w:r>
        <w:rPr>
          <w:rFonts w:ascii="Arial" w:cs="Arial" w:eastAsia="Arial" w:hAnsi="Arial"/>
          <w:sz w:val="15"/>
          <w:szCs w:val="15"/>
          <w:color w:val="auto"/>
        </w:rPr>
        <w:t>We continually monitor our actual and forecasted cash flows, our liquidity and our capital resources, enabling us to plan for our present needs and fund unbudgeted business activities that may arise during the year as a result of changing business conditions or new opportunities. In addition to our working capital needs for the general and administrative costs of our ongoing operations, we have cash requirements for: (i) the construction and expansion of our landfills;</w:t>
      </w:r>
    </w:p>
    <w:p>
      <w:pPr>
        <w:spacing w:after="0" w:line="1" w:lineRule="exact"/>
        <w:rPr>
          <w:sz w:val="20"/>
          <w:szCs w:val="20"/>
          <w:color w:val="auto"/>
        </w:rPr>
      </w:pPr>
    </w:p>
    <w:p>
      <w:pPr>
        <w:ind w:right="500" w:firstLine="8"/>
        <w:spacing w:after="0" w:line="281" w:lineRule="auto"/>
        <w:tabs>
          <w:tab w:leader="none" w:pos="258" w:val="left"/>
        </w:tabs>
        <w:numPr>
          <w:ilvl w:val="0"/>
          <w:numId w:val="56"/>
        </w:numPr>
        <w:rPr>
          <w:rFonts w:ascii="Arial" w:cs="Arial" w:eastAsia="Arial" w:hAnsi="Arial"/>
          <w:sz w:val="16"/>
          <w:szCs w:val="16"/>
          <w:color w:val="auto"/>
        </w:rPr>
      </w:pPr>
      <w:r>
        <w:rPr>
          <w:rFonts w:ascii="Arial" w:cs="Arial" w:eastAsia="Arial" w:hAnsi="Arial"/>
          <w:sz w:val="16"/>
          <w:szCs w:val="16"/>
          <w:color w:val="auto"/>
        </w:rPr>
        <w:t>additions to and maintenance of our trucking fleet and landfill equipment; (iii) construction, refurbishments and improvements at waste-to-energy and materials recovery facilities; (iv) the container and equipment needs of our operations; (v) final capping, closure and post-closure activities at our landfills;</w:t>
      </w:r>
    </w:p>
    <w:p>
      <w:pPr>
        <w:spacing w:after="0" w:line="1" w:lineRule="exact"/>
        <w:rPr>
          <w:rFonts w:ascii="Arial" w:cs="Arial" w:eastAsia="Arial" w:hAnsi="Arial"/>
          <w:sz w:val="16"/>
          <w:szCs w:val="16"/>
          <w:color w:val="auto"/>
        </w:rPr>
      </w:pPr>
    </w:p>
    <w:p>
      <w:pPr>
        <w:ind w:right="80" w:firstLine="8"/>
        <w:spacing w:after="0" w:line="255" w:lineRule="auto"/>
        <w:tabs>
          <w:tab w:leader="none" w:pos="29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repayment of debt and discharging of other obligations and (vii) capital expenditures, acquisitions and investments in support of our strategic growth plans. We also are committed to providing our shareholders with a return on their investment through dividend payments, and we have also returned value to our shareholders through share repurchases.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is a summary of our cash and cash equivalents, restricted trust and escrow accounts and debt balances as of December 31, 2013 and 2012 (in millions):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2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Restricted trust and escrow accounts:</w:t>
            </w: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6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rPr>
              <w:t>Tax-exempt bond funds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Total restricted trust and escrow accounts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rPr>
              <w:t>Current portion</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726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portion</w:t>
            </w:r>
          </w:p>
        </w:tc>
        <w:tc>
          <w:tcPr>
            <w:tcW w:w="1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Total debt</w:t>
            </w:r>
          </w:p>
        </w:tc>
        <w:tc>
          <w:tcPr>
            <w:tcW w:w="1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10,226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Increase in carrying value of debt due to hedge accounting for interest rate swaps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jc w:val="right"/>
              <w:ind w:right="1832"/>
              <w:spacing w:after="0"/>
              <w:rPr>
                <w:sz w:val="20"/>
                <w:szCs w:val="20"/>
                <w:color w:val="auto"/>
              </w:rPr>
            </w:pPr>
            <w:r>
              <w:rPr>
                <w:rFonts w:ascii="Arial" w:cs="Arial" w:eastAsia="Arial" w:hAnsi="Arial"/>
                <w:sz w:val="18"/>
                <w:szCs w:val="18"/>
                <w:color w:val="auto"/>
              </w:rPr>
              <w:t>64</w:t>
            </w: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26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Cash and cash equivalents consist primarily of cash on deposit and money market funds that invest in U.S.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with original maturities of three months or less. Our cash and cash equivalents have decreased as a result of the execution of our strategic growth plans, primarily due to acquisitions.</w:t>
      </w:r>
    </w:p>
    <w:p>
      <w:pPr>
        <w:spacing w:after="0" w:line="59"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i w:val="1"/>
          <w:iCs w:val="1"/>
          <w:color w:val="auto"/>
        </w:rPr>
        <w:t xml:space="preserve">Restricted trust and escrow accounts </w:t>
      </w:r>
      <w:r>
        <w:rPr>
          <w:rFonts w:ascii="Arial" w:cs="Arial" w:eastAsia="Arial" w:hAnsi="Arial"/>
          <w:sz w:val="18"/>
          <w:szCs w:val="18"/>
          <w:color w:val="auto"/>
        </w:rPr>
        <w:t>— Restricted trust and escrow accounts consist primarily of funds deposited for purposes of settling landfill final</w:t>
      </w:r>
      <w:r>
        <w:rPr>
          <w:rFonts w:ascii="Arial" w:cs="Arial" w:eastAsia="Arial" w:hAnsi="Arial"/>
          <w:sz w:val="18"/>
          <w:szCs w:val="18"/>
          <w:i w:val="1"/>
          <w:iCs w:val="1"/>
          <w:color w:val="auto"/>
        </w:rPr>
        <w:t xml:space="preserve"> </w:t>
      </w:r>
      <w:r>
        <w:rPr>
          <w:rFonts w:ascii="Arial" w:cs="Arial" w:eastAsia="Arial" w:hAnsi="Arial"/>
          <w:sz w:val="18"/>
          <w:szCs w:val="18"/>
          <w:color w:val="auto"/>
        </w:rPr>
        <w:t>capping, closure, post-closure and environmental remediation obligations. These balances are primarily included within long-term “Other assets” in our Consolidated Balance Sheets.</w:t>
      </w:r>
    </w:p>
    <w:p>
      <w:pPr>
        <w:spacing w:after="0" w:line="59"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i w:val="1"/>
          <w:iCs w:val="1"/>
          <w:color w:val="auto"/>
        </w:rPr>
        <w:t xml:space="preserve">Debt </w:t>
      </w:r>
      <w:r>
        <w:rPr>
          <w:rFonts w:ascii="Arial" w:cs="Arial" w:eastAsia="Arial" w:hAnsi="Arial"/>
          <w:sz w:val="16"/>
          <w:szCs w:val="16"/>
          <w:color w:val="auto"/>
        </w:rPr>
        <w:t>— We use long-term borrowings in addition to the cash we generate from operations as part of our overall financial strategy to support and grow our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We primarily use senior notes and tax-exempt bonds to borrow on a long-term basis, but we also use other instruments and facilities when appropriate. The components of our long-term borrowings as of December 31, 2013 are described in Note 7 to the Consolidated Financial Statements.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Changes in our outstanding debt balances from December 31, 2013 to December 31, 2012 were primarily attributable to (i) net debt borrowings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$155 million and (ii) the impacts of accounting for other non-cash changes in our debt balances due to tax-exempt bond issuances, hedge accounting for interest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rate swaps, foreign currency translation, interest accretion and capital leases and other debt obligations.</w:t>
      </w:r>
    </w:p>
    <w:p>
      <w:pPr>
        <w:spacing w:after="0" w:line="84"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As of December 31, 2013, we had (i) $481 million of debt maturing within the next 12 months, including $350 million of 5.0% senior notes that mature in March 2014 and $67 million of tax-exempt bonds; (ii) short-term borrowings and advances outstanding under credit facilities with long-term maturities, including $420 million of borrowings outstanding under the $2.25 billion revolving credit facility and $9 million of advances under our Canadian credit facility and</w:t>
      </w:r>
    </w:p>
    <w:p>
      <w:pPr>
        <w:spacing w:after="0" w:line="1" w:lineRule="exact"/>
        <w:rPr>
          <w:sz w:val="20"/>
          <w:szCs w:val="20"/>
          <w:color w:val="auto"/>
        </w:rPr>
      </w:pPr>
    </w:p>
    <w:p>
      <w:pPr>
        <w:ind w:right="60" w:firstLine="8"/>
        <w:spacing w:after="0" w:line="255" w:lineRule="auto"/>
        <w:tabs>
          <w:tab w:leader="none" w:pos="307" w:val="left"/>
        </w:tabs>
        <w:numPr>
          <w:ilvl w:val="0"/>
          <w:numId w:val="58"/>
        </w:numPr>
        <w:rPr>
          <w:rFonts w:ascii="Arial" w:cs="Arial" w:eastAsia="Arial" w:hAnsi="Arial"/>
          <w:sz w:val="18"/>
          <w:szCs w:val="18"/>
          <w:color w:val="auto"/>
        </w:rPr>
      </w:pPr>
      <w:r>
        <w:rPr>
          <w:rFonts w:ascii="Arial" w:cs="Arial" w:eastAsia="Arial" w:hAnsi="Arial"/>
          <w:sz w:val="18"/>
          <w:szCs w:val="18"/>
          <w:color w:val="auto"/>
        </w:rPr>
        <w:t>$939 million of tax-exempt borrowings subject to repricing within the next 12 months. Based on our intent and ability to refinance a portion of this debt on a long-term basis as of December 31, 2013, including through use of forecasted available capacity under our $2.25 billion revolving credit facility, we have classified $1.1 billion of this debt as long-term and the remaining $726 million as current obligations.</w:t>
      </w:r>
    </w:p>
    <w:p>
      <w:pPr>
        <w:spacing w:after="0" w:line="6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credit facilities in place to support our liquidity and financial assurance needs. The following table summarizes our outstanding letters of credit (in millions) at December 31, categorized by type of facility: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78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8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facility(a)</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Letter of credit facilities(b)</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Other(c)</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60" w:type="dxa"/>
            <w:vAlign w:val="bottom"/>
          </w:tcPr>
          <w:p>
            <w:pPr>
              <w:spacing w:after="0"/>
              <w:rPr>
                <w:sz w:val="19"/>
                <w:szCs w:val="19"/>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8"/>
              </w:rPr>
              <w:t>1,539</w:t>
            </w:r>
          </w:p>
        </w:tc>
        <w:tc>
          <w:tcPr>
            <w:tcW w:w="4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1,682</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0"/>
        </w:trPr>
        <w:tc>
          <w:tcPr>
            <w:tcW w:w="4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78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19" w:lineRule="exact"/>
        <w:rPr>
          <w:sz w:val="20"/>
          <w:szCs w:val="20"/>
          <w:color w:val="auto"/>
        </w:rPr>
      </w:pPr>
    </w:p>
    <w:p>
      <w:pPr>
        <w:ind w:left="460" w:right="20" w:hanging="452"/>
        <w:spacing w:after="0" w:line="259"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July 2013, we amended and restated our revolving credit facility, increasing our total credit capacity to $2.25 billion and extending the term through July 2018. At December 31, 2013, we had $420 million of outstanding borrowings and $872 million of letters of credit issued and supported by the facility, leaving an unused and available credit capacity of $958 million.</w:t>
      </w:r>
    </w:p>
    <w:p>
      <w:pPr>
        <w:spacing w:after="0" w:line="32"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of December 31, 2013, we had an aggregate committed capacity of $400 million under letter of credit facilities with terms extending through December 2016. This letter of credit capacity was fully utilized as of December 31, 2013.</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These letters of credit are outstanding under various arrangements that do not obligate the counterparty to provide a committed capacity.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cash flows for the years ended December 31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2012</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2,455</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2,295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w w:val="84"/>
              </w:rPr>
              <w:t>(1,900)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(1,830)</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(2,185)</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 The most significant items affecting the comparison of our operating cash flows in 2013 as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2012 are summarized below:</w:t>
      </w:r>
    </w:p>
    <w:p>
      <w:pPr>
        <w:spacing w:after="0" w:line="51" w:lineRule="exact"/>
        <w:rPr>
          <w:sz w:val="20"/>
          <w:szCs w:val="20"/>
          <w:color w:val="auto"/>
        </w:rPr>
      </w:pPr>
    </w:p>
    <w:p>
      <w:pPr>
        <w:ind w:left="700" w:right="180" w:hanging="246"/>
        <w:spacing w:after="0" w:line="306" w:lineRule="auto"/>
        <w:tabs>
          <w:tab w:leader="none" w:pos="70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Earnings change </w:t>
      </w:r>
      <w:r>
        <w:rPr>
          <w:rFonts w:ascii="Arial" w:cs="Arial" w:eastAsia="Arial" w:hAnsi="Arial"/>
          <w:sz w:val="16"/>
          <w:szCs w:val="16"/>
          <w:color w:val="auto"/>
        </w:rPr>
        <w:t>— Our 2013 earnings drove our improved net cash provided by operating activities in spite of a year-over-year decrease in income</w:t>
      </w:r>
      <w:r>
        <w:rPr>
          <w:rFonts w:ascii="Arial" w:cs="Arial" w:eastAsia="Arial" w:hAnsi="Arial"/>
          <w:sz w:val="16"/>
          <w:szCs w:val="16"/>
          <w:i w:val="1"/>
          <w:iCs w:val="1"/>
          <w:color w:val="auto"/>
        </w:rPr>
        <w:t xml:space="preserve"> </w:t>
      </w:r>
      <w:r>
        <w:rPr>
          <w:rFonts w:ascii="Arial" w:cs="Arial" w:eastAsia="Arial" w:hAnsi="Arial"/>
          <w:sz w:val="16"/>
          <w:szCs w:val="16"/>
          <w:color w:val="auto"/>
        </w:rPr>
        <w:t>from operations, of $772 million. Our income from operations decline resulted from higher non-cash charges during 2013 of $949 million, associated principally with higher impairment charges. Absent these non-cash charges, we experienced higher earnings, which resulted in cash flow expansion.</w:t>
      </w:r>
    </w:p>
    <w:p>
      <w:pPr>
        <w:spacing w:after="0" w:line="25" w:lineRule="exact"/>
        <w:rPr>
          <w:rFonts w:ascii="Arial" w:cs="Arial" w:eastAsia="Arial" w:hAnsi="Arial"/>
          <w:sz w:val="16"/>
          <w:szCs w:val="16"/>
          <w:color w:val="auto"/>
        </w:rPr>
      </w:pPr>
    </w:p>
    <w:p>
      <w:pPr>
        <w:ind w:left="700" w:hanging="246"/>
        <w:spacing w:after="0" w:line="259"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Increased income tax payments </w:t>
      </w:r>
      <w:r>
        <w:rPr>
          <w:rFonts w:ascii="Arial" w:cs="Arial" w:eastAsia="Arial" w:hAnsi="Arial"/>
          <w:sz w:val="18"/>
          <w:szCs w:val="18"/>
          <w:color w:val="auto"/>
        </w:rPr>
        <w:t>— Cash paid for income taxes, net of excess tax benefits associated with equity-based transactions, was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$144 million higher on a year-over-year basis. Note that, while pre-tax income on a year-over-year basis has declined $809 million, a significant portion of the 2013 impairments discussed above do not qualify for a tax benefit.</w:t>
      </w:r>
    </w:p>
    <w:p>
      <w:pPr>
        <w:spacing w:after="0" w:line="59" w:lineRule="exact"/>
        <w:rPr>
          <w:rFonts w:ascii="Arial" w:cs="Arial" w:eastAsia="Arial" w:hAnsi="Arial"/>
          <w:sz w:val="18"/>
          <w:szCs w:val="18"/>
          <w:color w:val="auto"/>
        </w:rPr>
      </w:pPr>
    </w:p>
    <w:p>
      <w:pPr>
        <w:ind w:left="700" w:right="60" w:hanging="246"/>
        <w:spacing w:after="0" w:line="256"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Forward starting swaps </w:t>
      </w:r>
      <w:r>
        <w:rPr>
          <w:rFonts w:ascii="Arial" w:cs="Arial" w:eastAsia="Arial" w:hAnsi="Arial"/>
          <w:sz w:val="18"/>
          <w:szCs w:val="18"/>
          <w:color w:val="auto"/>
        </w:rPr>
        <w:t>— During the third quarter of 2012, the forward-starting interest rate swaps associated with anticipated fixed-rate debt</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issuances were terminated contemporaneously with the actual issuance of senior notes in September 2012, and we paid cash of $59 million to settle the liabilities related to the swap agreements. This cash payment has been classified as a change in “Other liabilities” within “Net cash provided by operating activities” in the Consolidated Statement of Cash Flows.</w:t>
      </w:r>
    </w:p>
    <w:p>
      <w:pPr>
        <w:spacing w:after="0" w:line="62" w:lineRule="exact"/>
        <w:rPr>
          <w:rFonts w:ascii="Arial" w:cs="Arial" w:eastAsia="Arial" w:hAnsi="Arial"/>
          <w:sz w:val="18"/>
          <w:szCs w:val="18"/>
          <w:color w:val="auto"/>
        </w:rPr>
      </w:pPr>
    </w:p>
    <w:p>
      <w:pPr>
        <w:ind w:left="700" w:right="60" w:hanging="246"/>
        <w:spacing w:after="0" w:line="298" w:lineRule="auto"/>
        <w:tabs>
          <w:tab w:leader="none" w:pos="70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of interest rate swaps </w:t>
      </w:r>
      <w:r>
        <w:rPr>
          <w:rFonts w:ascii="Arial" w:cs="Arial" w:eastAsia="Arial" w:hAnsi="Arial"/>
          <w:sz w:val="16"/>
          <w:szCs w:val="16"/>
          <w:color w:val="auto"/>
        </w:rPr>
        <w:t>— In April 2012, we elected to terminate our $1 billion interest rate swap portfolio associated with senior notes that</w:t>
      </w:r>
      <w:r>
        <w:rPr>
          <w:rFonts w:ascii="Arial" w:cs="Arial" w:eastAsia="Arial" w:hAnsi="Arial"/>
          <w:sz w:val="16"/>
          <w:szCs w:val="16"/>
          <w:i w:val="1"/>
          <w:iCs w:val="1"/>
          <w:color w:val="auto"/>
        </w:rPr>
        <w:t xml:space="preserve"> </w:t>
      </w:r>
      <w:r>
        <w:rPr>
          <w:rFonts w:ascii="Arial" w:cs="Arial" w:eastAsia="Arial" w:hAnsi="Arial"/>
          <w:sz w:val="16"/>
          <w:szCs w:val="16"/>
          <w:color w:val="auto"/>
        </w:rPr>
        <w:t>were scheduled to mature from November 2012 through March 2018. Upon termination of the swaps, we received $72 million in cash for their fair value. The cash proceeds received from the termination of interest rate swap agreements have been classified as a change in “Other assets” within “Net cash provided by operating activities” in the Consolidated Statement of Cash Flows.</w:t>
      </w:r>
    </w:p>
    <w:p>
      <w:pPr>
        <w:spacing w:after="0" w:line="31" w:lineRule="exact"/>
        <w:rPr>
          <w:rFonts w:ascii="Arial" w:cs="Arial" w:eastAsia="Arial" w:hAnsi="Arial"/>
          <w:sz w:val="16"/>
          <w:szCs w:val="16"/>
          <w:color w:val="auto"/>
        </w:rPr>
      </w:pPr>
    </w:p>
    <w:p>
      <w:pPr>
        <w:ind w:left="700" w:right="40" w:hanging="246"/>
        <w:spacing w:after="0" w:line="318" w:lineRule="auto"/>
        <w:tabs>
          <w:tab w:leader="none" w:pos="700" w:val="left"/>
        </w:tabs>
        <w:numPr>
          <w:ilvl w:val="0"/>
          <w:numId w:val="60"/>
        </w:numPr>
        <w:rPr>
          <w:rFonts w:ascii="Arial" w:cs="Arial" w:eastAsia="Arial" w:hAnsi="Arial"/>
          <w:sz w:val="15"/>
          <w:szCs w:val="15"/>
          <w:color w:val="auto"/>
        </w:rPr>
      </w:pPr>
      <w:r>
        <w:rPr>
          <w:rFonts w:ascii="Arial" w:cs="Arial" w:eastAsia="Arial" w:hAnsi="Arial"/>
          <w:sz w:val="15"/>
          <w:szCs w:val="15"/>
          <w:i w:val="1"/>
          <w:iCs w:val="1"/>
          <w:color w:val="auto"/>
        </w:rPr>
        <w:t xml:space="preserve">Changes in assets and liabilities, net of effects from business acquisitions and divestitures </w:t>
      </w:r>
      <w:r>
        <w:rPr>
          <w:rFonts w:ascii="Arial" w:cs="Arial" w:eastAsia="Arial" w:hAnsi="Arial"/>
          <w:sz w:val="15"/>
          <w:szCs w:val="15"/>
          <w:color w:val="auto"/>
        </w:rPr>
        <w:t>— Our cash flow from operations was favorably impacted in</w:t>
      </w:r>
      <w:r>
        <w:rPr>
          <w:rFonts w:ascii="Arial" w:cs="Arial" w:eastAsia="Arial" w:hAnsi="Arial"/>
          <w:sz w:val="15"/>
          <w:szCs w:val="15"/>
          <w:i w:val="1"/>
          <w:iCs w:val="1"/>
          <w:color w:val="auto"/>
        </w:rPr>
        <w:t xml:space="preserve"> </w:t>
      </w:r>
      <w:r>
        <w:rPr>
          <w:rFonts w:ascii="Arial" w:cs="Arial" w:eastAsia="Arial" w:hAnsi="Arial"/>
          <w:sz w:val="15"/>
          <w:szCs w:val="15"/>
          <w:color w:val="auto"/>
        </w:rPr>
        <w:t>2013 by changes in our working capital accounts. Although our working capital changes may vary from year to year, they are typically driven by changes in accounts receivable, which are affected by both revenue changes and timing of payments received, and accounts payable, which are affected by both cost changes and timing of payments. Additionally, accruals for our annual incentive plan favorably affected our working capital comparison, driven by both higher incentive plan expense accruals in 2013 compared to 2012 and lower incentive plan payments in 2013 as compared to 2012.</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most significant items affecting the comparison of our operating cash flows in 2012 as compared with 2011 are summarized below:</w:t>
      </w:r>
    </w:p>
    <w:p>
      <w:pPr>
        <w:spacing w:after="0" w:line="90" w:lineRule="exact"/>
        <w:rPr>
          <w:sz w:val="20"/>
          <w:szCs w:val="20"/>
          <w:color w:val="auto"/>
        </w:rPr>
      </w:pPr>
    </w:p>
    <w:p>
      <w:pPr>
        <w:ind w:left="700" w:right="180" w:hanging="246"/>
        <w:spacing w:after="0" w:line="268"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Decrease in earnings </w:t>
      </w:r>
      <w:r>
        <w:rPr>
          <w:rFonts w:ascii="Arial" w:cs="Arial" w:eastAsia="Arial" w:hAnsi="Arial"/>
          <w:sz w:val="18"/>
          <w:szCs w:val="18"/>
          <w:color w:val="auto"/>
        </w:rPr>
        <w:t>— Our income from operations, excluding depreciation and amortization, decreased by $109 million, on a year-over-year basis.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the $109 million decrease are the following items:</w:t>
      </w:r>
    </w:p>
    <w:p>
      <w:pPr>
        <w:spacing w:after="0" w:line="50" w:lineRule="exact"/>
        <w:rPr>
          <w:rFonts w:ascii="Arial" w:cs="Arial" w:eastAsia="Arial" w:hAnsi="Arial"/>
          <w:sz w:val="18"/>
          <w:szCs w:val="18"/>
          <w:color w:val="auto"/>
        </w:rPr>
      </w:pPr>
    </w:p>
    <w:p>
      <w:pPr>
        <w:ind w:left="920" w:hanging="237"/>
        <w:spacing w:after="0"/>
        <w:tabs>
          <w:tab w:leader="none" w:pos="9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higher charges in 2012 related to impairments and restructuring costs of $89 million and $48 million, respectively;</w:t>
      </w:r>
    </w:p>
    <w:p>
      <w:pPr>
        <w:spacing w:after="0" w:line="90" w:lineRule="exact"/>
        <w:rPr>
          <w:rFonts w:ascii="Arial" w:cs="Arial" w:eastAsia="Arial" w:hAnsi="Arial"/>
          <w:sz w:val="18"/>
          <w:szCs w:val="18"/>
          <w:color w:val="auto"/>
        </w:rPr>
      </w:pPr>
    </w:p>
    <w:p>
      <w:pPr>
        <w:ind w:left="920" w:right="260" w:hanging="237"/>
        <w:spacing w:after="0" w:line="268" w:lineRule="auto"/>
        <w:tabs>
          <w:tab w:leader="none" w:pos="9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lower non-cash charges attributable to equity-based compensation expense and interest accretion and discount rate adjustments on environmental remediation liabilities and recovery assets of $16 million and $17 million, respectively;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920" w:hanging="237"/>
        <w:spacing w:after="0"/>
        <w:tabs>
          <w:tab w:leader="none" w:pos="9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lower bonus expense of approximately $90 million in 2012 when compared with 2011.</w:t>
      </w:r>
    </w:p>
    <w:p>
      <w:pPr>
        <w:spacing w:after="0" w:line="90" w:lineRule="exact"/>
        <w:rPr>
          <w:rFonts w:ascii="Arial" w:cs="Arial" w:eastAsia="Arial" w:hAnsi="Arial"/>
          <w:sz w:val="18"/>
          <w:szCs w:val="18"/>
          <w:color w:val="auto"/>
        </w:rPr>
      </w:pPr>
    </w:p>
    <w:p>
      <w:pPr>
        <w:ind w:left="700" w:right="120" w:hanging="246"/>
        <w:spacing w:after="0" w:line="298" w:lineRule="auto"/>
        <w:tabs>
          <w:tab w:leader="none" w:pos="70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Increased income tax payments </w:t>
      </w:r>
      <w:r>
        <w:rPr>
          <w:rFonts w:ascii="Arial" w:cs="Arial" w:eastAsia="Arial" w:hAnsi="Arial"/>
          <w:sz w:val="16"/>
          <w:szCs w:val="16"/>
          <w:color w:val="auto"/>
        </w:rPr>
        <w:t>— Cash paid for income taxes, net of excess tax benefits associated with equity-based transactions, was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$63 million higher on a year-over-year basis as a result of the decrease in the bonus depreciation allowance from a deduction of 100% of qualifying capital expenditures for property placed in service in 2011 to a deduction of 50% of qualifying capital expenditures for property placed in service in 2012. See </w:t>
      </w:r>
      <w:r>
        <w:rPr>
          <w:rFonts w:ascii="Arial" w:cs="Arial" w:eastAsia="Arial" w:hAnsi="Arial"/>
          <w:sz w:val="16"/>
          <w:szCs w:val="16"/>
          <w:i w:val="1"/>
          <w:iCs w:val="1"/>
          <w:color w:val="auto"/>
        </w:rPr>
        <w:t>Liquidity Impacts of Income Tax Items</w:t>
      </w:r>
      <w:r>
        <w:rPr>
          <w:rFonts w:ascii="Arial" w:cs="Arial" w:eastAsia="Arial" w:hAnsi="Arial"/>
          <w:sz w:val="16"/>
          <w:szCs w:val="16"/>
          <w:color w:val="auto"/>
        </w:rPr>
        <w:t xml:space="preserve"> below for additional information.</w:t>
      </w:r>
    </w:p>
    <w:p>
      <w:pPr>
        <w:spacing w:after="0" w:line="31" w:lineRule="exact"/>
        <w:rPr>
          <w:rFonts w:ascii="Arial" w:cs="Arial" w:eastAsia="Arial" w:hAnsi="Arial"/>
          <w:sz w:val="16"/>
          <w:szCs w:val="16"/>
          <w:color w:val="auto"/>
        </w:rPr>
      </w:pPr>
    </w:p>
    <w:p>
      <w:pPr>
        <w:ind w:left="700" w:hanging="246"/>
        <w:spacing w:after="0" w:line="255" w:lineRule="auto"/>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Forward starting swaps </w:t>
      </w:r>
      <w:r>
        <w:rPr>
          <w:rFonts w:ascii="Arial" w:cs="Arial" w:eastAsia="Arial" w:hAnsi="Arial"/>
          <w:sz w:val="18"/>
          <w:szCs w:val="18"/>
          <w:color w:val="auto"/>
        </w:rPr>
        <w:t>— During the first quarter of 2011 and the third quarter of 2012, the forward-starting interest rate swaps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anticipated fixed-rate debt issuances were terminated contemporaneously with the actual issuance of senior notes in February 2011 and September 2012, and we paid cash of $9 million and $59 million, respectively, to settle the liabilities related to these swap agreements. These cash payments have been classified as a change in “Accounts payable and accrued liabilities” within “Net cash provided by operating activities” in the Consolidated Statement of Cash Flows.</w:t>
      </w:r>
    </w:p>
    <w:p>
      <w:pPr>
        <w:spacing w:after="0" w:line="61" w:lineRule="exact"/>
        <w:rPr>
          <w:rFonts w:ascii="Arial" w:cs="Arial" w:eastAsia="Arial" w:hAnsi="Arial"/>
          <w:sz w:val="18"/>
          <w:szCs w:val="18"/>
          <w:color w:val="auto"/>
        </w:rPr>
      </w:pPr>
    </w:p>
    <w:p>
      <w:pPr>
        <w:ind w:left="700" w:right="100" w:hanging="246"/>
        <w:spacing w:after="0" w:line="298" w:lineRule="auto"/>
        <w:tabs>
          <w:tab w:leader="none" w:pos="70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of interest rate swaps </w:t>
      </w:r>
      <w:r>
        <w:rPr>
          <w:rFonts w:ascii="Arial" w:cs="Arial" w:eastAsia="Arial" w:hAnsi="Arial"/>
          <w:sz w:val="16"/>
          <w:szCs w:val="16"/>
          <w:color w:val="auto"/>
        </w:rPr>
        <w:t>— In April 2012, we elected to terminate our $1 billion interest rate swap portfolio associated with senior notes that</w:t>
      </w:r>
      <w:r>
        <w:rPr>
          <w:rFonts w:ascii="Arial" w:cs="Arial" w:eastAsia="Arial" w:hAnsi="Arial"/>
          <w:sz w:val="16"/>
          <w:szCs w:val="16"/>
          <w:i w:val="1"/>
          <w:iCs w:val="1"/>
          <w:color w:val="auto"/>
        </w:rPr>
        <w:t xml:space="preserve"> </w:t>
      </w:r>
      <w:r>
        <w:rPr>
          <w:rFonts w:ascii="Arial" w:cs="Arial" w:eastAsia="Arial" w:hAnsi="Arial"/>
          <w:sz w:val="16"/>
          <w:szCs w:val="16"/>
          <w:color w:val="auto"/>
        </w:rPr>
        <w:t>were scheduled to mature from November 2012 through March 2018. Upon termination of the swaps, we received $72 million in cash for their fair value. The cash proceeds received from the termination of interest rate swap agreements have been classified as a change in “Other assets” within “Net cash provided by operating activities” in the Consolidated Statement of Cash Flows.</w:t>
      </w:r>
    </w:p>
    <w:p>
      <w:pPr>
        <w:spacing w:after="0" w:line="31" w:lineRule="exact"/>
        <w:rPr>
          <w:rFonts w:ascii="Arial" w:cs="Arial" w:eastAsia="Arial" w:hAnsi="Arial"/>
          <w:sz w:val="16"/>
          <w:szCs w:val="16"/>
          <w:color w:val="auto"/>
        </w:rPr>
      </w:pPr>
    </w:p>
    <w:p>
      <w:pPr>
        <w:ind w:left="700" w:right="60" w:hanging="246"/>
        <w:spacing w:after="0" w:line="256" w:lineRule="auto"/>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Changes in assets and liabilities, net of effects from business acquisitions and divestitures — </w:t>
      </w:r>
      <w:r>
        <w:rPr>
          <w:rFonts w:ascii="Arial" w:cs="Arial" w:eastAsia="Arial" w:hAnsi="Arial"/>
          <w:sz w:val="18"/>
          <w:szCs w:val="18"/>
          <w:color w:val="auto"/>
        </w:rPr>
        <w:t>Our cash flow from operations was unfavorably impacted</w:t>
      </w:r>
      <w:r>
        <w:rPr>
          <w:rFonts w:ascii="Arial" w:cs="Arial" w:eastAsia="Arial" w:hAnsi="Arial"/>
          <w:sz w:val="18"/>
          <w:szCs w:val="18"/>
          <w:i w:val="1"/>
          <w:iCs w:val="1"/>
          <w:color w:val="auto"/>
        </w:rPr>
        <w:t xml:space="preserve"> </w:t>
      </w:r>
      <w:r>
        <w:rPr>
          <w:rFonts w:ascii="Arial" w:cs="Arial" w:eastAsia="Arial" w:hAnsi="Arial"/>
          <w:sz w:val="18"/>
          <w:szCs w:val="18"/>
          <w:color w:val="auto"/>
        </w:rPr>
        <w:t>in 2012 by changes in our working capital accounts. Although our working capital changes may vary from year to year, they are typically driven by changes in accounts receivable, which are affected by both revenue changes and timing of payments received, and accounts payable changes, which are affected by both cost changes and timing of payments.</w:t>
      </w:r>
    </w:p>
    <w:p>
      <w:pPr>
        <w:spacing w:after="0" w:line="6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i w:val="1"/>
          <w:iCs w:val="1"/>
          <w:color w:val="auto"/>
        </w:rPr>
        <w:t xml:space="preserve">Net Cash Used in Investing Activities </w:t>
      </w:r>
      <w:r>
        <w:rPr>
          <w:rFonts w:ascii="Arial" w:cs="Arial" w:eastAsia="Arial" w:hAnsi="Arial"/>
          <w:sz w:val="18"/>
          <w:szCs w:val="18"/>
          <w:color w:val="auto"/>
        </w:rPr>
        <w:t>— The most significant items affecting the comparison of our investing cash flows for the periods presented are</w:t>
      </w:r>
      <w:r>
        <w:rPr>
          <w:rFonts w:ascii="Arial" w:cs="Arial" w:eastAsia="Arial" w:hAnsi="Arial"/>
          <w:sz w:val="18"/>
          <w:szCs w:val="18"/>
          <w:i w:val="1"/>
          <w:iCs w:val="1"/>
          <w:color w:val="auto"/>
        </w:rPr>
        <w:t xml:space="preserve"> </w:t>
      </w:r>
      <w:r>
        <w:rPr>
          <w:rFonts w:ascii="Arial" w:cs="Arial" w:eastAsia="Arial" w:hAnsi="Arial"/>
          <w:sz w:val="18"/>
          <w:szCs w:val="18"/>
          <w:color w:val="auto"/>
        </w:rPr>
        <w:t>summarized below:</w:t>
      </w:r>
    </w:p>
    <w:p>
      <w:pPr>
        <w:spacing w:after="0" w:line="51" w:lineRule="exact"/>
        <w:rPr>
          <w:sz w:val="20"/>
          <w:szCs w:val="20"/>
          <w:color w:val="auto"/>
        </w:rPr>
      </w:pPr>
    </w:p>
    <w:p>
      <w:pPr>
        <w:ind w:left="700" w:right="20" w:hanging="246"/>
        <w:spacing w:after="0" w:line="290" w:lineRule="auto"/>
        <w:tabs>
          <w:tab w:leader="none" w:pos="70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Capital expenditures — </w:t>
      </w:r>
      <w:r>
        <w:rPr>
          <w:rFonts w:ascii="Arial" w:cs="Arial" w:eastAsia="Arial" w:hAnsi="Arial"/>
          <w:sz w:val="16"/>
          <w:szCs w:val="16"/>
          <w:color w:val="auto"/>
        </w:rPr>
        <w:t>We used $1,271 million during 2013 for capital expenditures, compared with $1,510 million in 2012 and $1,324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2011. The decrease can generally be attributed to increased focus on capital spending management. The increase in capital expenditures in 2012 and 2011 is a result of our increased spending on compressed natural gas vehicles, related fueling infrastructure, and information technology infrastructure and growth initiatives, as well as our taking advantage of the bonus depreciation legislation. The year-over-year comparison of 2013 with 2012 was also affected by timing differences associated with cash payments for the previous years’ fourth quarter capital spending. Approximately $171 million of our fourth quarter 2012 spending was paid in cash in the first quarter of 2013 compared with approximately $244 million of our fourth quarter 2011 spending that was paid in the first quarter of 2012.</w:t>
      </w:r>
    </w:p>
    <w:p>
      <w:pPr>
        <w:spacing w:after="0" w:line="37" w:lineRule="exact"/>
        <w:rPr>
          <w:rFonts w:ascii="Arial" w:cs="Arial" w:eastAsia="Arial" w:hAnsi="Arial"/>
          <w:sz w:val="16"/>
          <w:szCs w:val="16"/>
          <w:color w:val="auto"/>
        </w:rPr>
      </w:pPr>
    </w:p>
    <w:p>
      <w:pPr>
        <w:ind w:left="700" w:right="80" w:hanging="246"/>
        <w:spacing w:after="0" w:line="294" w:lineRule="auto"/>
        <w:tabs>
          <w:tab w:leader="none" w:pos="70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Proceeds from divestitures — </w:t>
      </w:r>
      <w:r>
        <w:rPr>
          <w:rFonts w:ascii="Arial" w:cs="Arial" w:eastAsia="Arial" w:hAnsi="Arial"/>
          <w:sz w:val="16"/>
          <w:szCs w:val="16"/>
          <w:color w:val="auto"/>
        </w:rPr>
        <w:t>Proceeds from divestitures (net of cash divested) and other sales of assets were $138 million in 2013, $44 million in 2012</w:t>
      </w:r>
      <w:r>
        <w:rPr>
          <w:rFonts w:ascii="Arial" w:cs="Arial" w:eastAsia="Arial" w:hAnsi="Arial"/>
          <w:sz w:val="16"/>
          <w:szCs w:val="16"/>
          <w:i w:val="1"/>
          <w:iCs w:val="1"/>
          <w:color w:val="auto"/>
        </w:rPr>
        <w:t xml:space="preserve"> </w:t>
      </w:r>
      <w:r>
        <w:rPr>
          <w:rFonts w:ascii="Arial" w:cs="Arial" w:eastAsia="Arial" w:hAnsi="Arial"/>
          <w:sz w:val="16"/>
          <w:szCs w:val="16"/>
          <w:color w:val="auto"/>
        </w:rPr>
        <w:t>and $36 million in 2011. These divestitures were made as part of our initiative to improve or divest certain underperforming and non-strategic operations. In 2013, our proceeds from divestitures included approximately $41 million related to investments in oil and gas producing properties and $14 million related to certain of our medical waste service operations and a transfer station in our Greater Mid-Atlantic Area. The remaining amount reported for 2013, as well as the proceeds in 2012 and 2011, generally relate to the sale of fixed assets.</w:t>
      </w:r>
    </w:p>
    <w:p>
      <w:pPr>
        <w:spacing w:after="0" w:line="34" w:lineRule="exact"/>
        <w:rPr>
          <w:rFonts w:ascii="Arial" w:cs="Arial" w:eastAsia="Arial" w:hAnsi="Arial"/>
          <w:sz w:val="16"/>
          <w:szCs w:val="16"/>
          <w:color w:val="auto"/>
        </w:rPr>
      </w:pPr>
    </w:p>
    <w:p>
      <w:pPr>
        <w:ind w:left="700" w:right="140" w:hanging="246"/>
        <w:spacing w:after="0" w:line="256" w:lineRule="auto"/>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Our spending on acquisitions was $724 million in 2013 compared with $250 million in 2012 and $867 million in 2011. In 2013, our</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consisted primarily of the recycling operations of Greenstar, for which we paid $170 million, and substantially all of the assets of RCI, for which we paid $481 million. The remainder of our 2013 acquisitions related to collection and energy services operations. In 2012, our acquisitions consisted primarily of interests in oil and gas producing properties acquired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680"/>
        <w:spacing w:after="0" w:line="256" w:lineRule="auto"/>
        <w:rPr>
          <w:sz w:val="20"/>
          <w:szCs w:val="20"/>
          <w:color w:val="auto"/>
        </w:rPr>
      </w:pPr>
      <w:r>
        <w:rPr>
          <w:rFonts w:ascii="Arial" w:cs="Arial" w:eastAsia="Arial" w:hAnsi="Arial"/>
          <w:sz w:val="18"/>
          <w:szCs w:val="18"/>
          <w:color w:val="auto"/>
        </w:rPr>
        <w:t>through two transactions, for which we paid $94 million. In 2011, we paid $432 million, net of cash received of $4 million and inclusive of certain adjustments, to acquire Oakleaf, which provides outsourced waste and recycling services. See Note 19 to the Consolidated Financial Statements for additional information related to our acquisitions. We continue to focus on accretive acquisitions and growth opportunities that will enhance and expand our existing service offerings.</w:t>
      </w:r>
    </w:p>
    <w:p>
      <w:pPr>
        <w:spacing w:after="0" w:line="62" w:lineRule="exact"/>
        <w:rPr>
          <w:sz w:val="20"/>
          <w:szCs w:val="20"/>
          <w:color w:val="auto"/>
        </w:rPr>
      </w:pPr>
    </w:p>
    <w:p>
      <w:pPr>
        <w:ind w:left="700" w:right="40" w:hanging="246"/>
        <w:spacing w:after="0" w:line="291" w:lineRule="auto"/>
        <w:tabs>
          <w:tab w:leader="none" w:pos="70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Investments in unconsolidated entities </w:t>
      </w:r>
      <w:r>
        <w:rPr>
          <w:rFonts w:ascii="Arial" w:cs="Arial" w:eastAsia="Arial" w:hAnsi="Arial"/>
          <w:sz w:val="16"/>
          <w:szCs w:val="16"/>
          <w:color w:val="auto"/>
        </w:rPr>
        <w:t>— We made $33 million of cash investments in unconsolidated entities during 2013, compared with $77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 2012 and $155 million in 2011. In 2013, our investments primarily related to waste diversion technology companies and additional capital contributions associated with our investment in a refined coal facility discussed below. In 2012, our investments primarily related to furthering our goal of expanding our service offerings and developing waste diversion technologies. In 2011, our investments included a $48 million payment made to acquire a noncontrolling interest in a limited liability company, which was established to invest in and manage a refined coal facility in North Dakota, and $107 million of investments primarily related to furthering our goal of growing into new markets by investing in greener technologies.</w:t>
      </w:r>
    </w:p>
    <w:p>
      <w:pPr>
        <w:spacing w:after="0" w:line="39" w:lineRule="exact"/>
        <w:rPr>
          <w:rFonts w:ascii="Arial" w:cs="Arial" w:eastAsia="Arial" w:hAnsi="Arial"/>
          <w:sz w:val="16"/>
          <w:szCs w:val="16"/>
          <w:color w:val="auto"/>
        </w:rPr>
      </w:pPr>
    </w:p>
    <w:p>
      <w:pPr>
        <w:ind w:left="700" w:right="40" w:hanging="246"/>
        <w:spacing w:after="0" w:line="256" w:lineRule="auto"/>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Net receipts from restricted funds </w:t>
      </w:r>
      <w:r>
        <w:rPr>
          <w:rFonts w:ascii="Arial" w:cs="Arial" w:eastAsia="Arial" w:hAnsi="Arial"/>
          <w:sz w:val="18"/>
          <w:szCs w:val="18"/>
          <w:color w:val="auto"/>
        </w:rPr>
        <w:t>— Net cash received from our restricted trust and escrow accounts, which are largely generated from the issuance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tax-exempt bonds for our capital needs, contributed $71 million to our investing activities in 2013 compared with $14 million in 2012 and $107 million in 2011. The significant decrease in cash received from our restricted trust and escrow accounts during 2012 was due to a decrease in tax-exempt borrowings.</w:t>
      </w:r>
    </w:p>
    <w:p>
      <w:pPr>
        <w:spacing w:after="0" w:line="62" w:lineRule="exact"/>
        <w:rPr>
          <w:rFonts w:ascii="Arial" w:cs="Arial" w:eastAsia="Arial" w:hAnsi="Arial"/>
          <w:sz w:val="18"/>
          <w:szCs w:val="18"/>
          <w:color w:val="auto"/>
        </w:rPr>
      </w:pPr>
    </w:p>
    <w:p>
      <w:pPr>
        <w:ind w:left="700" w:right="220" w:hanging="246"/>
        <w:spacing w:after="0" w:line="306" w:lineRule="auto"/>
        <w:tabs>
          <w:tab w:leader="none" w:pos="70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 Net cash used by our other investing activities of $81 million during 2013 and $51 million during 2012 was primarily associated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funding of notes receivable associated with Wheelabrator’s investments in Europe. Net cash provided by our other investing activities of $18 million during 2011 was primarily related to the receipt of a payment of $17 million associated with a note receivable from a prior year divestiture.</w:t>
      </w:r>
    </w:p>
    <w:p>
      <w:pPr>
        <w:spacing w:after="0" w:line="2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 xml:space="preserve">Net Cash Used in Financing Activities </w:t>
      </w:r>
      <w:r>
        <w:rPr>
          <w:rFonts w:ascii="Arial" w:cs="Arial" w:eastAsia="Arial" w:hAnsi="Arial"/>
          <w:sz w:val="18"/>
          <w:szCs w:val="18"/>
          <w:color w:val="auto"/>
        </w:rPr>
        <w:t>— The most significant items affecting the comparison of our financing cash flows for the periods presented are</w:t>
      </w:r>
      <w:r>
        <w:rPr>
          <w:rFonts w:ascii="Arial" w:cs="Arial" w:eastAsia="Arial" w:hAnsi="Arial"/>
          <w:sz w:val="18"/>
          <w:szCs w:val="18"/>
          <w:i w:val="1"/>
          <w:iCs w:val="1"/>
          <w:color w:val="auto"/>
        </w:rPr>
        <w:t xml:space="preserve"> </w:t>
      </w:r>
      <w:r>
        <w:rPr>
          <w:rFonts w:ascii="Arial" w:cs="Arial" w:eastAsia="Arial" w:hAnsi="Arial"/>
          <w:sz w:val="18"/>
          <w:szCs w:val="18"/>
          <w:color w:val="auto"/>
        </w:rPr>
        <w:t>summarized below:</w:t>
      </w:r>
    </w:p>
    <w:p>
      <w:pPr>
        <w:spacing w:after="0" w:line="51" w:lineRule="exact"/>
        <w:rPr>
          <w:sz w:val="20"/>
          <w:szCs w:val="20"/>
          <w:color w:val="auto"/>
        </w:rPr>
      </w:pPr>
    </w:p>
    <w:p>
      <w:pPr>
        <w:ind w:left="700" w:right="60" w:hanging="246"/>
        <w:spacing w:after="0" w:line="268" w:lineRule="auto"/>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Share repurchases and dividend payments — </w:t>
      </w:r>
      <w:r>
        <w:rPr>
          <w:rFonts w:ascii="Arial" w:cs="Arial" w:eastAsia="Arial" w:hAnsi="Arial"/>
          <w:sz w:val="18"/>
          <w:szCs w:val="18"/>
          <w:color w:val="auto"/>
        </w:rPr>
        <w:t>For the periods presented, all share repurchases and dividend payments have been approved by our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w:t>
      </w:r>
    </w:p>
    <w:p>
      <w:pPr>
        <w:spacing w:after="0" w:line="50" w:lineRule="exact"/>
        <w:rPr>
          <w:rFonts w:ascii="Arial" w:cs="Arial" w:eastAsia="Arial" w:hAnsi="Arial"/>
          <w:sz w:val="18"/>
          <w:szCs w:val="18"/>
          <w:color w:val="auto"/>
        </w:rPr>
      </w:pPr>
    </w:p>
    <w:p>
      <w:pPr>
        <w:ind w:left="700" w:right="200"/>
        <w:spacing w:after="0" w:line="306" w:lineRule="auto"/>
        <w:rPr>
          <w:rFonts w:ascii="Arial" w:cs="Arial" w:eastAsia="Arial" w:hAnsi="Arial"/>
          <w:sz w:val="18"/>
          <w:szCs w:val="18"/>
          <w:color w:val="auto"/>
        </w:rPr>
      </w:pPr>
      <w:r>
        <w:rPr>
          <w:rFonts w:ascii="Arial" w:cs="Arial" w:eastAsia="Arial" w:hAnsi="Arial"/>
          <w:sz w:val="16"/>
          <w:szCs w:val="16"/>
          <w:color w:val="auto"/>
        </w:rPr>
        <w:t>We paid an aggregate of $683 million in cash dividends during 2013, compared with $658 million in 2012, and $637 million in 2011. The increase in dividend payments is due to our quarterly per share dividend increasing from $0.34 in 2011, to $0.355 in 2012, and to $0.365 in 2013 and has been offset, in part, by a reduction in our common stock outstanding during 2011 and 2013 as a result of our share repurchase programs.</w:t>
      </w:r>
    </w:p>
    <w:p>
      <w:pPr>
        <w:spacing w:after="0" w:line="25" w:lineRule="exact"/>
        <w:rPr>
          <w:rFonts w:ascii="Arial" w:cs="Arial" w:eastAsia="Arial" w:hAnsi="Arial"/>
          <w:sz w:val="18"/>
          <w:szCs w:val="18"/>
          <w:color w:val="auto"/>
        </w:rPr>
      </w:pPr>
    </w:p>
    <w:p>
      <w:pPr>
        <w:ind w:left="700" w:right="300"/>
        <w:spacing w:after="0" w:line="332" w:lineRule="auto"/>
        <w:rPr>
          <w:rFonts w:ascii="Arial" w:cs="Arial" w:eastAsia="Arial" w:hAnsi="Arial"/>
          <w:sz w:val="18"/>
          <w:szCs w:val="18"/>
          <w:color w:val="auto"/>
        </w:rPr>
      </w:pPr>
      <w:r>
        <w:rPr>
          <w:rFonts w:ascii="Arial" w:cs="Arial" w:eastAsia="Arial" w:hAnsi="Arial"/>
          <w:sz w:val="16"/>
          <w:szCs w:val="16"/>
          <w:color w:val="auto"/>
        </w:rPr>
        <w:t>We paid $239 million and $575 million for share repurchases in 2013 and 2011, respectively. We repurchased approximately 5 million shares of our common stock in 2013 and approximately 17 million shares of our common stock in 2011. We did not repurchase any shares during 2012.</w:t>
      </w:r>
    </w:p>
    <w:p>
      <w:pPr>
        <w:spacing w:after="0" w:line="4" w:lineRule="exact"/>
        <w:rPr>
          <w:rFonts w:ascii="Arial" w:cs="Arial" w:eastAsia="Arial" w:hAnsi="Arial"/>
          <w:sz w:val="18"/>
          <w:szCs w:val="18"/>
          <w:color w:val="auto"/>
        </w:rPr>
      </w:pPr>
    </w:p>
    <w:p>
      <w:pPr>
        <w:ind w:left="700" w:right="60"/>
        <w:spacing w:after="0" w:line="289" w:lineRule="auto"/>
        <w:rPr>
          <w:rFonts w:ascii="Arial" w:cs="Arial" w:eastAsia="Arial" w:hAnsi="Arial"/>
          <w:sz w:val="18"/>
          <w:szCs w:val="18"/>
          <w:color w:val="auto"/>
        </w:rPr>
      </w:pPr>
      <w:r>
        <w:rPr>
          <w:rFonts w:ascii="Arial" w:cs="Arial" w:eastAsia="Arial" w:hAnsi="Arial"/>
          <w:sz w:val="16"/>
          <w:szCs w:val="16"/>
          <w:color w:val="auto"/>
        </w:rPr>
        <w:t>In February 2014, we announced that our Board of Directors expects to increase the quarterly dividend from $0.365 to $0.375 per share for dividends declared in 2014. However, all future dividend declarations are at the discretion of the Board of Directors, and depend on various factors, including our net earnings, financial condition, cash required for future business plans and other factors the Board of Directors may deem relevant. Additionally, in December 2012, the Board of Directors authorized up to $500 million in share repurchases, and we repurchased $239 million of our common stock pursuant to that authorization in 2013. In February 2014, the Board of Directors authorized up to $600 million in future share repurchases; this authorization both replaces and increases the amount that remained available for share repurchases under the prior authorization. Any future share repurchases will be made at the discretion of management and will depend on factors similar to those considered by the Board of Directors in making dividend declarations.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700" w:right="160" w:hanging="246"/>
        <w:spacing w:after="0" w:line="256" w:lineRule="auto"/>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Proceeds from the exercise of common stock options — </w:t>
      </w:r>
      <w:r>
        <w:rPr>
          <w:rFonts w:ascii="Arial" w:cs="Arial" w:eastAsia="Arial" w:hAnsi="Arial"/>
          <w:sz w:val="18"/>
          <w:szCs w:val="18"/>
          <w:color w:val="auto"/>
        </w:rPr>
        <w:t>The exercise of common stock options and the related excess tax benefits generated a total of</w:t>
      </w:r>
      <w:r>
        <w:rPr>
          <w:rFonts w:ascii="Arial" w:cs="Arial" w:eastAsia="Arial" w:hAnsi="Arial"/>
          <w:sz w:val="18"/>
          <w:szCs w:val="18"/>
          <w:i w:val="1"/>
          <w:iCs w:val="1"/>
          <w:color w:val="auto"/>
        </w:rPr>
        <w:t xml:space="preserve"> </w:t>
      </w:r>
      <w:r>
        <w:rPr>
          <w:rFonts w:ascii="Arial" w:cs="Arial" w:eastAsia="Arial" w:hAnsi="Arial"/>
          <w:sz w:val="18"/>
          <w:szCs w:val="18"/>
          <w:color w:val="auto"/>
        </w:rPr>
        <w:t>$132 million of financing cash inflows during 2013 compared with $43 million during 2012 and $45 million during 2011. The increase in exercised stock options during 2013 is primarily due to the increase in the Company’s stock price combined with exercises in advance of stock option expiration dates.</w:t>
      </w:r>
    </w:p>
    <w:p>
      <w:pPr>
        <w:spacing w:after="0" w:line="62" w:lineRule="exact"/>
        <w:rPr>
          <w:rFonts w:ascii="Arial" w:cs="Arial" w:eastAsia="Arial" w:hAnsi="Arial"/>
          <w:sz w:val="18"/>
          <w:szCs w:val="18"/>
          <w:color w:val="auto"/>
        </w:rPr>
      </w:pPr>
    </w:p>
    <w:p>
      <w:pPr>
        <w:ind w:left="700" w:right="340" w:hanging="246"/>
        <w:spacing w:after="0" w:line="268" w:lineRule="auto"/>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Debt borrowings (repayments) — </w:t>
      </w:r>
      <w:r>
        <w:rPr>
          <w:rFonts w:ascii="Arial" w:cs="Arial" w:eastAsia="Arial" w:hAnsi="Arial"/>
          <w:sz w:val="18"/>
          <w:szCs w:val="18"/>
          <w:color w:val="auto"/>
        </w:rPr>
        <w:t>Net debt borrowings were $155 million, $122 million and $698 million in 2013, 2012 and 2011, respectively.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summarizes our cash borrowings and debt repayments made during each year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5"/>
              </w:rPr>
              <w:t>Years Ended December 31,</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6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2013</w:t>
            </w: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2012</w:t>
            </w: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tcPr>
          <w:p>
            <w:pPr>
              <w:ind w:left="220"/>
              <w:spacing w:after="0"/>
              <w:rPr>
                <w:sz w:val="20"/>
                <w:szCs w:val="20"/>
                <w:color w:val="auto"/>
              </w:rPr>
            </w:pPr>
            <w:r>
              <w:rPr>
                <w:rFonts w:ascii="Arial" w:cs="Arial" w:eastAsia="Arial" w:hAnsi="Arial"/>
                <w:sz w:val="18"/>
                <w:szCs w:val="18"/>
                <w:color w:val="auto"/>
              </w:rPr>
              <w:t>U.S. revolving credit facility(a)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400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Canadian credit facility(a)</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tcPr>
          <w:p>
            <w:pPr>
              <w:ind w:left="220"/>
              <w:spacing w:after="0"/>
              <w:rPr>
                <w:sz w:val="20"/>
                <w:szCs w:val="20"/>
                <w:color w:val="auto"/>
              </w:rPr>
            </w:pPr>
            <w:r>
              <w:rPr>
                <w:rFonts w:ascii="Arial" w:cs="Arial" w:eastAsia="Arial" w:hAnsi="Arial"/>
                <w:sz w:val="18"/>
                <w:szCs w:val="18"/>
                <w:color w:val="auto"/>
              </w:rPr>
              <w:t>Senior notes</w:t>
            </w: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495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Capital leases and other debt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1,307</w:t>
            </w:r>
          </w:p>
        </w:tc>
        <w:tc>
          <w:tcPr>
            <w:tcW w:w="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1,180</w:t>
            </w: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1,201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tcPr>
          <w:p>
            <w:pPr>
              <w:ind w:left="220"/>
              <w:spacing w:after="0"/>
              <w:rPr>
                <w:sz w:val="20"/>
                <w:szCs w:val="20"/>
                <w:color w:val="auto"/>
              </w:rPr>
            </w:pPr>
            <w:r>
              <w:rPr>
                <w:rFonts w:ascii="Arial" w:cs="Arial" w:eastAsia="Arial" w:hAnsi="Arial"/>
                <w:sz w:val="18"/>
                <w:szCs w:val="18"/>
                <w:color w:val="auto"/>
              </w:rPr>
              <w:t>U.S. revolving credit facility(a)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(305)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(150)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Canadian credit facility(a)</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tcPr>
          <w:p>
            <w:pPr>
              <w:ind w:left="220"/>
              <w:spacing w:after="0"/>
              <w:rPr>
                <w:sz w:val="20"/>
                <w:szCs w:val="20"/>
                <w:color w:val="auto"/>
              </w:rPr>
            </w:pPr>
            <w:r>
              <w:rPr>
                <w:rFonts w:ascii="Arial" w:cs="Arial" w:eastAsia="Arial" w:hAnsi="Arial"/>
                <w:sz w:val="18"/>
                <w:szCs w:val="18"/>
                <w:color w:val="auto"/>
              </w:rPr>
              <w:t>Senior notes</w:t>
            </w: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Tax-exempt bonds</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tcPr>
          <w:p>
            <w:pPr>
              <w:ind w:left="220"/>
              <w:spacing w:after="0"/>
              <w:rPr>
                <w:sz w:val="20"/>
                <w:szCs w:val="20"/>
                <w:color w:val="auto"/>
              </w:rPr>
            </w:pPr>
            <w:r>
              <w:rPr>
                <w:rFonts w:ascii="Arial" w:cs="Arial" w:eastAsia="Arial" w:hAnsi="Arial"/>
                <w:sz w:val="18"/>
                <w:szCs w:val="18"/>
                <w:color w:val="auto"/>
              </w:rPr>
              <w:t>Capital leases and other debt</w:t>
            </w: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(1,152)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(1,058)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0"/>
        </w:trPr>
        <w:tc>
          <w:tcPr>
            <w:tcW w:w="8040" w:type="dxa"/>
            <w:vAlign w:val="bottom"/>
            <w:gridSpan w:val="3"/>
            <w:vMerge w:val="restart"/>
          </w:tcPr>
          <w:p>
            <w:pPr>
              <w:ind w:left="460"/>
              <w:spacing w:after="0"/>
              <w:rPr>
                <w:sz w:val="20"/>
                <w:szCs w:val="20"/>
                <w:color w:val="auto"/>
              </w:rPr>
            </w:pPr>
            <w:r>
              <w:rPr>
                <w:rFonts w:ascii="Arial" w:cs="Arial" w:eastAsia="Arial" w:hAnsi="Arial"/>
                <w:sz w:val="18"/>
                <w:szCs w:val="18"/>
                <w:i w:val="1"/>
                <w:iCs w:val="1"/>
                <w:color w:val="auto"/>
              </w:rPr>
              <w:t>Net borrowings</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40" w:type="dxa"/>
            <w:vAlign w:val="bottom"/>
            <w:gridSpan w:val="3"/>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122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4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6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Due to the short-term maturities of the borrowings under these credit facilities, we have reported certain of these cash flows on a net basis.</w:t>
      </w:r>
    </w:p>
    <w:p>
      <w:pPr>
        <w:spacing w:after="0" w:line="113" w:lineRule="exact"/>
        <w:rPr>
          <w:rFonts w:ascii="Arial" w:cs="Arial" w:eastAsia="Arial" w:hAnsi="Arial"/>
          <w:sz w:val="16"/>
          <w:szCs w:val="16"/>
          <w:color w:val="auto"/>
        </w:rPr>
      </w:pPr>
    </w:p>
    <w:p>
      <w:pPr>
        <w:ind w:left="460" w:right="380"/>
        <w:spacing w:after="0" w:line="332" w:lineRule="auto"/>
        <w:rPr>
          <w:rFonts w:ascii="Arial" w:cs="Arial" w:eastAsia="Arial" w:hAnsi="Arial"/>
          <w:sz w:val="16"/>
          <w:szCs w:val="16"/>
          <w:color w:val="auto"/>
        </w:rPr>
      </w:pPr>
      <w:r>
        <w:rPr>
          <w:rFonts w:ascii="Arial" w:cs="Arial" w:eastAsia="Arial" w:hAnsi="Arial"/>
          <w:sz w:val="16"/>
          <w:szCs w:val="16"/>
          <w:color w:val="auto"/>
        </w:rPr>
        <w:t>For the years ended December 31, 2013 and 2011, non-cash activities included proceeds from tax-exempt borrowings, net of principal payments made directly from trust funds, of $99 million and $100 million, respectively. During 2012, we did not have any significant non-cash activities.</w:t>
      </w:r>
    </w:p>
    <w:p>
      <w:pPr>
        <w:spacing w:after="0" w:line="4" w:lineRule="exact"/>
        <w:rPr>
          <w:rFonts w:ascii="Arial" w:cs="Arial" w:eastAsia="Arial" w:hAnsi="Arial"/>
          <w:sz w:val="16"/>
          <w:szCs w:val="16"/>
          <w:color w:val="auto"/>
        </w:rPr>
      </w:pPr>
    </w:p>
    <w:p>
      <w:pPr>
        <w:ind w:left="700" w:hanging="246"/>
        <w:spacing w:after="0" w:line="256" w:lineRule="auto"/>
        <w:tabs>
          <w:tab w:leader="none" w:pos="700"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Other — </w:t>
      </w:r>
      <w:r>
        <w:rPr>
          <w:rFonts w:ascii="Arial" w:cs="Arial" w:eastAsia="Arial" w:hAnsi="Arial"/>
          <w:sz w:val="18"/>
          <w:szCs w:val="18"/>
          <w:color w:val="auto"/>
        </w:rPr>
        <w:t>Net cash used in other financing activities was $3 million, $2 million and $46 million in 2013, 2012 and 2011, respectively. These activities are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attributable to changes in our accrued liabilities for checks written in excess of cash balances due to the timing of cash deposits or payments. During 2013 and 2011, the cash used for these activities included $4 million and $7 million, respectively, of financing costs paid to amend and restate our U.S. revolving credit facility.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Contractual Obligations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as of December 31, 2013 and the anticipated effect of these obligations on our liquidity in future years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2014</w:t>
            </w:r>
          </w:p>
        </w:tc>
        <w:tc>
          <w:tcPr>
            <w:tcW w:w="3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2017</w:t>
            </w:r>
          </w:p>
        </w:tc>
        <w:tc>
          <w:tcPr>
            <w:tcW w:w="3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2018</w:t>
            </w:r>
          </w:p>
        </w:tc>
        <w:tc>
          <w:tcPr>
            <w:tcW w:w="3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3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Recorded Obligations</w:t>
            </w: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Expected environmental liabilities:(a)</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Final capping, closure and post-closure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$131</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$ 111</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$107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$ 115</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Environmental remediation</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Debt payments(b),(c),(d)</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916</w:t>
            </w: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491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704</w:t>
            </w:r>
          </w:p>
        </w:tc>
        <w:tc>
          <w:tcPr>
            <w:tcW w:w="30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731</w:t>
            </w:r>
          </w:p>
        </w:tc>
        <w:tc>
          <w:tcPr>
            <w:tcW w:w="360" w:type="dxa"/>
            <w:vAlign w:val="bottom"/>
          </w:tcPr>
          <w:p>
            <w:pPr>
              <w:jc w:val="right"/>
              <w:spacing w:after="0"/>
              <w:rPr>
                <w:sz w:val="20"/>
                <w:szCs w:val="20"/>
                <w:color w:val="auto"/>
              </w:rPr>
            </w:pPr>
            <w:r>
              <w:rPr>
                <w:rFonts w:ascii="Arial" w:cs="Arial" w:eastAsia="Arial" w:hAnsi="Arial"/>
                <w:sz w:val="18"/>
                <w:szCs w:val="18"/>
                <w:color w:val="auto"/>
              </w:rPr>
              <w:t>793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Unrecorded Obligations:(e)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Non-cancelable operating lease obligations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55</w:t>
            </w:r>
          </w:p>
        </w:tc>
        <w:tc>
          <w:tcPr>
            <w:tcW w:w="360" w:type="dxa"/>
            <w:vAlign w:val="bottom"/>
          </w:tcPr>
          <w:p>
            <w:pPr>
              <w:jc w:val="right"/>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unconditional purchase obligations(f)</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ind w:left="220"/>
              <w:spacing w:after="0"/>
              <w:rPr>
                <w:sz w:val="20"/>
                <w:szCs w:val="20"/>
                <w:color w:val="auto"/>
              </w:rPr>
            </w:pPr>
            <w:r>
              <w:rPr>
                <w:rFonts w:ascii="Arial" w:cs="Arial" w:eastAsia="Arial" w:hAnsi="Arial"/>
                <w:sz w:val="18"/>
                <w:szCs w:val="18"/>
                <w:color w:val="auto"/>
              </w:rPr>
              <w:t>Anticipated liquidity impact as of December 31, 2013</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1,222</w:t>
            </w:r>
          </w:p>
        </w:tc>
        <w:tc>
          <w:tcPr>
            <w:tcW w:w="3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775</w:t>
            </w: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936</w:t>
            </w:r>
          </w:p>
        </w:tc>
        <w:tc>
          <w:tcPr>
            <w:tcW w:w="300" w:type="dxa"/>
            <w:vAlign w:val="bottom"/>
          </w:tcPr>
          <w:p>
            <w:pPr>
              <w:spacing w:after="0"/>
              <w:rPr>
                <w:sz w:val="19"/>
                <w:szCs w:val="19"/>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934</w:t>
            </w: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977</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9,471</w:t>
            </w:r>
          </w:p>
        </w:tc>
        <w:tc>
          <w:tcPr>
            <w:tcW w:w="1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1500" w:type="dxa"/>
            <w:vAlign w:val="bottom"/>
            <w:tcBorders>
              <w:bottom w:val="single" w:sz="8" w:color="auto"/>
            </w:tcBorders>
          </w:tcPr>
          <w:p>
            <w:pPr>
              <w:spacing w:after="0"/>
              <w:rPr>
                <w:sz w:val="7"/>
                <w:szCs w:val="7"/>
                <w:color w:val="auto"/>
              </w:rPr>
            </w:pPr>
          </w:p>
        </w:tc>
        <w:tc>
          <w:tcPr>
            <w:tcW w:w="4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20" w:hanging="452"/>
        <w:spacing w:after="0" w:line="256"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Environmental liabilities include final capping, closure, post-closure and environmental remediation costs. The amounts included here reflect environmental liabilities recorded in our Consolidated Balance Sheet as of December 31, 2013 without the impact of discounting and inflation. Our recorded environmental liabilities for final capping, closure and post-closure will increase as we continue to place additional tons within the permitted airspace at our landfills.</w:t>
      </w:r>
    </w:p>
    <w:p>
      <w:pPr>
        <w:spacing w:after="0" w:line="35" w:lineRule="exact"/>
        <w:rPr>
          <w:rFonts w:ascii="Arial" w:cs="Arial" w:eastAsia="Arial" w:hAnsi="Arial"/>
          <w:sz w:val="18"/>
          <w:szCs w:val="18"/>
          <w:color w:val="auto"/>
        </w:rPr>
      </w:pPr>
    </w:p>
    <w:p>
      <w:pPr>
        <w:ind w:left="460" w:right="460" w:hanging="452"/>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amounts reported here represent the scheduled principal payments related to our long-term debt, excluding related interest. Refer to Note 7 to the Consolidated Financial Statements for information regarding interest rates.</w:t>
      </w:r>
    </w:p>
    <w:p>
      <w:pPr>
        <w:spacing w:after="0" w:line="23" w:lineRule="exact"/>
        <w:rPr>
          <w:rFonts w:ascii="Arial" w:cs="Arial" w:eastAsia="Arial" w:hAnsi="Arial"/>
          <w:sz w:val="18"/>
          <w:szCs w:val="18"/>
          <w:color w:val="auto"/>
        </w:rPr>
      </w:pPr>
    </w:p>
    <w:p>
      <w:pPr>
        <w:ind w:left="460" w:right="120" w:hanging="452"/>
        <w:spacing w:after="0" w:line="255"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debt obligations as of December 31, 2013 include $939 million of tax-exempt bonds subject to repricing within the next 12 months, which is prior to their scheduled maturities. If the re-offerings of the bonds are unsuccessful, then the bonds can be put to us, requiring immediate repayment. We have classified the anticipated cash flows for these contractual obligations based on the scheduled maturity of the borrowing for purposes of this disclosure. For additional information regarding the classification of these borrowings in our Consolidated Balance Sheet as of December 31, 2013, refer to Note 7 to the Consolidated Financial Statements.</w:t>
      </w:r>
    </w:p>
    <w:p>
      <w:pPr>
        <w:spacing w:after="0" w:line="34" w:lineRule="exact"/>
        <w:rPr>
          <w:rFonts w:ascii="Arial" w:cs="Arial" w:eastAsia="Arial" w:hAnsi="Arial"/>
          <w:sz w:val="18"/>
          <w:szCs w:val="18"/>
          <w:color w:val="auto"/>
        </w:rPr>
      </w:pPr>
    </w:p>
    <w:p>
      <w:pPr>
        <w:ind w:left="460" w:right="500" w:hanging="452"/>
        <w:spacing w:after="0" w:line="317"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Our recorded debt obligations include non-cash adjustments associated with discounts, premiums and fair value adjustments for interest rate hedging activities. These amounts have been excluded here because they will not result in an impact to our liquidity in future periods.</w:t>
      </w:r>
    </w:p>
    <w:p>
      <w:pPr>
        <w:jc w:val="both"/>
        <w:ind w:left="460" w:right="40" w:hanging="452"/>
        <w:spacing w:after="0" w:line="259"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unrecorded obligations represent operating lease obligations and purchase commitments from which we expect to realize an economic benefit in future periods. We have also made certain guarantees, as discussed in Note 11 to the Consolidated Financial Statements, that we do not expect to materially affect our current or future financial position, results of operations or liquidity.</w:t>
      </w:r>
    </w:p>
    <w:p>
      <w:pPr>
        <w:spacing w:after="0" w:line="32" w:lineRule="exact"/>
        <w:rPr>
          <w:rFonts w:ascii="Arial" w:cs="Arial" w:eastAsia="Arial" w:hAnsi="Arial"/>
          <w:sz w:val="18"/>
          <w:szCs w:val="18"/>
          <w:color w:val="auto"/>
        </w:rPr>
      </w:pPr>
    </w:p>
    <w:p>
      <w:pPr>
        <w:ind w:left="460" w:right="60" w:hanging="452"/>
        <w:spacing w:after="0" w:line="255"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unconditional purchase obligations are for various contractual obligations that we generally incur in the ordinary course of our business. Certain of our obligations are quantity driven. For contracts that require us to purchase minimum quantities of goods or services, we have estimated our future minimum obligations based on the current market values of the underlying products or services. Accordingly, the amounts reported in the table are not necessarily indicative of our actual cash flow obligations. See Note 11 to the Consolidated Financial Statements for discussion of the nature and terms of our unconditional purchase obligations.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Impacts of Income Tax Items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 xml:space="preserve">Bonus Depreciation </w:t>
      </w:r>
      <w:r>
        <w:rPr>
          <w:rFonts w:ascii="Arial" w:cs="Arial" w:eastAsia="Arial" w:hAnsi="Arial"/>
          <w:sz w:val="18"/>
          <w:szCs w:val="18"/>
          <w:color w:val="auto"/>
        </w:rPr>
        <w:t>— The American Taxpayer Relief Act of 2012 was signed into law on January 2, 2013 and included an extension for one year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bonus depreciation allowance. As a result, 50% of qualifying capital expenditures on property placed in service before January 1, 2014 were depreciated immediately. The acceleration of deductions on 2013 qualifying capital expenditures resulting from the bonus depreciation provisions had no impact on our effective income tax rate for 2013 although it reduced our cash taxes.</w:t>
      </w:r>
    </w:p>
    <w:p>
      <w:pPr>
        <w:spacing w:after="0" w:line="6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acceleration of depreciation deductions related to qualifying capital expenditures in 2013 decreased our 2013 cash taxes by approximately $70 million. However, taking accelerated depreciation deductions results in increased cash taxes in subsequent periods when the depreciation deductions related to the capital expenditures would have otherwise been taken. Overall, the effect of all applicable years’ bonus depreciation programs results in increased cash taxes of $40 million in 2013. Separately, our tax payments in 2013 were $145 million higher than the tax payments made in 2012.</w:t>
      </w:r>
    </w:p>
    <w:p>
      <w:pPr>
        <w:spacing w:after="0" w:line="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Uncertain Tax Positions </w:t>
      </w:r>
      <w:r>
        <w:rPr>
          <w:rFonts w:ascii="Arial" w:cs="Arial" w:eastAsia="Arial" w:hAnsi="Arial"/>
          <w:sz w:val="18"/>
          <w:szCs w:val="18"/>
          <w:color w:val="auto"/>
        </w:rPr>
        <w:t>— We have liabilities associated with unrecognized tax benefits and related interest. These liabilities are included as a component</w:t>
      </w:r>
      <w:r>
        <w:rPr>
          <w:rFonts w:ascii="Arial" w:cs="Arial" w:eastAsia="Arial" w:hAnsi="Arial"/>
          <w:sz w:val="18"/>
          <w:szCs w:val="18"/>
          <w:i w:val="1"/>
          <w:iCs w:val="1"/>
          <w:color w:val="auto"/>
        </w:rPr>
        <w:t xml:space="preserve"> </w:t>
      </w:r>
      <w:r>
        <w:rPr>
          <w:rFonts w:ascii="Arial" w:cs="Arial" w:eastAsia="Arial" w:hAnsi="Arial"/>
          <w:sz w:val="18"/>
          <w:szCs w:val="18"/>
          <w:color w:val="auto"/>
        </w:rPr>
        <w:t>of long-term “Other liabilities” in our Consolidated Balance Sheets because the Company does not anticipate that settlement of the liabilities will require payment of cash within the next 12 months. We are not able to reasonably estimate when we would make any cash payments required to settle these liabilities, but we do not believe that the ultimate settlement of our obligations will materially affect our liquidity. We anticipate that approximately $9 million of liabilities for unrecognized tax benefits, including accrued interest, and $3 million of related deferred tax assets may be reversed within the next 12 months. The anticipated reversals are related to state tax items, none of which are material, and are expected to result from audit settlements or the expiration of the applicable statute of limitations period.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 xml:space="preserve">We have financial interests in unconsolidated variable interest entities as discussed in Note 20 to the Consolidated Financial Statements. Additionally, we are party to guarantee arrangements with unconsolidated entities as discussed in the </w:t>
      </w:r>
      <w:r>
        <w:rPr>
          <w:rFonts w:ascii="Arial" w:cs="Arial" w:eastAsia="Arial" w:hAnsi="Arial"/>
          <w:sz w:val="16"/>
          <w:szCs w:val="16"/>
          <w:i w:val="1"/>
          <w:iCs w:val="1"/>
          <w:color w:val="auto"/>
        </w:rPr>
        <w:t>Guarantees</w:t>
      </w:r>
      <w:r>
        <w:rPr>
          <w:rFonts w:ascii="Arial" w:cs="Arial" w:eastAsia="Arial" w:hAnsi="Arial"/>
          <w:sz w:val="16"/>
          <w:szCs w:val="16"/>
          <w:color w:val="auto"/>
        </w:rPr>
        <w:t xml:space="preserve"> section of Note 11 to the Consolidated Financial Statements. These arrangements have not materially affected our financial position, results of operations or liquidity during the year ended December 31, 2013, nor are they expected to have a material impact on our future financial position, results of operations or liquidity.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While inflationary increases in costs, including the cost of diesel fuel, have affected our income from operations margins in recent years, we believe that inflation generally has not had, and in the near future is not expected to have, any material adverse effect on our results of operations. However, as of December 31, 2013, approximately 30%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15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the normal course of business, we are exposed to market risks, including changes in interest rates, Canadian currency rates and certain commodity prices. From time to time, we use derivatives to manage some portion of these risks. Our derivatives are agreements with independent counterparties that provide for payments based on a notional amount. As of December 31, 2013, all of our derivative transactions were related to actual or anticipated economic exposures. We are exposed to credit risk in the event of non-performance by our derivative counterparties. However, we monitor our derivative positions by regularly evaluating our positions and the creditworthiness of the counterparties.</w:t>
      </w:r>
    </w:p>
    <w:p>
      <w:pPr>
        <w:spacing w:after="0" w:line="3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Interest Rate Exposure </w:t>
      </w:r>
      <w:r>
        <w:rPr>
          <w:rFonts w:ascii="Arial" w:cs="Arial" w:eastAsia="Arial" w:hAnsi="Arial"/>
          <w:sz w:val="18"/>
          <w:szCs w:val="18"/>
          <w:color w:val="auto"/>
        </w:rPr>
        <w:t>— Our exposure to market risk for changes in interest rates relates primarily to our financing activities, although our interest costs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can also be significantly affected by our on-going financial assurance needs, which are discussed in the </w:t>
      </w:r>
      <w:r>
        <w:rPr>
          <w:rFonts w:ascii="Arial" w:cs="Arial" w:eastAsia="Arial" w:hAnsi="Arial"/>
          <w:sz w:val="18"/>
          <w:szCs w:val="18"/>
          <w:i w:val="1"/>
          <w:iCs w:val="1"/>
          <w:color w:val="auto"/>
        </w:rPr>
        <w:t>Financial Assurance and Insurance Obligations</w:t>
      </w:r>
      <w:r>
        <w:rPr>
          <w:rFonts w:ascii="Arial" w:cs="Arial" w:eastAsia="Arial" w:hAnsi="Arial"/>
          <w:sz w:val="18"/>
          <w:szCs w:val="18"/>
          <w:color w:val="auto"/>
        </w:rPr>
        <w:t xml:space="preserve"> section of Item 1.</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of December 31, 2013, we had $10.2 billion of long-term debt when excluding the impacts of accounting for fair value adjustments attributable to interest rate derivatives, discounts and premiums. The effective interest rates of approximately $2.4 billion of our outstanding debt obligations are subject to change during 2014. The most significant components of our variable-rate debt obligations are (i) $577 million of tax-exempt bonds that are subject to repricing on either a daily or weekly basis through a remarketing process; (ii) $939 million of tax-exempt bonds with term interest rate periods that are subject to repricing within 12 months; (iii) $420 million of borrowings outstanding under our $2.25 billion revolving credit facility and (iv) $414 million of outstanding advances under our Canadian credit facility. We currently estimate that a 100 basis point increase in the interest rates of our outstanding variable-rate debt obligations would increase our 2014 interest expense by approximately $19 million. As of December 31, 2012, the effective interest rates of approximately $1.5 billion of our outstanding debt obligations were subject to change within 12 months.</w:t>
      </w:r>
    </w:p>
    <w:p>
      <w:pPr>
        <w:spacing w:after="0" w:line="3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remaining outstanding debt obligations have fixed interest rates through either the scheduled maturity of the debt or, for certain of our “fixed-rate” tax exempt bonds, through the end of a term interest rate period that exceeds twelve months. In addition, at December 31, 2013, we had forward-starting interest rate swaps with a notional amount of $175 million. The fair value of our fixed-rate debt obligations and various interest rate derivative instruments can increase or decrease significantly if market interest rates change.</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have performed sensitivity analyses to determine how market rate changes might affect the fair value of our market risk-sensitive derivatives and related positions. These analyses are inherently limited because they reflect a singular, hypothetical set of assumptions. Actual market movements may vary significantly from our assumptions. An instantaneous, one percentage point increase in interest rates across all maturities and applicable yield curves attributable to these instruments would have decreased the fair value of our combined debt and interest rate derivative positions by approximately $600 million at December 31, 2013.</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also exposed to interest rate market risk because we have significant cash and cash equivalent balances as well as assets held in restricted trust funds and escrow accounts. These assets are generally invested in high quality, liquid instruments including money market funds that invest in U.S. government obligations with original maturities of three months or less. Because of the short terms to maturity of these investments, we believe that our exposure to changes in fair value due to interest rate fluctuations is insignificant.</w:t>
      </w:r>
    </w:p>
    <w:p>
      <w:pPr>
        <w:spacing w:after="0" w:line="6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Commodity Price Exposure </w:t>
      </w:r>
      <w:r>
        <w:rPr>
          <w:rFonts w:ascii="Arial" w:cs="Arial" w:eastAsia="Arial" w:hAnsi="Arial"/>
          <w:sz w:val="18"/>
          <w:szCs w:val="18"/>
          <w:color w:val="auto"/>
        </w:rPr>
        <w:t>— In the normal course of our business, we are subject to operating agreements that expose us to market risks arising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the prices for commodities such as diesel fuel; recyclable materials, including old corrugated cardboard, old newsprint and plastics; and electricity, which generally correlates with natural gas prices in many of the markets in which we operate. With the exception of electricity commodity derivatives, which are discussed below, we generally have not entered into derivatives to hedge the risks associated with changes in the market prices of these commodities during the three years ended December 31, 2013. Alternatively, we attempt to manage these risks through operational strategies that focus on capturing our costs in the prices we charge our customers for the services provided. Accordingly, as the market prices for these commodities increase or decrease, our revenues also increase or decrease.</w:t>
      </w:r>
    </w:p>
    <w:p>
      <w:pPr>
        <w:spacing w:after="0" w:line="6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During 2013, approximately 56% of the electricity revenue at our waste-to-energy facilities was subject to current market rates, and we currently expect that nearly 62% of our electricity revenues at our waste-to-energy facilities will be at market rates by the end of 2014. Our exposure to variability associated with changes in market prices for electricity has increased over the last few years as long-term power purchase agreements have expired. The energy markets have changed significantly since the expiring contracts were executed, and we have found that the current market structure does not support medium- and long-term electricity contracts. As we renegotiate our power-purchase agreements, we expect that a more substantial portion of our energy sales at our waste-to-energy facilities will be based on variable market rates. Accordingly, in recent years, we implemented a more actively managed energy program, which includes a hedging strategy intended to decrease the exposure of our revenues to volatility due to market prices for electricity. Refer to Notes 8 and 14 of the Consolidated Financial Statements for additional information regarding our electricity commodity derivatives.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Currency Rate Exposure </w:t>
      </w:r>
      <w:r>
        <w:rPr>
          <w:rFonts w:ascii="Arial" w:cs="Arial" w:eastAsia="Arial" w:hAnsi="Arial"/>
          <w:sz w:val="16"/>
          <w:szCs w:val="16"/>
          <w:color w:val="auto"/>
        </w:rPr>
        <w:t>— We have operations in Canada as well as a cost center in India and investments in China, the United Kingdom and Hong Kong.</w:t>
      </w:r>
      <w:r>
        <w:rPr>
          <w:rFonts w:ascii="Arial" w:cs="Arial" w:eastAsia="Arial" w:hAnsi="Arial"/>
          <w:sz w:val="16"/>
          <w:szCs w:val="16"/>
          <w:i w:val="1"/>
          <w:iCs w:val="1"/>
          <w:color w:val="auto"/>
        </w:rPr>
        <w:t xml:space="preserve"> </w:t>
      </w:r>
      <w:r>
        <w:rPr>
          <w:rFonts w:ascii="Arial" w:cs="Arial" w:eastAsia="Arial" w:hAnsi="Arial"/>
          <w:sz w:val="16"/>
          <w:szCs w:val="16"/>
          <w:color w:val="auto"/>
        </w:rPr>
        <w:t>From time to time, we use currency derivatives to mitigate the impact of currency translation on cash flows of intercompany Canadian-currency denominated debt transactions. Our foreign currency derivatives have not materially affected our financial position or results of operations for the periods presented. In addition, while changes in foreign currency exchange rates could significantly affect the fair value of our foreign currency derivatives, we believe these changes in fair value would not have a material impact to the Company. Refer to Notes 8 and 14 of the Consolidated Financial Statements for additional information regarding our foreign currency derivatives. The foreign currency exposure associated with these investments has not been material.</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320" w:type="dxa"/>
            <w:vAlign w:val="bottom"/>
            <w:gridSpan w:val="9"/>
          </w:tcPr>
          <w:p>
            <w:pPr>
              <w:ind w:left="20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7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40" w:type="dxa"/>
            <w:vAlign w:val="bottom"/>
            <w:gridSpan w:val="5"/>
          </w:tcPr>
          <w:p>
            <w:pPr>
              <w:jc w:val="center"/>
              <w:ind w:right="4420"/>
              <w:spacing w:after="0"/>
              <w:rPr>
                <w:sz w:val="20"/>
                <w:szCs w:val="20"/>
                <w:color w:val="auto"/>
              </w:rPr>
            </w:pPr>
            <w:r>
              <w:rPr>
                <w:rFonts w:ascii="Arial" w:cs="Arial" w:eastAsia="Arial" w:hAnsi="Arial"/>
                <w:sz w:val="18"/>
                <w:szCs w:val="18"/>
                <w:b w:val="1"/>
                <w:bCs w:val="1"/>
                <w:color w:val="auto"/>
              </w:rPr>
              <w:t>INDEX TO</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960" w:type="dxa"/>
            <w:vAlign w:val="bottom"/>
            <w:gridSpan w:val="8"/>
          </w:tcPr>
          <w:p>
            <w:pPr>
              <w:jc w:val="center"/>
              <w:ind w:right="2700"/>
              <w:spacing w:after="0"/>
              <w:rPr>
                <w:sz w:val="20"/>
                <w:szCs w:val="20"/>
                <w:color w:val="auto"/>
              </w:rPr>
            </w:pPr>
            <w:r>
              <w:rPr>
                <w:rFonts w:ascii="Arial" w:cs="Arial" w:eastAsia="Arial" w:hAnsi="Arial"/>
                <w:sz w:val="18"/>
                <w:szCs w:val="18"/>
                <w:b w:val="1"/>
                <w:bCs w:val="1"/>
                <w:color w:val="auto"/>
                <w:w w:val="98"/>
              </w:rPr>
              <w:t>CONSOLIDATED FINANCIAL STATEMENTS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0" w:type="dxa"/>
            <w:vAlign w:val="bottom"/>
            <w:gridSpan w:val="5"/>
            <w:vMerge w:val="restart"/>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Management’s Report on Internal Control Over Financial Reporting</w:t>
              </w:r>
            </w:hyperlink>
          </w:p>
        </w:tc>
        <w:tc>
          <w:tcPr>
            <w:tcW w:w="6240" w:type="dxa"/>
            <w:vAlign w:val="bottom"/>
            <w:gridSpan w:val="5"/>
            <w:vMerge w:val="restart"/>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4800" w:type="dxa"/>
            <w:vAlign w:val="bottom"/>
            <w:tcBorders>
              <w:bottom w:val="single" w:sz="8" w:color="0000EE"/>
            </w:tcBorders>
            <w:gridSpan w:val="5"/>
            <w:vMerge w:val="continue"/>
          </w:tcPr>
          <w:p>
            <w:pPr>
              <w:spacing w:after="0"/>
              <w:rPr>
                <w:sz w:val="13"/>
                <w:szCs w:val="13"/>
                <w:color w:val="auto"/>
              </w:rPr>
            </w:pPr>
          </w:p>
        </w:tc>
        <w:tc>
          <w:tcPr>
            <w:tcW w:w="6240" w:type="dxa"/>
            <w:vAlign w:val="bottom"/>
            <w:gridSpan w:val="5"/>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0"/>
        </w:trPr>
        <w:tc>
          <w:tcPr>
            <w:tcW w:w="42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Reports of Independent Registered Public Accounting Firm</w:t>
              </w:r>
            </w:hyperlink>
          </w:p>
        </w:tc>
        <w:tc>
          <w:tcPr>
            <w:tcW w:w="6840" w:type="dxa"/>
            <w:vAlign w:val="bottom"/>
            <w:gridSpan w:val="7"/>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11040" w:type="dxa"/>
            <w:vAlign w:val="bottom"/>
            <w:gridSpan w:val="10"/>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Consolidated Balance Sheets as of December 31, 2013 and 2012</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79">
              <w:r>
                <w:rPr>
                  <w:rFonts w:ascii="Arial" w:cs="Arial" w:eastAsia="Arial" w:hAnsi="Arial"/>
                  <w:sz w:val="18"/>
                  <w:szCs w:val="18"/>
                  <w:color w:val="0000EE"/>
                  <w:w w:val="86"/>
                </w:rPr>
                <w:t>Consolidated Statements of Operations for the Years Ended December 31, 2013, 2012 and 2011</w:t>
              </w:r>
            </w:hyperlink>
          </w:p>
        </w:tc>
        <w:tc>
          <w:tcPr>
            <w:tcW w:w="43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80">
              <w:r>
                <w:rPr>
                  <w:rFonts w:ascii="Arial" w:cs="Arial" w:eastAsia="Arial" w:hAnsi="Arial"/>
                  <w:sz w:val="18"/>
                  <w:szCs w:val="18"/>
                  <w:color w:val="0000EE"/>
                  <w:w w:val="87"/>
                </w:rPr>
                <w:t>Consolidated Statements of Comprehensive Income for the Years Ended December 31, 2013, 2012 and 2011</w:t>
              </w:r>
            </w:hyperlink>
          </w:p>
        </w:tc>
        <w:tc>
          <w:tcPr>
            <w:tcW w:w="34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81">
              <w:r>
                <w:rPr>
                  <w:rFonts w:ascii="Arial" w:cs="Arial" w:eastAsia="Arial" w:hAnsi="Arial"/>
                  <w:sz w:val="18"/>
                  <w:szCs w:val="18"/>
                  <w:color w:val="0000EE"/>
                  <w:w w:val="87"/>
                </w:rPr>
                <w:t>Consolidated Statements of Cash Flows for the Years Ended December 31, 2013, 2012 and 2011</w:t>
              </w:r>
            </w:hyperlink>
          </w:p>
        </w:tc>
        <w:tc>
          <w:tcPr>
            <w:tcW w:w="42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11040" w:type="dxa"/>
            <w:vAlign w:val="bottom"/>
            <w:gridSpan w:val="10"/>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Consolidated Statements of Changes in Equity for the Years Ended December 31, 2013, 2012 and 2011</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72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Notes to Consolidated Financial Statements</w:t>
              </w:r>
            </w:hyperlink>
          </w:p>
        </w:tc>
        <w:tc>
          <w:tcPr>
            <w:tcW w:w="37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83"/>
        </w:trPr>
        <w:tc>
          <w:tcPr>
            <w:tcW w:w="720" w:type="dxa"/>
            <w:vAlign w:val="bottom"/>
            <w:tcBorders>
              <w:top w:val="single" w:sz="8" w:color="0000EE"/>
            </w:tcBorders>
          </w:tcPr>
          <w:p>
            <w:pPr>
              <w:spacing w:after="0"/>
              <w:rPr>
                <w:sz w:val="24"/>
                <w:szCs w:val="24"/>
                <w:color w:val="auto"/>
              </w:rPr>
            </w:pPr>
          </w:p>
        </w:tc>
        <w:tc>
          <w:tcPr>
            <w:tcW w:w="2360" w:type="dxa"/>
            <w:vAlign w:val="bottom"/>
            <w:tcBorders>
              <w:top w:val="single" w:sz="8" w:color="0000EE"/>
            </w:tcBorders>
          </w:tcPr>
          <w:p>
            <w:pPr>
              <w:spacing w:after="0"/>
              <w:rPr>
                <w:sz w:val="24"/>
                <w:szCs w:val="24"/>
                <w:color w:val="auto"/>
              </w:rPr>
            </w:pPr>
          </w:p>
        </w:tc>
        <w:tc>
          <w:tcPr>
            <w:tcW w:w="3660" w:type="dxa"/>
            <w:vAlign w:val="bottom"/>
            <w:gridSpan w:val="4"/>
          </w:tcPr>
          <w:p>
            <w:pPr>
              <w:jc w:val="center"/>
              <w:ind w:left="1512"/>
              <w:spacing w:after="0"/>
              <w:rPr>
                <w:sz w:val="20"/>
                <w:szCs w:val="20"/>
                <w:color w:val="auto"/>
              </w:rPr>
            </w:pPr>
            <w:r>
              <w:rPr>
                <w:rFonts w:ascii="Arial" w:cs="Arial" w:eastAsia="Arial" w:hAnsi="Arial"/>
                <w:sz w:val="18"/>
                <w:szCs w:val="18"/>
                <w:color w:val="auto"/>
                <w:w w:val="89"/>
              </w:rPr>
              <w:t>74</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 FINANCIAL REPORTING</w:t>
      </w:r>
    </w:p>
    <w:p>
      <w:pPr>
        <w:spacing w:after="0" w:line="8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Management of the Company, including the principal executive and financial officers, is responsible for establishing and maintaining adequate internal control over financial reporting, as defined in Rules 13a-15(f) and 15d-15(f) of the Securities Exchange Act of 1934, as amended. Our internal controls are designed to provide reasonable assurance as to the reliability of our financial reporting and the preparation of the consolidated financial statements for external purposes in accordance with accounting principles generally accepted in the United States and includes those policies and procedures that:</w:t>
      </w:r>
    </w:p>
    <w:p>
      <w:pPr>
        <w:spacing w:after="0" w:line="32"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pertain to the maintenance of records that in reasonable detail accurately and fairly reflect the transactions and dispositions of the assets of the issuer;</w:t>
      </w:r>
    </w:p>
    <w:p>
      <w:pPr>
        <w:spacing w:after="0" w:line="124" w:lineRule="exact"/>
        <w:rPr>
          <w:rFonts w:ascii="Arial" w:cs="Arial" w:eastAsia="Arial" w:hAnsi="Arial"/>
          <w:sz w:val="15"/>
          <w:szCs w:val="15"/>
          <w:color w:val="auto"/>
        </w:rPr>
      </w:pPr>
    </w:p>
    <w:p>
      <w:pPr>
        <w:ind w:left="900" w:right="200" w:hanging="446"/>
        <w:spacing w:after="0" w:line="259"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issuer are being made only in accordance with authorizations of management and directors of the issuer; and</w:t>
      </w:r>
    </w:p>
    <w:p>
      <w:pPr>
        <w:spacing w:after="0" w:line="59"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issuer’s assets that could have a material effect on the financial statements.</w:t>
      </w:r>
    </w:p>
    <w:p>
      <w:pPr>
        <w:spacing w:after="0" w:line="5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policies or procedures may deteriorate.</w:t>
      </w:r>
    </w:p>
    <w:p>
      <w:pPr>
        <w:spacing w:after="0" w:line="59"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Management of the Company assessed the effectiveness of our internal control over financial reporting as of December 31, 2013 based on the Internal Control — Integrated Framework issued by the Committee of Sponsoring Organizations of the Treadway Commission (1992 framework). Based on its assessment, management has concluded that our internal control over financial reporting was effective as of December 31, 2013.</w:t>
      </w:r>
    </w:p>
    <w:p>
      <w:pPr>
        <w:spacing w:after="0" w:line="2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effectiveness of our internal control over financial reporting has been audited by Ernst &amp; Young LLP, the independent registered public accounting firm that audited our consolidated financial statements, as stated in their report which is included herein.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2680" w:firstLine="2700"/>
        <w:spacing w:after="0" w:line="39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Waste Management, Inc.</w:t>
      </w:r>
    </w:p>
    <w:p>
      <w:pPr>
        <w:spacing w:after="0" w:line="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audited Waste Management, Inc.’s internal control over financial reporting as of December 31, 2013, based on criteria established in Internal Control-Integrated Framework issued by the Committee of Sponsoring Organizations of the Treadway Commission (1992 framework) (the COSO criteria). Waste Management,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3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our opinion, Waste Management, Inc. maintained, in all material respects, effective internal control over financial reporting as of December 31, 2013, based on the COSO criteria.</w:t>
      </w:r>
    </w:p>
    <w:p>
      <w:pPr>
        <w:spacing w:after="0" w:line="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Waste Management, Inc. as of December 31, 2013 and 2012, and the related consolidated statements of operations, comprehensive income, cash flows, and changes in equity for each of the three years in the period ended December 31, 2013, and our report dated February 18, 2014 expressed an unqualified opinion thereon.</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2660" w:firstLine="2700"/>
        <w:spacing w:after="0" w:line="39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Waste Management, Inc.</w:t>
      </w:r>
    </w:p>
    <w:p>
      <w:pPr>
        <w:spacing w:after="0" w:line="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Waste Management, Inc. (the “Company”) as of December 31, 2013 and 2012, and the related consolidated statements of operations, comprehensive income, cash flows, and changes in equity for each of the three years in the period ended December 31, 2013. These financial statements are the responsibility of the Company’s management. Our responsibility is to express an opinion on these financial statements based on our audits.</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Waste Management, Inc. at December 31, 2013 and 2012, and the consolidated results of its operations and its cash flows for each of the three years in the period ended December 31, 2013, in conformity with U.S. generally accepted accounting principles.</w:t>
      </w:r>
    </w:p>
    <w:p>
      <w:pPr>
        <w:spacing w:after="0" w:line="59"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Waste Management, Inc.’s internal control over financial reporting as of December 31, 2013, based on criteria established in Internal Control-Integrated Framework issued by the Committee of Sponsoring Organizations of the Treadway Commission (1992 framework) and our report dated February 18, 2014 expressed an unqualified opinion thereon.</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2014</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6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680" w:type="dxa"/>
            <w:vAlign w:val="bottom"/>
            <w:shd w:val="clear" w:color="auto" w:fill="CCEEFF"/>
          </w:tcPr>
          <w:p>
            <w:pPr>
              <w:ind w:left="532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r>
      <w:tr>
        <w:trPr>
          <w:trHeight w:val="216"/>
        </w:trPr>
        <w:tc>
          <w:tcPr>
            <w:tcW w:w="20" w:type="dxa"/>
            <w:vAlign w:val="bottom"/>
          </w:tcPr>
          <w:p>
            <w:pPr>
              <w:spacing w:after="0"/>
              <w:rPr>
                <w:sz w:val="18"/>
                <w:szCs w:val="18"/>
                <w:color w:val="auto"/>
              </w:rPr>
            </w:pPr>
          </w:p>
        </w:tc>
        <w:tc>
          <w:tcPr>
            <w:tcW w:w="9680" w:type="dxa"/>
            <w:vAlign w:val="bottom"/>
          </w:tcPr>
          <w:p>
            <w:pPr>
              <w:ind w:left="200"/>
              <w:spacing w:after="0"/>
              <w:rPr>
                <w:sz w:val="20"/>
                <w:szCs w:val="20"/>
                <w:color w:val="auto"/>
              </w:rPr>
            </w:pPr>
            <w:r>
              <w:rPr>
                <w:rFonts w:ascii="Arial" w:cs="Arial" w:eastAsia="Arial" w:hAnsi="Arial"/>
                <w:sz w:val="18"/>
                <w:szCs w:val="18"/>
                <w:color w:val="auto"/>
              </w:rPr>
              <w:t>Accounts receivable, net of allowance for doubtful accounts of $33 and $45, respectively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1,699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1,737</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r>
      <w:tr>
        <w:trPr>
          <w:trHeight w:val="216"/>
        </w:trPr>
        <w:tc>
          <w:tcPr>
            <w:tcW w:w="20" w:type="dxa"/>
            <w:vAlign w:val="bottom"/>
          </w:tcPr>
          <w:p>
            <w:pPr>
              <w:spacing w:after="0"/>
              <w:rPr>
                <w:sz w:val="18"/>
                <w:szCs w:val="18"/>
                <w:color w:val="auto"/>
              </w:rPr>
            </w:pPr>
          </w:p>
        </w:tc>
        <w:tc>
          <w:tcPr>
            <w:tcW w:w="9680" w:type="dxa"/>
            <w:vAlign w:val="bottom"/>
          </w:tcPr>
          <w:p>
            <w:pPr>
              <w:ind w:left="200"/>
              <w:spacing w:after="0"/>
              <w:rPr>
                <w:sz w:val="20"/>
                <w:szCs w:val="20"/>
                <w:color w:val="auto"/>
              </w:rPr>
            </w:pPr>
            <w:r>
              <w:rPr>
                <w:rFonts w:ascii="Arial" w:cs="Arial" w:eastAsia="Arial" w:hAnsi="Arial"/>
                <w:sz w:val="18"/>
                <w:szCs w:val="18"/>
                <w:color w:val="auto"/>
              </w:rPr>
              <w:t>Investment in unconsolidated entity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Parts and supplies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r>
      <w:tr>
        <w:trPr>
          <w:trHeight w:val="216"/>
        </w:trPr>
        <w:tc>
          <w:tcPr>
            <w:tcW w:w="20" w:type="dxa"/>
            <w:vAlign w:val="bottom"/>
          </w:tcPr>
          <w:p>
            <w:pPr>
              <w:spacing w:after="0"/>
              <w:rPr>
                <w:sz w:val="18"/>
                <w:szCs w:val="18"/>
                <w:color w:val="auto"/>
              </w:rPr>
            </w:pPr>
          </w:p>
        </w:tc>
        <w:tc>
          <w:tcPr>
            <w:tcW w:w="968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2,499</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2,423</w:t>
            </w:r>
          </w:p>
        </w:tc>
      </w:tr>
      <w:tr>
        <w:trPr>
          <w:trHeight w:val="218"/>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and amortization of $16,723 and $16,112, respectively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12,344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12,651</w:t>
            </w: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6,070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6,291</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Investments in unconsolidated entities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22,603</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23,097</w:t>
            </w: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52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w:t>
            </w:r>
          </w:p>
        </w:tc>
      </w:tr>
      <w:tr>
        <w:trPr>
          <w:trHeight w:val="216"/>
        </w:trPr>
        <w:tc>
          <w:tcPr>
            <w:tcW w:w="20" w:type="dxa"/>
            <w:vAlign w:val="bottom"/>
          </w:tcPr>
          <w:p>
            <w:pPr>
              <w:spacing w:after="0"/>
              <w:rPr>
                <w:sz w:val="18"/>
                <w:szCs w:val="18"/>
                <w:color w:val="auto"/>
              </w:rPr>
            </w:pPr>
          </w:p>
        </w:tc>
        <w:tc>
          <w:tcPr>
            <w:tcW w:w="96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1,069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986</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w:t>
            </w:r>
          </w:p>
        </w:tc>
      </w:tr>
      <w:tr>
        <w:trPr>
          <w:trHeight w:val="223"/>
        </w:trPr>
        <w:tc>
          <w:tcPr>
            <w:tcW w:w="20" w:type="dxa"/>
            <w:vAlign w:val="bottom"/>
          </w:tcPr>
          <w:p>
            <w:pPr>
              <w:spacing w:after="0"/>
              <w:rPr>
                <w:sz w:val="19"/>
                <w:szCs w:val="19"/>
                <w:color w:val="auto"/>
              </w:rPr>
            </w:pPr>
          </w:p>
        </w:tc>
        <w:tc>
          <w:tcPr>
            <w:tcW w:w="9680" w:type="dxa"/>
            <w:vAlign w:val="bottom"/>
          </w:tcPr>
          <w:p>
            <w:pPr>
              <w:ind w:left="2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3,036</w:t>
            </w: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9,500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9,173</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1,947</w:t>
            </w: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Landfill and environmental remediation liabilities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1,518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1,459</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16,601</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16,422</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Waste Management, Inc. stockholders’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Common stock, $0.01 par value; 1,500,000,000 shares authorized; 630,282,461 shares issued</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4,549</w:t>
            </w: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6,289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6,879</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r>
      <w:tr>
        <w:trPr>
          <w:trHeight w:val="223"/>
        </w:trPr>
        <w:tc>
          <w:tcPr>
            <w:tcW w:w="20" w:type="dxa"/>
            <w:vAlign w:val="bottom"/>
          </w:tcPr>
          <w:p>
            <w:pPr>
              <w:spacing w:after="0"/>
              <w:rPr>
                <w:sz w:val="19"/>
                <w:szCs w:val="19"/>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Treasury stock at cost, 165,961,646 and 166,062,235 shares, respectively</w:t>
            </w:r>
          </w:p>
        </w:tc>
        <w:tc>
          <w:tcPr>
            <w:tcW w:w="10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(5,338)</w:t>
            </w: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(5,273)</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Waste Management, Inc.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5,707</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6,675</w:t>
            </w:r>
          </w:p>
        </w:tc>
        <w:tc>
          <w:tcPr>
            <w:tcW w:w="100" w:type="dxa"/>
            <w:vAlign w:val="bottom"/>
            <w:shd w:val="clear" w:color="auto" w:fill="CCEEFF"/>
          </w:tcPr>
          <w:p>
            <w:pPr>
              <w:spacing w:after="0"/>
              <w:rPr>
                <w:sz w:val="18"/>
                <w:szCs w:val="18"/>
                <w:color w:val="auto"/>
              </w:rPr>
            </w:pPr>
          </w:p>
        </w:tc>
      </w:tr>
      <w:tr>
        <w:trPr>
          <w:trHeight w:val="222"/>
        </w:trPr>
        <w:tc>
          <w:tcPr>
            <w:tcW w:w="970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22,603</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23,097</w:t>
            </w: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center"/>
              <w:ind w:left="314"/>
              <w:spacing w:after="0"/>
              <w:rPr>
                <w:sz w:val="20"/>
                <w:szCs w:val="20"/>
                <w:color w:val="auto"/>
              </w:rPr>
            </w:pPr>
            <w:r>
              <w:rPr>
                <w:rFonts w:ascii="Arial" w:cs="Arial" w:eastAsia="Arial" w:hAnsi="Arial"/>
                <w:sz w:val="14"/>
                <w:szCs w:val="14"/>
                <w:b w:val="1"/>
                <w:bCs w:val="1"/>
                <w:color w:val="auto"/>
                <w:w w:val="86"/>
              </w:rPr>
              <w:t>Years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2013</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Service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12,566</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12,327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Tangible product revenues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1,322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vMerge w:val="restart"/>
          </w:tcPr>
          <w:p>
            <w:pPr>
              <w:ind w:left="420"/>
              <w:spacing w:after="0"/>
              <w:rPr>
                <w:sz w:val="20"/>
                <w:szCs w:val="20"/>
                <w:color w:val="auto"/>
              </w:rPr>
            </w:pPr>
            <w:r>
              <w:rPr>
                <w:rFonts w:ascii="Arial" w:cs="Arial" w:eastAsia="Arial" w:hAnsi="Arial"/>
                <w:sz w:val="18"/>
                <w:szCs w:val="18"/>
                <w:color w:val="auto"/>
              </w:rPr>
              <w:t>Total operating revenues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13,983</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13,649</w:t>
            </w:r>
          </w:p>
        </w:tc>
        <w:tc>
          <w:tcPr>
            <w:tcW w:w="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Operating costs (exclusive of depreciation and amortization shown below):</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7,765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Cost of tangible products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1,232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1,114</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operating costs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8,879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1,468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1,472</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1,297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 impairments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(Income) expense from divestitures, asset impairments (other than goodwill) and unusual items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12,904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11,798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11,350</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6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1,079</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1,851</w:t>
            </w:r>
          </w:p>
        </w:tc>
        <w:tc>
          <w:tcPr>
            <w:tcW w:w="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1,303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443</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860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Less: Net income attributable to noncontrolling interests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0.21</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1.76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1.46</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1.42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9"/>
          </w:tcPr>
          <w:p>
            <w:pPr>
              <w:jc w:val="right"/>
              <w:ind w:right="400"/>
              <w:spacing w:after="0"/>
              <w:rPr>
                <w:sz w:val="20"/>
                <w:szCs w:val="20"/>
                <w:color w:val="auto"/>
              </w:rPr>
            </w:pPr>
            <w:r>
              <w:rPr>
                <w:rFonts w:ascii="Arial" w:cs="Arial" w:eastAsia="Arial" w:hAnsi="Arial"/>
                <w:sz w:val="14"/>
                <w:szCs w:val="14"/>
                <w:b w:val="1"/>
                <w:bCs w:val="1"/>
                <w:color w:val="auto"/>
                <w:w w:val="95"/>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Consolidated net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$860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comprehensive income (loss), net of taxes: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Gains and losses on derivative instruments: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w w:val="96"/>
              </w:rPr>
              <w:t>Unrealized gains (losses), resulting from changes in fair value, net of tax expense (benefit) of $9, $(14) and $(20),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Reclassification adjustment for (gains) losses included in net income, net of tax (expense) benefit of $(1), $5 and $1,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respectively.</w:t>
            </w:r>
          </w:p>
        </w:tc>
        <w:tc>
          <w:tcPr>
            <w:tcW w:w="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Unrealized gains (losses) on available-for-sale securities, net of tax expense (benefit) of $1, $2 and $(2), respectively</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(68)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funded status of post-retirement benefit obligation, net of tax expense (benefit) of $10, $(2) and $(5),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respectively</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 net of taxes</w:t>
            </w: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(39)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2013</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2011</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130</w:t>
            </w:r>
          </w:p>
        </w:tc>
        <w:tc>
          <w:tcPr>
            <w:tcW w:w="28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860</w:t>
            </w:r>
          </w:p>
        </w:tc>
        <w:tc>
          <w:tcPr>
            <w:tcW w:w="2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6"/>
              </w:rPr>
              <w:t>1,009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consolidated net income to net cash provided by operating activities:</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1,333</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1,297</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6"/>
              </w:rPr>
              <w:t>1,229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income tax (benefit) provision</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00"/>
              <w:spacing w:after="0" w:line="149" w:lineRule="exact"/>
              <w:rPr>
                <w:sz w:val="20"/>
                <w:szCs w:val="20"/>
                <w:color w:val="auto"/>
              </w:rPr>
            </w:pPr>
            <w:r>
              <w:rPr>
                <w:rFonts w:ascii="Arial" w:cs="Arial" w:eastAsia="Arial" w:hAnsi="Arial"/>
                <w:sz w:val="14"/>
                <w:szCs w:val="14"/>
                <w:color w:val="auto"/>
              </w:rPr>
              <w:t>Interest accretion on landfill liabilities</w:t>
            </w: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87</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accretion on and discount rate adjustments to environmental remediation liabilities and recovery assets</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00"/>
              <w:spacing w:after="0" w:line="149" w:lineRule="exact"/>
              <w:rPr>
                <w:sz w:val="20"/>
                <w:szCs w:val="20"/>
                <w:color w:val="auto"/>
              </w:rPr>
            </w:pPr>
            <w:r>
              <w:rPr>
                <w:rFonts w:ascii="Arial" w:cs="Arial" w:eastAsia="Arial" w:hAnsi="Arial"/>
                <w:sz w:val="14"/>
                <w:szCs w:val="14"/>
                <w:color w:val="auto"/>
              </w:rPr>
              <w:t>Provision for bad debts</w:t>
            </w: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Equity-based compensation expense</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00"/>
              <w:spacing w:after="0" w:line="149" w:lineRule="exact"/>
              <w:rPr>
                <w:sz w:val="20"/>
                <w:szCs w:val="20"/>
                <w:color w:val="auto"/>
              </w:rPr>
            </w:pPr>
            <w:r>
              <w:rPr>
                <w:rFonts w:ascii="Arial" w:cs="Arial" w:eastAsia="Arial" w:hAnsi="Arial"/>
                <w:sz w:val="14"/>
                <w:szCs w:val="14"/>
                <w:color w:val="auto"/>
              </w:rPr>
              <w:t>Excess tax benefits associated with equity-based transactions</w:t>
            </w:r>
          </w:p>
        </w:tc>
        <w:tc>
          <w:tcPr>
            <w:tcW w:w="6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w:t>
            </w:r>
          </w:p>
        </w:tc>
        <w:tc>
          <w:tcPr>
            <w:tcW w:w="3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gain on disposal of assets</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w:t>
            </w: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00"/>
              <w:spacing w:after="0" w:line="149" w:lineRule="exact"/>
              <w:rPr>
                <w:sz w:val="20"/>
                <w:szCs w:val="20"/>
                <w:color w:val="auto"/>
              </w:rPr>
            </w:pPr>
            <w:r>
              <w:rPr>
                <w:rFonts w:ascii="Arial" w:cs="Arial" w:eastAsia="Arial" w:hAnsi="Arial"/>
                <w:sz w:val="14"/>
                <w:szCs w:val="14"/>
                <w:color w:val="auto"/>
              </w:rPr>
              <w:t>Effect of goodwill impairments</w:t>
            </w: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509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Effect of (income) expense from divestitures, asset impairments (other than goodwill) and unusual items and other</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00"/>
              <w:spacing w:after="0" w:line="149" w:lineRule="exact"/>
              <w:rPr>
                <w:sz w:val="20"/>
                <w:szCs w:val="20"/>
                <w:color w:val="auto"/>
              </w:rPr>
            </w:pPr>
            <w:r>
              <w:rPr>
                <w:rFonts w:ascii="Arial" w:cs="Arial" w:eastAsia="Arial" w:hAnsi="Arial"/>
                <w:sz w:val="14"/>
                <w:szCs w:val="14"/>
                <w:color w:val="auto"/>
              </w:rPr>
              <w:t>Equity in net losses of unconsolidated entities, net of dividends</w:t>
            </w: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 in operating assets and liabilities, net of effects of acquisitions and divestitures:</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420"/>
              <w:spacing w:after="0" w:line="149" w:lineRule="exact"/>
              <w:rPr>
                <w:sz w:val="20"/>
                <w:szCs w:val="20"/>
                <w:color w:val="auto"/>
              </w:rPr>
            </w:pPr>
            <w:r>
              <w:rPr>
                <w:rFonts w:ascii="Arial" w:cs="Arial" w:eastAsia="Arial" w:hAnsi="Arial"/>
                <w:sz w:val="14"/>
                <w:szCs w:val="14"/>
                <w:color w:val="auto"/>
              </w:rPr>
              <w:t>Receivables</w:t>
            </w: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(131)</w:t>
            </w:r>
          </w:p>
        </w:tc>
        <w:tc>
          <w:tcPr>
            <w:tcW w:w="3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w:t>
            </w: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420"/>
              <w:spacing w:after="0" w:line="149" w:lineRule="exact"/>
              <w:rPr>
                <w:sz w:val="20"/>
                <w:szCs w:val="20"/>
                <w:color w:val="auto"/>
              </w:rPr>
            </w:pPr>
            <w:r>
              <w:rPr>
                <w:rFonts w:ascii="Arial" w:cs="Arial" w:eastAsia="Arial" w:hAnsi="Arial"/>
                <w:sz w:val="14"/>
                <w:szCs w:val="14"/>
                <w:color w:val="auto"/>
              </w:rPr>
              <w:t>Other assets</w:t>
            </w: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105</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 and accrued liabilities</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w:t>
            </w: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40" w:type="dxa"/>
            <w:vAlign w:val="bottom"/>
          </w:tcPr>
          <w:p>
            <w:pPr>
              <w:ind w:left="420"/>
              <w:spacing w:after="0" w:line="149" w:lineRule="exact"/>
              <w:rPr>
                <w:sz w:val="20"/>
                <w:szCs w:val="20"/>
                <w:color w:val="auto"/>
              </w:rPr>
            </w:pPr>
            <w:r>
              <w:rPr>
                <w:rFonts w:ascii="Arial" w:cs="Arial" w:eastAsia="Arial" w:hAnsi="Arial"/>
                <w:sz w:val="14"/>
                <w:szCs w:val="14"/>
                <w:color w:val="auto"/>
              </w:rPr>
              <w:t>Deferred revenues and other liabilities</w:t>
            </w:r>
          </w:p>
        </w:tc>
        <w:tc>
          <w:tcPr>
            <w:tcW w:w="60" w:type="dxa"/>
            <w:vAlign w:val="bottom"/>
          </w:tcPr>
          <w:p>
            <w:pPr>
              <w:spacing w:after="0"/>
              <w:rPr>
                <w:sz w:val="13"/>
                <w:szCs w:val="13"/>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(85)</w:t>
            </w:r>
          </w:p>
        </w:tc>
        <w:tc>
          <w:tcPr>
            <w:tcW w:w="300" w:type="dxa"/>
            <w:vAlign w:val="bottom"/>
          </w:tcPr>
          <w:p>
            <w:pPr>
              <w:spacing w:after="0"/>
              <w:rPr>
                <w:sz w:val="13"/>
                <w:szCs w:val="13"/>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2,455</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2,295</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2,469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06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Acquisitions of businesses, net of cash acquired</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(724)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(250)</w:t>
            </w: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6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5"/>
              </w:rPr>
              <w:t>(1,271)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5"/>
              </w:rPr>
              <w:t>(1,510)</w:t>
            </w:r>
          </w:p>
        </w:tc>
        <w:tc>
          <w:tcPr>
            <w:tcW w:w="3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5"/>
              </w:rPr>
              <w:t>(1,324)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divestitures of businesses (net of cash divested) and other sales of assets</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00"/>
              <w:spacing w:after="0" w:line="149" w:lineRule="exact"/>
              <w:rPr>
                <w:sz w:val="20"/>
                <w:szCs w:val="20"/>
                <w:color w:val="auto"/>
              </w:rPr>
            </w:pPr>
            <w:r>
              <w:rPr>
                <w:rFonts w:ascii="Arial" w:cs="Arial" w:eastAsia="Arial" w:hAnsi="Arial"/>
                <w:sz w:val="14"/>
                <w:szCs w:val="14"/>
                <w:color w:val="auto"/>
              </w:rPr>
              <w:t>Net receipts from restricted trust and escrow accounts</w:t>
            </w: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71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Investments in unconsolidated entities</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(77)</w:t>
            </w: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00"/>
              <w:spacing w:after="0" w:line="149" w:lineRule="exact"/>
              <w:rPr>
                <w:sz w:val="20"/>
                <w:szCs w:val="20"/>
                <w:color w:val="auto"/>
              </w:rPr>
            </w:pPr>
            <w:r>
              <w:rPr>
                <w:rFonts w:ascii="Arial" w:cs="Arial" w:eastAsia="Arial" w:hAnsi="Arial"/>
                <w:sz w:val="14"/>
                <w:szCs w:val="14"/>
                <w:color w:val="auto"/>
              </w:rPr>
              <w:t>Other</w:t>
            </w:r>
          </w:p>
        </w:tc>
        <w:tc>
          <w:tcPr>
            <w:tcW w:w="6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w:t>
            </w:r>
          </w:p>
        </w:tc>
        <w:tc>
          <w:tcPr>
            <w:tcW w:w="30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5"/>
              </w:rPr>
              <w:t>(1,900)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5"/>
              </w:rPr>
              <w:t>(1,830)</w:t>
            </w: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(2,185)</w:t>
            </w:r>
          </w:p>
        </w:tc>
        <w:tc>
          <w:tcPr>
            <w:tcW w:w="0" w:type="dxa"/>
            <w:vAlign w:val="bottom"/>
          </w:tcPr>
          <w:p>
            <w:pPr>
              <w:spacing w:after="0"/>
              <w:rPr>
                <w:sz w:val="1"/>
                <w:szCs w:val="1"/>
                <w:color w:val="auto"/>
              </w:rPr>
            </w:pPr>
          </w:p>
        </w:tc>
      </w:tr>
      <w:tr>
        <w:trPr>
          <w:trHeight w:val="156"/>
        </w:trPr>
        <w:tc>
          <w:tcPr>
            <w:tcW w:w="906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New borrowings</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1,307</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1,180</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1,201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00"/>
              <w:spacing w:after="0" w:line="149" w:lineRule="exact"/>
              <w:rPr>
                <w:sz w:val="20"/>
                <w:szCs w:val="20"/>
                <w:color w:val="auto"/>
              </w:rPr>
            </w:pPr>
            <w:r>
              <w:rPr>
                <w:rFonts w:ascii="Arial" w:cs="Arial" w:eastAsia="Arial" w:hAnsi="Arial"/>
                <w:sz w:val="14"/>
                <w:szCs w:val="14"/>
                <w:color w:val="auto"/>
              </w:rPr>
              <w:t>Debt repayments</w:t>
            </w:r>
          </w:p>
        </w:tc>
        <w:tc>
          <w:tcPr>
            <w:tcW w:w="6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5"/>
              </w:rPr>
              <w:t>(1,152)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5"/>
              </w:rPr>
              <w:t>(1,058)</w:t>
            </w:r>
          </w:p>
        </w:tc>
        <w:tc>
          <w:tcPr>
            <w:tcW w:w="3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stock repurchases</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00"/>
              <w:spacing w:after="0" w:line="149" w:lineRule="exact"/>
              <w:rPr>
                <w:sz w:val="20"/>
                <w:szCs w:val="20"/>
                <w:color w:val="auto"/>
              </w:rPr>
            </w:pPr>
            <w:r>
              <w:rPr>
                <w:rFonts w:ascii="Arial" w:cs="Arial" w:eastAsia="Arial" w:hAnsi="Arial"/>
                <w:sz w:val="14"/>
                <w:szCs w:val="14"/>
                <w:color w:val="auto"/>
              </w:rPr>
              <w:t>Cash dividends</w:t>
            </w:r>
          </w:p>
        </w:tc>
        <w:tc>
          <w:tcPr>
            <w:tcW w:w="6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(683)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(658)</w:t>
            </w:r>
          </w:p>
        </w:tc>
        <w:tc>
          <w:tcPr>
            <w:tcW w:w="3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 of common stock options</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00"/>
              <w:spacing w:after="0" w:line="149" w:lineRule="exact"/>
              <w:rPr>
                <w:sz w:val="20"/>
                <w:szCs w:val="20"/>
                <w:color w:val="auto"/>
              </w:rPr>
            </w:pPr>
            <w:r>
              <w:rPr>
                <w:rFonts w:ascii="Arial" w:cs="Arial" w:eastAsia="Arial" w:hAnsi="Arial"/>
                <w:sz w:val="14"/>
                <w:szCs w:val="14"/>
                <w:color w:val="auto"/>
              </w:rPr>
              <w:t>Excess tax benefits associated with equity-based transactions</w:t>
            </w: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w:t>
            </w:r>
          </w:p>
        </w:tc>
        <w:tc>
          <w:tcPr>
            <w:tcW w:w="30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w:t>
            </w: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00"/>
              <w:spacing w:after="0" w:line="149" w:lineRule="exact"/>
              <w:rPr>
                <w:sz w:val="20"/>
                <w:szCs w:val="20"/>
                <w:color w:val="auto"/>
              </w:rPr>
            </w:pPr>
            <w:r>
              <w:rPr>
                <w:rFonts w:ascii="Arial" w:cs="Arial" w:eastAsia="Arial" w:hAnsi="Arial"/>
                <w:sz w:val="14"/>
                <w:szCs w:val="14"/>
                <w:color w:val="auto"/>
              </w:rPr>
              <w:t>Other</w:t>
            </w:r>
          </w:p>
        </w:tc>
        <w:tc>
          <w:tcPr>
            <w:tcW w:w="6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3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financing activities</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(687)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(530)</w:t>
            </w: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0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1</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 in cash and cash equivalents</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(64)</w:t>
            </w: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4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year</w:t>
            </w:r>
          </w:p>
        </w:tc>
        <w:tc>
          <w:tcPr>
            <w:tcW w:w="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194</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258</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year</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11"/>
          </w:tcPr>
          <w:p>
            <w:pPr>
              <w:jc w:val="right"/>
              <w:ind w:right="160"/>
              <w:spacing w:after="0"/>
              <w:rPr>
                <w:sz w:val="20"/>
                <w:szCs w:val="20"/>
                <w:color w:val="auto"/>
              </w:rPr>
            </w:pPr>
            <w:r>
              <w:rPr>
                <w:rFonts w:ascii="Arial" w:cs="Arial" w:eastAsia="Arial" w:hAnsi="Arial"/>
                <w:sz w:val="14"/>
                <w:szCs w:val="14"/>
                <w:b w:val="1"/>
                <w:bCs w:val="1"/>
                <w:color w:val="auto"/>
                <w:w w:val="90"/>
              </w:rPr>
              <w:t>Waste Management, Inc. Stockholders’ Equity</w:t>
            </w: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w w:val="85"/>
              </w:rPr>
              <w:t>Common Stock</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87"/>
              </w:rPr>
              <w:t>Additional</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460" w:type="dxa"/>
            <w:vAlign w:val="bottom"/>
            <w:gridSpan w:val="5"/>
            <w:vMerge w:val="restart"/>
          </w:tcPr>
          <w:p>
            <w:pPr>
              <w:jc w:val="right"/>
              <w:ind w:right="38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9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gridSpan w:val="2"/>
            <w:vMerge w:val="restart"/>
          </w:tcPr>
          <w:p>
            <w:pPr>
              <w:jc w:val="center"/>
              <w:ind w:right="320"/>
              <w:spacing w:after="0" w:line="148" w:lineRule="exact"/>
              <w:rPr>
                <w:sz w:val="20"/>
                <w:szCs w:val="20"/>
                <w:color w:val="auto"/>
              </w:rPr>
            </w:pPr>
            <w:r>
              <w:rPr>
                <w:rFonts w:ascii="Arial" w:cs="Arial" w:eastAsia="Arial" w:hAnsi="Arial"/>
                <w:sz w:val="14"/>
                <w:szCs w:val="14"/>
                <w:b w:val="1"/>
                <w:bCs w:val="1"/>
                <w:color w:val="auto"/>
                <w:w w:val="90"/>
              </w:rPr>
              <w:t>Other</w:t>
            </w:r>
          </w:p>
        </w:tc>
        <w:tc>
          <w:tcPr>
            <w:tcW w:w="146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2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9"/>
              </w:rPr>
              <w:t>Paid-In</w:t>
            </w: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46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1"/>
                <w:szCs w:val="11"/>
                <w:color w:val="auto"/>
              </w:rPr>
            </w:pPr>
          </w:p>
        </w:tc>
        <w:tc>
          <w:tcPr>
            <w:tcW w:w="116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5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4"/>
              </w:rPr>
              <w:t>Noncontrolling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Total</w:t>
            </w: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Capital</w:t>
            </w: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Income (Loss)</w:t>
            </w: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Shares</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Interests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2010</w:t>
            </w:r>
          </w:p>
        </w:tc>
        <w:tc>
          <w:tcPr>
            <w:tcW w:w="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$6,591</w:t>
            </w:r>
          </w:p>
        </w:tc>
        <w:tc>
          <w:tcPr>
            <w:tcW w:w="2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630,282</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4,528</w:t>
            </w: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6,400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230</w:t>
            </w:r>
          </w:p>
        </w:tc>
        <w:tc>
          <w:tcPr>
            <w:tcW w:w="2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(155,236)</w:t>
            </w: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(4,904)</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1,009</w:t>
            </w:r>
          </w:p>
        </w:tc>
        <w:tc>
          <w:tcPr>
            <w:tcW w:w="26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961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(loss), net of taxes</w:t>
            </w:r>
          </w:p>
        </w:tc>
        <w:tc>
          <w:tcPr>
            <w:tcW w:w="6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Cash dividends declared</w:t>
            </w:r>
          </w:p>
        </w:tc>
        <w:tc>
          <w:tcPr>
            <w:tcW w:w="6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(637)</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(637)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Equity-based compensation transactions, including dividend</w:t>
            </w: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equivalents, net of taxes</w:t>
            </w:r>
          </w:p>
        </w:tc>
        <w:tc>
          <w:tcPr>
            <w:tcW w:w="3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119</w:t>
            </w:r>
          </w:p>
        </w:tc>
        <w:tc>
          <w:tcPr>
            <w:tcW w:w="2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33</w:t>
            </w: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2,813</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89</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Common stock repurchases</w:t>
            </w:r>
          </w:p>
        </w:tc>
        <w:tc>
          <w:tcPr>
            <w:tcW w:w="6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(575)</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(17,338)</w:t>
            </w:r>
          </w:p>
        </w:tc>
        <w:tc>
          <w:tcPr>
            <w:tcW w:w="12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6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2011</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$6,390</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630,282</w:t>
            </w:r>
          </w:p>
        </w:tc>
        <w:tc>
          <w:tcPr>
            <w:tcW w:w="4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4,561</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6,721</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0"/>
              </w:rPr>
              <w:t>(169,750)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(5,390)</w:t>
            </w: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860</w:t>
            </w:r>
          </w:p>
        </w:tc>
        <w:tc>
          <w:tcPr>
            <w:tcW w:w="26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817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(loss), net of taxes</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Cash dividends declared</w:t>
            </w:r>
          </w:p>
        </w:tc>
        <w:tc>
          <w:tcPr>
            <w:tcW w:w="6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(658)</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Equity-based compensation transactions, including dividend</w:t>
            </w: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equivalents, net of taxes</w:t>
            </w:r>
          </w:p>
        </w:tc>
        <w:tc>
          <w:tcPr>
            <w:tcW w:w="3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101</w:t>
            </w:r>
          </w:p>
        </w:tc>
        <w:tc>
          <w:tcPr>
            <w:tcW w:w="2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3,680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6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(46)</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Arial" w:cs="Arial" w:eastAsia="Arial" w:hAnsi="Arial"/>
                <w:sz w:val="14"/>
                <w:szCs w:val="14"/>
                <w:color w:val="auto"/>
              </w:rPr>
              <w:t>Balance, December 31, 2012</w:t>
            </w: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40" w:type="dxa"/>
            <w:vAlign w:val="bottom"/>
            <w:gridSpan w:val="2"/>
            <w:vMerge w:val="continue"/>
          </w:tcPr>
          <w:p>
            <w:pPr>
              <w:spacing w:after="0"/>
              <w:rPr>
                <w:sz w:val="13"/>
                <w:szCs w:val="13"/>
                <w:color w:val="auto"/>
              </w:rPr>
            </w:pPr>
          </w:p>
        </w:tc>
        <w:tc>
          <w:tcPr>
            <w:tcW w:w="38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83"/>
              </w:rPr>
              <w:t>$6,675</w:t>
            </w:r>
          </w:p>
        </w:tc>
        <w:tc>
          <w:tcPr>
            <w:tcW w:w="260" w:type="dxa"/>
            <w:vAlign w:val="bottom"/>
          </w:tcPr>
          <w:p>
            <w:pPr>
              <w:spacing w:after="0"/>
              <w:rPr>
                <w:sz w:val="13"/>
                <w:szCs w:val="13"/>
                <w:color w:val="auto"/>
              </w:rPr>
            </w:pPr>
          </w:p>
        </w:tc>
        <w:tc>
          <w:tcPr>
            <w:tcW w:w="6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0"/>
              </w:rPr>
              <w:t>630,282</w:t>
            </w:r>
          </w:p>
        </w:tc>
        <w:tc>
          <w:tcPr>
            <w:tcW w:w="48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6</w:t>
            </w: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4,549</w:t>
            </w: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6,879</w:t>
            </w:r>
          </w:p>
        </w:tc>
        <w:tc>
          <w:tcPr>
            <w:tcW w:w="140" w:type="dxa"/>
            <w:vAlign w:val="bottom"/>
          </w:tcPr>
          <w:p>
            <w:pPr>
              <w:spacing w:after="0"/>
              <w:rPr>
                <w:sz w:val="13"/>
                <w:szCs w:val="13"/>
                <w:color w:val="auto"/>
              </w:rPr>
            </w:pP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193</w:t>
            </w:r>
          </w:p>
        </w:tc>
        <w:tc>
          <w:tcPr>
            <w:tcW w:w="260" w:type="dxa"/>
            <w:vAlign w:val="bottom"/>
          </w:tcPr>
          <w:p>
            <w:pPr>
              <w:spacing w:after="0"/>
              <w:rPr>
                <w:sz w:val="13"/>
                <w:szCs w:val="13"/>
                <w:color w:val="auto"/>
              </w:rPr>
            </w:pPr>
          </w:p>
        </w:tc>
        <w:tc>
          <w:tcPr>
            <w:tcW w:w="7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0"/>
              </w:rPr>
              <w:t>(166,062)</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4"/>
              </w:rPr>
              <w:t>(5,273)</w:t>
            </w:r>
          </w:p>
        </w:tc>
        <w:tc>
          <w:tcPr>
            <w:tcW w:w="22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Consolidated net income</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Other comprehensive income (loss), net of taxes</w:t>
            </w:r>
          </w:p>
        </w:tc>
        <w:tc>
          <w:tcPr>
            <w:tcW w:w="6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(39)</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w:t>
            </w:r>
          </w:p>
        </w:tc>
        <w:tc>
          <w:tcPr>
            <w:tcW w:w="6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(683)</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tcPr>
          <w:p>
            <w:pPr>
              <w:spacing w:after="0" w:line="138" w:lineRule="exact"/>
              <w:rPr>
                <w:sz w:val="20"/>
                <w:szCs w:val="20"/>
                <w:color w:val="auto"/>
              </w:rPr>
            </w:pPr>
            <w:r>
              <w:rPr>
                <w:rFonts w:ascii="Arial" w:cs="Arial" w:eastAsia="Arial" w:hAnsi="Arial"/>
                <w:sz w:val="14"/>
                <w:szCs w:val="14"/>
                <w:color w:val="auto"/>
              </w:rPr>
              <w:t>Equity-based compensation transactions, including dividend</w:t>
            </w: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20" w:type="dxa"/>
            <w:vAlign w:val="bottom"/>
          </w:tcPr>
          <w:p>
            <w:pPr>
              <w:ind w:left="200"/>
              <w:spacing w:after="0" w:line="159" w:lineRule="exact"/>
              <w:rPr>
                <w:sz w:val="20"/>
                <w:szCs w:val="20"/>
                <w:color w:val="auto"/>
              </w:rPr>
            </w:pPr>
            <w:r>
              <w:rPr>
                <w:rFonts w:ascii="Arial" w:cs="Arial" w:eastAsia="Arial" w:hAnsi="Arial"/>
                <w:sz w:val="14"/>
                <w:szCs w:val="14"/>
                <w:color w:val="auto"/>
              </w:rPr>
              <w:t>equivalents, net of taxes</w:t>
            </w:r>
          </w:p>
        </w:tc>
        <w:tc>
          <w:tcPr>
            <w:tcW w:w="3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216</w:t>
            </w:r>
          </w:p>
        </w:tc>
        <w:tc>
          <w:tcPr>
            <w:tcW w:w="26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47</w:t>
            </w:r>
          </w:p>
        </w:tc>
        <w:tc>
          <w:tcPr>
            <w:tcW w:w="16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5,461</w:t>
            </w:r>
          </w:p>
        </w:tc>
        <w:tc>
          <w:tcPr>
            <w:tcW w:w="12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174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repurchases</w:t>
            </w:r>
          </w:p>
        </w:tc>
        <w:tc>
          <w:tcPr>
            <w:tcW w:w="6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(239)</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(5,368)</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6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(59)</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Arial" w:cs="Arial" w:eastAsia="Arial" w:hAnsi="Arial"/>
                <w:sz w:val="14"/>
                <w:szCs w:val="14"/>
                <w:color w:val="auto"/>
              </w:rPr>
              <w:t>Balance, December 31, 2013</w:t>
            </w: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40" w:type="dxa"/>
            <w:vAlign w:val="bottom"/>
            <w:gridSpan w:val="2"/>
            <w:vMerge w:val="continue"/>
          </w:tcPr>
          <w:p>
            <w:pPr>
              <w:spacing w:after="0"/>
              <w:rPr>
                <w:sz w:val="13"/>
                <w:szCs w:val="13"/>
                <w:color w:val="auto"/>
              </w:rPr>
            </w:pPr>
          </w:p>
        </w:tc>
        <w:tc>
          <w:tcPr>
            <w:tcW w:w="38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w w:val="83"/>
              </w:rPr>
              <w:t>$</w:t>
            </w:r>
            <w:r>
              <w:rPr>
                <w:rFonts w:ascii="Arial" w:cs="Arial" w:eastAsia="Arial" w:hAnsi="Arial"/>
                <w:sz w:val="14"/>
                <w:szCs w:val="14"/>
                <w:color w:val="auto"/>
                <w:w w:val="83"/>
              </w:rPr>
              <w:t>6,002</w:t>
            </w:r>
          </w:p>
        </w:tc>
        <w:tc>
          <w:tcPr>
            <w:tcW w:w="260" w:type="dxa"/>
            <w:vAlign w:val="bottom"/>
          </w:tcPr>
          <w:p>
            <w:pPr>
              <w:spacing w:after="0"/>
              <w:rPr>
                <w:sz w:val="13"/>
                <w:szCs w:val="13"/>
                <w:color w:val="auto"/>
              </w:rPr>
            </w:pPr>
          </w:p>
        </w:tc>
        <w:tc>
          <w:tcPr>
            <w:tcW w:w="6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0"/>
              </w:rPr>
              <w:t>630,282</w:t>
            </w:r>
          </w:p>
        </w:tc>
        <w:tc>
          <w:tcPr>
            <w:tcW w:w="48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6</w:t>
            </w: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4,596</w:t>
            </w: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6,289</w:t>
            </w:r>
          </w:p>
        </w:tc>
        <w:tc>
          <w:tcPr>
            <w:tcW w:w="140" w:type="dxa"/>
            <w:vAlign w:val="bottom"/>
          </w:tcPr>
          <w:p>
            <w:pPr>
              <w:spacing w:after="0"/>
              <w:rPr>
                <w:sz w:val="13"/>
                <w:szCs w:val="13"/>
                <w:color w:val="auto"/>
              </w:rPr>
            </w:pP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154</w:t>
            </w:r>
          </w:p>
        </w:tc>
        <w:tc>
          <w:tcPr>
            <w:tcW w:w="260" w:type="dxa"/>
            <w:vAlign w:val="bottom"/>
          </w:tcPr>
          <w:p>
            <w:pPr>
              <w:spacing w:after="0"/>
              <w:rPr>
                <w:sz w:val="13"/>
                <w:szCs w:val="13"/>
                <w:color w:val="auto"/>
              </w:rPr>
            </w:pPr>
          </w:p>
        </w:tc>
        <w:tc>
          <w:tcPr>
            <w:tcW w:w="7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0"/>
              </w:rPr>
              <w:t>(165,962)</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4"/>
              </w:rPr>
              <w:t>(5,338)</w:t>
            </w:r>
          </w:p>
        </w:tc>
        <w:tc>
          <w:tcPr>
            <w:tcW w:w="22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2013, 2012 and 2011</w:t>
      </w:r>
    </w:p>
    <w:p>
      <w:pPr>
        <w:spacing w:after="0" w:line="15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4"/>
          <w:szCs w:val="14"/>
          <w:b w:val="1"/>
          <w:bCs w:val="1"/>
          <w:color w:val="auto"/>
        </w:rPr>
        <w:t>Business</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beneficiaries as described in Note 20.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35"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waste-to-energy and landfill gas-to-energy facilities in the United States.</w:t>
      </w:r>
    </w:p>
    <w:p>
      <w:pPr>
        <w:spacing w:after="0" w:line="3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evaluate, oversee and manage the financial performance of our Solid Waste business subsidiaries through our 17 geographic Areas. Our Wheelabrator business provides waste-to-energy services and manages waste-to-energy facilities and independent power production plants. We also provide additional services that are not managed through our Solid Waste or Wheelabrator businesses, which are presented in this report as “Other.” Additional information related to our segments can be found in Note 21.</w:t>
      </w:r>
    </w:p>
    <w:p>
      <w:pPr>
        <w:spacing w:after="0" w:line="137" w:lineRule="exact"/>
        <w:rPr>
          <w:sz w:val="20"/>
          <w:szCs w:val="20"/>
          <w:color w:val="auto"/>
        </w:rPr>
      </w:pPr>
    </w:p>
    <w:p>
      <w:pPr>
        <w:ind w:left="240" w:right="7940" w:hanging="232"/>
        <w:spacing w:after="0" w:line="391" w:lineRule="auto"/>
        <w:tabs>
          <w:tab w:leader="none" w:pos="309"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Accounting Changes and Reclassifications </w:t>
      </w:r>
      <w:r>
        <w:rPr>
          <w:rFonts w:ascii="Arial" w:cs="Arial" w:eastAsia="Arial" w:hAnsi="Arial"/>
          <w:sz w:val="16"/>
          <w:szCs w:val="16"/>
          <w:b w:val="1"/>
          <w:bCs w:val="1"/>
          <w:i w:val="1"/>
          <w:iCs w:val="1"/>
          <w:color w:val="auto"/>
        </w:rPr>
        <w:t>Accounting Changes</w:t>
      </w:r>
    </w:p>
    <w:p>
      <w:pPr>
        <w:spacing w:after="0" w:line="1"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5"/>
          <w:szCs w:val="15"/>
          <w:i w:val="1"/>
          <w:iCs w:val="1"/>
          <w:color w:val="auto"/>
        </w:rPr>
        <w:t xml:space="preserve">Comprehensive Income </w:t>
      </w:r>
      <w:r>
        <w:rPr>
          <w:rFonts w:ascii="Arial" w:cs="Arial" w:eastAsia="Arial" w:hAnsi="Arial"/>
          <w:sz w:val="15"/>
          <w:szCs w:val="15"/>
          <w:color w:val="auto"/>
        </w:rPr>
        <w:t>— In February 2013, the Financial Accounting Standards Board (“FASB”) issued amended authoritative guidance associated with</w:t>
      </w:r>
      <w:r>
        <w:rPr>
          <w:rFonts w:ascii="Arial" w:cs="Arial" w:eastAsia="Arial" w:hAnsi="Arial"/>
          <w:sz w:val="15"/>
          <w:szCs w:val="15"/>
          <w:i w:val="1"/>
          <w:iCs w:val="1"/>
          <w:color w:val="auto"/>
        </w:rPr>
        <w:t xml:space="preserve"> </w:t>
      </w:r>
      <w:r>
        <w:rPr>
          <w:rFonts w:ascii="Arial" w:cs="Arial" w:eastAsia="Arial" w:hAnsi="Arial"/>
          <w:sz w:val="15"/>
          <w:szCs w:val="15"/>
          <w:color w:val="auto"/>
        </w:rPr>
        <w:t>comprehensive income, which requires companies to provide information about the amounts that are reclassified out of accumulated other comprehensive income by component. Additionally, companies are required to present significant amounts reclassified out of accumulated other comprehensive income by the respective line items of net income. The amendment to authoritative guidance associated with comprehensive income was effective for the Company on January 1, 2013.</w:t>
      </w:r>
    </w:p>
    <w:p>
      <w:pPr>
        <w:spacing w:after="0" w:line="3"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adoption of this guidance did not have a material impact on our consolidated financial statements. We have presented the information required by this amendment in Note 14.</w:t>
      </w:r>
    </w:p>
    <w:p>
      <w:pPr>
        <w:spacing w:after="0" w:line="57"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In June 2011, the FASB issued amended authoritative guidance associated with comprehensive income, which requires companies to present the total of comprehensive income, the components of net income, and the components of other comprehensive income either in a single continuous statement of comprehensive income or in two separate but consecutive statements. This update eliminates the option to present the components of other comprehensive income as part of the statement of changes in equity. The amendments to authoritative guidance associated with comprehensive income were effective for the Company on January 1, 2012 and have been applied retrospectively. The adoption of this guidance did not have a material impact on our consolidated financial statements.</w:t>
      </w:r>
    </w:p>
    <w:p>
      <w:pPr>
        <w:spacing w:after="0" w:line="6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Indefinite-Lived Intangible Assets Impairment Testing </w:t>
      </w:r>
      <w:r>
        <w:rPr>
          <w:rFonts w:ascii="Arial" w:cs="Arial" w:eastAsia="Arial" w:hAnsi="Arial"/>
          <w:sz w:val="18"/>
          <w:szCs w:val="18"/>
          <w:color w:val="auto"/>
        </w:rPr>
        <w:t>— In July 2012, the FASB amended authoritative guidance associated with indefinite-lived</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impairment testing. The amended guidance provides companies the option to first assess qualitative factors to determine whether the existence of events or circumstances leads to a determination that it is more likely than not that the indefinite-lived intangible asset is impaired. If, after assessing the totality of events or circumstances, an entity determines it is not more likely than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not that the indefinite-lived intangible asset is impaired, then the entity is not required to take further action. The amendments are effective for indefinite-lived intangible impairment tests performed for fiscal years beginning after September 15, 2012; however, early adoption was permitted. The Company’s early adoption of this guidance in 2012 did not have an impact on our consolidated financial statements. Additional information on impairment testing can be found in Note 3.</w:t>
      </w:r>
    </w:p>
    <w:p>
      <w:pPr>
        <w:spacing w:after="0" w:line="6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 xml:space="preserve">Fair Value Measurement </w:t>
      </w:r>
      <w:r>
        <w:rPr>
          <w:rFonts w:ascii="Arial" w:cs="Arial" w:eastAsia="Arial" w:hAnsi="Arial"/>
          <w:sz w:val="16"/>
          <w:szCs w:val="16"/>
          <w:color w:val="auto"/>
        </w:rPr>
        <w:t>— In May 2011, the FASB amended authoritative guidance associated with fair value measurements. This amended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defines certain requirements for measuring fair value and for disclosing information about fair value measurements in accordance with U.S. Generally Accepted Accounting Principles (“GAAP”). The amendments to authoritative guidance associated with fair value measurements were effective for the Company on January 1, 2012 and have been applied prospectively. The adoption of this guidance did not have a material impact on our consolidated financial statements.</w:t>
      </w:r>
    </w:p>
    <w:p>
      <w:pPr>
        <w:spacing w:after="0" w:line="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Goodwill Impairment Testing </w:t>
      </w:r>
      <w:r>
        <w:rPr>
          <w:rFonts w:ascii="Arial" w:cs="Arial" w:eastAsia="Arial" w:hAnsi="Arial"/>
          <w:sz w:val="16"/>
          <w:szCs w:val="16"/>
          <w:color w:val="auto"/>
        </w:rPr>
        <w:t>— In September 2011, the FASB amended authoritative guidance associated with goodwill impairment testing. The amended</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provides companies the option to first assess qualitative factors to determine whether the existence of events or circumstances leads to a determination that it is more likely than not that the fair value of a reporting unit is less than its carrying amount before performing the two-step impairment test. If, after assessing the totality of events or circumstances, an entity determines it is not more likely than not that the fair value of a reporting unit is less than its carrying amount, then performing the two-step impairment test is unnecessary. The amendments are effective for goodwill impairment tests performed for fiscal years beginning after December 15, 2011; however, early adoption was permitted. The Company’s early adoption of this guidance in 2011 did not have an impact on our consolidated financial statements. Additional information on impairment testing can be found in Note 3.</w:t>
      </w:r>
    </w:p>
    <w:p>
      <w:pPr>
        <w:spacing w:after="0" w:line="3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 xml:space="preserve">Multiple-Deliverable Revenue Arrangements </w:t>
      </w:r>
      <w:r>
        <w:rPr>
          <w:rFonts w:ascii="Arial" w:cs="Arial" w:eastAsia="Arial" w:hAnsi="Arial"/>
          <w:sz w:val="16"/>
          <w:szCs w:val="16"/>
          <w:color w:val="auto"/>
        </w:rPr>
        <w:t>— In October 2009, the FASB amended authoritative guidance associated with multiple-deliverable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arrangements. This amended guidance addresses the determination of when individual deliverables within an arrangement are required to be treated as separate units of accounting and modifies the manner in which consideration is allocated across the separately identifiable deliverables. The amendments to authoritative guidance associated with multiple-deliverable revenue arrangements became effective for the Company on January 1, 2011. The new accounting standard has been applied prospectively to arrangements entered into or materially modified after the date of adoption. The adoption of this guidance has not had a material impact on our consolidated financial statements.</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When necessary, reclassifications have been made to our prior period consolidated financial information in order to conform to the current year presentation.</w:t>
      </w:r>
    </w:p>
    <w:p>
      <w:pPr>
        <w:spacing w:after="0" w:line="126" w:lineRule="exact"/>
        <w:rPr>
          <w:sz w:val="20"/>
          <w:szCs w:val="20"/>
          <w:color w:val="auto"/>
        </w:rPr>
      </w:pPr>
    </w:p>
    <w:p>
      <w:pPr>
        <w:ind w:left="240" w:right="7780" w:hanging="232"/>
        <w:spacing w:after="0" w:line="347" w:lineRule="auto"/>
        <w:tabs>
          <w:tab w:leader="none" w:pos="319"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accompanying Consolidated Financial Statements include the accounts of WM, its wholly-owned and majority-owned subsidiaries and certain variable interest entities for which we have determined that we are the primary beneficiary. All material intercompany balances and transactions have been eliminated. Investments in entities in which we do not have a controlling financial interest are accounted for under either the equity method or cost method of accounting, as appropriate.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Estimates and Assumptions</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Each of these items is discussed in additional detail below. Actual results could differ materially from the estimates and assumptions that we use in the preparation of our financial statements.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Cash and cash equivalents consist primarily of cash on deposit and money market funds that invest in U.S. government obligations with original maturities of three months or less.</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Financial instruments that potentially subject us to concentrations of credit risk consist primarily of cash and cash equivalents, investments held within our trust funds and escrow accounts, accounts receivable and derivative instruments.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of diverse customers we service. At December 31, 2013 and 2012, no single customer represented greater than 5% of total accounts receivable.</w:t>
      </w:r>
    </w:p>
    <w:p>
      <w:pPr>
        <w:spacing w:after="0" w:line="3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Trade and Other Receivables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receivables, which are recorded when billed, when services are performed or when cash is advanced, are claims against third parties that will generally be settled in cash. The carrying value of our receivables, net of the allowance for doubtful accounts, represents the estimated net realizable value. We estimate our allowance for doubtful accounts based on historical collection trends; type of customer, such as municipal or commercial; the age of outstanding receivables; and existing economic conditions. If events or changes in circumstances indicate that specific receivable balances may be impaired, further consideration is given to the collectability of those balances and the allowance is adjusted accordingly. Past-due receivable balances are written off when our internal collection efforts have been unsuccessful. Also, we recognize interest income on long-term interest-bearing notes receivable as the interest accrues under the terms of the notes. We no longer accrue interest once the notes are deemed uncollectible.</w:t>
      </w:r>
    </w:p>
    <w:p>
      <w:pPr>
        <w:spacing w:after="0" w:line="3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Parts and Supplies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Parts and supplies consist primarily of spare parts, fuel, tires, lubricants and processed recycling materials. Our parts and supplies are stated at the lower of cost, using the average cost method, or market.</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Landfill Accounting</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Cost Basis of Landfill Assets </w:t>
      </w:r>
      <w:r>
        <w:rPr>
          <w:rFonts w:ascii="Arial" w:cs="Arial" w:eastAsia="Arial" w:hAnsi="Arial"/>
          <w:sz w:val="16"/>
          <w:szCs w:val="16"/>
          <w:color w:val="auto"/>
        </w:rPr>
        <w:t>— We capitalize various costs that we incur to make a landfill ready to accept waste. These costs generally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expenditures for land (including the landfill footprint and required landfill buffer property); permitting; excavation; liner material and installation; landfill leachate collection systems; landfill gas collection systems; environmental monitoring equipment for groundwater and landfill gas; and directly related engineering, capitalized interest, on-site road construction and other capital infrastructure costs. The cost basis of our landfill assets also includes asset retirement costs, which represent estimates of future costs associated with landfill final capping, closure and post-closure activities. These costs are discussed below.</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Final Capping, Closure and Post-Closure Costs </w:t>
      </w:r>
      <w:r>
        <w:rPr>
          <w:rFonts w:ascii="Arial" w:cs="Arial" w:eastAsia="Arial" w:hAnsi="Arial"/>
          <w:sz w:val="18"/>
          <w:szCs w:val="18"/>
          <w:color w:val="auto"/>
        </w:rPr>
        <w:t>— Following is a description of our asset retirement activities and our related accounting:</w:t>
      </w:r>
    </w:p>
    <w:p>
      <w:pPr>
        <w:spacing w:after="0" w:line="90" w:lineRule="exact"/>
        <w:rPr>
          <w:sz w:val="20"/>
          <w:szCs w:val="20"/>
          <w:color w:val="auto"/>
        </w:rPr>
      </w:pPr>
    </w:p>
    <w:p>
      <w:pPr>
        <w:ind w:left="700" w:hanging="246"/>
        <w:spacing w:after="0" w:line="255" w:lineRule="auto"/>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Final Capping </w:t>
      </w:r>
      <w:r>
        <w:rPr>
          <w:rFonts w:ascii="Arial" w:cs="Arial" w:eastAsia="Arial" w:hAnsi="Arial"/>
          <w:sz w:val="18"/>
          <w:szCs w:val="18"/>
          <w:color w:val="auto"/>
        </w:rPr>
        <w:t>— Involves the installation of flexible membrane liners and geosynthetic clay liners, drainage and compacted soil layers and topsoil over</w:t>
      </w:r>
      <w:r>
        <w:rPr>
          <w:rFonts w:ascii="Arial" w:cs="Arial" w:eastAsia="Arial" w:hAnsi="Arial"/>
          <w:sz w:val="18"/>
          <w:szCs w:val="18"/>
          <w:i w:val="1"/>
          <w:iCs w:val="1"/>
          <w:color w:val="auto"/>
        </w:rPr>
        <w:t xml:space="preserve"> </w:t>
      </w:r>
      <w:r>
        <w:rPr>
          <w:rFonts w:ascii="Arial" w:cs="Arial" w:eastAsia="Arial" w:hAnsi="Arial"/>
          <w:sz w:val="18"/>
          <w:szCs w:val="18"/>
          <w:color w:val="auto"/>
        </w:rPr>
        <w:t>areas of a landfill where total airspace capacity has been consumed. Final capping asset retirement obligations are recorded on a units-of-consumption basis as airspace is consumed related to the specific final capping event with a corresponding increase in the landfill asset. Each final capping event is accounted for as a discrete obligation and recorded as an asset and a liability based on estimates of the discounted cash flows and capacity associated with each final capping event.</w:t>
      </w:r>
    </w:p>
    <w:p>
      <w:pPr>
        <w:spacing w:after="0" w:line="61" w:lineRule="exact"/>
        <w:rPr>
          <w:rFonts w:ascii="Arial" w:cs="Arial" w:eastAsia="Arial" w:hAnsi="Arial"/>
          <w:sz w:val="18"/>
          <w:szCs w:val="18"/>
          <w:color w:val="auto"/>
        </w:rPr>
      </w:pPr>
    </w:p>
    <w:p>
      <w:pPr>
        <w:ind w:left="700" w:hanging="246"/>
        <w:spacing w:after="0" w:line="255" w:lineRule="auto"/>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Closure </w:t>
      </w:r>
      <w:r>
        <w:rPr>
          <w:rFonts w:ascii="Arial" w:cs="Arial" w:eastAsia="Arial" w:hAnsi="Arial"/>
          <w:sz w:val="18"/>
          <w:szCs w:val="18"/>
          <w:color w:val="auto"/>
        </w:rPr>
        <w:t>— Includes the construction of the final portion of methane gas collection systems (when required), demobilization and routine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costs. These are costs incurred after the site ceases to accept waste, but before the landfill is certified as closed by the applicable state regulatory agency. These costs are recorded as an asset retirement obligation as airspace is consumed over the life of the landfill with a corresponding increase in the landfill asset. Closure obligations are recorded over the life of the landfill based on estimates of the discounted cash flows associated with performing closure activities.</w:t>
      </w:r>
    </w:p>
    <w:p>
      <w:pPr>
        <w:spacing w:after="0" w:line="61" w:lineRule="exact"/>
        <w:rPr>
          <w:rFonts w:ascii="Arial" w:cs="Arial" w:eastAsia="Arial" w:hAnsi="Arial"/>
          <w:sz w:val="18"/>
          <w:szCs w:val="18"/>
          <w:color w:val="auto"/>
        </w:rPr>
      </w:pPr>
    </w:p>
    <w:p>
      <w:pPr>
        <w:ind w:left="700" w:right="20" w:hanging="246"/>
        <w:spacing w:after="0" w:line="298" w:lineRule="auto"/>
        <w:tabs>
          <w:tab w:leader="none" w:pos="700"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 xml:space="preserve">Post-Closure </w:t>
      </w:r>
      <w:r>
        <w:rPr>
          <w:rFonts w:ascii="Arial" w:cs="Arial" w:eastAsia="Arial" w:hAnsi="Arial"/>
          <w:sz w:val="16"/>
          <w:szCs w:val="16"/>
          <w:color w:val="auto"/>
        </w:rPr>
        <w:t>— Involves the maintenance and monitoring of a landfill site that has been certified closed by the applicable regulatory agency.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we are required to maintain and monitor landfill sites for a 30-year period. These maintenance and monitoring costs are recorded as an asset retirement obligation as airspace is consumed over the life of the landfill with a corresponding increase in the landfill asset. Post-closure obligations are recorded over the life of the landfill based on estimates of the discounted cash flows associated with performing post-closure activities.</w:t>
      </w:r>
    </w:p>
    <w:p>
      <w:pPr>
        <w:spacing w:after="0" w:line="32"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develop our estimates of these obligations using input from our operations personnel, engineers and accountants. Our estimates are based on our interpretation of current requirements and proposed regulatory changes and are intended to approximate fair value. Absent quoted market prices, the estimate of fair value is based on the best available information, including the results of present value techniques. In many cases, we contract with third parties to fulfill our obligations for final capping, closure and post-closure. We use historical experience, professional engineering judgment and quoted and actual prices paid for similar work to determine the fair value of these obligations. We are required to recognize these obligations at market prices whether we plan to contract with third parties or perform the work ourselves. In those instances where we perform the work with internal resources, the incremental profit margin realized is recognized as a component of operating income when the work is performed.</w:t>
      </w:r>
    </w:p>
    <w:p>
      <w:pPr>
        <w:spacing w:after="0" w:line="3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Once we have determined the final capping, closure and post-closure costs, we inflate those costs to the expected time of payment and discount those expected future costs back to present value. During the years ended December 31, 2013, 2012 and 2011, we inflated these costs in current dollars until the expected time of payment using an inflation rate of 2.5%. We discount these costs to present value using the credit-adjusted, risk-free rate effective at the time an obligation is incurred, consistent with the expected cash flow approach. Any changes in expectations that result in an upward revision to the estimated cash flows are treated as a new liability and discounted at the current rate while downward revisions are discounted at the historical weighted-average rate of the recorded obligation. As a result, the credit-adjusted, risk-free discount rate used to calculate the present value of an obligation is specific to each individual asset retirement obligation. The weighted-average rate applicable to our asset retirement obligations at December 31, 2013 is between 4.25% and 8.0%, the range of the credit-adjusted, risk-free discount rates effective since we adopted the FASB’s authoritative guidance related to asset retirement obligations in 2003. We expect to apply a credit-adjusted, risk-free discount rate of 4.75% to liabilities incurred in the first quarter of 2014.</w:t>
      </w:r>
    </w:p>
    <w:p>
      <w:pPr>
        <w:spacing w:after="0" w:line="3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record the estimated fair value of final capping, closure and post-closure liabilities for our landfills based on the capacity consumed through the current period. The fair value of final capping obligations is developed based on our estimates of the airspace consumed to date for each final capping event and the expected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timing of each final capping event. The fair value of closure and post-closure obligations is developed based on our estimates of the airspace consumed to date for the entire landfill and the expected timing of each closure and post-closure activity. Because these obligations are measured at estimated fair value using present value techniques, changes in the estimated cost or timing of future final capping, closure and post-closure activities could result in a material change in these liabilities, related assets and results of operations. We assess the appropriateness of the estimates used to develop our recorded balances annually, or more often if significant facts change.</w:t>
      </w:r>
    </w:p>
    <w:p>
      <w:pPr>
        <w:spacing w:after="0" w:line="6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Changes in inflation rates or the estimated costs, timing or extent of future final capping, closure and post-closure activities typically result in both (i) a current adjustment to the recorded liability and landfill asset and (ii) a change in liability and asset amounts to be recorded prospectively over either the remaining capacity of the related discrete final capping event or the remaining permitted and expansion airspace (as defined below) of the landfill. Any changes related to the capitalized and future cost of the landfill assets are then recognized in accordance with our amortization policy, which would generally result in amortization expense being recognized prospectively over the remaining capacity of the final capping event or the remaining permitted and expansion airspace of the landfill, as appropriate. Changes in such estimates associated with airspace that has been fully utilized result in an adjustment to the recorded liability and landfill assets with an immediate corresponding adjustment to landfill airspace amortization expense.</w:t>
      </w:r>
    </w:p>
    <w:p>
      <w:pPr>
        <w:spacing w:after="0" w:line="3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Interest accretion on final capping, closure and post-closure liabilities is recorded using the effective interest method and is recorded as final capping, closure and post-closure expense, which is included in “Operating” costs and expenses within our Consolidated Statements of Operations.</w:t>
      </w:r>
    </w:p>
    <w:p>
      <w:pPr>
        <w:spacing w:after="0" w:line="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Amortization of Landfill Assets </w:t>
      </w:r>
      <w:r>
        <w:rPr>
          <w:rFonts w:ascii="Arial" w:cs="Arial" w:eastAsia="Arial" w:hAnsi="Arial"/>
          <w:sz w:val="16"/>
          <w:szCs w:val="16"/>
          <w:color w:val="auto"/>
        </w:rPr>
        <w:t>— The amortizable basis of a landfill includes (i) amounts previously expended and capitalized; (ii) capitalized landfill final</w:t>
      </w:r>
      <w:r>
        <w:rPr>
          <w:rFonts w:ascii="Arial" w:cs="Arial" w:eastAsia="Arial" w:hAnsi="Arial"/>
          <w:sz w:val="16"/>
          <w:szCs w:val="16"/>
          <w:i w:val="1"/>
          <w:iCs w:val="1"/>
          <w:color w:val="auto"/>
        </w:rPr>
        <w:t xml:space="preserve"> </w:t>
      </w:r>
      <w:r>
        <w:rPr>
          <w:rFonts w:ascii="Arial" w:cs="Arial" w:eastAsia="Arial" w:hAnsi="Arial"/>
          <w:sz w:val="16"/>
          <w:szCs w:val="16"/>
          <w:color w:val="auto"/>
        </w:rPr>
        <w:t>capping, closure and post-closure costs; (iii) projections of future purchase and development costs required to develop the landfill site to its remaining permitted and expansion capacity and (iv) projected asset retirement costs related to landfill final capping, closure and post-closure activities.</w:t>
      </w:r>
    </w:p>
    <w:p>
      <w:pPr>
        <w:spacing w:after="0" w:line="2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Amortization is recorded on a units-of-consumption basis, applying expense as a rate per ton. The rate per ton is calculated by dividing each component of the amortizable basis of a landfill by the number of tons needed to fill the corresponding asset’s airspace. For landfills that we do not own, but operate through operating or lease arrangements, the rate per ton is calculated based on expected capacity to be utilized over the lesser of the contractual term of the underlying agreement or the life of the landfill.</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apply the following guidelines in determining a landfill’s remaining permitted and expansion airspace:</w:t>
      </w:r>
    </w:p>
    <w:p>
      <w:pPr>
        <w:spacing w:after="0" w:line="90" w:lineRule="exact"/>
        <w:rPr>
          <w:sz w:val="20"/>
          <w:szCs w:val="20"/>
          <w:color w:val="auto"/>
        </w:rPr>
      </w:pPr>
    </w:p>
    <w:p>
      <w:pPr>
        <w:ind w:left="700" w:right="20" w:hanging="246"/>
        <w:spacing w:after="0" w:line="259" w:lineRule="auto"/>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Remaining Permitted Airspace </w:t>
      </w:r>
      <w:r>
        <w:rPr>
          <w:rFonts w:ascii="Arial" w:cs="Arial" w:eastAsia="Arial" w:hAnsi="Arial"/>
          <w:sz w:val="18"/>
          <w:szCs w:val="18"/>
          <w:color w:val="auto"/>
        </w:rPr>
        <w:t>— Our engineers, in consultation with third-party engineering consultants and surveyors, are responsible for determining</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permitted airspace at our landfills. The remaining permitted airspace is determined by an annual survey, which is used to compare the existing landfill topography to the expected final landfill topography.</w:t>
      </w:r>
    </w:p>
    <w:p>
      <w:pPr>
        <w:spacing w:after="0" w:line="59" w:lineRule="exact"/>
        <w:rPr>
          <w:rFonts w:ascii="Arial" w:cs="Arial" w:eastAsia="Arial" w:hAnsi="Arial"/>
          <w:sz w:val="18"/>
          <w:szCs w:val="18"/>
          <w:color w:val="auto"/>
        </w:rPr>
      </w:pPr>
    </w:p>
    <w:p>
      <w:pPr>
        <w:ind w:left="700" w:right="20" w:hanging="246"/>
        <w:spacing w:after="0" w:line="256" w:lineRule="auto"/>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Expansion Airspace </w:t>
      </w:r>
      <w:r>
        <w:rPr>
          <w:rFonts w:ascii="Arial" w:cs="Arial" w:eastAsia="Arial" w:hAnsi="Arial"/>
          <w:sz w:val="18"/>
          <w:szCs w:val="18"/>
          <w:color w:val="auto"/>
        </w:rPr>
        <w:t>— We also include currently unpermitted expansion airspace in our estimate of remaining permitted and expansion airspace in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circumstances. First, to include airspace associated with an expansion effort, we must generally expect the initial expansion permit application to be submitted within one year and the final expansion permit to be received within five years. Second, we must believe that obtaining the expansion permit is likely, considering the following criteria:</w:t>
      </w:r>
    </w:p>
    <w:p>
      <w:pPr>
        <w:spacing w:after="0" w:line="62" w:lineRule="exact"/>
        <w:rPr>
          <w:rFonts w:ascii="Arial" w:cs="Arial" w:eastAsia="Arial" w:hAnsi="Arial"/>
          <w:sz w:val="18"/>
          <w:szCs w:val="18"/>
          <w:color w:val="auto"/>
        </w:rPr>
      </w:pPr>
    </w:p>
    <w:p>
      <w:pPr>
        <w:ind w:left="920" w:hanging="237"/>
        <w:spacing w:after="0"/>
        <w:tabs>
          <w:tab w:leader="none" w:pos="920" w:val="left"/>
        </w:tabs>
        <w:numPr>
          <w:ilvl w:val="1"/>
          <w:numId w:val="73"/>
        </w:numPr>
        <w:rPr>
          <w:rFonts w:ascii="Arial" w:cs="Arial" w:eastAsia="Arial" w:hAnsi="Arial"/>
          <w:sz w:val="16"/>
          <w:szCs w:val="16"/>
          <w:color w:val="auto"/>
        </w:rPr>
      </w:pPr>
      <w:r>
        <w:rPr>
          <w:rFonts w:ascii="Arial" w:cs="Arial" w:eastAsia="Arial" w:hAnsi="Arial"/>
          <w:sz w:val="16"/>
          <w:szCs w:val="16"/>
          <w:color w:val="auto"/>
        </w:rPr>
        <w:t>Personnel are actively working on the expansion of an existing landfill, including efforts to obtain land use and local, state or provincial approvals;</w:t>
      </w:r>
    </w:p>
    <w:p>
      <w:pPr>
        <w:spacing w:after="0" w:line="113" w:lineRule="exact"/>
        <w:rPr>
          <w:rFonts w:ascii="Arial" w:cs="Arial" w:eastAsia="Arial" w:hAnsi="Arial"/>
          <w:sz w:val="16"/>
          <w:szCs w:val="16"/>
          <w:color w:val="auto"/>
        </w:rPr>
      </w:pPr>
    </w:p>
    <w:p>
      <w:pPr>
        <w:ind w:left="920" w:right="20" w:hanging="237"/>
        <w:spacing w:after="0" w:line="268" w:lineRule="auto"/>
        <w:tabs>
          <w:tab w:leader="none" w:pos="9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It is likely that the approvals will be received within the normal application and processing time periods for approvals in the jurisdiction in which the landfill is located;</w:t>
      </w:r>
    </w:p>
    <w:p>
      <w:pPr>
        <w:spacing w:after="0" w:line="50" w:lineRule="exact"/>
        <w:rPr>
          <w:rFonts w:ascii="Arial" w:cs="Arial" w:eastAsia="Arial" w:hAnsi="Arial"/>
          <w:sz w:val="18"/>
          <w:szCs w:val="18"/>
          <w:color w:val="auto"/>
        </w:rPr>
      </w:pPr>
    </w:p>
    <w:p>
      <w:pPr>
        <w:ind w:left="920" w:hanging="237"/>
        <w:spacing w:after="0"/>
        <w:tabs>
          <w:tab w:leader="none" w:pos="9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We have a legal right to use or obtain land to be included in the expansion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920" w:right="100" w:hanging="237"/>
        <w:spacing w:after="0" w:line="268" w:lineRule="auto"/>
        <w:tabs>
          <w:tab w:leader="none" w:pos="9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There are no significant known technical, legal, community, business, or political restrictions or similar issues that could impair the success of such expansion;</w:t>
      </w:r>
    </w:p>
    <w:p>
      <w:pPr>
        <w:spacing w:after="0" w:line="50" w:lineRule="exact"/>
        <w:rPr>
          <w:rFonts w:ascii="Arial" w:cs="Arial" w:eastAsia="Arial" w:hAnsi="Arial"/>
          <w:sz w:val="18"/>
          <w:szCs w:val="18"/>
          <w:color w:val="auto"/>
        </w:rPr>
      </w:pPr>
    </w:p>
    <w:p>
      <w:pPr>
        <w:ind w:left="920" w:hanging="237"/>
        <w:spacing w:after="0"/>
        <w:tabs>
          <w:tab w:leader="none" w:pos="9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Financial analysis has been completed, and the results demonstrate that the expansion has a positive financial and operational impact; and</w:t>
      </w:r>
    </w:p>
    <w:p>
      <w:pPr>
        <w:spacing w:after="0" w:line="113" w:lineRule="exact"/>
        <w:rPr>
          <w:rFonts w:ascii="Arial" w:cs="Arial" w:eastAsia="Arial" w:hAnsi="Arial"/>
          <w:sz w:val="16"/>
          <w:szCs w:val="16"/>
          <w:color w:val="auto"/>
        </w:rPr>
      </w:pPr>
    </w:p>
    <w:p>
      <w:pPr>
        <w:ind w:left="920" w:hanging="237"/>
        <w:spacing w:after="0"/>
        <w:tabs>
          <w:tab w:leader="none" w:pos="9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Airspace and related costs, including additional closure and post-closure costs, have been estimated based on conceptual design.</w:t>
      </w:r>
    </w:p>
    <w:p>
      <w:pPr>
        <w:spacing w:after="0" w:line="90"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For unpermitted airspace to be initially included in our estimate of remaining permitted and expansion airspace, the expansion effort must meet all of the criteria listed above. 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and a review by the Audit Committee of our Board of Directors on a quarterly basis. Of the 25 landfill sites with expansions included at December 31, 2013, seven landfills required the Chief Financial Officer to approve the inclusion of the unpermitted airspace. Three of these landfills required approval by our Chief Financial Officer because of community or political opposition that could impede the expansion process. The remaining four landfills required approval due to local zoning restrictions or because the permit application processes do not meet the one- or five-year requirements.</w:t>
      </w:r>
    </w:p>
    <w:p>
      <w:pPr>
        <w:spacing w:after="0" w:line="2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amortization basis of the landfill.</w:t>
      </w:r>
    </w:p>
    <w:p>
      <w:pPr>
        <w:spacing w:after="0" w:line="5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Once the remaining permitted and expansion airspace is determined in cubic yards, an airspace utilization factor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take into account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3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amortization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3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or higher expenses; or higher profitability may result if the opposite occurs. Most significantly, if it is determined that expansion capacity should no longer be considered in calculating the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760"/>
        <w:spacing w:after="0" w:line="332" w:lineRule="auto"/>
        <w:rPr>
          <w:sz w:val="20"/>
          <w:szCs w:val="20"/>
          <w:color w:val="auto"/>
        </w:rPr>
      </w:pPr>
      <w:r>
        <w:rPr>
          <w:rFonts w:ascii="Arial" w:cs="Arial" w:eastAsia="Arial" w:hAnsi="Arial"/>
          <w:sz w:val="16"/>
          <w:szCs w:val="16"/>
          <w:color w:val="auto"/>
        </w:rPr>
        <w:t>recoverability of a landfill asset, we may be required to recognize an asset impairment or incur significantly higher amortization expense. If at any time management makes the decision to abandon the expansion effort, the capitalized costs related to the expansion effort are expensed immediately.</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 Remediation Liabilities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subject to an array of laws and regulations relating to the protection of the environment. Under current laws and regulations, we may have liabilities for environmental damage caused by operations, or for damage caused by conditions that existed before we acquired a site. These liabilities include potentially responsible party (“PRP”) investigations, settlements, and certain legal and consultant fees, as well as costs directly associated with site investigation and clean up, such as materials, external contractor costs and incremental internal costs directly related to the remedy. We provide for expenses associated with environmental remediation obligations when such amounts are probable and can be reasonably estimated. We routinely review and evaluate sites that require remediation and determine our estimated cost for the likely remedy based on a number of estimates and assumptions.</w:t>
      </w:r>
    </w:p>
    <w:p>
      <w:pPr>
        <w:spacing w:after="0" w:line="3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Where it is probable that a liability has been incurred, we estimate costs required to remediate sites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type of information with respect to other named and unnamed PRPs. Estimates of the costs for the likely remedy are then either developed using our internal resources or by third-party environmental engineers or other service providers. Internally developed estimates are based on:</w:t>
      </w:r>
    </w:p>
    <w:p>
      <w:pPr>
        <w:spacing w:after="0" w:line="35" w:lineRule="exact"/>
        <w:rPr>
          <w:sz w:val="20"/>
          <w:szCs w:val="20"/>
          <w:color w:val="auto"/>
        </w:rPr>
      </w:pPr>
    </w:p>
    <w:p>
      <w:pPr>
        <w:ind w:left="700" w:hanging="246"/>
        <w:spacing w:after="0"/>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Management’s judgment and experience in remediating our own and unrelated parties’ sites;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Information available from regulatory agencies as to costs of remediation;</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number, financial resources and relative degree of responsibility of other PRPs who may be liable for remediation of a specific site; and</w:t>
      </w:r>
    </w:p>
    <w:p>
      <w:pPr>
        <w:spacing w:after="0" w:line="113" w:lineRule="exact"/>
        <w:rPr>
          <w:rFonts w:ascii="Arial" w:cs="Arial" w:eastAsia="Arial" w:hAnsi="Arial"/>
          <w:sz w:val="16"/>
          <w:szCs w:val="16"/>
          <w:color w:val="auto"/>
        </w:rPr>
      </w:pPr>
    </w:p>
    <w:p>
      <w:pPr>
        <w:ind w:left="700" w:hanging="246"/>
        <w:spacing w:after="0"/>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typical allocation of costs among PRPs, unless the actual allocation has been determined.</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investigation of the extent of environmental impact. In these cases, we use the amount within the range that constitutes our best estimate. If no amount within a range appears to be a better estimate than any other, we use the amount that is the low end of such range. If we used the high ends of such ranges, our aggregate potential liability would be approximately $190 million higher than the $227 million recorded in the Consolidated Financial Statements as of December 31, 2013.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income from operations. These adjustments could be material in any given period.</w:t>
      </w:r>
    </w:p>
    <w:p>
      <w:pPr>
        <w:spacing w:after="0" w:line="4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Where we believe that both the amount of a particular environmental remediation liability and the timing of the payments are reliably determinable, we inflate the cost in current dollars (by 2.5% at December 31, 2013 and 2012) until the expected time of payment and discount the cost to present value using a risk-free discount rate, which is based on the rate for United States Treasury bonds with a term approximating the weighted average period until settlement of the underlying obligation. We determine the risk-free discount rate and the inflation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rate on an annual basis unless interim changes would significantly impact our results of operations. For remedial liabilities that have been discounted, we include interest accretion, based on the effective interest method, in “Operating” costs and expenses in our Consolidated Statements of Operations. The following table summarizes the impacts of revisions in the risk-free discount rate applied to our environmental remediation liabilities and recovery assets during the reported periods (in millions) and the risk-free discount rate applied as of each reporting date:</w:t>
      </w:r>
    </w:p>
    <w:p>
      <w:pPr>
        <w:spacing w:after="0" w:line="2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5"/>
              </w:rPr>
              <w:t>Years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58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2"/>
                <w:szCs w:val="12"/>
                <w:color w:val="auto"/>
              </w:rPr>
            </w:pP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r>
      <w:tr>
        <w:trPr>
          <w:trHeight w:val="210"/>
        </w:trPr>
        <w:tc>
          <w:tcPr>
            <w:tcW w:w="7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Charge (reduction) to Operating expenses</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(13)</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17</w:t>
            </w:r>
          </w:p>
        </w:tc>
        <w:tc>
          <w:tcPr>
            <w:tcW w:w="200" w:type="dxa"/>
            <w:vAlign w:val="bottom"/>
            <w:tcBorders>
              <w:top w:val="single" w:sz="8" w:color="CCEEFF"/>
            </w:tcBorders>
            <w:shd w:val="clear" w:color="auto" w:fill="CCEEFF"/>
          </w:tcPr>
          <w:p>
            <w:pPr>
              <w:spacing w:after="0"/>
              <w:rPr>
                <w:sz w:val="18"/>
                <w:szCs w:val="18"/>
                <w:color w:val="auto"/>
              </w:rPr>
            </w:pPr>
          </w:p>
        </w:tc>
      </w:tr>
      <w:tr>
        <w:trPr>
          <w:trHeight w:val="222"/>
        </w:trPr>
        <w:tc>
          <w:tcPr>
            <w:tcW w:w="7580" w:type="dxa"/>
            <w:vAlign w:val="bottom"/>
          </w:tcPr>
          <w:p>
            <w:pPr>
              <w:spacing w:after="0"/>
              <w:rPr>
                <w:sz w:val="20"/>
                <w:szCs w:val="20"/>
                <w:color w:val="auto"/>
              </w:rPr>
            </w:pPr>
            <w:r>
              <w:rPr>
                <w:rFonts w:ascii="Arial" w:cs="Arial" w:eastAsia="Arial" w:hAnsi="Arial"/>
                <w:sz w:val="18"/>
                <w:szCs w:val="18"/>
                <w:color w:val="auto"/>
              </w:rPr>
              <w:t>Risk-free discount rate applied to environmental remediation liabilities and recovery assets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1660" w:type="dxa"/>
            <w:vAlign w:val="bottom"/>
            <w:gridSpan w:val="3"/>
          </w:tcPr>
          <w:p>
            <w:pPr>
              <w:jc w:val="right"/>
              <w:ind w:right="520"/>
              <w:spacing w:after="0"/>
              <w:rPr>
                <w:sz w:val="20"/>
                <w:szCs w:val="20"/>
                <w:color w:val="auto"/>
              </w:rPr>
            </w:pPr>
            <w:r>
              <w:rPr>
                <w:rFonts w:ascii="Arial" w:cs="Arial" w:eastAsia="Arial" w:hAnsi="Arial"/>
                <w:sz w:val="18"/>
                <w:szCs w:val="18"/>
                <w:color w:val="auto"/>
              </w:rPr>
              <w:t>1.75%</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2.00%</w:t>
            </w:r>
          </w:p>
        </w:tc>
      </w:tr>
    </w:tbl>
    <w:p>
      <w:pPr>
        <w:spacing w:after="0" w:line="6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portion of our recorded environmental remediation liabilities that has never been subject to inflation or discounting, as the amounts and timing of payments are not readily determinable, was $36 million at December 31, 2013 and $32 million at December 31, 2012. Had we not inflated and discounted any portion of our environmental remediation liability, the amount recorded would have increased by $7 million at December 31, 2013 and decreased by $11 million at December 31, 2012.</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Equipment (exclusive of landfills, discussed above)</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record property and equipment at cost. Expenditures for major additions and improvements are capitalized and maintenance activities are expensed as incurred. We depreciate property and equipment over the estimated useful life of the asset using the straight-line method. We assume no salvage value for our depreciable property and equipment. When property and equipment are retired, sold or otherwise disposed of, the cost and accumulated depreciation are removed from our accounts and any resulting gain or loss is included in results of operations as an offset or increase to operating expense for the period.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useful lives for significant property and equipment categories are as follows (in years):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2"/>
              </w:rPr>
              <w:t>Useful Lives</w:t>
            </w:r>
          </w:p>
        </w:tc>
      </w:tr>
      <w:tr>
        <w:trPr>
          <w:trHeight w:val="210"/>
        </w:trPr>
        <w:tc>
          <w:tcPr>
            <w:tcW w:w="9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Vehicles — excluding rail haul cars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to 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Vehicles — rail haul cars</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 to 20</w:t>
            </w: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 — including containers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 to 30</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Buildings and improvements — excluding waste-to-energy facilities</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 to 40</w:t>
            </w: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Waste-to-energy facilities and related equipment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up to 50</w:t>
            </w:r>
          </w:p>
        </w:tc>
      </w:tr>
      <w:tr>
        <w:trPr>
          <w:trHeight w:val="222"/>
        </w:trPr>
        <w:tc>
          <w:tcPr>
            <w:tcW w:w="9700" w:type="dxa"/>
            <w:vAlign w:val="bottom"/>
          </w:tcPr>
          <w:p>
            <w:pPr>
              <w:spacing w:after="0"/>
              <w:rPr>
                <w:sz w:val="20"/>
                <w:szCs w:val="20"/>
                <w:color w:val="auto"/>
              </w:rPr>
            </w:pPr>
            <w:r>
              <w:rPr>
                <w:rFonts w:ascii="Arial" w:cs="Arial" w:eastAsia="Arial" w:hAnsi="Arial"/>
                <w:sz w:val="18"/>
                <w:szCs w:val="18"/>
                <w:color w:val="auto"/>
              </w:rPr>
              <w:t>Furniture, fixtures and office equipment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 to 10</w:t>
            </w:r>
          </w:p>
        </w:tc>
      </w:tr>
    </w:tbl>
    <w:p>
      <w:pPr>
        <w:spacing w:after="0" w:line="6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include capitalized costs associated with developing or obtaining internal-use software within furniture, fixtures and office equipment. These costs include direct external costs of materials and services used in developing or obtaining the software and internal costs for employees directly associated with the software development project. As of December 31, 2013 and 2012, capitalized costs for software placed in service, net of accumulated depreciation, were $129 million and $123 million, respectively. In addition, our furniture, fixtures and office equipment as of December 31, 2013 and 2012 included $11 million and $36 million, respectively, for costs incurred for software under development.</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Leases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lease property and equipment in the ordinary course of our business. Our most significant lease obligations are for property and equipment specific to our industry, including real property operated as a landfill, transfer station or waste-to-energy facility. Our leases have varying terms. Some may include renewal or purchase options, escalation clauses, restrictions, penalties or other obligations that we consider in determining minimum lease payments. The leases are classified as either operating leases or capital leases, as appropriate.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60"/>
          </w:cols>
          <w:pgMar w:left="240" w:top="459" w:right="2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i w:val="1"/>
          <w:iCs w:val="1"/>
          <w:color w:val="auto"/>
        </w:rPr>
        <w:t xml:space="preserve">Operating Leases (excluding landfills discussed below) </w:t>
      </w:r>
      <w:r>
        <w:rPr>
          <w:rFonts w:ascii="Arial" w:cs="Arial" w:eastAsia="Arial" w:hAnsi="Arial"/>
          <w:sz w:val="15"/>
          <w:szCs w:val="15"/>
          <w:color w:val="auto"/>
        </w:rPr>
        <w:t>— The majority of our leases are operating leases. This classification generally can be attributed to</w:t>
      </w:r>
      <w:r>
        <w:rPr>
          <w:rFonts w:ascii="Arial" w:cs="Arial" w:eastAsia="Arial" w:hAnsi="Arial"/>
          <w:sz w:val="15"/>
          <w:szCs w:val="15"/>
          <w:i w:val="1"/>
          <w:iCs w:val="1"/>
          <w:color w:val="auto"/>
        </w:rPr>
        <w:t xml:space="preserve"> </w:t>
      </w:r>
      <w:r>
        <w:rPr>
          <w:rFonts w:ascii="Arial" w:cs="Arial" w:eastAsia="Arial" w:hAnsi="Arial"/>
          <w:sz w:val="15"/>
          <w:szCs w:val="15"/>
          <w:color w:val="auto"/>
        </w:rPr>
        <w:t>either (i) relatively low fixed minimum lease payments as a result of real property lease obligations that vary based on the volume of waste we receive or process or (ii) minimum lease terms that are much shorter than the assets’ economic useful lives. Management expects that in the normal course of business our operating leases will be renewed, replaced by other leases, or replaced with fixed asset expenditures. Our rent expense during each of the last three years and our future minimum operating lease payments for each of the next five years for which we are contractually obligated as of December 31, 2013 are disclosed in Note 11.</w:t>
      </w:r>
    </w:p>
    <w:p>
      <w:pPr>
        <w:spacing w:after="0" w:line="1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Capital Leases </w:t>
      </w:r>
      <w:r>
        <w:rPr>
          <w:rFonts w:ascii="Arial" w:cs="Arial" w:eastAsia="Arial" w:hAnsi="Arial"/>
          <w:sz w:val="18"/>
          <w:szCs w:val="18"/>
          <w:color w:val="auto"/>
        </w:rPr>
        <w:t>(</w:t>
      </w:r>
      <w:r>
        <w:rPr>
          <w:rFonts w:ascii="Arial" w:cs="Arial" w:eastAsia="Arial" w:hAnsi="Arial"/>
          <w:sz w:val="18"/>
          <w:szCs w:val="18"/>
          <w:i w:val="1"/>
          <w:iCs w:val="1"/>
          <w:color w:val="auto"/>
        </w:rPr>
        <w:t xml:space="preserve">excluding landfills discussed below) </w:t>
      </w:r>
      <w:r>
        <w:rPr>
          <w:rFonts w:ascii="Arial" w:cs="Arial" w:eastAsia="Arial" w:hAnsi="Arial"/>
          <w:sz w:val="18"/>
          <w:szCs w:val="18"/>
          <w:color w:val="auto"/>
        </w:rPr>
        <w:t>— Assets under capital leases are capitalized using interest rates determined at the inception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lease and are amortized over either the useful life of the asset or the lease term, as appropriate, on a straight-line basis. The present value of the related lease payments is recorded as a debt obligation. Our future minimum annual capital lease payments are included in our total future debt obligations as disclosed in Note 7.</w:t>
      </w:r>
    </w:p>
    <w:p>
      <w:pPr>
        <w:spacing w:after="0" w:line="6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i w:val="1"/>
          <w:iCs w:val="1"/>
          <w:color w:val="auto"/>
        </w:rPr>
        <w:t xml:space="preserve">Landfill Leases </w:t>
      </w:r>
      <w:r>
        <w:rPr>
          <w:rFonts w:ascii="Arial" w:cs="Arial" w:eastAsia="Arial" w:hAnsi="Arial"/>
          <w:sz w:val="16"/>
          <w:szCs w:val="16"/>
          <w:color w:val="auto"/>
        </w:rPr>
        <w:t>— From an operating perspective, landfills that we lease are similar to landfills we own because generally we own the landfill’s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permit and will operate the landfill for the entire lease term, which in many cases is the life of the landfill. As a result, our landfill leases are generally capital leases. The most significant portion of our rental obligations for landfill leases is contingent upon operating factors such as disposal volumes and often there are no contractual minimum rental obligations. Contingent rental obligations are expensed as incurred. For landfill capital leases that provide for minimum contractual rental obligations, we record the present value of the minimum obligation as part of the landfill asset, which is amortized on a units-of-consumption basis over the shorter of the lease term or the life of the landfill.</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generally recognize assets acquired and liabilities assumed in business combinations, including contingent assets and liabilities, based on fair value estimates as of the date of acquisition.</w:t>
      </w:r>
    </w:p>
    <w:p>
      <w:pPr>
        <w:spacing w:after="0" w:line="5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Contingent Consideration — </w:t>
      </w:r>
      <w:r>
        <w:rPr>
          <w:rFonts w:ascii="Arial" w:cs="Arial" w:eastAsia="Arial" w:hAnsi="Arial"/>
          <w:sz w:val="16"/>
          <w:szCs w:val="16"/>
          <w:color w:val="auto"/>
        </w:rPr>
        <w:t>In certain acquisitions, we agree to pay additional amounts to sellers contingent upon achievement by the acquired businesses</w:t>
      </w:r>
      <w:r>
        <w:rPr>
          <w:rFonts w:ascii="Arial" w:cs="Arial" w:eastAsia="Arial" w:hAnsi="Arial"/>
          <w:sz w:val="16"/>
          <w:szCs w:val="16"/>
          <w:i w:val="1"/>
          <w:iCs w:val="1"/>
          <w:color w:val="auto"/>
        </w:rPr>
        <w:t xml:space="preserve"> </w:t>
      </w:r>
      <w:r>
        <w:rPr>
          <w:rFonts w:ascii="Arial" w:cs="Arial" w:eastAsia="Arial" w:hAnsi="Arial"/>
          <w:sz w:val="16"/>
          <w:szCs w:val="16"/>
          <w:color w:val="auto"/>
        </w:rPr>
        <w:t>of certain negotiated goals, such as targeted revenue levels, targeted disposal volumes or the issuance of permits for expanded landfill airspace. We have recognized liabilities for these contingent obligations based on their estimated fair value at the date of acquisition with any differences between the acquisition-date fair value and the ultimate settlement of the obligations being recognized as an adjustment to income from operations.</w:t>
      </w:r>
    </w:p>
    <w:p>
      <w:pPr>
        <w:spacing w:after="0" w:line="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i w:val="1"/>
          <w:iCs w:val="1"/>
          <w:color w:val="auto"/>
        </w:rPr>
        <w:t xml:space="preserve">Acquired Assets and Assumed Liabilities — </w:t>
      </w:r>
      <w:r>
        <w:rPr>
          <w:rFonts w:ascii="Arial" w:cs="Arial" w:eastAsia="Arial" w:hAnsi="Arial"/>
          <w:sz w:val="16"/>
          <w:szCs w:val="16"/>
          <w:color w:val="auto"/>
        </w:rPr>
        <w:t>Assets and liabilities arising from contingencies such as pre-acquisition environmental matters and litigation</w:t>
      </w:r>
      <w:r>
        <w:rPr>
          <w:rFonts w:ascii="Arial" w:cs="Arial" w:eastAsia="Arial" w:hAnsi="Arial"/>
          <w:sz w:val="16"/>
          <w:szCs w:val="16"/>
          <w:i w:val="1"/>
          <w:iCs w:val="1"/>
          <w:color w:val="auto"/>
        </w:rPr>
        <w:t xml:space="preserve"> </w:t>
      </w:r>
      <w:r>
        <w:rPr>
          <w:rFonts w:ascii="Arial" w:cs="Arial" w:eastAsia="Arial" w:hAnsi="Arial"/>
          <w:sz w:val="16"/>
          <w:szCs w:val="16"/>
          <w:color w:val="auto"/>
        </w:rPr>
        <w:t>are recognized at their acquisition-date fair value when their respective fair values can be determined. If the fair values of such contingencies cannot be determined, they are recognized at the acquisition date if the contingencies are probable and an amount can be reasonably estimated.</w:t>
      </w:r>
    </w:p>
    <w:p>
      <w:pPr>
        <w:spacing w:after="0" w:line="26"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Acquisition-date fair value estimates are revised as necessary and accounted for as an adjustment to income from operations if, and when, additional information regarding these contingencies becomes available to further define and quantify assets acquired and liabilities assumed. All acquisition-related transaction costs have been expensed as incurred.</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Goodwill is the excess of our purchase cost over the fair value of the net assets of acquired businesses. We do not amortize goodwill, but as discussed in the “Asset Impairments” section below, we assess our goodwill for impairment at least annually.</w:t>
      </w:r>
    </w:p>
    <w:p>
      <w:pPr>
        <w:spacing w:after="0" w:line="5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Other intangible assets consist primarily of customer and supplier relationships, covenants not-to-compete, licenses, permits (other than landfill permits, as all landfill-related intangible assets are combined with landfill tangible assets and amortized using our landfill amortization policy), and other contracts. Other intangible assets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are recorded at fair value and are generally amortized using either a 150% declining balance approach or a straight-line basis as we determine appropriate. Customer and supplier relationships are typically amortized over a term ranging between 10 and 15 years. Covenants not-to-compete are amortized over the term of the non-compete covenant, which is generally two to five years. Licenses, permits and other contracts are amortized over the definitive terms of the related agreements. If the underlying agreement does not contain definitive terms and the useful life is determined to be indefinite, the asset is not amortized.</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Impairments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monitor the carrying value of our long-lived assets for potential impairment on a nonrecurring basis and test the recoverability of such assets using significant unobservable (“Level 3”) inputs whenever events or changes in circumstances indicate that their 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Fair value is generally determined by considering (i) internally developed discounted projected cash flow analysis of the asset or asset group; (ii) actual third-party valuations and/or (iii) information available regarding the current market for similar assets. If the fair value of an asset or asset group is determined to be less than the carrying amount of the asset or asset group, an impairment in the amount of the difference is recorded in the period that the impairment indicator occurs and is included in the “Goodwill impairments” and “(Income) expense from divestitures, asset impairments (other than goodwill) and unusual items” line items in our Consolidated Statement of Operations. Estimating future cash flows requires significant judgment and projections may vary from the cash flows eventually realized, which could impact our ability to accurately assess whether an asset has been impaired.</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additional considerations for impairments of landfills, goodwill and other indefinite-lived intangible assets, as described below.</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Landfills </w:t>
      </w:r>
      <w:r>
        <w:rPr>
          <w:rFonts w:ascii="Arial" w:cs="Arial" w:eastAsia="Arial" w:hAnsi="Arial"/>
          <w:sz w:val="16"/>
          <w:szCs w:val="16"/>
          <w:color w:val="auto"/>
        </w:rPr>
        <w:t>— The assessment of impairment indicators and the recoverability of our capitalized costs associated with landfills and related expansion projects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 At December 31, 2013, one of our landfill sites for which we believe receipt of the expansion permit is probable, is not currently accepting waste. The net recorded capitalized landfill asset cost for this site was $261 million at December 31, 2013. We performed a test of recoverability for this landfill and the undiscounted cash flows resulting from our probability-weighted estimation approach significantly exceeded the carrying value of this site. During the year ended December 31, 2013, we recognized $262 million of charges to impair certain of our landfills, primarily as a result of our consideration of management’s decision in the fourth quarter of 2013 not to actively pursue expansion and/or development of such landfills. These charges were primarily associated with two landfills in our Eastern Canada Area, which are no longer accepting waste. We had previously concluded that receipt of permits for these landfills was probable. However, in connection with our asset rationalization and capital allocation analysis, which was influenced, in some cases, by our acquisition of RCI, we determined that the future costs to construct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these landfills could be avoided as we are able to allocate disposal that would have gone to these landfills to other facilities and not materially impact operations. As a result of management’s decision, we determined that the carrying values of landfill assets were no longer able to be recovered by the undiscounted cash flows attributable to these assets. As such, we wrote their carrying values down to their estimated fair values using a market approach considering the highest and best use of the assets.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 13 for additional information related to landfill asset impairments recognized during the reported periods.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 At least annually, and more frequently if warranted on a nonrecurring basis, we assess our goodwill for impairment using Level 3 inputs.</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assess whether a goodwill impairment exists using both qualitative and quantitative assessments. Our qualitative assessment involves determining whether events or circumstances exist that indicate it is more likely than not that the fair value of a reporting unit is less than its carrying amount, including goodwill. If based on this qualitative assessment we determine it is not more likely than not that the fair value of a reporting unit is less than its carrying amount, we will not perform a quantitative assessment.</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qualitative assessment indicates that it is more likely than not that the fair value of a reporting unit is less than its carrying amount or if we elect not to perform a qualitative assessment, we perform a quantitative assessment, or two-step impairment test, to determine whether a goodwill impairment exists at the reporting unit. The first step in our quantitative assessment identifies potential impairments by comparing the estimated fair value of the reporting unit to its carrying value, including goodwill. If the carrying value exceeds estimated fair value, there is an indication of potential impairment and the second step is performed to measure the amount of impairment. Fair value is typically estimated using a combination of the income approach and market approach or only an income approach when applicable. The income approach is based on the long-term projected future cash flows of the reporting units. We discount the estimated cash flows to present value using a weighted-average cost of capital that considers factors such as market assumptions, the timing of the cash flows and the risks inherent in those cash flows. We believe that this approach is appropriate because it provides a fair value estimate based upon the reporting units’ expected long-term performance considering the economic and market conditions that generally affect our business. The market approach estimates fair value by measuring the aggregate market value of publicly-traded companies with similar characteristics to our business as a multiple of their reported cash flows. We then apply that multiple to the reporting units’ cash flows to estimate their fair values. We believe that this approach is appropriate because it provides a fair value estimate using valuation inputs from entities with operations and economic characteristics comparable to our reporting units.</w:t>
      </w:r>
    </w:p>
    <w:p>
      <w:pPr>
        <w:spacing w:after="0" w:line="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Fair value computed by these two methods is arrived at using a number of factors, including projected future operating results, economic projections, anticipated future cash flows, comparable marketplace data and the cost of capital. There are inherent uncertainties related to these factors and to our judgment in applying them to this analysis. However, we believe that these two methods provide a reasonable approach to estimating the fair value of our reporting units.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Notes 6 and 13 for additional information related to goodwill impairments recognized during the reported periods.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 xml:space="preserve">Indefinite-Lived Intangible Assets Other Than Goodwill </w:t>
      </w:r>
      <w:r>
        <w:rPr>
          <w:rFonts w:ascii="Arial" w:cs="Arial" w:eastAsia="Arial" w:hAnsi="Arial"/>
          <w:sz w:val="18"/>
          <w:szCs w:val="18"/>
          <w:color w:val="auto"/>
        </w:rPr>
        <w:t>— At least annually, and more frequently if warranted, we assess indefinite-lived intangible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goodwill for impairment.</w:t>
      </w:r>
    </w:p>
    <w:p>
      <w:pPr>
        <w:spacing w:after="0" w:line="5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When performing the impairment test for indefinite-lived intangible assets, we generally first conduct a qualitative analysis to determine whether we believe it is more likely than not that an asset has been impaired. If we believe an impairment has occurred, we then evaluate for impairment by comparing the estimated fair value of assets to the carrying value. An impairment charge is recognized if the asset’s estimated fair value is less than its carrying value.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Fair value is typically estimated using an income approach. The income approach is based on the long-term projected future cash flows. We discount the estimated cash flows to present value using a weighted-average cost of capital that considers factors such as market assumptions, the timing of the cash flows and the risks inherent in those cash flows. We believe that this approach is appropriate because it provides a fair value estimate based upon the expected long-term performance considering the economic and market conditions that generally affect our business.</w:t>
      </w:r>
    </w:p>
    <w:p>
      <w:pPr>
        <w:spacing w:after="0" w:line="32"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Fair value computed by this method is arrived at using a number of factors, including projected future operating results, economic projections, anticipated future cash flows, comparable marketplace data and the cost of capital. There are inherent uncertainties related to these factors and to our judgment in applying them to this analysis. However, we believe that this method provides a reasonable approach to estimating the fair value of the reporting units.</w:t>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Trust and Escrow Accounts</w:t>
      </w:r>
    </w:p>
    <w:p>
      <w:pPr>
        <w:spacing w:after="0" w:line="90"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As of December 31, 2013, our restricted trust and escrow accounts consist principally of funds deposited for purposes of settling landfill final capping, closure, post-closure and environmental remediation obligations. We often also have restricted trust and escrow account balances related to funds received from the issuance of tax-exempt bonds held in trust for the construction of various projects or facilities. As of December 31, 2013 and 2012, we had $167 million and $138 million, respectively, of restricted trust and escrow accounts, which are primarily included in long-term “Other assets” in our Consolidated Balance Sheets.</w:t>
      </w:r>
    </w:p>
    <w:p>
      <w:pPr>
        <w:spacing w:after="0" w:line="1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 xml:space="preserve">Final Capping, Closure, Post-Closure and Environmental Remediation Funds </w:t>
      </w:r>
      <w:r>
        <w:rPr>
          <w:rFonts w:ascii="Arial" w:cs="Arial" w:eastAsia="Arial" w:hAnsi="Arial"/>
          <w:sz w:val="16"/>
          <w:szCs w:val="16"/>
          <w:color w:val="auto"/>
        </w:rPr>
        <w:t>— At several of our landfills, we provide financial assurance by depositing</w:t>
      </w:r>
      <w:r>
        <w:rPr>
          <w:rFonts w:ascii="Arial" w:cs="Arial" w:eastAsia="Arial" w:hAnsi="Arial"/>
          <w:sz w:val="16"/>
          <w:szCs w:val="16"/>
          <w:i w:val="1"/>
          <w:iCs w:val="1"/>
          <w:color w:val="auto"/>
        </w:rPr>
        <w:t xml:space="preserve"> </w:t>
      </w:r>
      <w:r>
        <w:rPr>
          <w:rFonts w:ascii="Arial" w:cs="Arial" w:eastAsia="Arial" w:hAnsi="Arial"/>
          <w:sz w:val="16"/>
          <w:szCs w:val="16"/>
          <w:color w:val="auto"/>
        </w:rPr>
        <w:t>cash into restricted trust funds or escrow accounts for purposes of settling final capping, closure, post-closure and environmental remediation obligations. Balances maintained in these trust funds and escrow accounts will fluctuate based on (i) changes in statutory requirements; (ii) future deposits made to comply with contractual arrangements; (iii) the ongoing use of funds for qualifying final capping, closure, post-closure and environmental remediation activities; (iv) acquisitions or divestitures of landfills and (v) changes in the fair value of the financial instruments held in the trust fund or escrow accounts.</w:t>
      </w:r>
    </w:p>
    <w:p>
      <w:pPr>
        <w:spacing w:after="0" w:line="35"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i w:val="1"/>
          <w:iCs w:val="1"/>
          <w:color w:val="auto"/>
        </w:rPr>
        <w:t xml:space="preserve">Tax-Exempt Bond Funds </w:t>
      </w:r>
      <w:r>
        <w:rPr>
          <w:rFonts w:ascii="Arial" w:cs="Arial" w:eastAsia="Arial" w:hAnsi="Arial"/>
          <w:sz w:val="15"/>
          <w:szCs w:val="15"/>
          <w:color w:val="auto"/>
        </w:rPr>
        <w:t>— We obtain funds from the issuance of industrial revenue bonds for the construction of disposal facilities and for equipment</w:t>
      </w:r>
      <w:r>
        <w:rPr>
          <w:rFonts w:ascii="Arial" w:cs="Arial" w:eastAsia="Arial" w:hAnsi="Arial"/>
          <w:sz w:val="15"/>
          <w:szCs w:val="15"/>
          <w:i w:val="1"/>
          <w:iCs w:val="1"/>
          <w:color w:val="auto"/>
        </w:rPr>
        <w:t xml:space="preserve"> </w:t>
      </w:r>
      <w:r>
        <w:rPr>
          <w:rFonts w:ascii="Arial" w:cs="Arial" w:eastAsia="Arial" w:hAnsi="Arial"/>
          <w:sz w:val="15"/>
          <w:szCs w:val="15"/>
          <w:color w:val="auto"/>
        </w:rPr>
        <w:t>necessary to provide waste management services. Proceeds from these arrangements are directly deposited into trust accounts, and we do not have the ability to use the funds in regular operating activities. Accordingly, these borrowings are treated as non-cash financing activities and are excluded from our Consolidated Statements of Cash Flows. As our construction and equipment expenditures are documented and approved by the applicable bond trustee, the funds are released and we receive a cash reimbursement. These cash reimbursements are reported in the Consolidated Statements of Cash Flows as an investing activity when the cash is released from the trust funds. Generally, the funds are fully expended within one year of the debt issuance. When the debt matures, we generally repay our obligation with cash on hand and the debt repayments are included as a financing activity in the Consolidated Statements of Cash Flows.</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 in Unconsolidated Entities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Investments in unconsolidated entities over which the Company has significant influence are accounted for under the equity method of accounting. Investments in entities in which the Company does not have the ability to exert significant influence over the investees’ operating and financing activities are accounted for under the cost method of accounting. In addition to equity investments in unconsolidated subsidiaries, we support these ventures through loans and advances. These loans and advances are included as a component of “Other” within the “Net cash provided by investing activities” in our Consolidated Statement of Cash Flows. The following table summarizes our equity and cost method investments as of December 31 (in millions):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2013</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9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investments(a)</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$437</w:t>
            </w:r>
          </w:p>
        </w:tc>
        <w:tc>
          <w:tcPr>
            <w:tcW w:w="5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Cost investments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5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9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Investments in unconsolidated entities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591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667</w:t>
            </w: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9"/>
        </w:trPr>
        <w:tc>
          <w:tcPr>
            <w:tcW w:w="4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8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19" w:lineRule="exact"/>
        <w:rPr>
          <w:sz w:val="20"/>
          <w:szCs w:val="20"/>
          <w:color w:val="auto"/>
        </w:rPr>
      </w:pPr>
    </w:p>
    <w:p>
      <w:pPr>
        <w:ind w:left="460" w:right="120" w:hanging="452"/>
        <w:spacing w:after="0" w:line="306"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amount reported in 2013 includes $177 million attributable to our 2010 investment in Shanghai Environment Group (“SEG”), which is part of our Wheelabrator business. Based on our intent to sell our investment in SEG within the next 12 months, this investment has been classified as a current asset and reflected in “Investment in unconsolidated entity” in our Consolidated Balance Sheet as of December 31, 2013.</w:t>
      </w:r>
    </w:p>
    <w:p>
      <w:pPr>
        <w:spacing w:after="0" w:line="26"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We monitor and assess the carrying value of our investments throughout the year for potential impairment and write them down to their fair value when other-than-temporary declines exist. Fair value is generally based on (i) other third-party investors’ recent transactions in the securities; (ii) other information available regarding the current market for similar assets and/or (iii) a market or income approach as deemed appropriate.</w:t>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operations in Canada as well as a cost center in India and investments in China, the United Kingdom and Hong Kong. Local currencies generally are considered the functional currencies of our operations and investments outside the United States. The assets and liabilities of our foreign operations are translated to U.S. dollars using the exchange rate at the balance sheet date. Revenues and expenses are translated to U.S. dollars using the average exchange rate during the period. The resulting translation difference is reflected as a component of comprehensive income. The foreign currency exposure associated with our investments has not been material.</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primarily use derivative financial instruments to manage our risk associated with fluctuations in interest rates, foreign currency exchange rates and market prices for electricity. We use interest rate swaps to maintain a strategic portion of our long-term debt obligations at variable, market-driven interest rates. In prior years, we entered into interest rate derivatives in anticipation of senior note issuances planned for 2010 through 2014 to effectively lock in a fixed interest rate for those anticipated issuances. Foreign currency exchange rate derivatives are used to hedge our exposure to changes in exchange rates for anticipated intercompany debt transactions, and related interest payments, between Waste Management Holdings, Inc., a wholly-owned subsidiary (“WM Holdings”), and its Canadian subsidiaries. We use electricity commodity derivatives to mitigate the variability in our revenues and cash flows caused by fluctuations in the market prices for electricity. The financial statement impacts of our derivatives are discussed in Notes 8 and 14.</w:t>
      </w:r>
    </w:p>
    <w:p>
      <w:pPr>
        <w:spacing w:after="0" w:line="3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obtain current valuations of our interest rate, foreign currency and electricity commodity hedging instruments from third-party pricing models. The estimated fair values of derivatives used to hedge risks fluctuate over time and should be viewed in relation to the underlying hedged transaction and the overall management of our exposure to fluctuations in the underlying risks. The fair value of derivatives is included in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other current assets, other long-term assets, accrued liabilities or other long-term liabilities, as appropriate. Any ineffectiveness present in either fair value or cash flow hedges is recognized immediately in earnings without offset. There was no significant ineffectiveness in 2013, 2012 or 2011.</w:t>
      </w:r>
    </w:p>
    <w:p>
      <w:pPr>
        <w:spacing w:after="0" w:line="4" w:lineRule="exact"/>
        <w:rPr>
          <w:sz w:val="20"/>
          <w:szCs w:val="20"/>
          <w:color w:val="auto"/>
        </w:rPr>
      </w:pPr>
    </w:p>
    <w:p>
      <w:pPr>
        <w:ind w:left="700" w:right="60" w:hanging="246"/>
        <w:spacing w:after="0" w:line="253" w:lineRule="auto"/>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Interest Rate Derivatives </w:t>
      </w:r>
      <w:r>
        <w:rPr>
          <w:rFonts w:ascii="Arial" w:cs="Arial" w:eastAsia="Arial" w:hAnsi="Arial"/>
          <w:sz w:val="18"/>
          <w:szCs w:val="18"/>
          <w:color w:val="auto"/>
        </w:rPr>
        <w:t>— Our previously outstanding “receive fixed, pay variable” interest rate swaps associated with outstanding fixed-rate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have been designated as fair value hedges for accounting purposes. Accordingly, derivative assets are accounted for as an increase in the carrying value of our underlying debt obligations and derivative liabilities are accounted for as a decrease in the carrying value of our underlying debt instruments. These fair value adjustments are deferred and recognized as an adjustment to interest expense over the remaining term of the hedged instruments. Treasury locks and forward-starting swaps executed in prior years were designated as cash flow hedges for accounting purposes. Unrealized changes in the fair value of these derivative instruments are recorded in “Accumulated other comprehensive income” within the equity section of our Consolidated Balance Sheets. The associated balance in other comprehensive income is reclassified to earnings as the hedged cash flows occur.</w:t>
      </w:r>
    </w:p>
    <w:p>
      <w:pPr>
        <w:spacing w:after="0" w:line="64" w:lineRule="exact"/>
        <w:rPr>
          <w:rFonts w:ascii="Arial" w:cs="Arial" w:eastAsia="Arial" w:hAnsi="Arial"/>
          <w:sz w:val="18"/>
          <w:szCs w:val="18"/>
          <w:color w:val="auto"/>
        </w:rPr>
      </w:pPr>
    </w:p>
    <w:p>
      <w:pPr>
        <w:ind w:left="700" w:right="60" w:hanging="246"/>
        <w:spacing w:after="0" w:line="294" w:lineRule="auto"/>
        <w:tabs>
          <w:tab w:leader="none" w:pos="700"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 xml:space="preserve">Foreign Currency Derivatives </w:t>
      </w:r>
      <w:r>
        <w:rPr>
          <w:rFonts w:ascii="Arial" w:cs="Arial" w:eastAsia="Arial" w:hAnsi="Arial"/>
          <w:sz w:val="16"/>
          <w:szCs w:val="16"/>
          <w:color w:val="auto"/>
        </w:rPr>
        <w:t>— Our foreign currency derivatives have been designated as cash flow hedges for accounting purposes, which results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unrealized changes in the fair value of the derivative instruments being recorded in “Accumulated other comprehensive income” within the equity section of our Consolidated Balance Sheets. The associated balance in other comprehensive income is reclassified to earnings as the hedged cash flows affect earnings. In each of the periods presented, these derivatives have effectively mitigated the impacts of the hedged transactions, resulting in immaterial impacts to our results of operations for the periods presented.</w:t>
      </w:r>
    </w:p>
    <w:p>
      <w:pPr>
        <w:spacing w:after="0" w:line="34" w:lineRule="exact"/>
        <w:rPr>
          <w:rFonts w:ascii="Arial" w:cs="Arial" w:eastAsia="Arial" w:hAnsi="Arial"/>
          <w:sz w:val="16"/>
          <w:szCs w:val="16"/>
          <w:color w:val="auto"/>
        </w:rPr>
      </w:pPr>
    </w:p>
    <w:p>
      <w:pPr>
        <w:ind w:left="700" w:hanging="246"/>
        <w:spacing w:after="0" w:line="256" w:lineRule="auto"/>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Electricity Commodity Derivatives </w:t>
      </w:r>
      <w:r>
        <w:rPr>
          <w:rFonts w:ascii="Arial" w:cs="Arial" w:eastAsia="Arial" w:hAnsi="Arial"/>
          <w:sz w:val="18"/>
          <w:szCs w:val="18"/>
          <w:color w:val="auto"/>
        </w:rPr>
        <w:t>— Our “receive fixed, pay variable” electricity commodity swaps have been designated as cash flow hedges for</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purposes. The effective portion of the electricity commodity swap gains or losses is initially reported as a component of “Accumulated other comprehensive income” within the equity section of our Consolidated Balance Sheets and subsequently reclassified into earnings when the forecasted transactions affect earnings.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Insured and Self-Insured Claims</w:t>
      </w:r>
    </w:p>
    <w:p>
      <w:pPr>
        <w:spacing w:after="0" w:line="90" w:lineRule="exact"/>
        <w:rPr>
          <w:sz w:val="20"/>
          <w:szCs w:val="20"/>
          <w:color w:val="auto"/>
        </w:rPr>
      </w:pPr>
    </w:p>
    <w:p>
      <w:pPr>
        <w:ind w:right="480" w:firstLine="456"/>
        <w:spacing w:after="0" w:line="291" w:lineRule="auto"/>
        <w:rPr>
          <w:sz w:val="20"/>
          <w:szCs w:val="20"/>
          <w:color w:val="auto"/>
        </w:rPr>
      </w:pPr>
      <w:r>
        <w:rPr>
          <w:rFonts w:ascii="Arial" w:cs="Arial" w:eastAsia="Arial" w:hAnsi="Arial"/>
          <w:sz w:val="16"/>
          <w:szCs w:val="16"/>
          <w:color w:val="auto"/>
        </w:rPr>
        <w:t>We have retained a significant portion of the risks related to our health and welfare, automobile, general liability and workers’ compensation claims programs. The exposure for unpaid claims and associated expenses, including incurred but not reported losses, generally is estimated with the assistance of external actuaries and by factoring in pending claims and historical trends and data. The gross estimated liability associated with settling unpaid claims is included in “Accrued liabilities” in our Consolidated Balance Sheets if expected to be settled within one year, or otherwise is included in long-term “Other liabilities.” Estimated insurance recoveries related to recorded liabilities are reflected as current “Other receivables” or long-term “Other assets” in our Consolidated Balance Sheets when we believe that the receipt of such amounts is probable.</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revenues are generated from the fees we charge for waste collection, transfer, disposal and recycling and resource recovery services; from the sale of electricity, steam, and landfill gas, which are byproducts of our waste-to-energy and landfill operations; and from the sale of recyclable commodities, oil and gas and organic lawn and garden products. The fees charged for our services are generally defined in our service agreements and vary based on contract-specific terms such as frequency of service, weight, volume and the general market factors influencing a region’s rates. The fees we charge for our services generally include fuel surcharges, which are intended to pass through to customers increased direct and indirect costs incurred because of changes in market prices for fuel. We generally recognize revenue as services are performed or products are delivered. For example, revenue typically is recognized as waste is collected, tons are received at our landfills or transfer stations, recycling commodities are delivered or as kilowatts are delivered to a customer by a waste-to-energy facility or independent power production plant.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Tangible product revenues primarily include the sale of recyclable commodities at our material recovery facilities and through our recycling brokerage services and, to a lesser extent, sales of oil and gas, metals and organic lawn and garden products.</w:t>
      </w:r>
    </w:p>
    <w:p>
      <w:pPr>
        <w:spacing w:after="0" w:line="5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bill for certain services prior to performance. Such services include, among others, certain residential contracts that are billed on a quarterly basis and equipment rentals. These advance billings are included in deferred revenues and recognized as revenue in the period service is provided.</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capitalize interest on certain projects under development, including internal-use software and landfill expansion projects, and on certain assets under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construction, including operating landfills, landfill gas-to-energy projects and waste-to-energy facilities. During 2013, 2012 and 2011, total interest costs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 million, $509 million and $503 million, respectively, of which $19 million was capitalized in 2013, $21 million was capitalized in 2012 and $22 million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capitalized in 2011. In 2013, 2012 and 2011, interest was capitalized primarily for landfill construction costs and landfill gas-to-energy construction projects.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Company is subject to income tax in the United States, Canada, the United Kingdom and Puerto Rico. Current tax obligations associated with our provision for income taxes are reflected in the accompanying Consolidated Balance Sheets as a component of “Accrued liabilities” and the deferred tax obligations are reflected in “Deferred income taxes.”</w:t>
      </w:r>
    </w:p>
    <w:p>
      <w:pPr>
        <w:spacing w:after="0" w:line="59" w:lineRule="exact"/>
        <w:rPr>
          <w:sz w:val="20"/>
          <w:szCs w:val="20"/>
          <w:color w:val="auto"/>
        </w:rPr>
      </w:pPr>
    </w:p>
    <w:p>
      <w:pPr>
        <w:jc w:val="both"/>
        <w:ind w:right="80" w:firstLine="456"/>
        <w:spacing w:after="0" w:line="314" w:lineRule="auto"/>
        <w:rPr>
          <w:sz w:val="20"/>
          <w:szCs w:val="20"/>
          <w:color w:val="auto"/>
        </w:rPr>
      </w:pPr>
      <w:r>
        <w:rPr>
          <w:rFonts w:ascii="Arial" w:cs="Arial" w:eastAsia="Arial" w:hAnsi="Arial"/>
          <w:sz w:val="15"/>
          <w:szCs w:val="15"/>
          <w:color w:val="auto"/>
        </w:rPr>
        <w:t>Deferred income taxes are based on the difference between the financial reporting and tax basis of assets and liabilities. The deferred income tax provision represents the change during the reporting period in the deferred tax assets and deferred tax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 Significant judgment is required in assessing the timing and amounts of deductible and taxable items. We establish reserves for uncertain tax positions when, despite our belief that our tax return positions are fully supportable, we believe that certain positions may be challenged and potentially disallowed. When facts and circumstances change, we adjust these reserves through our provision for income taxes.</w:t>
      </w:r>
    </w:p>
    <w:p>
      <w:pPr>
        <w:spacing w:after="0" w:line="2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To the extent interest and penalties may be assessed by taxing authorities on any underpayment of income tax, such amounts have been accrued and are classified as a component of income tax expense in our Consolidated Statements of Operations.</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estimate the amount of potential exposure we may have with respect to claims, assessments and litigation in accordance with GAAP. We are party to pending or threatened legal proceedings covering a wide range of matters in various jurisdictions. It is difficult to predict the outcome of litigation, as it is subject to many uncertainties. Additionally, it is not always possible for management to make a meaningful estimate of the potential loss or range of loss associated with such contingencies.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20" w:type="dxa"/>
            <w:vAlign w:val="bottom"/>
            <w:vMerge w:val="restart"/>
          </w:tcPr>
          <w:p>
            <w:pPr>
              <w:spacing w:after="0"/>
              <w:rPr>
                <w:sz w:val="20"/>
                <w:szCs w:val="20"/>
                <w:color w:val="auto"/>
              </w:rPr>
            </w:pPr>
            <w:r>
              <w:rPr>
                <w:rFonts w:ascii="Arial" w:cs="Arial" w:eastAsia="Arial" w:hAnsi="Arial"/>
                <w:sz w:val="14"/>
                <w:szCs w:val="14"/>
                <w:b w:val="1"/>
                <w:bCs w:val="1"/>
                <w:color w:val="auto"/>
              </w:rPr>
              <w:t>Cash paid during the year (in millions):</w:t>
            </w:r>
          </w:p>
        </w:tc>
        <w:tc>
          <w:tcPr>
            <w:tcW w:w="780" w:type="dxa"/>
            <w:vAlign w:val="bottom"/>
          </w:tcPr>
          <w:p>
            <w:pPr>
              <w:spacing w:after="0"/>
              <w:rPr>
                <w:sz w:val="14"/>
                <w:szCs w:val="14"/>
                <w:color w:val="auto"/>
              </w:rPr>
            </w:pPr>
          </w:p>
        </w:tc>
        <w:tc>
          <w:tcPr>
            <w:tcW w:w="2300" w:type="dxa"/>
            <w:vAlign w:val="bottom"/>
            <w:gridSpan w:val="7"/>
          </w:tcPr>
          <w:p>
            <w:pPr>
              <w:ind w:left="3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74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7"/>
              </w:rPr>
              <w:t>Interest, net of capitalized interest and periodic settlements from interest rate swap agreements</w:t>
            </w:r>
          </w:p>
        </w:tc>
        <w:tc>
          <w:tcPr>
            <w:tcW w:w="7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$ 478</w:t>
            </w:r>
          </w:p>
        </w:tc>
        <w:tc>
          <w:tcPr>
            <w:tcW w:w="4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$ 485</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20" w:type="dxa"/>
            <w:vAlign w:val="bottom"/>
          </w:tcPr>
          <w:p>
            <w:pPr>
              <w:spacing w:after="0"/>
              <w:rPr>
                <w:sz w:val="20"/>
                <w:szCs w:val="20"/>
                <w:color w:val="auto"/>
              </w:rPr>
            </w:pPr>
            <w:r>
              <w:rPr>
                <w:rFonts w:ascii="Arial" w:cs="Arial" w:eastAsia="Arial" w:hAnsi="Arial"/>
                <w:sz w:val="18"/>
                <w:szCs w:val="18"/>
                <w:color w:val="auto"/>
              </w:rPr>
              <w:t>Income taxes</w:t>
            </w:r>
          </w:p>
        </w:tc>
        <w:tc>
          <w:tcPr>
            <w:tcW w:w="1660" w:type="dxa"/>
            <w:vAlign w:val="bottom"/>
            <w:gridSpan w:val="3"/>
          </w:tcPr>
          <w:p>
            <w:pPr>
              <w:jc w:val="right"/>
              <w:ind w:right="480"/>
              <w:spacing w:after="0"/>
              <w:rPr>
                <w:sz w:val="20"/>
                <w:szCs w:val="20"/>
                <w:color w:val="auto"/>
              </w:rPr>
            </w:pPr>
            <w:r>
              <w:rPr>
                <w:rFonts w:ascii="Arial" w:cs="Arial" w:eastAsia="Arial" w:hAnsi="Arial"/>
                <w:sz w:val="18"/>
                <w:szCs w:val="18"/>
                <w:color w:val="auto"/>
              </w:rPr>
              <w:t>511</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366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7420" w:type="dxa"/>
            <w:vAlign w:val="bottom"/>
          </w:tcPr>
          <w:p>
            <w:pPr>
              <w:jc w:val="right"/>
              <w:ind w:right="1997"/>
              <w:spacing w:after="0"/>
              <w:rPr>
                <w:sz w:val="20"/>
                <w:szCs w:val="20"/>
                <w:color w:val="auto"/>
              </w:rPr>
            </w:pPr>
            <w:r>
              <w:rPr>
                <w:rFonts w:ascii="Arial" w:cs="Arial" w:eastAsia="Arial" w:hAnsi="Arial"/>
                <w:sz w:val="18"/>
                <w:szCs w:val="18"/>
                <w:color w:val="auto"/>
              </w:rPr>
              <w:t>97</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years ended December 31, 2013 and 2011, non-cash activities included proceeds from tax-exempt borrowings, net of principal payments made directly from trust funds, of $99 million and $100 million, respectively. During 2012, we did not have any significant non-cash activities. Non-cash investing and financing activities are excluded from the Consolidated Statements of Cash Flows.</w:t>
      </w:r>
    </w:p>
    <w:p>
      <w:pPr>
        <w:spacing w:after="0" w:line="1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Landfill and Environmental Remediation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left="122"/>
              <w:spacing w:after="0"/>
              <w:rPr>
                <w:sz w:val="20"/>
                <w:szCs w:val="20"/>
                <w:color w:val="auto"/>
              </w:rPr>
            </w:pPr>
            <w:r>
              <w:rPr>
                <w:rFonts w:ascii="Arial" w:cs="Arial" w:eastAsia="Arial" w:hAnsi="Arial"/>
                <w:sz w:val="14"/>
                <w:szCs w:val="14"/>
                <w:b w:val="1"/>
                <w:bCs w:val="1"/>
                <w:color w:val="auto"/>
                <w:w w:val="87"/>
              </w:rPr>
              <w:t>December 31, 2013</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December 31, 2012</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88"/>
              </w:rPr>
              <w:t>Environmental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Environmental</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396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6"/>
              </w:rPr>
              <w:t>Landfill</w:t>
            </w:r>
          </w:p>
        </w:tc>
        <w:tc>
          <w:tcPr>
            <w:tcW w:w="540" w:type="dxa"/>
            <w:vAlign w:val="bottom"/>
          </w:tcPr>
          <w:p>
            <w:pPr>
              <w:spacing w:after="0"/>
              <w:rPr>
                <w:sz w:val="14"/>
                <w:szCs w:val="14"/>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Remediation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3"/>
              </w:rPr>
              <w:t>Total</w:t>
            </w: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Landfill</w:t>
            </w:r>
          </w:p>
        </w:tc>
        <w:tc>
          <w:tcPr>
            <w:tcW w:w="540" w:type="dxa"/>
            <w:vAlign w:val="bottom"/>
          </w:tcPr>
          <w:p>
            <w:pPr>
              <w:spacing w:after="0"/>
              <w:rPr>
                <w:sz w:val="14"/>
                <w:szCs w:val="14"/>
                <w:color w:val="auto"/>
              </w:rPr>
            </w:pPr>
          </w:p>
        </w:tc>
        <w:tc>
          <w:tcPr>
            <w:tcW w:w="14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Remediation</w:t>
            </w: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r>
      <w:tr>
        <w:trPr>
          <w:trHeight w:val="210"/>
        </w:trPr>
        <w:tc>
          <w:tcPr>
            <w:tcW w:w="3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(in accrued liabilities)</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5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Long-term</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1,326</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1,518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1,234</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1,459</w:t>
            </w:r>
          </w:p>
        </w:tc>
        <w:tc>
          <w:tcPr>
            <w:tcW w:w="100" w:type="dxa"/>
            <w:vAlign w:val="bottom"/>
          </w:tcPr>
          <w:p>
            <w:pPr>
              <w:spacing w:after="0"/>
              <w:rPr>
                <w:sz w:val="18"/>
                <w:szCs w:val="18"/>
                <w:color w:val="auto"/>
              </w:rPr>
            </w:pPr>
          </w:p>
        </w:tc>
      </w:tr>
      <w:tr>
        <w:trPr>
          <w:trHeight w:val="27"/>
        </w:trPr>
        <w:tc>
          <w:tcPr>
            <w:tcW w:w="3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1,421</w:t>
            </w:r>
          </w:p>
        </w:tc>
        <w:tc>
          <w:tcPr>
            <w:tcW w:w="88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1,648</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1,338</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1,591</w:t>
            </w:r>
          </w:p>
        </w:tc>
        <w:tc>
          <w:tcPr>
            <w:tcW w:w="100" w:type="dxa"/>
            <w:vAlign w:val="bottom"/>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420" w:firstLine="456"/>
        <w:spacing w:after="0" w:line="268" w:lineRule="auto"/>
        <w:rPr>
          <w:sz w:val="20"/>
          <w:szCs w:val="20"/>
          <w:color w:val="auto"/>
        </w:rPr>
      </w:pPr>
      <w:r>
        <w:rPr>
          <w:rFonts w:ascii="Arial" w:cs="Arial" w:eastAsia="Arial" w:hAnsi="Arial"/>
          <w:sz w:val="18"/>
          <w:szCs w:val="18"/>
          <w:color w:val="auto"/>
        </w:rPr>
        <w:t>The changes to landfill and environmental remediation liabilities for the years ended December 31, 2012 and 2013 are reflected in the table below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8"/>
              </w:rPr>
              <w:t>Environmental</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Landfill</w:t>
            </w:r>
          </w:p>
        </w:tc>
        <w:tc>
          <w:tcPr>
            <w:tcW w:w="44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Remediation</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1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2011</w:t>
            </w:r>
          </w:p>
        </w:tc>
        <w:tc>
          <w:tcPr>
            <w:tcW w:w="18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$1,292</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ind w:left="220"/>
              <w:spacing w:after="0"/>
              <w:rPr>
                <w:sz w:val="20"/>
                <w:szCs w:val="20"/>
                <w:color w:val="auto"/>
              </w:rPr>
            </w:pPr>
            <w:r>
              <w:rPr>
                <w:rFonts w:ascii="Arial" w:cs="Arial" w:eastAsia="Arial" w:hAnsi="Arial"/>
                <w:sz w:val="18"/>
                <w:szCs w:val="18"/>
                <w:color w:val="auto"/>
              </w:rPr>
              <w:t>Obligations incurred and capitalized</w:t>
            </w:r>
          </w:p>
        </w:tc>
        <w:tc>
          <w:tcPr>
            <w:tcW w:w="2900" w:type="dxa"/>
            <w:vAlign w:val="bottom"/>
            <w:gridSpan w:val="3"/>
          </w:tcPr>
          <w:p>
            <w:pPr>
              <w:jc w:val="right"/>
              <w:ind w:right="520"/>
              <w:spacing w:after="0"/>
              <w:rPr>
                <w:sz w:val="20"/>
                <w:szCs w:val="20"/>
                <w:color w:val="auto"/>
              </w:rPr>
            </w:pPr>
            <w:r>
              <w:rPr>
                <w:rFonts w:ascii="Arial" w:cs="Arial" w:eastAsia="Arial" w:hAnsi="Arial"/>
                <w:sz w:val="18"/>
                <w:szCs w:val="18"/>
                <w:color w:val="auto"/>
              </w:rPr>
              <w:t>58</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29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(87)</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ind w:left="220"/>
              <w:spacing w:after="0"/>
              <w:rPr>
                <w:sz w:val="20"/>
                <w:szCs w:val="20"/>
                <w:color w:val="auto"/>
              </w:rPr>
            </w:pPr>
            <w:r>
              <w:rPr>
                <w:rFonts w:ascii="Arial" w:cs="Arial" w:eastAsia="Arial" w:hAnsi="Arial"/>
                <w:sz w:val="18"/>
                <w:szCs w:val="18"/>
                <w:color w:val="auto"/>
              </w:rPr>
              <w:t>Interest accretion</w:t>
            </w:r>
          </w:p>
        </w:tc>
        <w:tc>
          <w:tcPr>
            <w:tcW w:w="2900" w:type="dxa"/>
            <w:vAlign w:val="bottom"/>
            <w:gridSpan w:val="3"/>
          </w:tcPr>
          <w:p>
            <w:pPr>
              <w:jc w:val="right"/>
              <w:ind w:right="520"/>
              <w:spacing w:after="0"/>
              <w:rPr>
                <w:sz w:val="20"/>
                <w:szCs w:val="20"/>
                <w:color w:val="auto"/>
              </w:rPr>
            </w:pPr>
            <w:r>
              <w:rPr>
                <w:rFonts w:ascii="Arial" w:cs="Arial" w:eastAsia="Arial" w:hAnsi="Arial"/>
                <w:sz w:val="18"/>
                <w:szCs w:val="18"/>
                <w:color w:val="auto"/>
              </w:rPr>
              <w:t>84</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Revisions in estimates and interest rate assumptions(a)(b)</w:t>
            </w:r>
          </w:p>
        </w:tc>
        <w:tc>
          <w:tcPr>
            <w:tcW w:w="29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ind w:left="220"/>
              <w:spacing w:after="0"/>
              <w:rPr>
                <w:sz w:val="20"/>
                <w:szCs w:val="20"/>
                <w:color w:val="auto"/>
              </w:rPr>
            </w:pPr>
            <w:r>
              <w:rPr>
                <w:rFonts w:ascii="Arial" w:cs="Arial" w:eastAsia="Arial" w:hAnsi="Arial"/>
                <w:sz w:val="18"/>
                <w:szCs w:val="18"/>
                <w:color w:val="auto"/>
              </w:rPr>
              <w:t>Acquisitions, divestitures and other adjustments</w:t>
            </w:r>
          </w:p>
        </w:tc>
        <w:tc>
          <w:tcPr>
            <w:tcW w:w="188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8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$1,338</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ind w:left="220"/>
              <w:spacing w:after="0"/>
              <w:rPr>
                <w:sz w:val="20"/>
                <w:szCs w:val="20"/>
                <w:color w:val="auto"/>
              </w:rPr>
            </w:pPr>
            <w:r>
              <w:rPr>
                <w:rFonts w:ascii="Arial" w:cs="Arial" w:eastAsia="Arial" w:hAnsi="Arial"/>
                <w:sz w:val="18"/>
                <w:szCs w:val="18"/>
                <w:color w:val="auto"/>
              </w:rPr>
              <w:t>Obligations incurred and capitalized</w:t>
            </w:r>
          </w:p>
        </w:tc>
        <w:tc>
          <w:tcPr>
            <w:tcW w:w="2900" w:type="dxa"/>
            <w:vAlign w:val="bottom"/>
            <w:gridSpan w:val="3"/>
          </w:tcPr>
          <w:p>
            <w:pPr>
              <w:jc w:val="right"/>
              <w:ind w:right="520"/>
              <w:spacing w:after="0"/>
              <w:rPr>
                <w:sz w:val="20"/>
                <w:szCs w:val="20"/>
                <w:color w:val="auto"/>
              </w:rPr>
            </w:pPr>
            <w:r>
              <w:rPr>
                <w:rFonts w:ascii="Arial" w:cs="Arial" w:eastAsia="Arial" w:hAnsi="Arial"/>
                <w:sz w:val="18"/>
                <w:szCs w:val="18"/>
                <w:color w:val="auto"/>
              </w:rPr>
              <w:t>59</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29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(71)</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ind w:left="220"/>
              <w:spacing w:after="0"/>
              <w:rPr>
                <w:sz w:val="20"/>
                <w:szCs w:val="20"/>
                <w:color w:val="auto"/>
              </w:rPr>
            </w:pPr>
            <w:r>
              <w:rPr>
                <w:rFonts w:ascii="Arial" w:cs="Arial" w:eastAsia="Arial" w:hAnsi="Arial"/>
                <w:sz w:val="18"/>
                <w:szCs w:val="18"/>
                <w:color w:val="auto"/>
              </w:rPr>
              <w:t>Interest accretion</w:t>
            </w:r>
          </w:p>
        </w:tc>
        <w:tc>
          <w:tcPr>
            <w:tcW w:w="2900" w:type="dxa"/>
            <w:vAlign w:val="bottom"/>
            <w:gridSpan w:val="3"/>
          </w:tcPr>
          <w:p>
            <w:pPr>
              <w:jc w:val="right"/>
              <w:ind w:right="520"/>
              <w:spacing w:after="0"/>
              <w:rPr>
                <w:sz w:val="20"/>
                <w:szCs w:val="20"/>
                <w:color w:val="auto"/>
              </w:rPr>
            </w:pPr>
            <w:r>
              <w:rPr>
                <w:rFonts w:ascii="Arial" w:cs="Arial" w:eastAsia="Arial" w:hAnsi="Arial"/>
                <w:sz w:val="18"/>
                <w:szCs w:val="18"/>
                <w:color w:val="auto"/>
              </w:rPr>
              <w:t>87</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Revisions in estimates and interest rate assumptions(a)(b)</w:t>
            </w:r>
          </w:p>
        </w:tc>
        <w:tc>
          <w:tcPr>
            <w:tcW w:w="29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ind w:left="220"/>
              <w:spacing w:after="0"/>
              <w:rPr>
                <w:sz w:val="20"/>
                <w:szCs w:val="20"/>
                <w:color w:val="auto"/>
              </w:rPr>
            </w:pPr>
            <w:r>
              <w:rPr>
                <w:rFonts w:ascii="Arial" w:cs="Arial" w:eastAsia="Arial" w:hAnsi="Arial"/>
                <w:sz w:val="18"/>
                <w:szCs w:val="18"/>
                <w:color w:val="auto"/>
              </w:rPr>
              <w:t>Acquisitions, divestitures and other adjustments</w:t>
            </w:r>
          </w:p>
        </w:tc>
        <w:tc>
          <w:tcPr>
            <w:tcW w:w="188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8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1,421</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5140" w:type="dxa"/>
            <w:vAlign w:val="bottom"/>
          </w:tcPr>
          <w:p>
            <w:pPr>
              <w:spacing w:after="0"/>
              <w:rPr>
                <w:sz w:val="7"/>
                <w:szCs w:val="7"/>
                <w:color w:val="auto"/>
              </w:rPr>
            </w:pPr>
          </w:p>
        </w:tc>
        <w:tc>
          <w:tcPr>
            <w:tcW w:w="18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6"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amounts reported for our landfill liabilities include reductions of approximately $15 million and $20 million for 2012 and 2013, respectively, related to our year-end annual review of landfill final capping, closure and post-closure obligations. The amount reported in 2013 also includes an increase of approximately $23 million due to the acceleration of the timing of closure and post-closure activities at two of our landfills related to landfill asset impairments, discussed further in Note 13.</w:t>
      </w:r>
    </w:p>
    <w:p>
      <w:pPr>
        <w:spacing w:after="0" w:line="35"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amount reported in 2012 for our environmental remediation liabilities includes the impact of a decrease in the risk-free discount rate used to measure our liabilities from 2.0% at December 31, 2011 to 1.75% at December 31, 2012, resulting in an increase of $3 million to our environmental remediation liabilities and a corresponding increase to “Operating” expenses.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The amount reported in 2013 for our environmental remediation liabilities includes the impact of an increase in the risk-free discount rate used to measure our liabilities from 1.75% at December 31, 2012 to 3.0% at December 31, 2013, resulting in a decrease of $18 million to our environmental remediation liabilities and a corresponding decrease to “Operating” expenses.</w:t>
      </w:r>
    </w:p>
    <w:p>
      <w:pPr>
        <w:spacing w:after="0" w:line="59"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Our recorded liabilities as of December 31, 2013 include the impacts of inflating certain of these costs based on our expectations for the timing of cash settlement and of discounting certain of these costs to present value. Anticipated payments of currently identified environmental remediation liabilities as measured in current dollars are $35 million in 2014, $23 million in 2015, $32 million in 2016, $24 million in 2017, $14 million in 2018 and $106 million thereafter.</w:t>
      </w:r>
    </w:p>
    <w:p>
      <w:pPr>
        <w:spacing w:after="0" w:line="6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See Note 20 for additional information related to these trusts.</w:t>
      </w:r>
    </w:p>
    <w:p>
      <w:pPr>
        <w:spacing w:after="0" w:line="1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at December 31 consisted of the following (in 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8"/>
                <w:szCs w:val="18"/>
                <w:color w:val="auto"/>
              </w:rPr>
            </w:pP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Landfills</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13,416</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13,266</w:t>
            </w: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4,115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3,954</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3,888</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3,967</w:t>
            </w: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Containers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2,449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3,594</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3,514</w:t>
            </w: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969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w:t>
            </w:r>
          </w:p>
        </w:tc>
      </w:tr>
      <w:tr>
        <w:trPr>
          <w:trHeight w:val="20"/>
        </w:trPr>
        <w:tc>
          <w:tcPr>
            <w:tcW w:w="9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1"/>
        </w:trPr>
        <w:tc>
          <w:tcPr>
            <w:tcW w:w="9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29,067</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28,763</w:t>
            </w:r>
          </w:p>
        </w:tc>
      </w:tr>
      <w:tr>
        <w:trPr>
          <w:trHeight w:val="218"/>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on tangible property and equipment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(9,205)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(8,924)</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Less accumulated landfill airspace amortization</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(7,518)</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(7,188)</w:t>
            </w:r>
          </w:p>
        </w:tc>
      </w:tr>
      <w:tr>
        <w:trPr>
          <w:trHeight w:val="27"/>
        </w:trPr>
        <w:tc>
          <w:tcPr>
            <w:tcW w:w="9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12,344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12,651</w:t>
            </w:r>
          </w:p>
        </w:tc>
      </w:tr>
      <w:tr>
        <w:trPr>
          <w:trHeight w:val="20"/>
        </w:trPr>
        <w:tc>
          <w:tcPr>
            <w:tcW w:w="9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Depreciation and amortization expense, including amortization expense for assets recorded as capital leases, was comprised of the following for the years ended December 31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2013</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2012</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18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property and equipment</w:t>
            </w:r>
          </w:p>
        </w:tc>
        <w:tc>
          <w:tcPr>
            <w:tcW w:w="2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2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1,228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Goodwill and Other Intangible Assets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Goodwill was $6,070 million as of December 31, 2013 compared with $6,291 million as of December 31, 2012. The $221 million decrease in goodwill during 2013 resulted primarily from $509 million of charges to impair goodwill associated with (i) our Wheelabrator business, which is discussed in more detail below; (ii) our Puerto Rico operations and (iii) an investment in a majority-owned waste diversion technology company. These decreases were partially offset by consideration paid for acquisitions in excess of net assets acquired of $327 million, primarily related to our acquisitions of RCI and Greenstar, which are discussed in Note 19. See Notes 3, 19 and 21 for additional information related to Goodwill.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As discussed more fully in Note 3, we perform our annual impairment test of our goodwill balances using a measurement date of October 1. We will also perform interim tests if an impairment indicator exists such that the fair value of a reporting unit could potentially be less than its carrying amount.</w:t>
      </w:r>
    </w:p>
    <w:p>
      <w:pPr>
        <w:spacing w:after="0" w:line="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a result of our annual fourth quarter impairment tests for our Wheelabrator business during the years ended December 31, 2012 and 2011, we concluded that goodwill was not impaired. In the second quarter of 2012, we believed an impairment indicator existed such that the fair value of our Wheelabrator business could potentially be less than its carrying amount because of the negative effect on our revenues of the continued deterioration of electricity commodity prices, coupled with our continued increased exposure to market prices as a result of the expiration of several long-term, fixed-rate electricity commodity contracts at our waste-to-energy and independent power facilities, and the expiration of several long-term disposal contracts at above-market rates. We performed the interim quantitative assessment using both an income and a market approach in the second quarter of 2012, which indicated that the estimated fair value of our Wheelabrator business exceeded its carrying value. In the fourth quarter of 2012, we again performed our annual impairment test of our goodwill balances, which indicated that the estimated fair value of our Wheelabrator business exceeded its carrying value by approximately 10% compared to an excess of 30% at our annual fourth quarter 2011 test. This quantitative assessment was performed using both an income and market approach.</w:t>
      </w:r>
    </w:p>
    <w:p>
      <w:pPr>
        <w:spacing w:after="0" w:line="3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During 2013, we noted no indicators of impairment that required us to perform an interim impairment test; however, during our annual impairment test of our goodwill balances we determined the fair value of our Wheelabrator business had declined and the associated goodwill was impaired. As a result, we recognized an impairment charge of $483 million, which had no related tax benefit. We estimated the implied fair value of our Wheelabrator reporting unit goodwill using a combination of income and market approaches. Because the annual impairment test indicated that Wheelabrator’s carrying value exceeded its estimated fair value, we performed the “step two” analysis. In the “step two” analysis, the fair values of all assets and liabilities were estimated, including tangible assets, power contracts, customer relationships and trade name for the purpose of deriving an estimate of the implied fair value of goodwill. The implied fair value of goodwill was then compared to the carrying amount of goodwill to determine the amount of the impairment. The factors contributing to the $483 million goodwill impairment charge principally relate to the continued challenging business environment in areas of the country in which Wheelabrator operates, characterized by lower available disposal volumes (which impact disposal rates and overall disposal revenue, as well as the amount of electricity Wheelabrator is able to generate), lower electricity pricing due to the pricing pressure created by availability of natural gas and increased operating costs as our facilities age. These factors caused us, relative to the 2012 impairment test, to lower assumptions for electricity and disposal revenue, and increase assumed operating costs. Additionally, the discount factor utilized in the income approach increased relative to that utilized in 2012 mainly due to increases in interest rates. If market prices for electricity are lower than our projections, our disposal volumes or rates decline, our costs or capital expenditures exceed our forecasts or our costs of capital increase, the estimated fair value of our Wheelabrator business could further decrease and potentially result in an additional impairment charge in a future period. We will continue to monitor our Wheelabrator business and the recoverability of the remaining $305 million goodwill balance.</w:t>
      </w:r>
    </w:p>
    <w:p>
      <w:pPr>
        <w:spacing w:after="0" w:line="4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As a result of our annual fourth quarter impairment tests for our Eastern Canada Area during the years ended December 31, 2013, 2012 and 2011, we concluded that goodwill was not impaired. In 2013 and 2012, our annual goodwill impairment tests indicated that the estimated fair value of our Eastern Canada Area exceeded its carrying value by approximately 15% and 5%, respectively. These quantitative assessments were performed using both an income and market approach. If we do not achieve our anticipated disposal volumes, our collection or disposal rates decline, our costs or capital expenditures exceed our forecasts, costs of capital increase, or we do not receive anticipated landfill expansions, the estimated fair value of our Eastern Canada Area could decrease and potentially result in an impairment charge in a future period. We will continue to monitor our Eastern Canada Area.</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Also as a result of our annual fourth quarter impairment tests, we incurred (i) $10 million of charges in 2013 to impair goodwill associated with our Puerto Rico operations and $4 million to impair goodwill associated with our recycling business and (ii) $4 million of charges in 2012 to impair goodwill related to certain of our non-Solid Waste operations. We incurred no impairment charges in 2011 as a result of our annual fourth quarter goodwill impairment tests.</w:t>
      </w:r>
    </w:p>
    <w:p>
      <w:pPr>
        <w:spacing w:after="0" w:line="2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Other than as discussed above with respect to our Wheelabrator business, we did not encounter any events or changes in circumstances that indicated that an impairment was more likely than not during interim periods in 2013, 2012 or 2011. Goodwill impairments, in addition to the charges incurred in 2013 and 2012, may be incurred at any time in the future.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other intangible assets as of December 31, 2013 and 2012 were comprised of the following (in millions):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Customer</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and</w:t>
            </w:r>
          </w:p>
        </w:tc>
        <w:tc>
          <w:tcPr>
            <w:tcW w:w="40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Covenants</w:t>
            </w:r>
          </w:p>
        </w:tc>
        <w:tc>
          <w:tcPr>
            <w:tcW w:w="380" w:type="dxa"/>
            <w:vAlign w:val="bottom"/>
          </w:tcPr>
          <w:p>
            <w:pPr>
              <w:spacing w:after="0"/>
              <w:rPr>
                <w:sz w:val="12"/>
                <w:szCs w:val="12"/>
                <w:color w:val="auto"/>
              </w:rPr>
            </w:pPr>
          </w:p>
        </w:tc>
        <w:tc>
          <w:tcPr>
            <w:tcW w:w="106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87"/>
              </w:rPr>
              <w:t>Licenses,</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Supplier</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7"/>
              </w:rPr>
              <w:t>Not-to-</w:t>
            </w:r>
          </w:p>
        </w:tc>
        <w:tc>
          <w:tcPr>
            <w:tcW w:w="380" w:type="dxa"/>
            <w:vAlign w:val="bottom"/>
          </w:tcPr>
          <w:p>
            <w:pPr>
              <w:spacing w:after="0"/>
              <w:rPr>
                <w:sz w:val="12"/>
                <w:szCs w:val="12"/>
                <w:color w:val="auto"/>
              </w:rPr>
            </w:pPr>
          </w:p>
        </w:tc>
        <w:tc>
          <w:tcPr>
            <w:tcW w:w="106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rPr>
              <w:t>Permits</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Relationships</w:t>
            </w:r>
          </w:p>
        </w:tc>
        <w:tc>
          <w:tcPr>
            <w:tcW w:w="400" w:type="dxa"/>
            <w:vAlign w:val="bottom"/>
          </w:tcPr>
          <w:p>
            <w:pPr>
              <w:spacing w:after="0"/>
              <w:rPr>
                <w:sz w:val="14"/>
                <w:szCs w:val="14"/>
                <w:color w:val="auto"/>
              </w:rPr>
            </w:pPr>
          </w:p>
        </w:tc>
        <w:tc>
          <w:tcPr>
            <w:tcW w:w="10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0"/>
              </w:rPr>
              <w:t>Compete</w:t>
            </w:r>
          </w:p>
        </w:tc>
        <w:tc>
          <w:tcPr>
            <w:tcW w:w="3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Other</w:t>
            </w:r>
          </w:p>
        </w:tc>
        <w:tc>
          <w:tcPr>
            <w:tcW w:w="4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4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604</w:t>
            </w:r>
          </w:p>
        </w:tc>
        <w:tc>
          <w:tcPr>
            <w:tcW w:w="440" w:type="dxa"/>
            <w:vAlign w:val="bottom"/>
          </w:tcPr>
          <w:p>
            <w:pPr>
              <w:spacing w:after="0"/>
              <w:rPr>
                <w:sz w:val="18"/>
                <w:szCs w:val="18"/>
                <w:color w:val="auto"/>
              </w:rPr>
            </w:pP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87</w:t>
            </w:r>
          </w:p>
        </w:tc>
        <w:tc>
          <w:tcPr>
            <w:tcW w:w="440" w:type="dxa"/>
            <w:vAlign w:val="bottom"/>
          </w:tcPr>
          <w:p>
            <w:pPr>
              <w:spacing w:after="0"/>
              <w:rPr>
                <w:sz w:val="18"/>
                <w:szCs w:val="18"/>
                <w:color w:val="auto"/>
              </w:rPr>
            </w:pPr>
          </w:p>
        </w:tc>
        <w:tc>
          <w:tcPr>
            <w:tcW w:w="6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123</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$ 814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411</w:t>
            </w:r>
          </w:p>
        </w:tc>
        <w:tc>
          <w:tcPr>
            <w:tcW w:w="440" w:type="dxa"/>
            <w:vAlign w:val="bottom"/>
          </w:tcPr>
          <w:p>
            <w:pPr>
              <w:spacing w:after="0"/>
              <w:rPr>
                <w:sz w:val="19"/>
                <w:szCs w:val="19"/>
                <w:color w:val="auto"/>
              </w:rPr>
            </w:pP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19"/>
                <w:szCs w:val="19"/>
                <w:color w:val="auto"/>
              </w:rPr>
            </w:pPr>
          </w:p>
        </w:tc>
        <w:tc>
          <w:tcPr>
            <w:tcW w:w="6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88</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$ 529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426</w:t>
            </w:r>
          </w:p>
        </w:tc>
        <w:tc>
          <w:tcPr>
            <w:tcW w:w="440" w:type="dxa"/>
            <w:vAlign w:val="bottom"/>
          </w:tcPr>
          <w:p>
            <w:pPr>
              <w:spacing w:after="0"/>
              <w:rPr>
                <w:sz w:val="18"/>
                <w:szCs w:val="18"/>
                <w:color w:val="auto"/>
              </w:rPr>
            </w:pP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97</w:t>
            </w:r>
          </w:p>
        </w:tc>
        <w:tc>
          <w:tcPr>
            <w:tcW w:w="440" w:type="dxa"/>
            <w:vAlign w:val="bottom"/>
          </w:tcPr>
          <w:p>
            <w:pPr>
              <w:spacing w:after="0"/>
              <w:rPr>
                <w:sz w:val="18"/>
                <w:szCs w:val="18"/>
                <w:color w:val="auto"/>
              </w:rPr>
            </w:pPr>
          </w:p>
        </w:tc>
        <w:tc>
          <w:tcPr>
            <w:tcW w:w="6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127</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$ 650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259</w:t>
            </w:r>
          </w:p>
        </w:tc>
        <w:tc>
          <w:tcPr>
            <w:tcW w:w="440" w:type="dxa"/>
            <w:vAlign w:val="bottom"/>
          </w:tcPr>
          <w:p>
            <w:pPr>
              <w:spacing w:after="0"/>
              <w:rPr>
                <w:sz w:val="19"/>
                <w:szCs w:val="19"/>
                <w:color w:val="auto"/>
              </w:rPr>
            </w:pP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19"/>
                <w:szCs w:val="19"/>
                <w:color w:val="auto"/>
              </w:rPr>
            </w:pPr>
          </w:p>
        </w:tc>
        <w:tc>
          <w:tcPr>
            <w:tcW w:w="6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95</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$ 397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Amortization expense for other intangible assets was $80 million for 2013, $69 million for 2012, and $51 million for 2011. At December 31, 2013, we had $19 million of licenses, permits and other intangible assets that are not subject to amortization, because they do not have stated expirations or have routine, administrative renewal processes. Additional information related to other intangible assets acquired through business combinations is included in Note 19. As of December 31, 2013, expected annual amortization expense related to other intangible assets is $80 million in 2014; $69 million in 2015; $62 million in 2016; $55 million in 2017 and $50 million in 2018.</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Debt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summarizes the major components of debt at each balance sheet date (in millions) and provides the maturities and interest rate ranges of each major category as of December 31, 2013:</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r>
      <w:tr>
        <w:trPr>
          <w:trHeight w:val="188"/>
        </w:trPr>
        <w:tc>
          <w:tcPr>
            <w:tcW w:w="952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6"/>
              </w:rPr>
              <w:t>U.S. revolving credit facility, maturing July 2018 (weighted average interest rate of 1.2% at December 31, 2013 and 1.4% at</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4"/>
        </w:trPr>
        <w:tc>
          <w:tcPr>
            <w:tcW w:w="9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31, 2012)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Letter of credit facilities, maturing through December 2016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8"/>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w w:val="91"/>
              </w:rPr>
              <w:t>Canadian credit facility and term loan, maturing November 2017 (weighted average effective interest rate of 2.7% at December 31,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9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2013 and 2.9% at December 31, 2012)</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r>
      <w:tr>
        <w:trPr>
          <w:trHeight w:val="208"/>
        </w:trPr>
        <w:tc>
          <w:tcPr>
            <w:tcW w:w="9520" w:type="dxa"/>
            <w:vAlign w:val="bottom"/>
          </w:tcPr>
          <w:p>
            <w:pPr>
              <w:spacing w:after="0"/>
              <w:rPr>
                <w:sz w:val="20"/>
                <w:szCs w:val="20"/>
                <w:color w:val="auto"/>
              </w:rPr>
            </w:pPr>
            <w:r>
              <w:rPr>
                <w:rFonts w:ascii="Arial" w:cs="Arial" w:eastAsia="Arial" w:hAnsi="Arial"/>
                <w:sz w:val="18"/>
                <w:szCs w:val="18"/>
                <w:color w:val="auto"/>
                <w:w w:val="97"/>
              </w:rPr>
              <w:t>Senior notes maturing through 2039, interest rates ranging from 2.60% to 7.75% (weighted average interest rate of 5.7% at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9520" w:type="dxa"/>
            <w:vAlign w:val="bottom"/>
          </w:tcPr>
          <w:p>
            <w:pPr>
              <w:ind w:left="220"/>
              <w:spacing w:after="0"/>
              <w:rPr>
                <w:sz w:val="20"/>
                <w:szCs w:val="20"/>
                <w:color w:val="auto"/>
              </w:rPr>
            </w:pPr>
            <w:r>
              <w:rPr>
                <w:rFonts w:ascii="Arial" w:cs="Arial" w:eastAsia="Arial" w:hAnsi="Arial"/>
                <w:sz w:val="18"/>
                <w:szCs w:val="18"/>
                <w:color w:val="auto"/>
              </w:rPr>
              <w:t>December 31, 2013 and 2012)</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6,287</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6,305</w:t>
            </w:r>
          </w:p>
        </w:tc>
        <w:tc>
          <w:tcPr>
            <w:tcW w:w="100" w:type="dxa"/>
            <w:vAlign w:val="bottom"/>
          </w:tcPr>
          <w:p>
            <w:pPr>
              <w:spacing w:after="0"/>
              <w:rPr>
                <w:sz w:val="19"/>
                <w:szCs w:val="19"/>
                <w:color w:val="auto"/>
              </w:rPr>
            </w:pPr>
          </w:p>
        </w:tc>
      </w:tr>
      <w:tr>
        <w:trPr>
          <w:trHeight w:val="210"/>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w w:val="91"/>
              </w:rPr>
              <w:t>Tax-exempt bonds maturing through 2045, fixed and variable interest rates ranging from 0.03% to 5.7% (weighted average interest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9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rate of 2.3% at December 31, 2013 and 2.8% at December 31, 2012)</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2,727</w:t>
            </w:r>
          </w:p>
        </w:tc>
        <w:tc>
          <w:tcPr>
            <w:tcW w:w="100" w:type="dxa"/>
            <w:vAlign w:val="bottom"/>
            <w:shd w:val="clear" w:color="auto" w:fill="CCEEFF"/>
          </w:tcPr>
          <w:p>
            <w:pPr>
              <w:spacing w:after="0"/>
              <w:rPr>
                <w:sz w:val="19"/>
                <w:szCs w:val="19"/>
                <w:color w:val="auto"/>
              </w:rPr>
            </w:pPr>
          </w:p>
        </w:tc>
      </w:tr>
      <w:tr>
        <w:trPr>
          <w:trHeight w:val="223"/>
        </w:trPr>
        <w:tc>
          <w:tcPr>
            <w:tcW w:w="9520" w:type="dxa"/>
            <w:vAlign w:val="bottom"/>
          </w:tcPr>
          <w:p>
            <w:pPr>
              <w:spacing w:after="0"/>
              <w:rPr>
                <w:sz w:val="20"/>
                <w:szCs w:val="20"/>
                <w:color w:val="auto"/>
              </w:rPr>
            </w:pPr>
            <w:r>
              <w:rPr>
                <w:rFonts w:ascii="Arial" w:cs="Arial" w:eastAsia="Arial" w:hAnsi="Arial"/>
                <w:sz w:val="18"/>
                <w:szCs w:val="18"/>
                <w:color w:val="auto"/>
              </w:rPr>
              <w:t>Capital leases and other, maturing through 2055, interest rates up to 12%</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r>
      <w:tr>
        <w:trPr>
          <w:trHeight w:val="216"/>
        </w:trPr>
        <w:tc>
          <w:tcPr>
            <w:tcW w:w="95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10,226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9,916</w:t>
            </w:r>
          </w:p>
        </w:tc>
        <w:tc>
          <w:tcPr>
            <w:tcW w:w="100" w:type="dxa"/>
            <w:vAlign w:val="bottom"/>
            <w:shd w:val="clear" w:color="auto" w:fill="CCEEFF"/>
          </w:tcPr>
          <w:p>
            <w:pPr>
              <w:spacing w:after="0"/>
              <w:rPr>
                <w:sz w:val="18"/>
                <w:szCs w:val="18"/>
                <w:color w:val="auto"/>
              </w:rPr>
            </w:pPr>
          </w:p>
        </w:tc>
      </w:tr>
      <w:tr>
        <w:trPr>
          <w:trHeight w:val="223"/>
        </w:trPr>
        <w:tc>
          <w:tcPr>
            <w:tcW w:w="95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9"/>
                <w:szCs w:val="19"/>
                <w:color w:val="auto"/>
              </w:rPr>
            </w:pPr>
          </w:p>
        </w:tc>
      </w:tr>
      <w:tr>
        <w:trPr>
          <w:trHeight w:val="216"/>
        </w:trPr>
        <w:tc>
          <w:tcPr>
            <w:tcW w:w="95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9,173</w:t>
            </w:r>
          </w:p>
        </w:tc>
        <w:tc>
          <w:tcPr>
            <w:tcW w:w="100" w:type="dxa"/>
            <w:vAlign w:val="bottom"/>
            <w:shd w:val="clear" w:color="auto" w:fill="CCEEFF"/>
          </w:tcPr>
          <w:p>
            <w:pPr>
              <w:spacing w:after="0"/>
              <w:rPr>
                <w:sz w:val="18"/>
                <w:szCs w:val="18"/>
                <w:color w:val="auto"/>
              </w:rPr>
            </w:pPr>
          </w:p>
        </w:tc>
      </w:tr>
      <w:tr>
        <w:trPr>
          <w:trHeight w:val="20"/>
        </w:trPr>
        <w:tc>
          <w:tcPr>
            <w:tcW w:w="9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of December 31, 2013, we had (i) $481 million of debt maturing within the next 12 months, including $350 million of 5.0% senior notes that mature in March 2014 and $67 million of tax-exempt bonds; (ii) short-term borrowings and advances outstanding under credit facilities with long-term maturities, including $420 million of borrowings outstanding under the U.S. revolving credit facility (“$2.25 billion revolving credit facility”) and $9 million of advances under our Canadian credit facility and (iii) $939 million of tax-exempt borrowings subject to repricing within the next 12 months. Based on our intent and ability to refinance a portion of this debt on a long-term basis as of December 31, 2013, including through use of forecasted available capacity under our $2.25 billion revolving credit facility, we have classified $1.1 billion of this debt as long-term and the remaining $726 million as current obligations.</w:t>
      </w:r>
    </w:p>
    <w:p>
      <w:pPr>
        <w:spacing w:after="0" w:line="39"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As of December 31, 2013, we also have $577 million of variable-rate tax-exempt bonds. The interest rates on these bonds are reset on either a daily or weekly basis through a remarketing process. If the remarketing agent is unable to remarket the bonds, the remarketing agent can put the bonds to us. These bonds are supported by letters of credit guaranteeing repayment of the bonds in this event. We classified these borrowings as long-term in our Consolidated Balance Sheet at December 31, 2013 because the borrowings are supported by letters of credit issued under our $2.25 billion revolving credit facility, which is long-term.</w:t>
      </w:r>
    </w:p>
    <w:p>
      <w:pPr>
        <w:spacing w:after="0" w:line="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Access to and Utilization of Credit Facilities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 xml:space="preserve">$2.25 Billion Revolving Credit Facility </w:t>
      </w:r>
      <w:r>
        <w:rPr>
          <w:rFonts w:ascii="Arial" w:cs="Arial" w:eastAsia="Arial" w:hAnsi="Arial"/>
          <w:sz w:val="18"/>
          <w:szCs w:val="18"/>
          <w:color w:val="auto"/>
        </w:rPr>
        <w:t>— In July 2013, we amended and restated our revolving credit facility, increasing our total credit capacity to $2.25</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and extending the term through July 2018. This facility provides us with credit capacity to be used for either cash borrowings or to support letters of credit. The rates we pay for outstanding loans are generally based on LIBOR plus a spread depending on the Company’s debt rating assigned by Moody’s Investors Service and Standard and Poor’s. The spread above LIBOR ranges from 0.90% to 1.475%. At December 31, 2013, we had $420 million of outstanding borrowings and $872 million of letters of credit issued and supported by the facility. The unused and available credit capacity of the facility was $958 million as of December 31, 2013.</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Letter of Credit Facilities </w:t>
      </w:r>
      <w:r>
        <w:rPr>
          <w:rFonts w:ascii="Arial" w:cs="Arial" w:eastAsia="Arial" w:hAnsi="Arial"/>
          <w:sz w:val="18"/>
          <w:szCs w:val="18"/>
          <w:color w:val="auto"/>
        </w:rPr>
        <w:t>— As of December 31, 2013, we had an aggregate committed capacity of $400 million under letter of credit facilities with terms</w:t>
      </w:r>
      <w:r>
        <w:rPr>
          <w:rFonts w:ascii="Arial" w:cs="Arial" w:eastAsia="Arial" w:hAnsi="Arial"/>
          <w:sz w:val="18"/>
          <w:szCs w:val="18"/>
          <w:i w:val="1"/>
          <w:iCs w:val="1"/>
          <w:color w:val="auto"/>
        </w:rPr>
        <w:t xml:space="preserve"> </w:t>
      </w:r>
      <w:r>
        <w:rPr>
          <w:rFonts w:ascii="Arial" w:cs="Arial" w:eastAsia="Arial" w:hAnsi="Arial"/>
          <w:sz w:val="18"/>
          <w:szCs w:val="18"/>
          <w:color w:val="auto"/>
        </w:rPr>
        <w:t>ending through December 2016. This letter of credit capacity was fully utilized as of December 31, 2013. The financial assurance needs of our business are extensive so we supplement the letter of credit capacity we have through these committed facilities with stand-alone letters of credit with various banking partners.</w:t>
      </w:r>
    </w:p>
    <w:p>
      <w:pPr>
        <w:spacing w:after="0" w:line="6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Canadian Credit Facility and Term Loan </w:t>
      </w:r>
      <w:r>
        <w:rPr>
          <w:rFonts w:ascii="Arial" w:cs="Arial" w:eastAsia="Arial" w:hAnsi="Arial"/>
          <w:sz w:val="16"/>
          <w:szCs w:val="16"/>
          <w:color w:val="auto"/>
        </w:rPr>
        <w:t>— Waste Management of Canada Corporation and WM Quebec Inc., wholly-owned subsidiaries of WM, are</w:t>
      </w:r>
      <w:r>
        <w:rPr>
          <w:rFonts w:ascii="Arial" w:cs="Arial" w:eastAsia="Arial" w:hAnsi="Arial"/>
          <w:sz w:val="16"/>
          <w:szCs w:val="16"/>
          <w:i w:val="1"/>
          <w:iCs w:val="1"/>
          <w:color w:val="auto"/>
        </w:rPr>
        <w:t xml:space="preserve"> </w:t>
      </w:r>
      <w:r>
        <w:rPr>
          <w:rFonts w:ascii="Arial" w:cs="Arial" w:eastAsia="Arial" w:hAnsi="Arial"/>
          <w:sz w:val="16"/>
          <w:szCs w:val="16"/>
          <w:color w:val="auto"/>
        </w:rPr>
        <w:t>borrowers under a Canadian credit agreement that provides C$150 million of revolving credit capacity and C$500 million of term credit and matures in November 2017. WM and WM Holdings guaranty all subsidiary obligations outstanding under the credit agreement. The rates we pay for outstanding loans under the Canadian credit agreement are generally based on the applicable Canadian Dealer Offered Rate (CDOR) plus a spread depending on the Company’s debt rating assigned by Moody’s Investors Service and Standard and Poor’s. The spread above CDOR ranges from 1.125% to 2.15%.</w:t>
      </w:r>
    </w:p>
    <w:p>
      <w:pPr>
        <w:spacing w:after="0" w:line="3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the fourth quarter of 2012, we established the C$150 million revolving credit capacity to refinance borrowings outstanding under a Canadian term credit agreement that would have matured in November 2012 and to provide additional liquidity for our Canadian operations. We have the ability to issue up to C$50 million of letters of credit under the Canadian revolving credit facility, which if utilized, reduces the amount of credit capacity available for borrowings. As of December 31, 2013 and 2012, we had no letters of credit outstanding under the facility and outstanding borrowings of C$10 million and C$75 million, respectively.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C$500 million of term credit was established specifically to fund the acquisition of the assets of RCI Environnement, Inc. and was fully drawn in July</w:t>
      </w:r>
    </w:p>
    <w:p>
      <w:pPr>
        <w:spacing w:after="0" w:line="38"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2013. The term credit is non-revolving credit and principal amounts repaid may not be re-borrowed. For additional information related to borrowings and principal repayments under the term credit, see below.</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$2.25 Billion Revolving Credit Facility </w:t>
      </w:r>
      <w:r>
        <w:rPr>
          <w:rFonts w:ascii="Arial" w:cs="Arial" w:eastAsia="Arial" w:hAnsi="Arial"/>
          <w:sz w:val="18"/>
          <w:szCs w:val="18"/>
          <w:color w:val="auto"/>
        </w:rPr>
        <w:t>— During 2013, we incurred net borrowings of $20 million under our revolving credit facility. The $420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borrowings outstanding as of December 31, 2013 were incurred for general corporate purposes, including additions to working capital, capital expenditures and the funding of acquisitions and investments. We have reported the borrowings and repayments for loans with original maturities of three months or less on a net basis in the Consolidated Statement of Cash Flows.</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Canadian Credit Facility and Term Loan </w:t>
      </w:r>
      <w:r>
        <w:rPr>
          <w:rFonts w:ascii="Arial" w:cs="Arial" w:eastAsia="Arial" w:hAnsi="Arial"/>
          <w:sz w:val="16"/>
          <w:szCs w:val="16"/>
          <w:color w:val="auto"/>
        </w:rPr>
        <w:t>— In July 2013, we borrowed C$500 million, or $476 million, under a term loan to fund our acquisition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assets of RCI Environnement, Inc., which is discussed further in Note 19. Our outstanding CDOR-based advances, which are generally indexed to one-month CDOR, mature in November 2017, but are prepayable without penalty. Accordingly, this debt has been classified as long-term in our Consolidated Balance Sheet. We repaid C$70 million, or $67 million, of the advances under our term loan and C$65 million, or $65 million, of net repayments under our Canadian credit facility during the year ended December 31, 2013 with available cash. We have reported the borrowings and repayments for loans with original maturities of three months or less on a net basis in the Consolidated Statement of Cash Flows.</w:t>
      </w:r>
    </w:p>
    <w:p>
      <w:pPr>
        <w:spacing w:after="0" w:line="39"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i w:val="1"/>
          <w:iCs w:val="1"/>
          <w:color w:val="auto"/>
        </w:rPr>
        <w:t xml:space="preserve">Senior Notes </w:t>
      </w:r>
      <w:r>
        <w:rPr>
          <w:rFonts w:ascii="Arial" w:cs="Arial" w:eastAsia="Arial" w:hAnsi="Arial"/>
          <w:sz w:val="16"/>
          <w:szCs w:val="16"/>
          <w:color w:val="auto"/>
        </w:rPr>
        <w:t>— The change in the carrying value of our senior notes from December 31, 2012 to December 31, 2013 is principally due to fair value hedge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interest rate swap contracts. Refer to Notes 8 and 14 for additional information regarding our interest rate derivatives.</w:t>
      </w:r>
    </w:p>
    <w:p>
      <w:pPr>
        <w:spacing w:after="0" w:line="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Tax-Exempt Bonds </w:t>
      </w:r>
      <w:r>
        <w:rPr>
          <w:rFonts w:ascii="Arial" w:cs="Arial" w:eastAsia="Arial" w:hAnsi="Arial"/>
          <w:sz w:val="16"/>
          <w:szCs w:val="16"/>
          <w:color w:val="auto"/>
        </w:rPr>
        <w:t>— During the year ended December 31, 2013, we repaid $162 million of our tax-exempt bonds with cash. We issued $100 million of</w:t>
      </w:r>
      <w:r>
        <w:rPr>
          <w:rFonts w:ascii="Arial" w:cs="Arial" w:eastAsia="Arial" w:hAnsi="Arial"/>
          <w:sz w:val="16"/>
          <w:szCs w:val="16"/>
          <w:i w:val="1"/>
          <w:iCs w:val="1"/>
          <w:color w:val="auto"/>
        </w:rPr>
        <w:t xml:space="preserve"> </w:t>
      </w:r>
      <w:r>
        <w:rPr>
          <w:rFonts w:ascii="Arial" w:cs="Arial" w:eastAsia="Arial" w:hAnsi="Arial"/>
          <w:sz w:val="16"/>
          <w:szCs w:val="16"/>
          <w:color w:val="auto"/>
        </w:rPr>
        <w:t>tax-exempt bonds in August 2013. The proceeds from the issuance of the bonds were deposited directly into a trust fund and may only be used for the specific purpose for which the money was raised, which is generally to finance expenditures for landfill and recycling facility construction and development. Accordingly, the restricted funds provided by these financing activities have not been included in “New Borrowings” in our Consolidated Statement of Cash Flows.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i w:val="1"/>
          <w:iCs w:val="1"/>
          <w:color w:val="auto"/>
        </w:rPr>
        <w:t xml:space="preserve">Capital Leases and Other </w:t>
      </w:r>
      <w:r>
        <w:rPr>
          <w:rFonts w:ascii="Arial" w:cs="Arial" w:eastAsia="Arial" w:hAnsi="Arial"/>
          <w:sz w:val="18"/>
          <w:szCs w:val="18"/>
          <w:color w:val="auto"/>
        </w:rPr>
        <w:t>— The increase in our capital leases and other debt obligations is primarily related to the deferred purchase price of (i) land</w:t>
      </w:r>
      <w:r>
        <w:rPr>
          <w:rFonts w:ascii="Arial" w:cs="Arial" w:eastAsia="Arial" w:hAnsi="Arial"/>
          <w:sz w:val="18"/>
          <w:szCs w:val="18"/>
          <w:i w:val="1"/>
          <w:iCs w:val="1"/>
          <w:color w:val="auto"/>
        </w:rPr>
        <w:t xml:space="preserve"> </w:t>
      </w:r>
      <w:r>
        <w:rPr>
          <w:rFonts w:ascii="Arial" w:cs="Arial" w:eastAsia="Arial" w:hAnsi="Arial"/>
          <w:sz w:val="18"/>
          <w:szCs w:val="18"/>
          <w:color w:val="auto"/>
        </w:rPr>
        <w:t>needed to support a landfill expansion and (ii) Greenstar LLC, which is discussed further in Note 19. This increase was partially offset by net repayments of various borrowings at their scheduled maturities.</w:t>
      </w:r>
    </w:p>
    <w:p>
      <w:pPr>
        <w:spacing w:after="0" w:line="5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Scheduled Debt Payments </w:t>
      </w:r>
      <w:r>
        <w:rPr>
          <w:rFonts w:ascii="Arial" w:cs="Arial" w:eastAsia="Arial" w:hAnsi="Arial"/>
          <w:sz w:val="18"/>
          <w:szCs w:val="18"/>
          <w:color w:val="auto"/>
        </w:rPr>
        <w:t>— Principal payments of our debt and capital leases for the next five years, based on their contractual terms, are as follows: $916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2014; $491 million in 2015; $704 million in 2016; $731 million in 2017; and $793 million in 2018. Our recorded debt and capital lease obligations include non-cash adjustments associated with discounts, premiums and fair value adjustments for interest rate hedging activities, which have been excluded from these amounts because they will not result in cash payments.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Secured 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debt balances are generally unsecured, except for capital leases and the note payable associated with our investment in low-income housing properties.</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Covenants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$2.25 billion revolving credit facility, our Canadian credit facility and term loan and certain other financing agreements contain financial covenants.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most restrictive requirements of these financial covenants (all terms used to measure these ratios are defined by the facilities):</w:t>
      </w:r>
    </w:p>
    <w:p>
      <w:pPr>
        <w:spacing w:after="0" w:line="12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Interest coverage ratio</w:t>
            </w:r>
          </w:p>
        </w:tc>
        <w:tc>
          <w:tcPr>
            <w:tcW w:w="4800" w:type="dxa"/>
            <w:vAlign w:val="bottom"/>
            <w:shd w:val="clear" w:color="auto" w:fill="CCEEFF"/>
          </w:tcPr>
          <w:p>
            <w:pPr>
              <w:ind w:left="3920"/>
              <w:spacing w:after="0"/>
              <w:rPr>
                <w:sz w:val="20"/>
                <w:szCs w:val="20"/>
                <w:color w:val="auto"/>
              </w:rPr>
            </w:pPr>
            <w:r>
              <w:rPr>
                <w:rFonts w:ascii="Arial" w:cs="Arial" w:eastAsia="Arial" w:hAnsi="Arial"/>
                <w:sz w:val="18"/>
                <w:szCs w:val="18"/>
                <w:color w:val="auto"/>
              </w:rPr>
              <w:t>&gt; 2.75 to 1</w:t>
            </w:r>
          </w:p>
        </w:tc>
      </w:t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Total debt to EBITDA(a)</w:t>
            </w:r>
          </w:p>
        </w:tc>
        <w:tc>
          <w:tcPr>
            <w:tcW w:w="4800" w:type="dxa"/>
            <w:vAlign w:val="bottom"/>
          </w:tcPr>
          <w:p>
            <w:pPr>
              <w:ind w:left="3920"/>
              <w:spacing w:after="0"/>
              <w:rPr>
                <w:sz w:val="20"/>
                <w:szCs w:val="20"/>
                <w:color w:val="auto"/>
              </w:rPr>
            </w:pPr>
            <w:r>
              <w:rPr>
                <w:rFonts w:ascii="Arial" w:cs="Arial" w:eastAsia="Arial" w:hAnsi="Arial"/>
                <w:sz w:val="18"/>
                <w:szCs w:val="18"/>
                <w:color w:val="auto"/>
              </w:rPr>
              <w:t>&lt; 3.75 to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94361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00"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 conjunction with the amendment and restatement of our $2.25 billion revolving credit facility in July 2013, the maximum ratio was increased from</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3.50:1 to 3.75:1 for quarters ending before September 30, 2015. After such time, the covenant ratio will revert back to 3.50:1 for each fiscal quarter through maturity of the facility in July 2018.</w:t>
      </w:r>
    </w:p>
    <w:p>
      <w:pPr>
        <w:spacing w:after="0" w:line="5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credit facilities and senior notes also contain certain restrictions intended to monitor our level of subsidiary indebtedness, types of investments and net worth. We monitor our compliance with these restrictions, but do not believe that they significantly impact our ability to enter into investing or financing arrangements typical for our business. As of December 31, 2013 and 2012, we were in compliance with the covenants and restrictions under all of our debt agreements.</w:t>
      </w:r>
    </w:p>
    <w:p>
      <w:pPr>
        <w:spacing w:after="0" w:line="13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Derivative Instruments and Hedging Activities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fair values of derivative instruments recorded in our Consolidated Balance Sheet (in 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w w:val="91"/>
              </w:rPr>
              <w:t>Derivatives Designated as Hedging Instruments</w:t>
            </w:r>
          </w:p>
        </w:tc>
        <w:tc>
          <w:tcPr>
            <w:tcW w:w="3120" w:type="dxa"/>
            <w:vAlign w:val="bottom"/>
          </w:tcPr>
          <w:p>
            <w:pPr>
              <w:spacing w:after="0"/>
              <w:rPr>
                <w:sz w:val="14"/>
                <w:szCs w:val="14"/>
                <w:color w:val="auto"/>
              </w:rPr>
            </w:pPr>
          </w:p>
        </w:tc>
        <w:tc>
          <w:tcPr>
            <w:tcW w:w="286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4"/>
                <w:szCs w:val="14"/>
                <w:b w:val="1"/>
                <w:bCs w:val="1"/>
                <w:color w:val="auto"/>
                <w:w w:val="90"/>
              </w:rPr>
              <w:t>December 31,</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20" w:type="dxa"/>
            <w:vAlign w:val="bottom"/>
            <w:tcBorders>
              <w:bottom w:val="single" w:sz="8" w:color="auto"/>
            </w:tcBorders>
            <w:vMerge w:val="continue"/>
          </w:tcPr>
          <w:p>
            <w:pPr>
              <w:spacing w:after="0"/>
              <w:rPr>
                <w:sz w:val="12"/>
                <w:szCs w:val="12"/>
                <w:color w:val="auto"/>
              </w:rPr>
            </w:pPr>
          </w:p>
        </w:tc>
        <w:tc>
          <w:tcPr>
            <w:tcW w:w="3120" w:type="dxa"/>
            <w:vAlign w:val="bottom"/>
          </w:tcPr>
          <w:p>
            <w:pPr>
              <w:spacing w:after="0"/>
              <w:rPr>
                <w:sz w:val="12"/>
                <w:szCs w:val="12"/>
                <w:color w:val="auto"/>
              </w:rPr>
            </w:pPr>
          </w:p>
        </w:tc>
        <w:tc>
          <w:tcPr>
            <w:tcW w:w="286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2013</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14"/>
              <w:spacing w:after="0" w:line="129" w:lineRule="exact"/>
              <w:rPr>
                <w:sz w:val="20"/>
                <w:szCs w:val="20"/>
                <w:color w:val="auto"/>
              </w:rPr>
            </w:pPr>
            <w:r>
              <w:rPr>
                <w:rFonts w:ascii="Arial" w:cs="Arial" w:eastAsia="Arial" w:hAnsi="Arial"/>
                <w:sz w:val="14"/>
                <w:szCs w:val="14"/>
                <w:b w:val="1"/>
                <w:bCs w:val="1"/>
                <w:color w:val="auto"/>
                <w:w w:val="83"/>
              </w:rPr>
              <w:t>2012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Electricity commodity derivatives</w:t>
            </w:r>
          </w:p>
        </w:tc>
        <w:tc>
          <w:tcPr>
            <w:tcW w:w="3120" w:type="dxa"/>
            <w:vAlign w:val="bottom"/>
            <w:tcBorders>
              <w:top w:val="single" w:sz="8" w:color="CCEEFF"/>
            </w:tcBorders>
            <w:shd w:val="clear" w:color="auto" w:fill="CCEEFF"/>
          </w:tcPr>
          <w:p>
            <w:pPr>
              <w:spacing w:after="0"/>
              <w:rPr>
                <w:sz w:val="17"/>
                <w:szCs w:val="17"/>
                <w:color w:val="auto"/>
              </w:rPr>
            </w:pPr>
          </w:p>
        </w:tc>
        <w:tc>
          <w:tcPr>
            <w:tcW w:w="28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Current other assets</w:t>
            </w: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92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5980" w:type="dxa"/>
            <w:vAlign w:val="bottom"/>
            <w:gridSpan w:val="2"/>
          </w:tcPr>
          <w:p>
            <w:pPr>
              <w:ind w:left="3120"/>
              <w:spacing w:after="0"/>
              <w:rPr>
                <w:sz w:val="20"/>
                <w:szCs w:val="20"/>
                <w:color w:val="auto"/>
              </w:rPr>
            </w:pPr>
            <w:r>
              <w:rPr>
                <w:rFonts w:ascii="Arial" w:cs="Arial" w:eastAsia="Arial" w:hAnsi="Arial"/>
                <w:sz w:val="18"/>
                <w:szCs w:val="18"/>
                <w:color w:val="auto"/>
              </w:rPr>
              <w:t>Long-term other assets</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derivative assets</w:t>
            </w:r>
          </w:p>
        </w:tc>
        <w:tc>
          <w:tcPr>
            <w:tcW w:w="31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8"/>
                <w:szCs w:val="18"/>
                <w:color w:val="auto"/>
              </w:rPr>
              <w:t>Electricity commodity derivatives</w:t>
            </w:r>
          </w:p>
        </w:tc>
        <w:tc>
          <w:tcPr>
            <w:tcW w:w="5980" w:type="dxa"/>
            <w:vAlign w:val="bottom"/>
            <w:gridSpan w:val="2"/>
            <w:vMerge w:val="restart"/>
          </w:tcPr>
          <w:p>
            <w:pPr>
              <w:ind w:left="3120"/>
              <w:spacing w:after="0"/>
              <w:rPr>
                <w:sz w:val="20"/>
                <w:szCs w:val="20"/>
                <w:color w:val="auto"/>
              </w:rPr>
            </w:pPr>
            <w:r>
              <w:rPr>
                <w:rFonts w:ascii="Arial" w:cs="Arial" w:eastAsia="Arial" w:hAnsi="Arial"/>
                <w:sz w:val="18"/>
                <w:szCs w:val="18"/>
                <w:color w:val="auto"/>
              </w:rPr>
              <w:t>Current accrued liabilities</w:t>
            </w: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20" w:type="dxa"/>
            <w:vAlign w:val="bottom"/>
            <w:vMerge w:val="continue"/>
          </w:tcPr>
          <w:p>
            <w:pPr>
              <w:spacing w:after="0"/>
              <w:rPr>
                <w:sz w:val="18"/>
                <w:szCs w:val="18"/>
                <w:color w:val="auto"/>
              </w:rPr>
            </w:pPr>
          </w:p>
        </w:tc>
        <w:tc>
          <w:tcPr>
            <w:tcW w:w="5980" w:type="dxa"/>
            <w:vAlign w:val="bottom"/>
            <w:gridSpan w:val="2"/>
            <w:vMerge w:val="continue"/>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8"/>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derivatives</w:t>
            </w:r>
          </w:p>
        </w:tc>
        <w:tc>
          <w:tcPr>
            <w:tcW w:w="598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Current accrued liabilities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5980" w:type="dxa"/>
            <w:vAlign w:val="bottom"/>
            <w:gridSpan w:val="2"/>
          </w:tcPr>
          <w:p>
            <w:pPr>
              <w:ind w:left="3120"/>
              <w:spacing w:after="0"/>
              <w:rPr>
                <w:sz w:val="20"/>
                <w:szCs w:val="20"/>
                <w:color w:val="auto"/>
              </w:rPr>
            </w:pPr>
            <w:r>
              <w:rPr>
                <w:rFonts w:ascii="Arial" w:cs="Arial" w:eastAsia="Arial" w:hAnsi="Arial"/>
                <w:sz w:val="18"/>
                <w:szCs w:val="18"/>
                <w:color w:val="auto"/>
              </w:rPr>
              <w:t>Current accrued liabilities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derivatives</w:t>
            </w:r>
          </w:p>
        </w:tc>
        <w:tc>
          <w:tcPr>
            <w:tcW w:w="598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Long-term accrued liabilities</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920" w:type="dxa"/>
            <w:vAlign w:val="bottom"/>
          </w:tcPr>
          <w:p>
            <w:pPr>
              <w:ind w:left="220"/>
              <w:spacing w:after="0"/>
              <w:rPr>
                <w:sz w:val="20"/>
                <w:szCs w:val="20"/>
                <w:color w:val="auto"/>
              </w:rPr>
            </w:pPr>
            <w:r>
              <w:rPr>
                <w:rFonts w:ascii="Arial" w:cs="Arial" w:eastAsia="Arial" w:hAnsi="Arial"/>
                <w:sz w:val="18"/>
                <w:szCs w:val="18"/>
                <w:color w:val="auto"/>
              </w:rPr>
              <w:t>Total derivative liabilities</w:t>
            </w:r>
          </w:p>
        </w:tc>
        <w:tc>
          <w:tcPr>
            <w:tcW w:w="31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31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120" w:type="dxa"/>
            <w:vAlign w:val="bottom"/>
            <w:vMerge w:val="restart"/>
          </w:tcPr>
          <w:p>
            <w:pPr>
              <w:jc w:val="right"/>
              <w:ind w:right="112"/>
              <w:spacing w:after="0"/>
              <w:rPr>
                <w:sz w:val="20"/>
                <w:szCs w:val="20"/>
                <w:color w:val="auto"/>
              </w:rPr>
            </w:pPr>
            <w:r>
              <w:rPr>
                <w:rFonts w:ascii="Arial" w:cs="Arial" w:eastAsia="Arial" w:hAnsi="Arial"/>
                <w:sz w:val="18"/>
                <w:szCs w:val="18"/>
                <w:color w:val="auto"/>
              </w:rPr>
              <w:t>104</w:t>
            </w:r>
          </w:p>
        </w:tc>
        <w:tc>
          <w:tcPr>
            <w:tcW w:w="2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92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2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not offset fair value amounts recognized for our derivative instruments. For information related to the inputs used to measure our derivative assets and liabilities at fair value, refer to Note 18.</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used interest rate swaps to maintain a portion of our debt obligations at variable market interest rates. In April 2012, we elected to terminate our interest rate swaps and, upon termination, we received $76 million in cash for their fair value plus accrued interest receivable. The terminated interest rate swaps were associated with our senior notes that matured in November 2012 and additional senior notes that are scheduled to mature through 2018. The associated fair value adjustments to long-term debt are being amortized as a reduction to interest expense over the remaining terms of the underlying debt using the effective interest method. The cash proceeds received from our termination of the swaps were classified as a change in “Other assets” within “Net cash provided by operating activities” in the Consolidated Statement of Cash Flows.</w:t>
      </w:r>
    </w:p>
    <w:p>
      <w:pPr>
        <w:spacing w:after="0" w:line="39"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We designated our interest rate swaps as fair value hedges of our fixed-rate senior notes. Fair value hedge accounting for interest rate swap contracts increased the carrying value of our debt instruments by $59 million as of December 31, 2013 and $79 million as of December 31, 2012.</w:t>
      </w:r>
    </w:p>
    <w:p>
      <w:pPr>
        <w:spacing w:after="0" w:line="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Gains or losses on the derivatives as well as the offsetting losses or gains on the hedged items attributable to our interest rate swaps are recognized in current earnings. We include gains and losses on our interest rate swaps as adjustments to interest expense, which is the same financial statement line item where offsetting gains and losses on the related hedged items are recorded. The following table summarizes the fair value adjustments from active interest rate swaps and the underlying hedged items on our results of operations (in millions):</w:t>
      </w:r>
    </w:p>
    <w:p>
      <w:pPr>
        <w:spacing w:after="0" w:line="2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jc w:val="right"/>
              <w:ind w:right="980"/>
              <w:spacing w:after="0"/>
              <w:rPr>
                <w:sz w:val="20"/>
                <w:szCs w:val="20"/>
                <w:color w:val="auto"/>
              </w:rPr>
            </w:pPr>
            <w:r>
              <w:rPr>
                <w:rFonts w:ascii="Arial" w:cs="Arial" w:eastAsia="Arial" w:hAnsi="Arial"/>
                <w:sz w:val="14"/>
                <w:szCs w:val="14"/>
                <w:b w:val="1"/>
                <w:bCs w:val="1"/>
                <w:color w:val="auto"/>
                <w:w w:val="84"/>
              </w:rPr>
              <w:t>Years Ended December 31,</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w w:val="89"/>
              </w:rPr>
              <w:t>Derivatives Designated as</w:t>
            </w:r>
          </w:p>
        </w:tc>
        <w:tc>
          <w:tcPr>
            <w:tcW w:w="3040" w:type="dxa"/>
            <w:vAlign w:val="bottom"/>
          </w:tcPr>
          <w:p>
            <w:pPr>
              <w:spacing w:after="0"/>
              <w:rPr>
                <w:sz w:val="11"/>
                <w:szCs w:val="11"/>
                <w:color w:val="auto"/>
              </w:rPr>
            </w:pPr>
          </w:p>
        </w:tc>
        <w:tc>
          <w:tcPr>
            <w:tcW w:w="162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4"/>
              </w:rPr>
              <w:t>Statement of</w:t>
            </w:r>
          </w:p>
        </w:tc>
        <w:tc>
          <w:tcPr>
            <w:tcW w:w="260" w:type="dxa"/>
            <w:vAlign w:val="bottom"/>
          </w:tcPr>
          <w:p>
            <w:pPr>
              <w:spacing w:after="0"/>
              <w:rPr>
                <w:sz w:val="11"/>
                <w:szCs w:val="11"/>
                <w:color w:val="auto"/>
              </w:rPr>
            </w:pPr>
          </w:p>
        </w:tc>
        <w:tc>
          <w:tcPr>
            <w:tcW w:w="1040" w:type="dxa"/>
            <w:vAlign w:val="bottom"/>
            <w:gridSpan w:val="3"/>
          </w:tcPr>
          <w:p>
            <w:pPr>
              <w:jc w:val="center"/>
              <w:ind w:left="96"/>
              <w:spacing w:after="0" w:line="129" w:lineRule="exact"/>
              <w:rPr>
                <w:sz w:val="20"/>
                <w:szCs w:val="20"/>
                <w:color w:val="auto"/>
              </w:rPr>
            </w:pPr>
            <w:r>
              <w:rPr>
                <w:rFonts w:ascii="Arial" w:cs="Arial" w:eastAsia="Arial" w:hAnsi="Arial"/>
                <w:sz w:val="14"/>
                <w:szCs w:val="14"/>
                <w:b w:val="1"/>
                <w:bCs w:val="1"/>
                <w:color w:val="auto"/>
                <w:w w:val="85"/>
              </w:rPr>
              <w:t>Gain (Loss) on</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rPr>
              <w:t>Gain (Loss) on</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580" w:type="dxa"/>
            <w:vAlign w:val="bottom"/>
            <w:vMerge w:val="continue"/>
          </w:tcPr>
          <w:p>
            <w:pPr>
              <w:spacing w:after="0"/>
              <w:rPr>
                <w:sz w:val="13"/>
                <w:szCs w:val="13"/>
                <w:color w:val="auto"/>
              </w:rPr>
            </w:pPr>
          </w:p>
        </w:tc>
        <w:tc>
          <w:tcPr>
            <w:tcW w:w="3040" w:type="dxa"/>
            <w:vAlign w:val="bottom"/>
          </w:tcPr>
          <w:p>
            <w:pPr>
              <w:spacing w:after="0"/>
              <w:rPr>
                <w:sz w:val="13"/>
                <w:szCs w:val="13"/>
                <w:color w:val="auto"/>
              </w:rPr>
            </w:pPr>
          </w:p>
        </w:tc>
        <w:tc>
          <w:tcPr>
            <w:tcW w:w="162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6"/>
              </w:rPr>
              <w:t>Operations</w:t>
            </w: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center"/>
              <w:ind w:left="96"/>
              <w:spacing w:after="0" w:line="148" w:lineRule="exact"/>
              <w:rPr>
                <w:sz w:val="20"/>
                <w:szCs w:val="20"/>
                <w:color w:val="auto"/>
              </w:rPr>
            </w:pPr>
            <w:r>
              <w:rPr>
                <w:rFonts w:ascii="Arial" w:cs="Arial" w:eastAsia="Arial" w:hAnsi="Arial"/>
                <w:sz w:val="14"/>
                <w:szCs w:val="14"/>
                <w:b w:val="1"/>
                <w:bCs w:val="1"/>
                <w:color w:val="auto"/>
                <w:w w:val="87"/>
              </w:rPr>
              <w:t>Swap</w:t>
            </w: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140"/>
              <w:spacing w:after="0" w:line="148" w:lineRule="exact"/>
              <w:rPr>
                <w:sz w:val="20"/>
                <w:szCs w:val="20"/>
                <w:color w:val="auto"/>
              </w:rPr>
            </w:pPr>
            <w:r>
              <w:rPr>
                <w:rFonts w:ascii="Arial" w:cs="Arial" w:eastAsia="Arial" w:hAnsi="Arial"/>
                <w:sz w:val="14"/>
                <w:szCs w:val="14"/>
                <w:b w:val="1"/>
                <w:bCs w:val="1"/>
                <w:color w:val="auto"/>
              </w:rPr>
              <w:t>Fixed-Rate Debt</w:t>
            </w: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580" w:type="dxa"/>
            <w:vAlign w:val="bottom"/>
            <w:tcBorders>
              <w:bottom w:val="single" w:sz="8" w:color="auto"/>
            </w:tcBorders>
          </w:tcPr>
          <w:p>
            <w:pPr>
              <w:spacing w:after="0" w:line="102" w:lineRule="exact"/>
              <w:rPr>
                <w:sz w:val="20"/>
                <w:szCs w:val="20"/>
                <w:color w:val="auto"/>
              </w:rPr>
            </w:pPr>
            <w:r>
              <w:rPr>
                <w:rFonts w:ascii="Arial" w:cs="Arial" w:eastAsia="Arial" w:hAnsi="Arial"/>
                <w:sz w:val="11"/>
                <w:szCs w:val="11"/>
                <w:b w:val="1"/>
                <w:bCs w:val="1"/>
                <w:color w:val="auto"/>
              </w:rPr>
              <w:t>Fair Value Hedges</w:t>
            </w:r>
          </w:p>
        </w:tc>
        <w:tc>
          <w:tcPr>
            <w:tcW w:w="3040" w:type="dxa"/>
            <w:vAlign w:val="bottom"/>
          </w:tcPr>
          <w:p>
            <w:pPr>
              <w:spacing w:after="0"/>
              <w:rPr>
                <w:sz w:val="10"/>
                <w:szCs w:val="10"/>
                <w:color w:val="auto"/>
              </w:rPr>
            </w:pPr>
          </w:p>
        </w:tc>
        <w:tc>
          <w:tcPr>
            <w:tcW w:w="1620" w:type="dxa"/>
            <w:vAlign w:val="bottom"/>
            <w:gridSpan w:val="2"/>
          </w:tcPr>
          <w:p>
            <w:pPr>
              <w:jc w:val="center"/>
              <w:ind w:right="440"/>
              <w:spacing w:after="0" w:line="102" w:lineRule="exact"/>
              <w:rPr>
                <w:sz w:val="20"/>
                <w:szCs w:val="20"/>
                <w:color w:val="auto"/>
              </w:rPr>
            </w:pPr>
            <w:r>
              <w:rPr>
                <w:rFonts w:ascii="Arial" w:cs="Arial" w:eastAsia="Arial" w:hAnsi="Arial"/>
                <w:sz w:val="11"/>
                <w:szCs w:val="11"/>
                <w:b w:val="1"/>
                <w:bCs w:val="1"/>
                <w:color w:val="auto"/>
              </w:rPr>
              <w:t>Classification</w:t>
            </w:r>
          </w:p>
        </w:tc>
        <w:tc>
          <w:tcPr>
            <w:tcW w:w="260" w:type="dxa"/>
            <w:vAlign w:val="bottom"/>
          </w:tcPr>
          <w:p>
            <w:pPr>
              <w:jc w:val="right"/>
              <w:spacing w:after="0" w:line="102" w:lineRule="exact"/>
              <w:rPr>
                <w:sz w:val="20"/>
                <w:szCs w:val="20"/>
                <w:color w:val="auto"/>
              </w:rPr>
            </w:pPr>
            <w:r>
              <w:rPr>
                <w:rFonts w:ascii="Arial" w:cs="Arial" w:eastAsia="Arial" w:hAnsi="Arial"/>
                <w:sz w:val="11"/>
                <w:szCs w:val="11"/>
                <w:b w:val="1"/>
                <w:bCs w:val="1"/>
                <w:color w:val="auto"/>
                <w:w w:val="97"/>
              </w:rPr>
              <w:t>2013</w:t>
            </w:r>
          </w:p>
        </w:tc>
        <w:tc>
          <w:tcPr>
            <w:tcW w:w="1040" w:type="dxa"/>
            <w:vAlign w:val="bottom"/>
            <w:gridSpan w:val="3"/>
          </w:tcPr>
          <w:p>
            <w:pPr>
              <w:ind w:left="520"/>
              <w:spacing w:after="0" w:line="102" w:lineRule="exact"/>
              <w:rPr>
                <w:sz w:val="20"/>
                <w:szCs w:val="20"/>
                <w:color w:val="auto"/>
              </w:rPr>
            </w:pPr>
            <w:r>
              <w:rPr>
                <w:rFonts w:ascii="Arial" w:cs="Arial" w:eastAsia="Arial" w:hAnsi="Arial"/>
                <w:sz w:val="11"/>
                <w:szCs w:val="11"/>
                <w:b w:val="1"/>
                <w:bCs w:val="1"/>
                <w:color w:val="auto"/>
              </w:rPr>
              <w:t>2012</w:t>
            </w:r>
          </w:p>
        </w:tc>
        <w:tc>
          <w:tcPr>
            <w:tcW w:w="44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rPr>
              <w:t>2011</w:t>
            </w:r>
          </w:p>
        </w:tc>
        <w:tc>
          <w:tcPr>
            <w:tcW w:w="500" w:type="dxa"/>
            <w:vAlign w:val="bottom"/>
          </w:tcPr>
          <w:p>
            <w:pPr>
              <w:spacing w:after="0"/>
              <w:rPr>
                <w:sz w:val="10"/>
                <w:szCs w:val="10"/>
                <w:color w:val="auto"/>
              </w:rPr>
            </w:pPr>
          </w:p>
        </w:tc>
        <w:tc>
          <w:tcPr>
            <w:tcW w:w="28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2013</w:t>
            </w:r>
          </w:p>
        </w:tc>
        <w:tc>
          <w:tcPr>
            <w:tcW w:w="1300" w:type="dxa"/>
            <w:vAlign w:val="bottom"/>
            <w:gridSpan w:val="3"/>
          </w:tcPr>
          <w:p>
            <w:pPr>
              <w:jc w:val="right"/>
              <w:ind w:right="520"/>
              <w:spacing w:after="0" w:line="102" w:lineRule="exact"/>
              <w:rPr>
                <w:sz w:val="20"/>
                <w:szCs w:val="20"/>
                <w:color w:val="auto"/>
              </w:rPr>
            </w:pPr>
            <w:r>
              <w:rPr>
                <w:rFonts w:ascii="Arial" w:cs="Arial" w:eastAsia="Arial" w:hAnsi="Arial"/>
                <w:sz w:val="11"/>
                <w:szCs w:val="11"/>
                <w:b w:val="1"/>
                <w:bCs w:val="1"/>
                <w:color w:val="auto"/>
              </w:rPr>
              <w:t>2012</w:t>
            </w:r>
          </w:p>
        </w:tc>
        <w:tc>
          <w:tcPr>
            <w:tcW w:w="34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2011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58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rate swaps</w:t>
            </w:r>
          </w:p>
        </w:tc>
        <w:tc>
          <w:tcPr>
            <w:tcW w:w="304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5"/>
              </w:rPr>
              <w:t>Interest expense</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5"/>
              </w:rPr>
              <w:t>$—</w:t>
            </w:r>
          </w:p>
        </w:tc>
        <w:tc>
          <w:tcPr>
            <w:tcW w:w="5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 (1)</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$35</w:t>
            </w: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w:t>
            </w: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$ 1</w:t>
            </w: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6"/>
              </w:rPr>
              <w:t>$(35)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We also recognize the impacts of (i) net periodic settlements of current interest on our active interest rate swaps, if any, and (ii) the amortization of previously terminated interest rate swap agreements as adjustments to interest expense. The following table summarizes the impact of periodic settlements of active swap agreements and the impact of terminated swap agreements on our results of operations (in millions):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1"/>
              </w:rPr>
              <w:t>Decrease to Interest Expense Due to Hedge Accounting for Interest Rate Swaps</w:t>
            </w:r>
          </w:p>
        </w:tc>
        <w:tc>
          <w:tcPr>
            <w:tcW w:w="3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23"/>
              <w:spacing w:after="0"/>
              <w:rPr>
                <w:sz w:val="20"/>
                <w:szCs w:val="20"/>
                <w:color w:val="auto"/>
              </w:rPr>
            </w:pPr>
            <w:r>
              <w:rPr>
                <w:rFonts w:ascii="Arial" w:cs="Arial" w:eastAsia="Arial" w:hAnsi="Arial"/>
                <w:sz w:val="14"/>
                <w:szCs w:val="14"/>
                <w:b w:val="1"/>
                <w:bCs w:val="1"/>
                <w:color w:val="auto"/>
                <w:w w:val="85"/>
              </w:rPr>
              <w:t>Years Ended December 31,</w:t>
            </w: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20" w:type="dxa"/>
            <w:vAlign w:val="bottom"/>
            <w:gridSpan w:val="3"/>
            <w:vMerge w:val="continue"/>
          </w:tcPr>
          <w:p>
            <w:pPr>
              <w:spacing w:after="0"/>
              <w:rPr>
                <w:sz w:val="12"/>
                <w:szCs w:val="12"/>
                <w:color w:val="auto"/>
              </w:rPr>
            </w:pPr>
          </w:p>
        </w:tc>
        <w:tc>
          <w:tcPr>
            <w:tcW w:w="3300" w:type="dxa"/>
            <w:vAlign w:val="bottom"/>
          </w:tcPr>
          <w:p>
            <w:pPr>
              <w:spacing w:after="0"/>
              <w:rPr>
                <w:sz w:val="12"/>
                <w:szCs w:val="12"/>
                <w:color w:val="auto"/>
              </w:rPr>
            </w:pPr>
          </w:p>
        </w:tc>
        <w:tc>
          <w:tcPr>
            <w:tcW w:w="3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2013</w:t>
            </w:r>
          </w:p>
        </w:tc>
        <w:tc>
          <w:tcPr>
            <w:tcW w:w="94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2012</w:t>
            </w:r>
          </w:p>
        </w:tc>
        <w:tc>
          <w:tcPr>
            <w:tcW w:w="9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86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Periodic settlements of active swap agreements(a)</w:t>
            </w:r>
          </w:p>
        </w:tc>
        <w:tc>
          <w:tcPr>
            <w:tcW w:w="3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8"/>
              </w:rPr>
              <w:t>—</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w:t>
            </w:r>
          </w:p>
        </w:tc>
        <w:tc>
          <w:tcPr>
            <w:tcW w:w="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Terminated swap agreements</w:t>
            </w:r>
          </w:p>
        </w:tc>
        <w:tc>
          <w:tcPr>
            <w:tcW w:w="3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20</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20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3820" w:type="dxa"/>
            <w:vAlign w:val="bottom"/>
          </w:tcPr>
          <w:p>
            <w:pPr>
              <w:spacing w:after="0"/>
              <w:rPr>
                <w:sz w:val="7"/>
                <w:szCs w:val="7"/>
                <w:color w:val="auto"/>
              </w:rPr>
            </w:pPr>
          </w:p>
        </w:tc>
        <w:tc>
          <w:tcPr>
            <w:tcW w:w="3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256"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These amounts represent the net of our periodic variable-rate interest obligations and the swap counterparties’ fixed-rate interest obligations. Our swaps provided that we received fixed interest rates ranging from 5.00% to 7.125% and paid floating interest rates based on spreads from three-month LIBOR ranging from (0.205)% to 5.53%. These settlements have decreased due to our election to terminate our interest rate swap portfolio with a notional amount of $1 billion in April 2012.</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60"/>
          </w:cols>
          <w:pgMar w:left="240" w:top="459" w:right="2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Forward-Starting Interest Rate Swaps</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prior years, we entered into forward-starting interest rate swaps with a total notional value of $525 million to hedge the risk of changes in semi-annual interest payments due to fluctuations in the forward ten-year LIBOR swap rate for anticipated fixed-rate debt issuances in 2011, 2012 and 2014. We designated these forward-starting interest rate swaps as cash flow hedges.</w:t>
      </w:r>
    </w:p>
    <w:p>
      <w:pPr>
        <w:spacing w:after="0" w:line="5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During the third quarter of 2012, $200 million of these forward-starting interest rate swaps were terminated contemporaneously with the actual issuance of senior notes in September 2012, and we paid cash of $59 million to settle the liabilities related to these swap agreements. At December 31, 2013 and 2012, our “Accumulated other comprehensive income” included $34 million and $39 million, respectively, of after-tax deferred losses related to all previously terminated swaps, which are being amortized as an increase to interest expense over the ten-year life of the related senior note issuances using the effective interest method. As of December 31, 2013, $7 million (on a pre-tax basis) is scheduled to be reclassified as an increase to interest expense over the next 12 months.</w:t>
      </w:r>
    </w:p>
    <w:p>
      <w:pPr>
        <w:spacing w:after="0" w:line="3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active forward-starting interest rate swaps outstanding as of December 31, 2013 relate to an anticipated debt issuance in the first quarter of 2014. As of December 31, 2013, the fair value of these active interest rate derivatives was comprised of $28 million of current liabilities compared with $42 million of long-term liabilities as of December 31, 2012.</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Treasury Rate Locks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December 31, 2013 and 2012, our “Accumulated other comprehensive income” included $6 million and $7 million, respectively, of after-tax deferred losses associated with Treasury rate locks that had been executed in previous years in anticipation of senior note issuances. These deferred losses are reclassified as an increase to interest expense over the life of the related senior note issuances, which extend through 2032. As of December 31, 2013, $1 million (on a pre-tax basis) is scheduled to be reclassified as an increase to interest expense over the next 12 months.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Derivatives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use foreign currency derivatives to hedge our exposure to fluctuations in exchange rates for anticipated intercompany cash transactions between WM Holdings and its Canadian subsidiaries.</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of December 31, 2012, the hedged cash flows included C$370 million of principal and C$10 million of interest scheduled to be paid on October 31, 2013. The intercompany note and related forward contracts matured and settled on October 31, 2013. The gain realized on the settlement of the forward contracts was $4 million. Interest on this intercompany note of C$10 million and C$11 million was also paid on November 30, 2011 and 2012, respectively. Forward contracts executed to hedge these cash flows settled contemporaneously with the related interest payments. The financial statement impacts of these forward contracts were not material.</w:t>
      </w:r>
    </w:p>
    <w:p>
      <w:pPr>
        <w:spacing w:after="0" w:line="6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October 2013, we executed a new Canadian dollar intercompany debt arrangement between WM Holdings and its Canadian subsidiaries and elected to swap WM Holding’s non-functional currency intercompany loan receivable back to U.S. dollars, which is WM Holdings’ functional currency. The total notional value of the new cross currency swaps is C$370 million. The critical terms of the executed swaps match the terms of the intercompany loan. The scheduled principal payments of the loan and the related swaps are as follows: C$70 million due on October 31, 2016, C$150 million due on October 31, 2017 and C$150 million due on October 31, 2018. We designated these cross currency swaps as cash flow hedges. Gains or losses resulting from the remeasurement of the underlying non-functional currency intercompany loan are recognized in current earnings in the same financial statement line item as offsetting gains or losses on the related cross currency swaps.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Electricity Commodity Derivatives</w:t>
      </w:r>
    </w:p>
    <w:p>
      <w:pPr>
        <w:spacing w:after="0" w:line="9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We use short-term, “receive fixed, pay variable” electricity commodity swaps to reduce the variability in our revenues and cash flows caused by fluctuations in the market prices for electricity. We hedged 1.55 million megawatt hours, or approximately 50%, of Wheelabrator’s 2011 merchant electricity sales; approximately 630,000 megawatt hours, or approximately 20%, of the segment’s 2012 merchant electricity sales and 1.73 million megawatt hours, or approximately 56%, of the segment’s 2013 merchant electricity sales. The swaps executed through December 31, 2013 are expected to hedge approximately 480,000 megawatt hours, or approximately 15%, of Wheelabrator’s 2014 merchant electricity sales.</w:t>
      </w:r>
    </w:p>
    <w:p>
      <w:pPr>
        <w:spacing w:after="0" w:line="35"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There was no significant ineffectiveness associated with our cash flow hedges during the years ended December 31, 2013, 2012 or 2011. Refer to Note 14 for information regarding the impacts of our cash flow derivatives on our comprehensive income and results of operations.</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Credit-Risk-Related Contingent Features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interest rate derivative instruments have in the past, and may in the future, contain provisions related to the Company’s credit rating. These provisions generally provide that if the Company’s credit rating were to fall to specified levels below investment grade, the counterparties have the ability to terminate the derivative agreements, resulting in settlement of all affected transactions. As of December 31, 2013 and 2012, we did not have any interest rate derivatives outstanding that contained these credit-risk-related features.</w:t>
      </w:r>
    </w:p>
    <w:p>
      <w:pPr>
        <w:spacing w:after="0" w:line="13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Income Taxes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“Provision for income taxes” consisted of the following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34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9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46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Federal</w:t>
            </w:r>
          </w:p>
        </w:tc>
        <w:tc>
          <w:tcPr>
            <w:tcW w:w="5080" w:type="dxa"/>
            <w:vAlign w:val="bottom"/>
            <w:gridSpan w:val="2"/>
          </w:tcPr>
          <w:p>
            <w:pPr>
              <w:jc w:val="right"/>
              <w:spacing w:after="0"/>
              <w:rPr>
                <w:sz w:val="20"/>
                <w:szCs w:val="20"/>
                <w:color w:val="auto"/>
              </w:rPr>
            </w:pPr>
            <w:r>
              <w:rPr>
                <w:rFonts w:ascii="Arial" w:cs="Arial" w:eastAsia="Arial" w:hAnsi="Arial"/>
                <w:sz w:val="18"/>
                <w:szCs w:val="18"/>
                <w:color w:val="auto"/>
              </w:rPr>
              <w:t>$ 389</w:t>
            </w: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5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Foreign</w:t>
            </w:r>
          </w:p>
        </w:tc>
        <w:tc>
          <w:tcPr>
            <w:tcW w:w="46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5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5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0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46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5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State</w:t>
            </w:r>
          </w:p>
        </w:tc>
        <w:tc>
          <w:tcPr>
            <w:tcW w:w="5360" w:type="dxa"/>
            <w:vAlign w:val="bottom"/>
            <w:gridSpan w:val="3"/>
          </w:tcPr>
          <w:p>
            <w:pPr>
              <w:jc w:val="right"/>
              <w:ind w:right="220"/>
              <w:spacing w:after="0"/>
              <w:rPr>
                <w:sz w:val="20"/>
                <w:szCs w:val="20"/>
                <w:color w:val="auto"/>
              </w:rPr>
            </w:pPr>
            <w:r>
              <w:rPr>
                <w:rFonts w:ascii="Arial" w:cs="Arial" w:eastAsia="Arial" w:hAnsi="Arial"/>
                <w:sz w:val="18"/>
                <w:szCs w:val="18"/>
                <w:color w:val="auto"/>
              </w:rPr>
              <w:t>(14)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4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6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$ 364</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660" w:type="dxa"/>
            <w:vAlign w:val="bottom"/>
            <w:vMerge w:val="restart"/>
          </w:tcPr>
          <w:p>
            <w:pPr>
              <w:jc w:val="right"/>
              <w:ind w:right="2692"/>
              <w:spacing w:after="0"/>
              <w:rPr>
                <w:sz w:val="20"/>
                <w:szCs w:val="20"/>
                <w:color w:val="auto"/>
              </w:rPr>
            </w:pPr>
            <w:r>
              <w:rPr>
                <w:rFonts w:ascii="Arial" w:cs="Arial" w:eastAsia="Arial" w:hAnsi="Arial"/>
                <w:sz w:val="18"/>
                <w:szCs w:val="18"/>
                <w:color w:val="auto"/>
              </w:rPr>
              <w:t>107</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U.S. federal statutory income tax rate is reconciled to the effective income tax rate as follows: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5"/>
              </w:rPr>
              <w:t>Years Ended December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6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 at U.S. federal statutory rate</w:t>
            </w:r>
          </w:p>
        </w:tc>
        <w:tc>
          <w:tcPr>
            <w:tcW w:w="11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35.00%</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35.00%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35.00%</w:t>
            </w: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Federal tax credits</w:t>
            </w:r>
          </w:p>
        </w:tc>
        <w:tc>
          <w:tcPr>
            <w:tcW w:w="1100" w:type="dxa"/>
            <w:vAlign w:val="bottom"/>
            <w:gridSpan w:val="2"/>
          </w:tcPr>
          <w:p>
            <w:pPr>
              <w:jc w:val="right"/>
              <w:ind w:right="452"/>
              <w:spacing w:after="0"/>
              <w:rPr>
                <w:sz w:val="20"/>
                <w:szCs w:val="20"/>
                <w:color w:val="auto"/>
              </w:rPr>
            </w:pPr>
            <w:r>
              <w:rPr>
                <w:rFonts w:ascii="Arial" w:cs="Arial" w:eastAsia="Arial" w:hAnsi="Arial"/>
                <w:sz w:val="18"/>
                <w:szCs w:val="18"/>
                <w:color w:val="auto"/>
                <w:w w:val="98"/>
              </w:rPr>
              <w:t>(11.74)</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(4.13)</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(3.29)</w:t>
            </w: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Taxing authority audit settlements and other tax adjustments</w:t>
            </w:r>
          </w:p>
        </w:tc>
        <w:tc>
          <w:tcPr>
            <w:tcW w:w="11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(3.47)</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(0.02)</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(0.47)</w:t>
            </w: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100" w:type="dxa"/>
            <w:vAlign w:val="bottom"/>
            <w:gridSpan w:val="2"/>
          </w:tcPr>
          <w:p>
            <w:pPr>
              <w:jc w:val="right"/>
              <w:ind w:right="452"/>
              <w:spacing w:after="0"/>
              <w:rPr>
                <w:sz w:val="20"/>
                <w:szCs w:val="20"/>
                <w:color w:val="auto"/>
              </w:rPr>
            </w:pPr>
            <w:r>
              <w:rPr>
                <w:rFonts w:ascii="Arial" w:cs="Arial" w:eastAsia="Arial" w:hAnsi="Arial"/>
                <w:sz w:val="18"/>
                <w:szCs w:val="18"/>
                <w:color w:val="auto"/>
              </w:rPr>
              <w:t>(2.28)</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(1.16)</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income taxes, net of federal income tax benefit</w:t>
            </w:r>
          </w:p>
        </w:tc>
        <w:tc>
          <w:tcPr>
            <w:tcW w:w="110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9.81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Tax rate differential on foreign income</w:t>
            </w:r>
          </w:p>
        </w:tc>
        <w:tc>
          <w:tcPr>
            <w:tcW w:w="1100" w:type="dxa"/>
            <w:vAlign w:val="bottom"/>
            <w:gridSpan w:val="2"/>
          </w:tcPr>
          <w:p>
            <w:pPr>
              <w:jc w:val="right"/>
              <w:ind w:right="512"/>
              <w:spacing w:after="0"/>
              <w:rPr>
                <w:sz w:val="20"/>
                <w:szCs w:val="20"/>
                <w:color w:val="auto"/>
              </w:rPr>
            </w:pPr>
            <w:r>
              <w:rPr>
                <w:rFonts w:ascii="Arial" w:cs="Arial" w:eastAsia="Arial" w:hAnsi="Arial"/>
                <w:sz w:val="18"/>
                <w:szCs w:val="18"/>
                <w:color w:val="auto"/>
              </w:rPr>
              <w:t>2.11</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(0.96)</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(0.70)</w:t>
            </w: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Tax impact of impairments</w:t>
            </w:r>
          </w:p>
        </w:tc>
        <w:tc>
          <w:tcPr>
            <w:tcW w:w="110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41.95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5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5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1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73.75%</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33.95%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33.61%</w:t>
            </w: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comparability of our income taxes for the reported periods has been primarily affected by (i) variations in our income before income taxes; (ii) federal tax credits; (iii) tax audit settlements; (iv) the realization of federal and state net operating loss and credit carry-forwards and (v) the tax implications of impairments.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financial reporting purposes, income (loss) before income taxes showing domestic and foreign sources was as follows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$548</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$1,175</w:t>
            </w:r>
          </w:p>
        </w:tc>
        <w:tc>
          <w:tcPr>
            <w:tcW w:w="5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Foreign</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1520" w:type="dxa"/>
            <w:vAlign w:val="bottom"/>
            <w:gridSpan w:val="3"/>
          </w:tcPr>
          <w:p>
            <w:pPr>
              <w:jc w:val="right"/>
              <w:ind w:right="580"/>
              <w:spacing w:after="0"/>
              <w:rPr>
                <w:sz w:val="20"/>
                <w:szCs w:val="20"/>
                <w:color w:val="auto"/>
              </w:rPr>
            </w:pPr>
            <w:r>
              <w:rPr>
                <w:rFonts w:ascii="Arial" w:cs="Arial" w:eastAsia="Arial" w:hAnsi="Arial"/>
                <w:sz w:val="18"/>
                <w:szCs w:val="18"/>
                <w:color w:val="auto"/>
              </w:rPr>
              <w:t>128</w:t>
            </w:r>
          </w:p>
        </w:tc>
        <w:tc>
          <w:tcPr>
            <w:tcW w:w="50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494</w:t>
            </w: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1,303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i w:val="1"/>
          <w:iCs w:val="1"/>
          <w:color w:val="auto"/>
        </w:rPr>
        <w:t xml:space="preserve">Investment in Refined Coal Facility </w:t>
      </w:r>
      <w:r>
        <w:rPr>
          <w:rFonts w:ascii="Arial" w:cs="Arial" w:eastAsia="Arial" w:hAnsi="Arial"/>
          <w:sz w:val="18"/>
          <w:szCs w:val="18"/>
          <w:color w:val="auto"/>
        </w:rPr>
        <w:t>— In January 2011, we acquired a noncontrolling interest in a limited liability company, which was established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 in and manage a refined coal facility in North Dakota. The facility’s refinement processes qualify for federal tax credits that are expected to be realized through 2019 in accordance with Section 45 of the Internal Revenue Code. Our initial consideration for this investment consisted of a cash payment of $48 million.</w:t>
      </w:r>
    </w:p>
    <w:p>
      <w:pPr>
        <w:spacing w:after="0" w:line="6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account for our investment in this entity using the equity method of accounting, recognizing our share of the entity’s results and other reductions in “Equity in net losses of unconsolidated entities,” within our Consolidated Statement of Operations. During the years ended December 31, 2013, 2012 and 2011, we recognized $8 million, $7 million and $6 million, respectively, of net losses resulting from our share of the entity’s operating losses. Our tax provision for the years ended December 31, 2013, 2012 and 2011 was reduced by $20 million, $21 million and $17 million, respectively, primarily as a result of tax credits realized from this investment. See Note 20 for additional information related to this investment.</w:t>
      </w:r>
    </w:p>
    <w:p>
      <w:pPr>
        <w:spacing w:after="0" w:line="3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Investment in Low-Income Housing Properties </w:t>
      </w:r>
      <w:r>
        <w:rPr>
          <w:rFonts w:ascii="Arial" w:cs="Arial" w:eastAsia="Arial" w:hAnsi="Arial"/>
          <w:sz w:val="18"/>
          <w:szCs w:val="18"/>
          <w:color w:val="auto"/>
        </w:rPr>
        <w:t>— In April 2010, we acquired a noncontrolling interest in a limited liability company established to invest</w:t>
      </w:r>
      <w:r>
        <w:rPr>
          <w:rFonts w:ascii="Arial" w:cs="Arial" w:eastAsia="Arial" w:hAnsi="Arial"/>
          <w:sz w:val="18"/>
          <w:szCs w:val="18"/>
          <w:i w:val="1"/>
          <w:iCs w:val="1"/>
          <w:color w:val="auto"/>
        </w:rPr>
        <w:t xml:space="preserve"> </w:t>
      </w:r>
      <w:r>
        <w:rPr>
          <w:rFonts w:ascii="Arial" w:cs="Arial" w:eastAsia="Arial" w:hAnsi="Arial"/>
          <w:sz w:val="18"/>
          <w:szCs w:val="18"/>
          <w:color w:val="auto"/>
        </w:rPr>
        <w:t>in and manage low-income housing properties. The entity’s low-income housing investments qualify for federal tax credits that are expected to be realized through 2020 in accordance with Section 42 of the Internal Revenue Code.</w:t>
      </w:r>
    </w:p>
    <w:p>
      <w:pPr>
        <w:spacing w:after="0" w:line="5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account for our investment in this entity using the equity method of accounting. We recognize our share of the entity’s results and reductions in value of our investment in “Equity in net losses of unconsolidated entities,” within our Consolidated Statement of Operations. The value of our investment decreases as the tax credits are generated and utilized. During the years ended December 31, 2013, 2012 and 2011, we recognized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$25 million, $24 million and $23 million, respectively, of losses relating to our equity investment in this entity, $6 million, $7 million and $8 million, respectively, of interest expense, and a reduction in our tax provision of $38 million (including $26 million of tax credits), in each of the respective years. See Note 20 for additional information related to this investment.</w:t>
      </w:r>
    </w:p>
    <w:p>
      <w:pPr>
        <w:spacing w:after="0" w:line="59"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i w:val="1"/>
          <w:iCs w:val="1"/>
          <w:color w:val="auto"/>
        </w:rPr>
        <w:t xml:space="preserve">Tax Audit Settlements </w:t>
      </w:r>
      <w:r>
        <w:rPr>
          <w:rFonts w:ascii="Arial" w:cs="Arial" w:eastAsia="Arial" w:hAnsi="Arial"/>
          <w:sz w:val="18"/>
          <w:szCs w:val="18"/>
          <w:color w:val="auto"/>
        </w:rPr>
        <w:t>— The Company and its subsidiaries file income tax returns in the United States, Canada, the United Kingdom and Puerto Rico,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various state and local jurisdictions. We are currently under audit by the IRS and from time to time we are audited by other taxing authorities. Our audits are in various stages of completion.</w:t>
      </w:r>
    </w:p>
    <w:p>
      <w:pPr>
        <w:spacing w:after="0" w:line="5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During 2013, 2012 and 2011 we settled various tax audits. The settlement of these tax audits resulted in a reduction to our provision for income taxes for the years ended December 31, 2013, 2012 and 2011 of $11 million, $10 million and $12 million, respectively.</w:t>
      </w:r>
    </w:p>
    <w:p>
      <w:pPr>
        <w:spacing w:after="0" w:line="51"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We are currently in the examination phase of IRS audits for the tax years 2013 and 2014 and expect these audits to be completed within the next 15 and 27 months, respectively. We participate in the IRS’s Compliance Assurance Process, which means we work with the IRS throughout the year in order to resolve any material issues prior to the filing of our annual tax return. We are also currently undergoing audits by various state and local jurisdictions for years that date back to 2005, with the exception of affirmative claims in one jurisdiction that date back to 2000. We are not currently under audit in Canada and, due to the expiration of statutes of limitations, all tax years prior to 2009 are closed. In July 2011, we acquired Oakleaf Global Holdings (“Oakleaf”), which is subject to potential IRS examinations for the years 2010 and 2011. Pursuant to the terms of our acquisition of Oakleaf, we are entitled to indemnification for Oakleaf’s pre-acquisition period tax liabilities.</w:t>
      </w:r>
    </w:p>
    <w:p>
      <w:pPr>
        <w:spacing w:after="0" w:line="6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 xml:space="preserve">State Net Operating Loss and Credit Carry-Forwards </w:t>
      </w:r>
      <w:r>
        <w:rPr>
          <w:rFonts w:ascii="Arial" w:cs="Arial" w:eastAsia="Arial" w:hAnsi="Arial"/>
          <w:sz w:val="18"/>
          <w:szCs w:val="18"/>
          <w:color w:val="auto"/>
        </w:rPr>
        <w:t>— During 2013, 2012 and 2011, we recognized state net operating loss and credit carry-forwards</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in a reduction to our provision for income taxes of $16 million, $5 million and $4 million, respectively.</w:t>
      </w:r>
    </w:p>
    <w:p>
      <w:pPr>
        <w:spacing w:after="0" w:line="5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i w:val="1"/>
          <w:iCs w:val="1"/>
          <w:color w:val="auto"/>
        </w:rPr>
        <w:t xml:space="preserve">Federal Net Operating Loss Carry-Forwards </w:t>
      </w:r>
      <w:r>
        <w:rPr>
          <w:rFonts w:ascii="Arial" w:cs="Arial" w:eastAsia="Arial" w:hAnsi="Arial"/>
          <w:sz w:val="18"/>
          <w:szCs w:val="18"/>
          <w:color w:val="auto"/>
        </w:rPr>
        <w:t>— During 2012, we recognized additional federal net operating loss (“NOL”) carry-forwards resulting in a</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to our provision for income taxes of $8 million. As a result of the acquisition of Oakleaf in 2011, we received income tax attributes (primarily federal and state net operating loss carry-forwards) and allocated a portion of the purchase price to these acquired assets. At the time of the acquisition, we fully recognized all of the income tax attributes identified by the seller and concluded the realization of these attributes did not affect our overall provision for income taxes. In the third quarter of 2012, as a result of new information, we recognized the above referenced tax benefit related to additional federal net operating loss carry-forwards received in the Oakleaf acquisition.</w:t>
      </w:r>
    </w:p>
    <w:p>
      <w:pPr>
        <w:spacing w:after="0" w:line="6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Tax Implications of Impairments </w:t>
      </w:r>
      <w:r>
        <w:rPr>
          <w:rFonts w:ascii="Arial" w:cs="Arial" w:eastAsia="Arial" w:hAnsi="Arial"/>
          <w:sz w:val="18"/>
          <w:szCs w:val="18"/>
          <w:color w:val="auto"/>
        </w:rPr>
        <w:t>— During 2013 and 2012, the recording of impairments and the related income tax impacts resulted in permanent</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differences which increased our provision for income taxes by $235 million and $7 million, respectively. See Notes 6 and 13 for more information related to asset impairments and unusual items.</w:t>
      </w:r>
    </w:p>
    <w:p>
      <w:pPr>
        <w:spacing w:after="0" w:line="59"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i w:val="1"/>
          <w:iCs w:val="1"/>
          <w:color w:val="auto"/>
        </w:rPr>
        <w:t xml:space="preserve">Unremitted Earnings in Foreign Subsidiaries </w:t>
      </w:r>
      <w:r>
        <w:rPr>
          <w:rFonts w:ascii="Arial" w:cs="Arial" w:eastAsia="Arial" w:hAnsi="Arial"/>
          <w:sz w:val="16"/>
          <w:szCs w:val="16"/>
          <w:color w:val="auto"/>
        </w:rPr>
        <w:t>— At December 31, 2013, remaining unremitted earnings in foreign operations were approximately $800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which are considered permanently invested and, therefore, no provision for U.S. income taxes has been accrued for these unremitted earnings. Determination of the unrecognized deferred U.S. income tax liability is not practicable due to uncertainties related to the timing and source of any potential distribution of such funds, along with other important factors such as the amount of associated foreign tax credits.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Tax Assets (Liabilities)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net deferred tax assets (liabilities) are as follows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2013</w:t>
            </w: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operating loss, capital loss and tax credit carry-forwards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164</w:t>
            </w:r>
          </w:p>
        </w:tc>
        <w:tc>
          <w:tcPr>
            <w:tcW w:w="3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Miscellaneous and other reserves, net</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80" w:type="dxa"/>
            <w:vAlign w:val="bottom"/>
          </w:tcPr>
          <w:p>
            <w:pPr>
              <w:ind w:left="440"/>
              <w:spacing w:after="0"/>
              <w:rPr>
                <w:sz w:val="20"/>
                <w:szCs w:val="20"/>
                <w:color w:val="auto"/>
              </w:rPr>
            </w:pPr>
            <w:r>
              <w:rPr>
                <w:rFonts w:ascii="Arial" w:cs="Arial" w:eastAsia="Arial" w:hAnsi="Arial"/>
                <w:sz w:val="18"/>
                <w:szCs w:val="18"/>
                <w:color w:val="auto"/>
              </w:rPr>
              <w:t>Subtotal</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8"/>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Landfill and environmental remediation liabilities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680" w:type="dxa"/>
            <w:vAlign w:val="bottom"/>
          </w:tcPr>
          <w:p>
            <w:pPr>
              <w:ind w:left="220"/>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(966)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(1,180)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 and other intangibles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(1,104)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(1,050)</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440"/>
              <w:spacing w:after="0"/>
              <w:rPr>
                <w:sz w:val="20"/>
                <w:szCs w:val="20"/>
                <w:color w:val="auto"/>
              </w:rPr>
            </w:pPr>
            <w:r>
              <w:rPr>
                <w:rFonts w:ascii="Arial" w:cs="Arial" w:eastAsia="Arial" w:hAnsi="Arial"/>
                <w:sz w:val="18"/>
                <w:szCs w:val="18"/>
                <w:color w:val="auto"/>
              </w:rPr>
              <w:t>Net deferred tax liabilities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(1,729)</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(1,871)</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valuation allowance increased by $29 million in 2013 due to changes in our capital loss carry-forwards and in our state NOL and tax credit carry-forwards, as well as the tax impacts of impairments.</w:t>
      </w:r>
    </w:p>
    <w:p>
      <w:pPr>
        <w:spacing w:after="0" w:line="5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At December 31, 2013, we had $59 million of federal NOL carry-forwards and $1.6 billion of state NOL carry-forwards. The federal and state NOL carry-forwards have expiration dates through the year 2033. We also have $101 million of federal capital loss carry-forwards, of which $98 million expire in 2014 and $3 million expire in 2018. In addition, we have $38 million of state tax credit carry-forwards at December 31, 2013.</w:t>
      </w:r>
    </w:p>
    <w:p>
      <w:pPr>
        <w:spacing w:after="0" w:line="2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have established valuation allowances for uncertainties in realizing the benefit of certain tax loss and credit carry-forwards and other deferred tax assets. While we expect to realize the deferred tax assets, net of the valuation allowances, changes in estimates of future taxable income or in tax laws may alter this expectation.</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Liabilities for Uncertain Tax Positions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reconciliation of the beginning and ending amount of gross unrecognized tax benefits, including accrued interest for 2013, 2012 and 2011 is as follows (in millions):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2013</w:t>
            </w:r>
          </w:p>
        </w:tc>
        <w:tc>
          <w:tcPr>
            <w:tcW w:w="280" w:type="dxa"/>
            <w:vAlign w:val="bottom"/>
          </w:tcPr>
          <w:p>
            <w:pPr>
              <w:spacing w:after="0"/>
              <w:rPr>
                <w:sz w:val="14"/>
                <w:szCs w:val="14"/>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$49</w:t>
            </w:r>
          </w:p>
        </w:tc>
        <w:tc>
          <w:tcPr>
            <w:tcW w:w="5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Additions based on tax positions related to the current year</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8"/>
                <w:szCs w:val="18"/>
                <w:color w:val="auto"/>
              </w:rPr>
              <w:t>15</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based on tax positions of prior years</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Additions due to acquisitions</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Reductions for tax positions of prior years</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020" w:type="dxa"/>
            <w:vAlign w:val="bottom"/>
            <w:gridSpan w:val="3"/>
          </w:tcPr>
          <w:p>
            <w:pPr>
              <w:jc w:val="right"/>
              <w:ind w:right="460"/>
              <w:spacing w:after="0"/>
              <w:rPr>
                <w:sz w:val="20"/>
                <w:szCs w:val="20"/>
                <w:color w:val="auto"/>
              </w:rPr>
            </w:pPr>
            <w:r>
              <w:rPr>
                <w:rFonts w:ascii="Arial" w:cs="Arial" w:eastAsia="Arial" w:hAnsi="Arial"/>
                <w:sz w:val="18"/>
                <w:szCs w:val="18"/>
                <w:color w:val="auto"/>
              </w:rPr>
              <w:t>(1)</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Settlements</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Lapse of statute of limitations</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020" w:type="dxa"/>
            <w:vAlign w:val="bottom"/>
            <w:gridSpan w:val="3"/>
          </w:tcPr>
          <w:p>
            <w:pPr>
              <w:jc w:val="right"/>
              <w:ind w:right="460"/>
              <w:spacing w:after="0"/>
              <w:rPr>
                <w:sz w:val="20"/>
                <w:szCs w:val="20"/>
                <w:color w:val="auto"/>
              </w:rPr>
            </w:pPr>
            <w:r>
              <w:rPr>
                <w:rFonts w:ascii="Arial" w:cs="Arial" w:eastAsia="Arial" w:hAnsi="Arial"/>
                <w:sz w:val="18"/>
                <w:szCs w:val="18"/>
                <w:color w:val="auto"/>
              </w:rPr>
              <w:t>(7)</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49</w:t>
            </w: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These liabilities are included as a component of long-term “Other liabilities” in our Consolidated Balance Sheets because the Company does not anticipate that settlement of the liabilities will require payment of cash within the next 12 months. As of December 31, 2013, $32 million of net unrecognized tax benefits, if recognized in future periods, would impact our effective tax rate.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recognize interest expense related to unrecognized tax benefits in income tax expense. During each of the years ended December 31, 2013, 2012 and 2011, we recognized approximately $2 million of such interest expense as a component of our provisions for income taxes. We had approximately $7 million of accrued interest in our Consolidated Balance Sheets as of December 31, 2013 and 2012. We do not have any accrued liabilities or expense for penalties related to unrecognized tax benefits for the years ended December 31, 2013, 2012 and 2011.</w:t>
      </w:r>
    </w:p>
    <w:p>
      <w:pPr>
        <w:spacing w:after="0" w:line="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are not able to reasonably estimate when we would make any cash payments required to settle these liabilities, but we do not believe that the ultimate settlement of our obligations will materially affect our liquidity. We anticipate that approximately $9 million of liabilities for unrecognized tax benefits, including accrued interest, and $3 million of related deferred tax assets may be reversed within the next 12 months. The anticipated reversals are primarily related to state tax items, none of which are material, and are expected to result from audit settlements or the expiration of the applicable statute of limitations period.</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Bonus Depreciation</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American Taxpayer Relief Act of 2012 was signed into law on January 2, 2013 and included an extension for one year of the bonus depreciation allowance. As a result, 50% of qualifying capital expenditures on property placed in service before January 1, 2014 were depreciated immediately. The acceleration of deductions on 2013 qualifying capital expenditures resulting from the bonus depreciation provisions had no impact on our effective income tax rate for 2013 although it reduced our cash taxes.</w:t>
      </w:r>
    </w:p>
    <w:p>
      <w:pPr>
        <w:spacing w:after="0" w:line="13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Employee Benefit Plans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 xml:space="preserve">Defined Contribution Plans — </w:t>
      </w:r>
      <w:r>
        <w:rPr>
          <w:rFonts w:ascii="Arial" w:cs="Arial" w:eastAsia="Arial" w:hAnsi="Arial"/>
          <w:sz w:val="16"/>
          <w:szCs w:val="16"/>
          <w:color w:val="auto"/>
        </w:rPr>
        <w:t>Waste Management sponsors 401(k) retirement savings plans that cover employees, except those working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collective bargaining agreements that do not allow for coverage under such plans. United States employees who are not subject to collective bargaining agreements are generally eligible to participate in the plans following a 90-day waiting period after hire and may contribute as much as 25% of their annual compensation, subject to annual contribution limitations established by the IRS. Under our largest retirement savings plan, we match, in cash, 100% of employee contributions on the first 3% of their eligible compensation and 50% of employee contributions on the next 3% of their eligible compensation, resulting in a maximum match of 4.5% of eligible compensation. Both employee and Company contributions vest immediately. Certain United States employees who are subject to collective bargaining agreements may participate in a separate Company sponsored 401(k) retirement savings plan under terms specified in their collective bargaining agreement. Certain employees outside the United States including those in Canada, the United Kingdom and Puerto Rico, participate in defined contribution plans maintained by the Company in compliance with laws of the appropriate jurisdiction. Charges to “Operating” and “Selling, general and administrative” expenses for our defined contribution plans were $63 million in 2013, $63 million in 2012 and $61 million in 2011.</w:t>
      </w:r>
    </w:p>
    <w:p>
      <w:pPr>
        <w:spacing w:after="0" w:line="4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Defined Benefit Plans (other than multiemployer defined benefit plans discussed below) — </w:t>
      </w:r>
      <w:r>
        <w:rPr>
          <w:rFonts w:ascii="Arial" w:cs="Arial" w:eastAsia="Arial" w:hAnsi="Arial"/>
          <w:sz w:val="16"/>
          <w:szCs w:val="16"/>
          <w:color w:val="auto"/>
        </w:rPr>
        <w:t>Waste Management Holdings, Inc. sponsors a defined benefit</w:t>
      </w:r>
      <w:r>
        <w:rPr>
          <w:rFonts w:ascii="Arial" w:cs="Arial" w:eastAsia="Arial" w:hAnsi="Arial"/>
          <w:sz w:val="16"/>
          <w:szCs w:val="16"/>
          <w:i w:val="1"/>
          <w:iCs w:val="1"/>
          <w:color w:val="auto"/>
        </w:rPr>
        <w:t xml:space="preserve"> </w:t>
      </w:r>
      <w:r>
        <w:rPr>
          <w:rFonts w:ascii="Arial" w:cs="Arial" w:eastAsia="Arial" w:hAnsi="Arial"/>
          <w:sz w:val="16"/>
          <w:szCs w:val="16"/>
          <w:color w:val="auto"/>
        </w:rPr>
        <w:t>plan for certain employees who are subject to collective bargaining agreements that provide for participation in that plan. Further, qualifying Canadian employees participate in defined benefit plans sponsored by certain of our Canadian subsidiaries. In addition, Wheelabrator Technologies Inc., a wholly-owned subsidiary, sponsors a nonqualified pension plan for a retired board member. As of December 31, 2013, the combined benefit obligation of these pension plans was $97 million, and the plans had $86 million of plan assets, resulting in an unfunded benefit obligation for these plans of $11 million.</w:t>
      </w:r>
    </w:p>
    <w:p>
      <w:pPr>
        <w:spacing w:after="0" w:line="3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WM Holdings and certain of its subsidiaries provided post-retirement health care and other benefits to eligible retirees. In conjunction with our acquisition of WM Holdings in July 1998, we limited participation in these plans to participating retirees as of December 31, 1998. The unfunded benefit obligation for these plans was $33 million at December 31, 2013.</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accrued benefit liabilities for our defined benefit pension and other post-retirement plans are $44 million as of December 31, 2013 and are included as components of “Accrued liabilities” and long-term “Other liabilities” in our Consolidated Balance Sheet.</w:t>
      </w:r>
    </w:p>
    <w:p>
      <w:pPr>
        <w:spacing w:after="0" w:line="5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i w:val="1"/>
          <w:iCs w:val="1"/>
          <w:color w:val="auto"/>
        </w:rPr>
        <w:t xml:space="preserve">Multiemployer Defined Benefit Pension Plans — </w:t>
      </w:r>
      <w:r>
        <w:rPr>
          <w:rFonts w:ascii="Arial" w:cs="Arial" w:eastAsia="Arial" w:hAnsi="Arial"/>
          <w:sz w:val="16"/>
          <w:szCs w:val="16"/>
          <w:color w:val="auto"/>
        </w:rPr>
        <w:t>We are a participating employer in a number of trustee-managed multiemployer, defined benefit pension</w:t>
      </w:r>
      <w:r>
        <w:rPr>
          <w:rFonts w:ascii="Arial" w:cs="Arial" w:eastAsia="Arial" w:hAnsi="Arial"/>
          <w:sz w:val="16"/>
          <w:szCs w:val="16"/>
          <w:i w:val="1"/>
          <w:iCs w:val="1"/>
          <w:color w:val="auto"/>
        </w:rPr>
        <w:t xml:space="preserve"> </w:t>
      </w:r>
      <w:r>
        <w:rPr>
          <w:rFonts w:ascii="Arial" w:cs="Arial" w:eastAsia="Arial" w:hAnsi="Arial"/>
          <w:sz w:val="16"/>
          <w:szCs w:val="16"/>
          <w:color w:val="auto"/>
        </w:rPr>
        <w:t>plans for employees who are covered by collective bargaining agreements. The risks of participating in these multiemployer plans are different from single-employer plans in that (i) assets contributed to the multiemployer plan by one employer may be used to provide benefits to employees or former employees of other participating employers; (ii) if a participating employer stops contributing to the plan, the unfunded obligations of the plan may be required to be assumed by the remaining participating employers and (iii) if we choose to stop participating in any of our multiemployer plans, we may be required to pay those plans a withdrawal amount based on the underfunded status of the plan. The following table outlines our participation in multiemployer plans considered to be individually significant (dollar amounts in millions):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Expiration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Pension Protection Act</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4"/>
          </w:tcPr>
          <w:p>
            <w:pPr>
              <w:jc w:val="right"/>
              <w:ind w:right="120"/>
              <w:spacing w:after="0" w:line="149" w:lineRule="exact"/>
              <w:rPr>
                <w:sz w:val="20"/>
                <w:szCs w:val="20"/>
                <w:color w:val="auto"/>
              </w:rPr>
            </w:pPr>
            <w:r>
              <w:rPr>
                <w:rFonts w:ascii="Arial" w:cs="Arial" w:eastAsia="Arial" w:hAnsi="Arial"/>
                <w:sz w:val="14"/>
                <w:szCs w:val="14"/>
                <w:b w:val="1"/>
                <w:bCs w:val="1"/>
                <w:color w:val="auto"/>
              </w:rPr>
              <w:t>Company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Collective</w:t>
            </w:r>
          </w:p>
        </w:tc>
        <w:tc>
          <w:tcPr>
            <w:tcW w:w="0" w:type="dxa"/>
            <w:vAlign w:val="bottom"/>
          </w:tcPr>
          <w:p>
            <w:pPr>
              <w:spacing w:after="0"/>
              <w:rPr>
                <w:sz w:val="1"/>
                <w:szCs w:val="1"/>
                <w:color w:val="auto"/>
              </w:rPr>
            </w:pPr>
          </w:p>
        </w:tc>
      </w:tr>
      <w:tr>
        <w:trPr>
          <w:trHeight w:val="161"/>
        </w:trPr>
        <w:tc>
          <w:tcPr>
            <w:tcW w:w="47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Pension Fund</w:t>
            </w:r>
          </w:p>
        </w:tc>
        <w:tc>
          <w:tcPr>
            <w:tcW w:w="13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EIN/Pension Plan</w:t>
            </w: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Reported Status(a)</w:t>
            </w:r>
          </w:p>
        </w:tc>
        <w:tc>
          <w:tcPr>
            <w:tcW w:w="2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FIP/RP</w:t>
            </w: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6"/>
              </w:rPr>
              <w:t>Contributions(d)</w:t>
            </w:r>
          </w:p>
        </w:tc>
        <w:tc>
          <w:tcPr>
            <w:tcW w:w="1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Bargaining</w:t>
            </w:r>
          </w:p>
        </w:tc>
        <w:tc>
          <w:tcPr>
            <w:tcW w:w="0" w:type="dxa"/>
            <w:vAlign w:val="bottom"/>
          </w:tcPr>
          <w:p>
            <w:pPr>
              <w:spacing w:after="0"/>
              <w:rPr>
                <w:sz w:val="1"/>
                <w:szCs w:val="1"/>
                <w:color w:val="auto"/>
              </w:rPr>
            </w:pPr>
          </w:p>
        </w:tc>
      </w:tr>
      <w:tr>
        <w:trPr>
          <w:trHeight w:val="129"/>
        </w:trPr>
        <w:tc>
          <w:tcPr>
            <w:tcW w:w="4780" w:type="dxa"/>
            <w:vAlign w:val="bottom"/>
            <w:gridSpan w:val="4"/>
            <w:vMerge w:val="continue"/>
          </w:tcPr>
          <w:p>
            <w:pPr>
              <w:spacing w:after="0"/>
              <w:rPr>
                <w:sz w:val="11"/>
                <w:szCs w:val="11"/>
                <w:color w:val="auto"/>
              </w:rPr>
            </w:pPr>
          </w:p>
        </w:tc>
        <w:tc>
          <w:tcPr>
            <w:tcW w:w="1360" w:type="dxa"/>
            <w:vAlign w:val="bottom"/>
            <w:gridSpan w:val="2"/>
          </w:tcPr>
          <w:p>
            <w:pPr>
              <w:ind w:left="300"/>
              <w:spacing w:after="0" w:line="129" w:lineRule="exact"/>
              <w:rPr>
                <w:sz w:val="20"/>
                <w:szCs w:val="20"/>
                <w:color w:val="auto"/>
              </w:rPr>
            </w:pPr>
            <w:r>
              <w:rPr>
                <w:rFonts w:ascii="Arial" w:cs="Arial" w:eastAsia="Arial" w:hAnsi="Arial"/>
                <w:sz w:val="14"/>
                <w:szCs w:val="14"/>
                <w:b w:val="1"/>
                <w:bCs w:val="1"/>
                <w:color w:val="auto"/>
              </w:rPr>
              <w:t>Number</w:t>
            </w:r>
          </w:p>
        </w:tc>
        <w:tc>
          <w:tcPr>
            <w:tcW w:w="64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1"/>
                <w:szCs w:val="11"/>
                <w:color w:val="auto"/>
              </w:rPr>
            </w:pPr>
          </w:p>
        </w:tc>
        <w:tc>
          <w:tcPr>
            <w:tcW w:w="660" w:type="dxa"/>
            <w:vAlign w:val="bottom"/>
          </w:tcPr>
          <w:p>
            <w:pPr>
              <w:jc w:val="right"/>
              <w:ind w:right="132"/>
              <w:spacing w:after="0" w:line="129"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1"/>
                <w:szCs w:val="11"/>
                <w:color w:val="auto"/>
              </w:rPr>
            </w:pPr>
          </w:p>
        </w:tc>
        <w:tc>
          <w:tcPr>
            <w:tcW w:w="9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Status(b),(c)</w:t>
            </w:r>
          </w:p>
        </w:tc>
        <w:tc>
          <w:tcPr>
            <w:tcW w:w="2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2013</w:t>
            </w:r>
          </w:p>
        </w:tc>
        <w:tc>
          <w:tcPr>
            <w:tcW w:w="820" w:type="dxa"/>
            <w:vAlign w:val="bottom"/>
            <w:gridSpan w:val="4"/>
          </w:tcPr>
          <w:p>
            <w:pPr>
              <w:jc w:val="right"/>
              <w:ind w:right="280"/>
              <w:spacing w:after="0" w:line="129" w:lineRule="exact"/>
              <w:rPr>
                <w:sz w:val="20"/>
                <w:szCs w:val="20"/>
                <w:color w:val="auto"/>
              </w:rPr>
            </w:pPr>
            <w:r>
              <w:rPr>
                <w:rFonts w:ascii="Arial" w:cs="Arial" w:eastAsia="Arial" w:hAnsi="Arial"/>
                <w:sz w:val="14"/>
                <w:szCs w:val="14"/>
                <w:b w:val="1"/>
                <w:bCs w:val="1"/>
                <w:color w:val="auto"/>
              </w:rPr>
              <w:t>2012</w:t>
            </w:r>
          </w:p>
        </w:tc>
        <w:tc>
          <w:tcPr>
            <w:tcW w:w="2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2011</w:t>
            </w:r>
          </w:p>
        </w:tc>
        <w:tc>
          <w:tcPr>
            <w:tcW w:w="28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Agreement(s)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4760" w:type="dxa"/>
            <w:vAlign w:val="bottom"/>
            <w:gridSpan w:val="3"/>
            <w:shd w:val="clear" w:color="auto" w:fill="CCEEFF"/>
          </w:tcPr>
          <w:p>
            <w:pPr>
              <w:spacing w:after="0" w:line="125" w:lineRule="exact"/>
              <w:rPr>
                <w:sz w:val="20"/>
                <w:szCs w:val="20"/>
                <w:color w:val="auto"/>
              </w:rPr>
            </w:pPr>
            <w:r>
              <w:rPr>
                <w:rFonts w:ascii="Arial" w:cs="Arial" w:eastAsia="Arial" w:hAnsi="Arial"/>
                <w:sz w:val="14"/>
                <w:szCs w:val="14"/>
                <w:color w:val="auto"/>
              </w:rPr>
              <w:t>Automotive Industries Pension Plan</w:t>
            </w:r>
          </w:p>
        </w:tc>
        <w:tc>
          <w:tcPr>
            <w:tcW w:w="10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w w:val="96"/>
              </w:rPr>
              <w:t>EIN: 94-1133245;</w:t>
            </w: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93"/>
              </w:rPr>
              <w:t>Critical</w:t>
            </w: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98"/>
              </w:rPr>
              <w:t>Critical</w:t>
            </w: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88"/>
              </w:rPr>
              <w:t>Implemented</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w:t>
            </w: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w:t>
            </w: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w:t>
            </w:r>
          </w:p>
        </w:tc>
        <w:tc>
          <w:tcPr>
            <w:tcW w:w="280" w:type="dxa"/>
            <w:vAlign w:val="bottom"/>
            <w:shd w:val="clear" w:color="auto" w:fill="CCEEFF"/>
          </w:tcPr>
          <w:p>
            <w:pPr>
              <w:spacing w:after="0"/>
              <w:rPr>
                <w:sz w:val="10"/>
                <w:szCs w:val="10"/>
                <w:color w:val="auto"/>
              </w:rPr>
            </w:pPr>
          </w:p>
        </w:tc>
        <w:tc>
          <w:tcPr>
            <w:tcW w:w="96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84"/>
              </w:rPr>
              <w:t>Various dates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3"/>
              </w:rPr>
              <w:t>Plan Number: 001</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through</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center"/>
              <w:ind w:left="212"/>
              <w:spacing w:after="0" w:line="159" w:lineRule="exact"/>
              <w:rPr>
                <w:sz w:val="20"/>
                <w:szCs w:val="20"/>
                <w:color w:val="auto"/>
              </w:rPr>
            </w:pPr>
            <w:r>
              <w:rPr>
                <w:rFonts w:ascii="Arial" w:cs="Arial" w:eastAsia="Arial" w:hAnsi="Arial"/>
                <w:sz w:val="14"/>
                <w:szCs w:val="14"/>
                <w:color w:val="auto"/>
                <w:w w:val="89"/>
              </w:rPr>
              <w:t>6/30/2018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60" w:type="dxa"/>
            <w:vAlign w:val="bottom"/>
            <w:gridSpan w:val="3"/>
          </w:tcPr>
          <w:p>
            <w:pPr>
              <w:spacing w:after="0" w:line="138" w:lineRule="exact"/>
              <w:rPr>
                <w:sz w:val="20"/>
                <w:szCs w:val="20"/>
                <w:color w:val="auto"/>
              </w:rPr>
            </w:pPr>
            <w:r>
              <w:rPr>
                <w:rFonts w:ascii="Arial" w:cs="Arial" w:eastAsia="Arial" w:hAnsi="Arial"/>
                <w:sz w:val="14"/>
                <w:szCs w:val="14"/>
                <w:color w:val="auto"/>
              </w:rPr>
              <w:t>Central States, Southeast and Southwest Areas Pension Plan</w:t>
            </w:r>
          </w:p>
        </w:tc>
        <w:tc>
          <w:tcPr>
            <w:tcW w:w="13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w w:val="96"/>
              </w:rPr>
              <w:t>EIN: 36-6044243;</w:t>
            </w:r>
          </w:p>
        </w:tc>
        <w:tc>
          <w:tcPr>
            <w:tcW w:w="86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93"/>
              </w:rPr>
              <w:t>Critical</w:t>
            </w:r>
          </w:p>
        </w:tc>
        <w:tc>
          <w:tcPr>
            <w:tcW w:w="660" w:type="dxa"/>
            <w:vAlign w:val="bottom"/>
          </w:tcPr>
          <w:p>
            <w:pPr>
              <w:jc w:val="center"/>
              <w:spacing w:after="0" w:line="138" w:lineRule="exact"/>
              <w:rPr>
                <w:sz w:val="20"/>
                <w:szCs w:val="20"/>
                <w:color w:val="auto"/>
              </w:rPr>
            </w:pPr>
            <w:r>
              <w:rPr>
                <w:rFonts w:ascii="Arial" w:cs="Arial" w:eastAsia="Arial" w:hAnsi="Arial"/>
                <w:sz w:val="14"/>
                <w:szCs w:val="14"/>
                <w:color w:val="auto"/>
                <w:w w:val="98"/>
              </w:rPr>
              <w:t>Critical</w:t>
            </w:r>
          </w:p>
        </w:tc>
        <w:tc>
          <w:tcPr>
            <w:tcW w:w="200" w:type="dxa"/>
            <w:vAlign w:val="bottom"/>
          </w:tcPr>
          <w:p>
            <w:pPr>
              <w:spacing w:after="0"/>
              <w:rPr>
                <w:sz w:val="11"/>
                <w:szCs w:val="11"/>
                <w:color w:val="auto"/>
              </w:rPr>
            </w:pPr>
          </w:p>
        </w:tc>
        <w:tc>
          <w:tcPr>
            <w:tcW w:w="94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88"/>
              </w:rPr>
              <w:t>Implemented</w:t>
            </w:r>
          </w:p>
        </w:tc>
        <w:tc>
          <w:tcPr>
            <w:tcW w:w="100" w:type="dxa"/>
            <w:vAlign w:val="bottom"/>
          </w:tcPr>
          <w:p>
            <w:pPr>
              <w:spacing w:after="0"/>
              <w:rPr>
                <w:sz w:val="11"/>
                <w:szCs w:val="11"/>
                <w:color w:val="auto"/>
              </w:rPr>
            </w:pPr>
          </w:p>
        </w:tc>
        <w:tc>
          <w:tcPr>
            <w:tcW w:w="1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1"/>
                <w:szCs w:val="11"/>
                <w:color w:val="auto"/>
              </w:rPr>
            </w:pPr>
          </w:p>
        </w:tc>
        <w:tc>
          <w:tcPr>
            <w:tcW w:w="1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960" w:type="dxa"/>
            <w:vAlign w:val="bottom"/>
          </w:tcPr>
          <w:p>
            <w:pPr>
              <w:jc w:val="center"/>
              <w:spacing w:after="0" w:line="138" w:lineRule="exact"/>
              <w:rPr>
                <w:sz w:val="20"/>
                <w:szCs w:val="20"/>
                <w:color w:val="auto"/>
              </w:rPr>
            </w:pPr>
            <w:r>
              <w:rPr>
                <w:rFonts w:ascii="Arial" w:cs="Arial" w:eastAsia="Arial" w:hAnsi="Arial"/>
                <w:sz w:val="14"/>
                <w:szCs w:val="14"/>
                <w:color w:val="auto"/>
                <w:w w:val="93"/>
              </w:rPr>
              <w:t>(e)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3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3"/>
              </w:rPr>
              <w:t>Plan Number: 001</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Local 731 Private Scavengers and Garage Attendants Pension Trust Fund</w:t>
            </w:r>
          </w:p>
        </w:tc>
        <w:tc>
          <w:tcPr>
            <w:tcW w:w="136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w w:val="96"/>
              </w:rPr>
              <w:t>EIN: 36-6513567;</w:t>
            </w:r>
          </w:p>
        </w:tc>
        <w:tc>
          <w:tcPr>
            <w:tcW w:w="8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3"/>
              </w:rPr>
              <w:t>Endangered</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Endangered</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8"/>
              </w:rPr>
              <w:t>Implemented</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w:t>
            </w:r>
          </w:p>
        </w:tc>
        <w:tc>
          <w:tcPr>
            <w:tcW w:w="1240" w:type="dxa"/>
            <w:vAlign w:val="bottom"/>
            <w:gridSpan w:val="2"/>
            <w:shd w:val="clear" w:color="auto" w:fill="CCEEFF"/>
          </w:tcPr>
          <w:p>
            <w:pPr>
              <w:jc w:val="center"/>
              <w:ind w:left="212"/>
              <w:spacing w:after="0" w:line="138" w:lineRule="exact"/>
              <w:rPr>
                <w:sz w:val="20"/>
                <w:szCs w:val="20"/>
                <w:color w:val="auto"/>
              </w:rPr>
            </w:pPr>
            <w:r>
              <w:rPr>
                <w:rFonts w:ascii="Arial" w:cs="Arial" w:eastAsia="Arial" w:hAnsi="Arial"/>
                <w:sz w:val="14"/>
                <w:szCs w:val="14"/>
                <w:color w:val="auto"/>
                <w:w w:val="89"/>
              </w:rPr>
              <w:t>9/30/2014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3"/>
              </w:rPr>
              <w:t>Plan Number: 001</w:t>
            </w:r>
          </w:p>
        </w:tc>
        <w:tc>
          <w:tcPr>
            <w:tcW w:w="8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5"/>
              </w:rPr>
              <w:t>as of</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as of</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and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9/30/2012</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9/30/2011</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center"/>
              <w:ind w:left="212"/>
              <w:spacing w:after="0"/>
              <w:rPr>
                <w:sz w:val="20"/>
                <w:szCs w:val="20"/>
                <w:color w:val="auto"/>
              </w:rPr>
            </w:pPr>
            <w:r>
              <w:rPr>
                <w:rFonts w:ascii="Arial" w:cs="Arial" w:eastAsia="Arial" w:hAnsi="Arial"/>
                <w:sz w:val="14"/>
                <w:szCs w:val="14"/>
                <w:color w:val="auto"/>
                <w:w w:val="89"/>
              </w:rPr>
              <w:t>9/30/2018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60" w:type="dxa"/>
            <w:vAlign w:val="bottom"/>
            <w:gridSpan w:val="3"/>
          </w:tcPr>
          <w:p>
            <w:pPr>
              <w:spacing w:after="0" w:line="138" w:lineRule="exact"/>
              <w:rPr>
                <w:sz w:val="20"/>
                <w:szCs w:val="20"/>
                <w:color w:val="auto"/>
              </w:rPr>
            </w:pPr>
            <w:r>
              <w:rPr>
                <w:rFonts w:ascii="Arial" w:cs="Arial" w:eastAsia="Arial" w:hAnsi="Arial"/>
                <w:sz w:val="14"/>
                <w:szCs w:val="14"/>
                <w:color w:val="auto"/>
              </w:rPr>
              <w:t>Suburban Teamsters of Northern Illinois Pension Plan</w:t>
            </w:r>
          </w:p>
        </w:tc>
        <w:tc>
          <w:tcPr>
            <w:tcW w:w="13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w w:val="96"/>
              </w:rPr>
              <w:t>EIN: 36-6155778;</w:t>
            </w:r>
          </w:p>
        </w:tc>
        <w:tc>
          <w:tcPr>
            <w:tcW w:w="86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93"/>
              </w:rPr>
              <w:t>Critical</w:t>
            </w:r>
          </w:p>
        </w:tc>
        <w:tc>
          <w:tcPr>
            <w:tcW w:w="660" w:type="dxa"/>
            <w:vAlign w:val="bottom"/>
          </w:tcPr>
          <w:p>
            <w:pPr>
              <w:jc w:val="center"/>
              <w:spacing w:after="0" w:line="138" w:lineRule="exact"/>
              <w:rPr>
                <w:sz w:val="20"/>
                <w:szCs w:val="20"/>
                <w:color w:val="auto"/>
              </w:rPr>
            </w:pPr>
            <w:r>
              <w:rPr>
                <w:rFonts w:ascii="Arial" w:cs="Arial" w:eastAsia="Arial" w:hAnsi="Arial"/>
                <w:sz w:val="14"/>
                <w:szCs w:val="14"/>
                <w:color w:val="auto"/>
                <w:w w:val="98"/>
              </w:rPr>
              <w:t>Critical</w:t>
            </w:r>
          </w:p>
        </w:tc>
        <w:tc>
          <w:tcPr>
            <w:tcW w:w="200" w:type="dxa"/>
            <w:vAlign w:val="bottom"/>
          </w:tcPr>
          <w:p>
            <w:pPr>
              <w:spacing w:after="0"/>
              <w:rPr>
                <w:sz w:val="11"/>
                <w:szCs w:val="11"/>
                <w:color w:val="auto"/>
              </w:rPr>
            </w:pPr>
          </w:p>
        </w:tc>
        <w:tc>
          <w:tcPr>
            <w:tcW w:w="94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88"/>
              </w:rPr>
              <w:t>Implemented</w:t>
            </w:r>
          </w:p>
        </w:tc>
        <w:tc>
          <w:tcPr>
            <w:tcW w:w="100" w:type="dxa"/>
            <w:vAlign w:val="bottom"/>
          </w:tcPr>
          <w:p>
            <w:pPr>
              <w:spacing w:after="0"/>
              <w:rPr>
                <w:sz w:val="11"/>
                <w:szCs w:val="11"/>
                <w:color w:val="auto"/>
              </w:rPr>
            </w:pPr>
          </w:p>
        </w:tc>
        <w:tc>
          <w:tcPr>
            <w:tcW w:w="180" w:type="dxa"/>
            <w:vAlign w:val="bottom"/>
          </w:tcPr>
          <w:p>
            <w:pPr>
              <w:jc w:val="right"/>
              <w:spacing w:after="0" w:line="138" w:lineRule="exact"/>
              <w:rPr>
                <w:sz w:val="20"/>
                <w:szCs w:val="20"/>
                <w:color w:val="auto"/>
              </w:rPr>
            </w:pPr>
            <w:r>
              <w:rPr>
                <w:rFonts w:ascii="Arial" w:cs="Arial" w:eastAsia="Arial" w:hAnsi="Arial"/>
                <w:sz w:val="14"/>
                <w:szCs w:val="14"/>
                <w:color w:val="auto"/>
              </w:rPr>
              <w:t>2</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180" w:type="dxa"/>
            <w:vAlign w:val="bottom"/>
          </w:tcPr>
          <w:p>
            <w:pPr>
              <w:jc w:val="right"/>
              <w:spacing w:after="0" w:line="138" w:lineRule="exact"/>
              <w:rPr>
                <w:sz w:val="20"/>
                <w:szCs w:val="20"/>
                <w:color w:val="auto"/>
              </w:rPr>
            </w:pPr>
            <w:r>
              <w:rPr>
                <w:rFonts w:ascii="Arial" w:cs="Arial" w:eastAsia="Arial" w:hAnsi="Arial"/>
                <w:sz w:val="14"/>
                <w:szCs w:val="14"/>
                <w:color w:val="auto"/>
              </w:rPr>
              <w:t>2</w:t>
            </w:r>
          </w:p>
        </w:tc>
        <w:tc>
          <w:tcPr>
            <w:tcW w:w="280" w:type="dxa"/>
            <w:vAlign w:val="bottom"/>
          </w:tcPr>
          <w:p>
            <w:pPr>
              <w:spacing w:after="0"/>
              <w:rPr>
                <w:sz w:val="11"/>
                <w:szCs w:val="11"/>
                <w:color w:val="auto"/>
              </w:rPr>
            </w:pPr>
          </w:p>
        </w:tc>
        <w:tc>
          <w:tcPr>
            <w:tcW w:w="960" w:type="dxa"/>
            <w:vAlign w:val="bottom"/>
          </w:tcPr>
          <w:p>
            <w:pPr>
              <w:jc w:val="center"/>
              <w:spacing w:after="0" w:line="138" w:lineRule="exact"/>
              <w:rPr>
                <w:sz w:val="20"/>
                <w:szCs w:val="20"/>
                <w:color w:val="auto"/>
              </w:rPr>
            </w:pPr>
            <w:r>
              <w:rPr>
                <w:rFonts w:ascii="Arial" w:cs="Arial" w:eastAsia="Arial" w:hAnsi="Arial"/>
                <w:sz w:val="14"/>
                <w:szCs w:val="14"/>
                <w:color w:val="auto"/>
                <w:w w:val="84"/>
              </w:rPr>
              <w:t>Various dates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3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3"/>
              </w:rPr>
              <w:t>Plan Number: 001</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8"/>
              </w:rPr>
              <w:t>through</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left="212"/>
              <w:spacing w:after="0" w:line="159" w:lineRule="exact"/>
              <w:rPr>
                <w:sz w:val="20"/>
                <w:szCs w:val="20"/>
                <w:color w:val="auto"/>
              </w:rPr>
            </w:pPr>
            <w:r>
              <w:rPr>
                <w:rFonts w:ascii="Arial" w:cs="Arial" w:eastAsia="Arial" w:hAnsi="Arial"/>
                <w:sz w:val="14"/>
                <w:szCs w:val="14"/>
                <w:color w:val="auto"/>
                <w:w w:val="89"/>
              </w:rPr>
              <w:t>3/31/2015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Teamsters Employers Local 945 Pension Fund</w:t>
            </w:r>
          </w:p>
        </w:tc>
        <w:tc>
          <w:tcPr>
            <w:tcW w:w="136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w w:val="96"/>
              </w:rPr>
              <w:t>EIN: 22-6196388;</w:t>
            </w:r>
          </w:p>
        </w:tc>
        <w:tc>
          <w:tcPr>
            <w:tcW w:w="8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93"/>
              </w:rPr>
              <w:t>Critical</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8"/>
              </w:rPr>
              <w:t>Critical</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8"/>
              </w:rPr>
              <w:t>Implemented</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Various dates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3"/>
              </w:rPr>
              <w:t>Plan Number: 001</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through</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center"/>
              <w:ind w:left="212"/>
              <w:spacing w:after="0" w:line="159" w:lineRule="exact"/>
              <w:rPr>
                <w:sz w:val="20"/>
                <w:szCs w:val="20"/>
                <w:color w:val="auto"/>
              </w:rPr>
            </w:pPr>
            <w:r>
              <w:rPr>
                <w:rFonts w:ascii="Arial" w:cs="Arial" w:eastAsia="Arial" w:hAnsi="Arial"/>
                <w:sz w:val="14"/>
                <w:szCs w:val="14"/>
                <w:color w:val="auto"/>
                <w:w w:val="85"/>
              </w:rPr>
              <w:t>12/31/2015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60" w:type="dxa"/>
            <w:vAlign w:val="bottom"/>
            <w:gridSpan w:val="3"/>
          </w:tcPr>
          <w:p>
            <w:pPr>
              <w:spacing w:after="0" w:line="138" w:lineRule="exact"/>
              <w:rPr>
                <w:sz w:val="20"/>
                <w:szCs w:val="20"/>
                <w:color w:val="auto"/>
              </w:rPr>
            </w:pPr>
            <w:r>
              <w:rPr>
                <w:rFonts w:ascii="Arial" w:cs="Arial" w:eastAsia="Arial" w:hAnsi="Arial"/>
                <w:sz w:val="14"/>
                <w:szCs w:val="14"/>
                <w:color w:val="auto"/>
              </w:rPr>
              <w:t>Teamsters Local 301 Pension Plan</w:t>
            </w:r>
          </w:p>
        </w:tc>
        <w:tc>
          <w:tcPr>
            <w:tcW w:w="13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w w:val="96"/>
              </w:rPr>
              <w:t>EIN: 36-6492992;</w:t>
            </w:r>
          </w:p>
        </w:tc>
        <w:tc>
          <w:tcPr>
            <w:tcW w:w="86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91"/>
              </w:rPr>
              <w:t>Not</w:t>
            </w:r>
          </w:p>
        </w:tc>
        <w:tc>
          <w:tcPr>
            <w:tcW w:w="660" w:type="dxa"/>
            <w:vAlign w:val="bottom"/>
          </w:tcPr>
          <w:p>
            <w:pPr>
              <w:jc w:val="center"/>
              <w:spacing w:after="0" w:line="138" w:lineRule="exact"/>
              <w:rPr>
                <w:sz w:val="20"/>
                <w:szCs w:val="20"/>
                <w:color w:val="auto"/>
              </w:rPr>
            </w:pPr>
            <w:r>
              <w:rPr>
                <w:rFonts w:ascii="Arial" w:cs="Arial" w:eastAsia="Arial" w:hAnsi="Arial"/>
                <w:sz w:val="14"/>
                <w:szCs w:val="14"/>
                <w:color w:val="auto"/>
                <w:w w:val="91"/>
              </w:rPr>
              <w:t>Not</w:t>
            </w:r>
          </w:p>
        </w:tc>
        <w:tc>
          <w:tcPr>
            <w:tcW w:w="200" w:type="dxa"/>
            <w:vAlign w:val="bottom"/>
          </w:tcPr>
          <w:p>
            <w:pPr>
              <w:spacing w:after="0"/>
              <w:rPr>
                <w:sz w:val="11"/>
                <w:szCs w:val="11"/>
                <w:color w:val="auto"/>
              </w:rPr>
            </w:pPr>
          </w:p>
        </w:tc>
        <w:tc>
          <w:tcPr>
            <w:tcW w:w="94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91"/>
              </w:rPr>
              <w:t>Not</w:t>
            </w:r>
          </w:p>
        </w:tc>
        <w:tc>
          <w:tcPr>
            <w:tcW w:w="100" w:type="dxa"/>
            <w:vAlign w:val="bottom"/>
          </w:tcPr>
          <w:p>
            <w:pPr>
              <w:spacing w:after="0"/>
              <w:rPr>
                <w:sz w:val="11"/>
                <w:szCs w:val="11"/>
                <w:color w:val="auto"/>
              </w:rPr>
            </w:pPr>
          </w:p>
        </w:tc>
        <w:tc>
          <w:tcPr>
            <w:tcW w:w="180" w:type="dxa"/>
            <w:vAlign w:val="bottom"/>
          </w:tcPr>
          <w:p>
            <w:pPr>
              <w:jc w:val="right"/>
              <w:spacing w:after="0" w:line="138" w:lineRule="exact"/>
              <w:rPr>
                <w:sz w:val="20"/>
                <w:szCs w:val="20"/>
                <w:color w:val="auto"/>
              </w:rPr>
            </w:pPr>
            <w:r>
              <w:rPr>
                <w:rFonts w:ascii="Arial" w:cs="Arial" w:eastAsia="Arial" w:hAnsi="Arial"/>
                <w:sz w:val="14"/>
                <w:szCs w:val="14"/>
                <w:color w:val="auto"/>
              </w:rPr>
              <w:t>1</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80" w:type="dxa"/>
            <w:vAlign w:val="bottom"/>
          </w:tcPr>
          <w:p>
            <w:pPr>
              <w:jc w:val="right"/>
              <w:spacing w:after="0" w:line="138" w:lineRule="exact"/>
              <w:rPr>
                <w:sz w:val="20"/>
                <w:szCs w:val="20"/>
                <w:color w:val="auto"/>
              </w:rPr>
            </w:pPr>
            <w:r>
              <w:rPr>
                <w:rFonts w:ascii="Arial" w:cs="Arial" w:eastAsia="Arial" w:hAnsi="Arial"/>
                <w:sz w:val="14"/>
                <w:szCs w:val="14"/>
                <w:color w:val="auto"/>
              </w:rPr>
              <w:t>1</w:t>
            </w:r>
          </w:p>
        </w:tc>
        <w:tc>
          <w:tcPr>
            <w:tcW w:w="1240" w:type="dxa"/>
            <w:vAlign w:val="bottom"/>
            <w:gridSpan w:val="2"/>
          </w:tcPr>
          <w:p>
            <w:pPr>
              <w:jc w:val="center"/>
              <w:ind w:left="212"/>
              <w:spacing w:after="0" w:line="138" w:lineRule="exact"/>
              <w:rPr>
                <w:sz w:val="20"/>
                <w:szCs w:val="20"/>
                <w:color w:val="auto"/>
              </w:rPr>
            </w:pPr>
            <w:r>
              <w:rPr>
                <w:rFonts w:ascii="Arial" w:cs="Arial" w:eastAsia="Arial" w:hAnsi="Arial"/>
                <w:sz w:val="14"/>
                <w:szCs w:val="14"/>
                <w:color w:val="auto"/>
                <w:w w:val="89"/>
              </w:rPr>
              <w:t>9/30/2018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3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3"/>
              </w:rPr>
              <w:t>Plan Number: 001</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3"/>
              </w:rPr>
              <w:t>Endangered</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6"/>
              </w:rPr>
              <w:t>Endangered</w:t>
            </w:r>
          </w:p>
        </w:tc>
        <w:tc>
          <w:tcPr>
            <w:tcW w:w="2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Applicable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94"/>
              </w:rPr>
              <w:t>or Critical</w:t>
            </w:r>
          </w:p>
        </w:tc>
        <w:tc>
          <w:tcPr>
            <w:tcW w:w="660" w:type="dxa"/>
            <w:vAlign w:val="bottom"/>
          </w:tcPr>
          <w:p>
            <w:pPr>
              <w:jc w:val="center"/>
              <w:spacing w:after="0" w:line="159" w:lineRule="exact"/>
              <w:rPr>
                <w:sz w:val="20"/>
                <w:szCs w:val="20"/>
                <w:color w:val="auto"/>
              </w:rPr>
            </w:pPr>
            <w:r>
              <w:rPr>
                <w:rFonts w:ascii="Arial" w:cs="Arial" w:eastAsia="Arial" w:hAnsi="Arial"/>
                <w:sz w:val="14"/>
                <w:szCs w:val="14"/>
                <w:color w:val="auto"/>
                <w:w w:val="91"/>
              </w:rPr>
              <w:t>or Critical</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Western Conference of Teamsters Pension Plan</w:t>
            </w:r>
          </w:p>
        </w:tc>
        <w:tc>
          <w:tcPr>
            <w:tcW w:w="136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w w:val="96"/>
              </w:rPr>
              <w:t>EIN: 91-6145047;</w:t>
            </w:r>
          </w:p>
        </w:tc>
        <w:tc>
          <w:tcPr>
            <w:tcW w:w="8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91"/>
              </w:rPr>
              <w:t>Not</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1"/>
              </w:rPr>
              <w:t>Not</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91"/>
              </w:rPr>
              <w:t>Not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22</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w w:val="89"/>
              </w:rPr>
              <w:t>22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w:t>
            </w: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Various dates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3"/>
              </w:rPr>
              <w:t>Plan Number: 001</w:t>
            </w:r>
          </w:p>
        </w:tc>
        <w:tc>
          <w:tcPr>
            <w:tcW w:w="8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3"/>
              </w:rPr>
              <w:t>Endangered</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Endangered</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2"/>
              </w:rPr>
              <w:t>Applicable</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through</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center"/>
              <w:ind w:right="220"/>
              <w:spacing w:after="0" w:line="159" w:lineRule="exact"/>
              <w:rPr>
                <w:sz w:val="20"/>
                <w:szCs w:val="20"/>
                <w:color w:val="auto"/>
              </w:rPr>
            </w:pPr>
            <w:r>
              <w:rPr>
                <w:rFonts w:ascii="Arial" w:cs="Arial" w:eastAsia="Arial" w:hAnsi="Arial"/>
                <w:sz w:val="14"/>
                <w:szCs w:val="14"/>
                <w:color w:val="auto"/>
                <w:w w:val="94"/>
              </w:rPr>
              <w:t>or Critical</w:t>
            </w:r>
          </w:p>
        </w:tc>
        <w:tc>
          <w:tcPr>
            <w:tcW w:w="6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or Critical</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center"/>
              <w:ind w:left="212"/>
              <w:spacing w:after="0" w:line="159" w:lineRule="exact"/>
              <w:rPr>
                <w:sz w:val="20"/>
                <w:szCs w:val="20"/>
                <w:color w:val="auto"/>
              </w:rPr>
            </w:pPr>
            <w:r>
              <w:rPr>
                <w:rFonts w:ascii="Arial" w:cs="Arial" w:eastAsia="Arial" w:hAnsi="Arial"/>
                <w:sz w:val="14"/>
                <w:szCs w:val="14"/>
                <w:color w:val="auto"/>
                <w:w w:val="89"/>
              </w:rPr>
              <w:t>5/31/2018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60" w:type="dxa"/>
            <w:vAlign w:val="bottom"/>
            <w:gridSpan w:val="3"/>
          </w:tcPr>
          <w:p>
            <w:pPr>
              <w:spacing w:after="0" w:line="138" w:lineRule="exact"/>
              <w:rPr>
                <w:sz w:val="20"/>
                <w:szCs w:val="20"/>
                <w:color w:val="auto"/>
              </w:rPr>
            </w:pPr>
            <w:r>
              <w:rPr>
                <w:rFonts w:ascii="Arial" w:cs="Arial" w:eastAsia="Arial" w:hAnsi="Arial"/>
                <w:sz w:val="14"/>
                <w:szCs w:val="14"/>
                <w:color w:val="auto"/>
              </w:rPr>
              <w:t>Western Pennsylvania Teamsters and Employers Pension Plan</w:t>
            </w:r>
          </w:p>
        </w:tc>
        <w:tc>
          <w:tcPr>
            <w:tcW w:w="13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w w:val="96"/>
              </w:rPr>
              <w:t>EIN: 25-6029946;</w:t>
            </w:r>
          </w:p>
        </w:tc>
        <w:tc>
          <w:tcPr>
            <w:tcW w:w="86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93"/>
              </w:rPr>
              <w:t>Critical</w:t>
            </w:r>
          </w:p>
        </w:tc>
        <w:tc>
          <w:tcPr>
            <w:tcW w:w="660" w:type="dxa"/>
            <w:vAlign w:val="bottom"/>
          </w:tcPr>
          <w:p>
            <w:pPr>
              <w:jc w:val="center"/>
              <w:spacing w:after="0" w:line="138" w:lineRule="exact"/>
              <w:rPr>
                <w:sz w:val="20"/>
                <w:szCs w:val="20"/>
                <w:color w:val="auto"/>
              </w:rPr>
            </w:pPr>
            <w:r>
              <w:rPr>
                <w:rFonts w:ascii="Arial" w:cs="Arial" w:eastAsia="Arial" w:hAnsi="Arial"/>
                <w:sz w:val="14"/>
                <w:szCs w:val="14"/>
                <w:color w:val="auto"/>
                <w:w w:val="98"/>
              </w:rPr>
              <w:t>Critical</w:t>
            </w:r>
          </w:p>
        </w:tc>
        <w:tc>
          <w:tcPr>
            <w:tcW w:w="200" w:type="dxa"/>
            <w:vAlign w:val="bottom"/>
          </w:tcPr>
          <w:p>
            <w:pPr>
              <w:spacing w:after="0"/>
              <w:rPr>
                <w:sz w:val="11"/>
                <w:szCs w:val="11"/>
                <w:color w:val="auto"/>
              </w:rPr>
            </w:pPr>
          </w:p>
        </w:tc>
        <w:tc>
          <w:tcPr>
            <w:tcW w:w="94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88"/>
              </w:rPr>
              <w:t>Implemented</w:t>
            </w:r>
          </w:p>
        </w:tc>
        <w:tc>
          <w:tcPr>
            <w:tcW w:w="100" w:type="dxa"/>
            <w:vAlign w:val="bottom"/>
          </w:tcPr>
          <w:p>
            <w:pPr>
              <w:spacing w:after="0"/>
              <w:rPr>
                <w:sz w:val="11"/>
                <w:szCs w:val="11"/>
                <w:color w:val="auto"/>
              </w:rPr>
            </w:pPr>
          </w:p>
        </w:tc>
        <w:tc>
          <w:tcPr>
            <w:tcW w:w="180" w:type="dxa"/>
            <w:vAlign w:val="bottom"/>
          </w:tcPr>
          <w:p>
            <w:pPr>
              <w:jc w:val="right"/>
              <w:spacing w:after="0" w:line="138" w:lineRule="exact"/>
              <w:rPr>
                <w:sz w:val="20"/>
                <w:szCs w:val="20"/>
                <w:color w:val="auto"/>
              </w:rPr>
            </w:pPr>
            <w:r>
              <w:rPr>
                <w:rFonts w:ascii="Arial" w:cs="Arial" w:eastAsia="Arial" w:hAnsi="Arial"/>
                <w:sz w:val="14"/>
                <w:szCs w:val="14"/>
                <w:color w:val="auto"/>
              </w:rPr>
              <w:t>1</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80" w:type="dxa"/>
            <w:vAlign w:val="bottom"/>
          </w:tcPr>
          <w:p>
            <w:pPr>
              <w:jc w:val="right"/>
              <w:spacing w:after="0" w:line="138" w:lineRule="exact"/>
              <w:rPr>
                <w:sz w:val="20"/>
                <w:szCs w:val="20"/>
                <w:color w:val="auto"/>
              </w:rPr>
            </w:pPr>
            <w:r>
              <w:rPr>
                <w:rFonts w:ascii="Arial" w:cs="Arial" w:eastAsia="Arial" w:hAnsi="Arial"/>
                <w:sz w:val="14"/>
                <w:szCs w:val="14"/>
                <w:color w:val="auto"/>
              </w:rPr>
              <w:t>1</w:t>
            </w:r>
          </w:p>
        </w:tc>
        <w:tc>
          <w:tcPr>
            <w:tcW w:w="1240" w:type="dxa"/>
            <w:vAlign w:val="bottom"/>
            <w:gridSpan w:val="2"/>
          </w:tcPr>
          <w:p>
            <w:pPr>
              <w:jc w:val="center"/>
              <w:ind w:left="212"/>
              <w:spacing w:after="0" w:line="138" w:lineRule="exact"/>
              <w:rPr>
                <w:sz w:val="20"/>
                <w:szCs w:val="20"/>
                <w:color w:val="auto"/>
              </w:rPr>
            </w:pPr>
            <w:r>
              <w:rPr>
                <w:rFonts w:ascii="Arial" w:cs="Arial" w:eastAsia="Arial" w:hAnsi="Arial"/>
                <w:sz w:val="14"/>
                <w:szCs w:val="14"/>
                <w:color w:val="auto"/>
                <w:w w:val="85"/>
              </w:rPr>
              <w:t>12/31/2016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3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3"/>
              </w:rPr>
              <w:t>Plan Number: 001</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9"/>
              </w:rPr>
              <w:t>32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tcPr>
          <w:p>
            <w:pPr>
              <w:spacing w:after="0" w:line="149" w:lineRule="exact"/>
              <w:rPr>
                <w:sz w:val="20"/>
                <w:szCs w:val="20"/>
                <w:color w:val="auto"/>
              </w:rPr>
            </w:pPr>
            <w:r>
              <w:rPr>
                <w:rFonts w:ascii="Arial" w:cs="Arial" w:eastAsia="Arial" w:hAnsi="Arial"/>
                <w:sz w:val="14"/>
                <w:szCs w:val="14"/>
                <w:color w:val="auto"/>
              </w:rPr>
              <w:t>Contributions to other multiemployer pension plans</w:t>
            </w: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Total contributions to multiemployer pension plans</w:t>
            </w:r>
          </w:p>
        </w:tc>
        <w:tc>
          <w:tcPr>
            <w:tcW w:w="10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9"/>
              </w:rPr>
              <w:t>39</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2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Unless otherwise noted in the table, the most recent Pension Protection Act zone status available in 2013 and 2012 is for the plan’s year-end at</w:t>
      </w:r>
    </w:p>
    <w:p>
      <w:pPr>
        <w:spacing w:after="0" w:line="38" w:lineRule="exact"/>
        <w:rPr>
          <w:rFonts w:ascii="Arial" w:cs="Arial" w:eastAsia="Arial" w:hAnsi="Arial"/>
          <w:sz w:val="16"/>
          <w:szCs w:val="16"/>
          <w:color w:val="auto"/>
        </w:rPr>
      </w:pPr>
    </w:p>
    <w:p>
      <w:pPr>
        <w:ind w:left="460" w:right="60"/>
        <w:spacing w:after="0" w:line="255" w:lineRule="auto"/>
        <w:rPr>
          <w:rFonts w:ascii="Arial" w:cs="Arial" w:eastAsia="Arial" w:hAnsi="Arial"/>
          <w:sz w:val="16"/>
          <w:szCs w:val="16"/>
          <w:color w:val="auto"/>
        </w:rPr>
      </w:pPr>
      <w:r>
        <w:rPr>
          <w:rFonts w:ascii="Arial" w:cs="Arial" w:eastAsia="Arial" w:hAnsi="Arial"/>
          <w:sz w:val="18"/>
          <w:szCs w:val="18"/>
          <w:color w:val="auto"/>
        </w:rPr>
        <w:t>December 31, 2012 and 2011, respectively. The zone status is based on information that we received from the plan and is certified by the plan’s actuary. As defined in the Pension Protection Act of 2006, among other factors, plans reported as critical are generally less than 65% funded and plans reported as endangered are generally less than 80% funded.</w:t>
      </w:r>
    </w:p>
    <w:p>
      <w:pPr>
        <w:spacing w:after="0" w:line="36" w:lineRule="exact"/>
        <w:rPr>
          <w:rFonts w:ascii="Arial" w:cs="Arial" w:eastAsia="Arial" w:hAnsi="Arial"/>
          <w:sz w:val="16"/>
          <w:szCs w:val="16"/>
          <w:color w:val="auto"/>
        </w:rPr>
      </w:pPr>
    </w:p>
    <w:p>
      <w:pPr>
        <w:ind w:left="460" w:right="160" w:hanging="452"/>
        <w:spacing w:after="0" w:line="268"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“FIP/RP Status” column indicates plans for which a Funding Improvement Plan (“FIP”) or a Rehabilitation Plan (“RP”) is either pending or has been implemented.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right="60" w:hanging="452"/>
        <w:spacing w:after="0" w:line="256"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multiemployer defined benefit pension plan that has been certified as endangered, seriously endangered or critical may begin to levy a statutory surcharge on contribution rates. Once authorized, the surcharge is at the rate of 5% for the first 12 months and 10% for any periods thereafter. Contributing employers, however, may eliminate the surcharge by entering into a collective bargaining agreement that meets the requirements of the applicable FIP or RP.</w:t>
      </w:r>
    </w:p>
    <w:p>
      <w:pPr>
        <w:spacing w:after="0" w:line="35" w:lineRule="exact"/>
        <w:rPr>
          <w:rFonts w:ascii="Arial" w:cs="Arial" w:eastAsia="Arial" w:hAnsi="Arial"/>
          <w:sz w:val="18"/>
          <w:szCs w:val="18"/>
          <w:color w:val="auto"/>
        </w:rPr>
      </w:pPr>
    </w:p>
    <w:p>
      <w:pPr>
        <w:ind w:left="460" w:right="380" w:hanging="452"/>
        <w:spacing w:after="0" w:line="268"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Company was listed in the Form 5500 of the multiemployer plans considered to be individually significant as providing more than 5% of the total contributions for each of the following plans and plan years:</w:t>
      </w:r>
    </w:p>
    <w:p>
      <w:pPr>
        <w:spacing w:after="0" w:line="47"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Year Contributions to Plan</w:t>
      </w:r>
    </w:p>
    <w:p>
      <w:pPr>
        <w:jc w:val="center"/>
        <w:ind w:left="7760"/>
        <w:spacing w:after="0" w:line="223" w:lineRule="auto"/>
        <w:rPr>
          <w:sz w:val="20"/>
          <w:szCs w:val="20"/>
          <w:color w:val="auto"/>
        </w:rPr>
      </w:pPr>
      <w:r>
        <w:rPr>
          <w:rFonts w:ascii="Arial" w:cs="Arial" w:eastAsia="Arial" w:hAnsi="Arial"/>
          <w:sz w:val="14"/>
          <w:szCs w:val="14"/>
          <w:b w:val="1"/>
          <w:bCs w:val="1"/>
          <w:color w:val="auto"/>
        </w:rPr>
        <w:t>Exceeded 5% of Total Contributions</w:t>
      </w:r>
    </w:p>
    <w:p>
      <w:pPr>
        <w:jc w:val="center"/>
        <w:ind w:left="7760"/>
        <w:spacing w:after="0" w:line="220" w:lineRule="auto"/>
        <w:rPr>
          <w:sz w:val="20"/>
          <w:szCs w:val="20"/>
          <w:color w:val="auto"/>
        </w:rPr>
      </w:pPr>
      <w:r>
        <w:rPr>
          <w:rFonts w:ascii="Arial" w:cs="Arial" w:eastAsia="Arial" w:hAnsi="Arial"/>
          <w:sz w:val="14"/>
          <w:szCs w:val="14"/>
          <w:b w:val="1"/>
          <w:bCs w:val="1"/>
          <w:color w:val="auto"/>
        </w:rPr>
        <w:t>(as of Plan’s Year End)</w:t>
      </w:r>
    </w:p>
    <w:tbl>
      <w:tblPr>
        <w:tblLayout w:type="fixed"/>
        <w:tblInd w:w="460" w:type="dxa"/>
        <w:tblCellMar>
          <w:top w:w="0" w:type="dxa"/>
          <w:left w:w="0" w:type="dxa"/>
          <w:bottom w:w="0" w:type="dxa"/>
          <w:right w:w="0" w:type="dxa"/>
        </w:tblCellMar>
      </w:tblPr>
      <w:tr>
        <w:trPr>
          <w:trHeight w:val="210"/>
        </w:trPr>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Local 731 Private Scavengers and Garage Attendants Pension Trust Fund</w:t>
            </w:r>
          </w:p>
        </w:tc>
        <w:tc>
          <w:tcPr>
            <w:tcW w:w="300" w:type="dxa"/>
            <w:vAlign w:val="bottom"/>
            <w:tcBorders>
              <w:top w:val="single" w:sz="8" w:color="auto"/>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center"/>
              <w:ind w:right="212"/>
              <w:spacing w:after="0"/>
              <w:rPr>
                <w:sz w:val="20"/>
                <w:szCs w:val="20"/>
                <w:color w:val="auto"/>
              </w:rPr>
            </w:pPr>
            <w:r>
              <w:rPr>
                <w:rFonts w:ascii="Arial" w:cs="Arial" w:eastAsia="Arial" w:hAnsi="Arial"/>
                <w:sz w:val="18"/>
                <w:szCs w:val="18"/>
                <w:color w:val="auto"/>
                <w:w w:val="86"/>
              </w:rPr>
              <w:t>9/30/2012 and 9/30/2011</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Suburban Teamsters of Northern Illinois Pension Plan</w:t>
            </w:r>
          </w:p>
        </w:tc>
        <w:tc>
          <w:tcPr>
            <w:tcW w:w="2440" w:type="dxa"/>
            <w:vAlign w:val="bottom"/>
          </w:tcPr>
          <w:p>
            <w:pPr>
              <w:jc w:val="center"/>
              <w:ind w:right="212"/>
              <w:spacing w:after="0"/>
              <w:rPr>
                <w:sz w:val="20"/>
                <w:szCs w:val="20"/>
                <w:color w:val="auto"/>
              </w:rPr>
            </w:pPr>
            <w:r>
              <w:rPr>
                <w:rFonts w:ascii="Arial" w:cs="Arial" w:eastAsia="Arial" w:hAnsi="Arial"/>
                <w:sz w:val="18"/>
                <w:szCs w:val="18"/>
                <w:color w:val="auto"/>
                <w:w w:val="88"/>
              </w:rPr>
              <w:t>12/31/2012 and 12/31/2011</w:t>
            </w: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Teamsters Local 301 Pension Plan</w:t>
            </w:r>
          </w:p>
        </w:tc>
        <w:tc>
          <w:tcPr>
            <w:tcW w:w="244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88"/>
              </w:rPr>
              <w:t>12/31/2012 and 12/31/2011</w:t>
            </w:r>
          </w:p>
        </w:tc>
      </w:tr>
      <w:tr>
        <w:trPr>
          <w:trHeight w:val="295"/>
        </w:trPr>
        <w:tc>
          <w:tcPr>
            <w:tcW w:w="8060" w:type="dxa"/>
            <w:vAlign w:val="bottom"/>
            <w:gridSpan w:val="2"/>
          </w:tcPr>
          <w:p>
            <w:pPr>
              <w:spacing w:after="0"/>
              <w:rPr>
                <w:sz w:val="20"/>
                <w:szCs w:val="20"/>
                <w:color w:val="auto"/>
              </w:rPr>
            </w:pPr>
            <w:r>
              <w:rPr>
                <w:rFonts w:ascii="Arial" w:cs="Arial" w:eastAsia="Arial" w:hAnsi="Arial"/>
                <w:sz w:val="18"/>
                <w:szCs w:val="18"/>
                <w:color w:val="auto"/>
                <w:w w:val="88"/>
              </w:rPr>
              <w:t>At the date the financial statements were issued, Forms 5500 were not available for the plan years ended in 2013.</w:t>
            </w:r>
          </w:p>
        </w:tc>
        <w:tc>
          <w:tcPr>
            <w:tcW w:w="2440" w:type="dxa"/>
            <w:vAlign w:val="bottom"/>
          </w:tcPr>
          <w:p>
            <w:pPr>
              <w:spacing w:after="0"/>
              <w:rPr>
                <w:sz w:val="24"/>
                <w:szCs w:val="24"/>
                <w:color w:val="auto"/>
              </w:rPr>
            </w:pPr>
          </w:p>
        </w:tc>
      </w:tr>
    </w:tbl>
    <w:p>
      <w:pPr>
        <w:spacing w:after="0" w:line="75" w:lineRule="exact"/>
        <w:rPr>
          <w:sz w:val="20"/>
          <w:szCs w:val="20"/>
          <w:color w:val="auto"/>
        </w:rPr>
      </w:pPr>
    </w:p>
    <w:p>
      <w:pPr>
        <w:ind w:left="460" w:right="40" w:hanging="452"/>
        <w:spacing w:after="0" w:line="332" w:lineRule="auto"/>
        <w:tabs>
          <w:tab w:leader="none" w:pos="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Company believes there are no collective bargaining agreements remaining that require continuing contributions to this plan; however, this point is the subject of pending litigation with the trustees for the Central States, Southeast and Southwest Areas Pension Plan.</w:t>
      </w:r>
    </w:p>
    <w:p>
      <w:pPr>
        <w:spacing w:after="0" w:line="4"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Our portion of the projected benefit obligation, plan assets and unfunded liability of the multiemployer pension plans is not material to our financial position. However, the failure of participating employers to remain solvent could affect our portion of the plans’ unfunded liability. Specific benefit levels provided by union pension plans are not negotiated with or known by the employer contributors.</w:t>
      </w:r>
    </w:p>
    <w:p>
      <w:pPr>
        <w:spacing w:after="0" w:line="5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connection with our ongoing renegotiations of various collective bargaining agreements, we may discuss and negotiate for the complete or partial withdrawal from one or more of these pension plans. Further, business events, such as the discontinuation or nonrenewal of a customer contract, the decertification of a union, or relocation, reduction or discontinuance of certain operations, which result in the decline of Company contributions to a multiemployer pension plan could trigger a partial or complete withdrawal. In the event of a withdrawal, we may incur expenses associated with our obligations for unfunded vested benefits at the time of the withdrawal. In 2013 and 2012, we recognized aggregate charges of $5 million and $10 million, respectively, to “Operating” expenses for the withdrawal of certain bargaining units from multiemployer pension plans. We did not have similar charges in 2011. Refer to Note 11 for additional information related to our obligations to multiemployer plans for which we have withdrawn or partially withdrawn.</w:t>
      </w:r>
    </w:p>
    <w:p>
      <w:pPr>
        <w:spacing w:after="0" w:line="112" w:lineRule="exact"/>
        <w:rPr>
          <w:sz w:val="20"/>
          <w:szCs w:val="20"/>
          <w:color w:val="auto"/>
        </w:rPr>
      </w:pPr>
    </w:p>
    <w:p>
      <w:pPr>
        <w:ind w:left="400" w:hanging="392"/>
        <w:spacing w:after="0"/>
        <w:tabs>
          <w:tab w:leader="none" w:pos="40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 We have obtained letters of credit, surety bonds and insurance policies and have established trust funds and issued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guarantees to support tax-exempt bonds, contracts, performance of landfill final capping, closure and post-closure requirements, environmental remediation and other obligations. Letters of credit generally are supported by our $2.25 billion revolving credit facility and other credit facilities established for that purpose. These facilities are discussed further in Note 7. Surety bonds and insurance policies are supported by (i) a diverse group of third-party surety and insurance companies; (ii) an entity in which we have a noncontrolling financial interest or (iii) wholly-owned insurance companies, the sole business of which is to issue surety bonds and/or insurance policies on our behalf.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ind w:right="380" w:firstLine="456"/>
        <w:spacing w:after="0" w:line="256"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6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We carry insurance coverage for protection of our assets and operations from certain risks including automobile liability, general liability, real</w:t>
      </w:r>
      <w:r>
        <w:rPr>
          <w:rFonts w:ascii="Arial" w:cs="Arial" w:eastAsia="Arial" w:hAnsi="Arial"/>
          <w:sz w:val="18"/>
          <w:szCs w:val="18"/>
          <w:i w:val="1"/>
          <w:iCs w:val="1"/>
          <w:color w:val="auto"/>
        </w:rPr>
        <w:t xml:space="preserve"> </w:t>
      </w:r>
      <w:r>
        <w:rPr>
          <w:rFonts w:ascii="Arial" w:cs="Arial" w:eastAsia="Arial" w:hAnsi="Arial"/>
          <w:sz w:val="18"/>
          <w:szCs w:val="18"/>
          <w:color w:val="auto"/>
        </w:rPr>
        <w:t>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are unable to meet their commitments on a timely basis.</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retained a significant portion of the risks related to our automobile, general liability and workers’ compensation claims programs. “General liability” refers to the self-insured portion of specific third party claims made against us that may be covered under our commercial General Liability Insurance Policy. For our self-insured retentions, the exposure for unpaid claims and associated expenses, including incurred but not reported losses, is based on an actuarial valuation and internal estimates. The accruals for these liabilities could be revised if future occurrences or loss development significantly differ from our assumptions used. As of December 31, 2013, our commercial General Liability Insurance Policy carried self-insurance exposures of up to $2.5 million per incident and our workers’ compensation insurance program carried self-insurance exposures of up to $5 million per incident. As of December 31, 2013, our auto liability insurance program included a per-incident base deductible of $5 million, subject to additional deductibles of $4.8 million in the $5 million to $10 million layer. Self-insurance claims reserves acquired as part of our acquisition of WM Holdings in July 1998 were discounted at 3.0% at December 31, 2013, 1.75% at December 31, 2012 and 2.0% at December 31, 2011. The changes to our net insurance liabilities for the three years ended December 31, 2013 are summarized below (in millions):</w:t>
      </w:r>
    </w:p>
    <w:p>
      <w:pPr>
        <w:spacing w:after="0" w:line="2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4"/>
                <w:szCs w:val="14"/>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6"/>
              </w:rPr>
              <w:t>Receivables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5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Claims</w:t>
            </w:r>
          </w:p>
        </w:tc>
        <w:tc>
          <w:tcPr>
            <w:tcW w:w="160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90"/>
              </w:rPr>
              <w:t>Associated with</w:t>
            </w:r>
          </w:p>
        </w:tc>
        <w:tc>
          <w:tcPr>
            <w:tcW w:w="500" w:type="dxa"/>
            <w:vAlign w:val="bottom"/>
          </w:tcPr>
          <w:p>
            <w:pPr>
              <w:spacing w:after="0"/>
              <w:rPr>
                <w:sz w:val="12"/>
                <w:szCs w:val="12"/>
                <w:color w:val="auto"/>
              </w:rPr>
            </w:pPr>
          </w:p>
        </w:tc>
        <w:tc>
          <w:tcPr>
            <w:tcW w:w="60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1"/>
              </w:rPr>
              <w:t>Claims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Liability</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Insured Claims(a)</w:t>
            </w:r>
          </w:p>
        </w:tc>
        <w:tc>
          <w:tcPr>
            <w:tcW w:w="5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2010</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Self-insurance expense (benefit)</w:t>
            </w: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176</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received</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w w:val="95"/>
              </w:rPr>
              <w:t>(188)</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 2011</w:t>
            </w: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511</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(161)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Self-insurance expense (benefit)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Cash (paid) received</w:t>
            </w:r>
          </w:p>
        </w:tc>
        <w:tc>
          <w:tcPr>
            <w:tcW w:w="140" w:type="dxa"/>
            <w:vAlign w:val="bottom"/>
          </w:tcPr>
          <w:p>
            <w:pPr>
              <w:spacing w:after="0"/>
              <w:rPr>
                <w:sz w:val="18"/>
                <w:szCs w:val="18"/>
                <w:color w:val="auto"/>
              </w:rPr>
            </w:pPr>
          </w:p>
        </w:tc>
        <w:tc>
          <w:tcPr>
            <w:tcW w:w="1400" w:type="dxa"/>
            <w:vAlign w:val="bottom"/>
            <w:gridSpan w:val="2"/>
          </w:tcPr>
          <w:p>
            <w:pPr>
              <w:jc w:val="right"/>
              <w:ind w:right="980"/>
              <w:spacing w:after="0"/>
              <w:rPr>
                <w:sz w:val="20"/>
                <w:szCs w:val="20"/>
                <w:color w:val="auto"/>
              </w:rPr>
            </w:pPr>
            <w:r>
              <w:rPr>
                <w:rFonts w:ascii="Arial" w:cs="Arial" w:eastAsia="Arial" w:hAnsi="Arial"/>
                <w:sz w:val="18"/>
                <w:szCs w:val="18"/>
                <w:color w:val="auto"/>
                <w:w w:val="95"/>
              </w:rPr>
              <w:t>(164)</w:t>
            </w:r>
          </w:p>
        </w:tc>
        <w:tc>
          <w:tcPr>
            <w:tcW w:w="14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Self-insurance expense (benefit)</w:t>
            </w: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177</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received</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w w:val="95"/>
              </w:rPr>
              <w:t>(156)</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 2013(b)</w:t>
            </w: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6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590</w:t>
            </w:r>
          </w:p>
        </w:tc>
        <w:tc>
          <w:tcPr>
            <w:tcW w:w="10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(197)</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at December 31, 2013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Long-term portion at December 31, 2013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469</w:t>
            </w:r>
          </w:p>
        </w:tc>
        <w:tc>
          <w:tcPr>
            <w:tcW w:w="10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(174)</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94361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00"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Amounts reported as receivables associated with insured claims are related to both paid and unpaid claims liabilities.</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currently expect substantially all of our net claims liability to be settled in cash over the next five years.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Directors’ and Officers’ Liability Insurance policy we choose to maintain covers only individual executive liability, often referred to as “Broad Form Side A,” and does not provide corporate reimbursement coverage, often referred to as “Side B.” The Side A policy covers directors and officers directly for loss, including defense costs, when corporate indemnification is unavailable. Side A-only coverage cannot be exhausted by payments to the Company, as the Company is not insured for any money it advances for defense costs or pays as indemnity to the insured directors and officers.</w:t>
      </w:r>
    </w:p>
    <w:p>
      <w:pPr>
        <w:spacing w:after="0" w:line="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do not expect the impact of any known casualty, property, environmental or other contingency to have a material impact on our financial condition, results of operations or cash flows.</w:t>
      </w:r>
    </w:p>
    <w:p>
      <w:pPr>
        <w:spacing w:after="0" w:line="5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 Rental expense for leased properties was $170 million during 2013, $180 million during 2012 and $138 million during 2011.</w:t>
      </w:r>
      <w:r>
        <w:rPr>
          <w:rFonts w:ascii="Arial" w:cs="Arial" w:eastAsia="Arial" w:hAnsi="Arial"/>
          <w:sz w:val="18"/>
          <w:szCs w:val="18"/>
          <w:i w:val="1"/>
          <w:iCs w:val="1"/>
          <w:color w:val="auto"/>
        </w:rPr>
        <w:t xml:space="preserve"> </w:t>
      </w:r>
      <w:r>
        <w:rPr>
          <w:rFonts w:ascii="Arial" w:cs="Arial" w:eastAsia="Arial" w:hAnsi="Arial"/>
          <w:sz w:val="18"/>
          <w:szCs w:val="18"/>
          <w:color w:val="auto"/>
        </w:rPr>
        <w:t>Minimum contractual payments due for our operating lease obligations are $100 million in 2014, $86 million in 2015, $64 million in 2016, $55 million in 2017, $46 million in 2018 and $393 million thereafter. Our minimum contractual payments for lease agreements during future periods is less than current year rent expense due to short-term leases.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Commitments</w:t>
      </w:r>
    </w:p>
    <w:p>
      <w:pPr>
        <w:spacing w:after="0" w:line="90" w:lineRule="exact"/>
        <w:rPr>
          <w:sz w:val="20"/>
          <w:szCs w:val="20"/>
          <w:color w:val="auto"/>
        </w:rPr>
      </w:pPr>
    </w:p>
    <w:p>
      <w:pPr>
        <w:ind w:left="700" w:hanging="246"/>
        <w:spacing w:after="0" w:line="291" w:lineRule="auto"/>
        <w:tabs>
          <w:tab w:leader="none" w:pos="700" w:val="left"/>
        </w:tabs>
        <w:numPr>
          <w:ilvl w:val="0"/>
          <w:numId w:val="86"/>
        </w:numPr>
        <w:rPr>
          <w:rFonts w:ascii="Arial" w:cs="Arial" w:eastAsia="Arial" w:hAnsi="Arial"/>
          <w:sz w:val="16"/>
          <w:szCs w:val="16"/>
          <w:color w:val="auto"/>
        </w:rPr>
      </w:pPr>
      <w:r>
        <w:rPr>
          <w:rFonts w:ascii="Arial" w:cs="Arial" w:eastAsia="Arial" w:hAnsi="Arial"/>
          <w:sz w:val="16"/>
          <w:szCs w:val="16"/>
          <w:i w:val="1"/>
          <w:iCs w:val="1"/>
          <w:color w:val="auto"/>
        </w:rPr>
        <w:t xml:space="preserve">Fuel Supply </w:t>
      </w:r>
      <w:r>
        <w:rPr>
          <w:rFonts w:ascii="Arial" w:cs="Arial" w:eastAsia="Arial" w:hAnsi="Arial"/>
          <w:sz w:val="16"/>
          <w:szCs w:val="16"/>
          <w:color w:val="auto"/>
        </w:rPr>
        <w:t>— We have purchase agreements expiring at various dates through 2025 that require us to purchase minimum amounts of wood waste,</w:t>
      </w:r>
      <w:r>
        <w:rPr>
          <w:rFonts w:ascii="Arial" w:cs="Arial" w:eastAsia="Arial" w:hAnsi="Arial"/>
          <w:sz w:val="16"/>
          <w:szCs w:val="16"/>
          <w:i w:val="1"/>
          <w:iCs w:val="1"/>
          <w:color w:val="auto"/>
        </w:rPr>
        <w:t xml:space="preserve"> </w:t>
      </w:r>
      <w:r>
        <w:rPr>
          <w:rFonts w:ascii="Arial" w:cs="Arial" w:eastAsia="Arial" w:hAnsi="Arial"/>
          <w:sz w:val="16"/>
          <w:szCs w:val="16"/>
          <w:color w:val="auto"/>
        </w:rPr>
        <w:t>anthracite coal waste (culm) and conventional fuels at our independent power production plants. These fuel supplies are used to produce steam that is sold to industrial and commercial users and electricity that is sold to electric utilities, which is generally subject to the terms and conditions of long-term contracts. Our purchase agreements have been established based on the plants’ anticipated fuel supply needs to meet the demands of our customers under these long-term electricity sale contracts. Under our fuel supply take-or-pay contracts, we are generally obligated to pay for a minimum amount of waste or conventional fuel at a stated rate even if such quantities are not required in our operations.</w:t>
      </w:r>
    </w:p>
    <w:p>
      <w:pPr>
        <w:spacing w:after="0" w:line="39" w:lineRule="exact"/>
        <w:rPr>
          <w:rFonts w:ascii="Arial" w:cs="Arial" w:eastAsia="Arial" w:hAnsi="Arial"/>
          <w:sz w:val="16"/>
          <w:szCs w:val="16"/>
          <w:color w:val="auto"/>
        </w:rPr>
      </w:pPr>
    </w:p>
    <w:p>
      <w:pPr>
        <w:ind w:left="700" w:right="60" w:hanging="246"/>
        <w:spacing w:after="0" w:line="256" w:lineRule="auto"/>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Disposal </w:t>
      </w:r>
      <w:r>
        <w:rPr>
          <w:rFonts w:ascii="Arial" w:cs="Arial" w:eastAsia="Arial" w:hAnsi="Arial"/>
          <w:sz w:val="18"/>
          <w:szCs w:val="18"/>
          <w:color w:val="auto"/>
        </w:rPr>
        <w:t>— We have several agreements expiring at various dates through 2052 that require us to dispose of a minimum number of tons at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disposal facilities. Under these put-or-pay agreements, we are required to pay for the agreed upon minimum volumes regardless of the actual number of tons placed at the facilities. We generally fulfill our minimum contractual obligations by disposing of volumes collected in the ordinary course of business at these disposal facilities.</w:t>
      </w:r>
    </w:p>
    <w:p>
      <w:pPr>
        <w:spacing w:after="0" w:line="62" w:lineRule="exact"/>
        <w:rPr>
          <w:rFonts w:ascii="Arial" w:cs="Arial" w:eastAsia="Arial" w:hAnsi="Arial"/>
          <w:sz w:val="18"/>
          <w:szCs w:val="18"/>
          <w:color w:val="auto"/>
        </w:rPr>
      </w:pPr>
    </w:p>
    <w:p>
      <w:pPr>
        <w:ind w:left="700" w:right="40" w:hanging="246"/>
        <w:spacing w:after="0" w:line="268" w:lineRule="auto"/>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Waste Paper </w:t>
      </w:r>
      <w:r>
        <w:rPr>
          <w:rFonts w:ascii="Arial" w:cs="Arial" w:eastAsia="Arial" w:hAnsi="Arial"/>
          <w:sz w:val="18"/>
          <w:szCs w:val="18"/>
          <w:color w:val="auto"/>
        </w:rPr>
        <w:t>— We are party to waste paper purchase agreements expiring at various dates through 2017 that require us to purchase a minimum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tons of waste paper. The cost per ton we pay is based on market prices.</w:t>
      </w:r>
    </w:p>
    <w:p>
      <w:pPr>
        <w:spacing w:after="0" w:line="50" w:lineRule="exact"/>
        <w:rPr>
          <w:rFonts w:ascii="Arial" w:cs="Arial" w:eastAsia="Arial" w:hAnsi="Arial"/>
          <w:sz w:val="18"/>
          <w:szCs w:val="18"/>
          <w:color w:val="auto"/>
        </w:rPr>
      </w:pPr>
    </w:p>
    <w:p>
      <w:pPr>
        <w:ind w:left="700" w:right="100" w:hanging="246"/>
        <w:spacing w:after="0" w:line="298" w:lineRule="auto"/>
        <w:tabs>
          <w:tab w:leader="none" w:pos="700" w:val="left"/>
        </w:tabs>
        <w:numPr>
          <w:ilvl w:val="0"/>
          <w:numId w:val="86"/>
        </w:numPr>
        <w:rPr>
          <w:rFonts w:ascii="Arial" w:cs="Arial" w:eastAsia="Arial" w:hAnsi="Arial"/>
          <w:sz w:val="16"/>
          <w:szCs w:val="16"/>
          <w:color w:val="auto"/>
        </w:rPr>
      </w:pPr>
      <w:r>
        <w:rPr>
          <w:rFonts w:ascii="Arial" w:cs="Arial" w:eastAsia="Arial" w:hAnsi="Arial"/>
          <w:sz w:val="16"/>
          <w:szCs w:val="16"/>
          <w:i w:val="1"/>
          <w:iCs w:val="1"/>
          <w:color w:val="auto"/>
        </w:rPr>
        <w:t xml:space="preserve">Royalties </w:t>
      </w:r>
      <w:r>
        <w:rPr>
          <w:rFonts w:ascii="Arial" w:cs="Arial" w:eastAsia="Arial" w:hAnsi="Arial"/>
          <w:sz w:val="16"/>
          <w:szCs w:val="16"/>
          <w:color w:val="auto"/>
        </w:rPr>
        <w:t>— We have various arrangements that require us to make royalty payments to third parties including prior land owners, lessors or host</w:t>
      </w:r>
      <w:r>
        <w:rPr>
          <w:rFonts w:ascii="Arial" w:cs="Arial" w:eastAsia="Arial" w:hAnsi="Arial"/>
          <w:sz w:val="16"/>
          <w:szCs w:val="16"/>
          <w:i w:val="1"/>
          <w:iCs w:val="1"/>
          <w:color w:val="auto"/>
        </w:rPr>
        <w:t xml:space="preserve"> </w:t>
      </w:r>
      <w:r>
        <w:rPr>
          <w:rFonts w:ascii="Arial" w:cs="Arial" w:eastAsia="Arial" w:hAnsi="Arial"/>
          <w:sz w:val="16"/>
          <w:szCs w:val="16"/>
          <w:color w:val="auto"/>
        </w:rPr>
        <w:t>communities where our operations are located. Our obligations generally are based on per ton rates for waste actually received at our transfer stations, landfills or waste-to-energy facilities. Royalty agreements that are non-cancelable and require fixed or minimum payments are included in our “Capital leases and other” debt obligations in our Consolidated Balance Sheet as disclosed in Note 7.</w:t>
      </w:r>
    </w:p>
    <w:p>
      <w:pPr>
        <w:spacing w:after="0" w:line="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unconditional obligations are established in the ordinary course of our business and are structured in a manner that provides us with access to important resources at competitive, market-driven rates. Our actual future minimum obligations under these outstanding agreements are generally quantity driven and, as a result, our associated financial obligations are not fixed as of December 31, 2013. For contracts that require us to purchase minimum quantities of goods or services, we have estimated our future minimum obligations based on the current market values of the underlying products or services. As of December 31, 2013, our estimated minimum obligations for the above-described purchase obligations, which are not recognized in our Consolidated Balance Sheet, were $76 million in 2014, $44 million in 2015, $25 million in 2016, $17 million in 2017, $9 million in 2018 and $231 million thereafter. We currently expect the products and services provided by these agreements to continue to meet the needs of our ongoing operations. Therefore, we do not expect these established arrangements to materially impact our future financial position, results of operations or cash flows.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Credit Commitments </w:t>
      </w:r>
      <w:r>
        <w:rPr>
          <w:rFonts w:ascii="Arial" w:cs="Arial" w:eastAsia="Arial" w:hAnsi="Arial"/>
          <w:sz w:val="18"/>
          <w:szCs w:val="18"/>
          <w:color w:val="auto"/>
        </w:rPr>
        <w:t>— In the first quarter of 2012, we formed a U.K. joint venture, together with a commercial waste management company, to develop a</w:t>
      </w:r>
      <w:r>
        <w:rPr>
          <w:rFonts w:ascii="Arial" w:cs="Arial" w:eastAsia="Arial" w:hAnsi="Arial"/>
          <w:sz w:val="18"/>
          <w:szCs w:val="18"/>
          <w:i w:val="1"/>
          <w:iCs w:val="1"/>
          <w:color w:val="auto"/>
        </w:rPr>
        <w:t xml:space="preserve"> </w:t>
      </w:r>
      <w:r>
        <w:rPr>
          <w:rFonts w:ascii="Arial" w:cs="Arial" w:eastAsia="Arial" w:hAnsi="Arial"/>
          <w:sz w:val="18"/>
          <w:szCs w:val="18"/>
          <w:color w:val="auto"/>
        </w:rPr>
        <w:t>waste-to-energy and recycling facility in England. In connection with this investment, we are committed to provide funding of up to £57 million, or $94 million, based on the exchange rate as of December 31, 2013, to be used for the development and construction of the facility. Additional information related to this investment is included in Note 20.</w:t>
      </w:r>
    </w:p>
    <w:p>
      <w:pPr>
        <w:spacing w:after="0" w:line="62"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Additionally, in the second quarter of 2012, we invested in another U.K. joint venture, together with an electric utility company, to develop a waste-to-energy and recycling facility in England. In connection with this investment, we are committed to provide funding of up to £156 million, or $258 million based upon the exchange rates at December 31, 2013, to be used for the development and construction of the facility. Through December 31, 2013, we had funded approximately £81 million, or $135 million, through loans and £6 million, or $9 million, through equity contributions.</w:t>
      </w:r>
    </w:p>
    <w:p>
      <w:pPr>
        <w:spacing w:after="0" w:line="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2011, we made a noncontrolling equity investment in an entity focused on the conversion of municipal solid waste into advanced bio-fuels. In connection with this investment, we agreed to provide the entity with a secured loan facility whereby we would fund up to $70 million to support the construction of the entity’s first bio-fuel facility. Our obligation to fund this secured loan agreement is contingent upon the satisfaction of certain conditions by the borrower. The borrower has until November 2014 to draw on the facility and must repay the loan over a term not to exceed 12 years from the plant’s commencement of commercial operations.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 We have entered into the following guarantee agreements associated with our operations:</w:t>
      </w:r>
    </w:p>
    <w:p>
      <w:pPr>
        <w:spacing w:after="0" w:line="90" w:lineRule="exact"/>
        <w:rPr>
          <w:sz w:val="20"/>
          <w:szCs w:val="20"/>
          <w:color w:val="auto"/>
        </w:rPr>
      </w:pPr>
    </w:p>
    <w:p>
      <w:pPr>
        <w:ind w:left="700" w:right="220" w:hanging="246"/>
        <w:spacing w:after="0" w:line="294" w:lineRule="auto"/>
        <w:tabs>
          <w:tab w:leader="none" w:pos="7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As of December 31, 2013, WM Holdings has fully and unconditionally guaranteed all of WM’s senior indebtedness, including its senior notes, $2.25 billion revolving credit agreement and certain letter of credit facilities, which mature through 2039. WM has fully and unconditionally guaranteed the senior indebtedness of WM Holdings, which matures in 2026. Performance under these guarantee agreements would be required if either party defaulted on their respective obligations. No additional liabilities have been recorded for these guarantees because the underlying obligations are reflected in our Consolidated Balance Sheets. See Note 23 for further information.</w:t>
      </w:r>
    </w:p>
    <w:p>
      <w:pPr>
        <w:spacing w:after="0" w:line="34" w:lineRule="exact"/>
        <w:rPr>
          <w:rFonts w:ascii="Arial" w:cs="Arial" w:eastAsia="Arial" w:hAnsi="Arial"/>
          <w:sz w:val="16"/>
          <w:szCs w:val="16"/>
          <w:color w:val="auto"/>
        </w:rPr>
      </w:pPr>
    </w:p>
    <w:p>
      <w:pPr>
        <w:ind w:left="700" w:hanging="246"/>
        <w:spacing w:after="0" w:line="298" w:lineRule="auto"/>
        <w:tabs>
          <w:tab w:leader="none" w:pos="7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WM and WM Holdings have guaranteed subsidiary debt obligations, including the Canadian credit facility, tax-exempt bonds, capital leases and other indebtedness. If a subsidiary fails to meet its obligations associated with its debt agreements as they come due, WM or WM Holdings will be required to perform under the related guarantee agreement. No additional liabilities have been recorded for these guarantees because the underlying obligations are reflected in our Consolidated Balance Sheets. See Note 7 for information related to the balances and maturities of our tax-exempt bonds.</w:t>
      </w:r>
    </w:p>
    <w:p>
      <w:pPr>
        <w:spacing w:after="0" w:line="31" w:lineRule="exact"/>
        <w:rPr>
          <w:rFonts w:ascii="Arial" w:cs="Arial" w:eastAsia="Arial" w:hAnsi="Arial"/>
          <w:sz w:val="16"/>
          <w:szCs w:val="16"/>
          <w:color w:val="auto"/>
        </w:rPr>
      </w:pPr>
    </w:p>
    <w:p>
      <w:pPr>
        <w:ind w:left="700" w:right="260" w:hanging="246"/>
        <w:spacing w:after="0" w:line="335" w:lineRule="auto"/>
        <w:tabs>
          <w:tab w:leader="none" w:pos="7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We have guaranteed certain financial obligations of unconsolidated entities. The related obligations, which mature through 2020, are not recorded on our Consolidated Balance Sheets. As of December 31, 2013, our maximum future payments associated with these guarantees are approximately $9 million. Any requirement to act under these guarantees would not materially impact our financial position, results of operations or cash flows.</w:t>
      </w:r>
    </w:p>
    <w:p>
      <w:pPr>
        <w:spacing w:after="0" w:line="7" w:lineRule="exact"/>
        <w:rPr>
          <w:rFonts w:ascii="Arial" w:cs="Arial" w:eastAsia="Arial" w:hAnsi="Arial"/>
          <w:sz w:val="15"/>
          <w:szCs w:val="15"/>
          <w:color w:val="auto"/>
        </w:rPr>
      </w:pPr>
    </w:p>
    <w:p>
      <w:pPr>
        <w:ind w:left="700" w:right="20" w:hanging="246"/>
        <w:spacing w:after="0" w:line="254" w:lineRule="auto"/>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Certain of our subsidiaries have guaranteed the market or contractually-determined value of certain homeowners’ properties that are adjacent to certain of our landfills. These guarantee agreements extend over the life of the respective landfill. Under these agreements, we would be responsible for the difference, if any, between the sale value and the guaranteed market or contractually-determined value of the homeowners’ properties. As of December 31, 2013, we have agreements guaranteeing certain market value losses for approximately 850 homeowners’ properties adjacent to or near 21 of our landfills. We do not believe that these contingent obligations will have a material effect on our financial position, results of operations or cash flows.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700" w:hanging="246"/>
        <w:spacing w:after="0" w:line="314" w:lineRule="auto"/>
        <w:tabs>
          <w:tab w:leader="none" w:pos="7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We have indemnified the purchasers of businesses or divested assets for the occurrence of specified events under certain of our divestiture agreements. Other than certain identified items that are currently recorded as obligations,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are achieved post-closing. We have recognized liabilities for these contingent obligations based on an estimate of the fair value of these contingencies at the time of acquisition. Contingent obligations related to indemnifications arising from our divestitures and contingent consideration provided for by our acquisitions are not expected to be material to our financial position, results of operations or cash flows.</w:t>
      </w:r>
    </w:p>
    <w:p>
      <w:pPr>
        <w:spacing w:after="0" w:line="23" w:lineRule="exact"/>
        <w:rPr>
          <w:rFonts w:ascii="Arial" w:cs="Arial" w:eastAsia="Arial" w:hAnsi="Arial"/>
          <w:sz w:val="15"/>
          <w:szCs w:val="15"/>
          <w:color w:val="auto"/>
        </w:rPr>
      </w:pPr>
    </w:p>
    <w:p>
      <w:pPr>
        <w:ind w:left="700" w:hanging="246"/>
        <w:spacing w:after="0" w:line="294" w:lineRule="auto"/>
        <w:tabs>
          <w:tab w:leader="none" w:pos="7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WM and WM Holdings guarantee the service, lease, financial and general operating obligations of certain of their subsidiaries. If such a subsidiary fails to meet its contractual obligations as they come due, the guarantor has an unconditional obligation to perform on its behalf. No additional liability has been recorded for service, financial or general operating guarantees because the subsidiaries’ obligations are properly accounted for as costs of operations as services are provided or general operating obligations as incurred. No additional liability has been recorded for the lease guarantees because the subsidiaries’ obligations are properly accounted for as operating or capital leases, as appropriate.</w:t>
      </w:r>
    </w:p>
    <w:p>
      <w:pPr>
        <w:spacing w:after="0" w:line="3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Environmental Matters </w:t>
      </w:r>
      <w:r>
        <w:rPr>
          <w:rFonts w:ascii="Arial" w:cs="Arial" w:eastAsia="Arial" w:hAnsi="Arial"/>
          <w:sz w:val="16"/>
          <w:szCs w:val="16"/>
          <w:color w:val="auto"/>
        </w:rPr>
        <w:t>— A significant portion of our operating costs and capital expenditures could be characterized as costs of environmental protection</w:t>
      </w:r>
      <w:r>
        <w:rPr>
          <w:rFonts w:ascii="Arial" w:cs="Arial" w:eastAsia="Arial" w:hAnsi="Arial"/>
          <w:sz w:val="16"/>
          <w:szCs w:val="16"/>
          <w:i w:val="1"/>
          <w:iCs w:val="1"/>
          <w:color w:val="auto"/>
        </w:rPr>
        <w:t xml:space="preserve"> </w:t>
      </w:r>
      <w:r>
        <w:rPr>
          <w:rFonts w:ascii="Arial" w:cs="Arial" w:eastAsia="Arial" w:hAnsi="Arial"/>
          <w:sz w:val="16"/>
          <w:szCs w:val="16"/>
          <w:color w:val="auto"/>
        </w:rPr>
        <w:t>as we are subject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or PRP, investigations. The costs associated with these liabilities can include settlements, certain legal and consultant fees, as well as incremental internal and external costs directly associated with site investigation and clean-up.</w:t>
      </w:r>
    </w:p>
    <w:p>
      <w:pPr>
        <w:spacing w:after="0" w:line="3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As of December 31, 2013, we had been notified by the government that we are a PRP in connection with 77 locations listed on the EPA’s Superfund National Priorities List, or NPL. Of the 77 sites at which claims have been made against us, 14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63 NPL sites, which we do not own, are at various procedural stages under the Comprehensive Environmental Response, Compensation and Liability Act of 1980, as amended, known as CERCLA or Superfund.</w:t>
      </w:r>
    </w:p>
    <w:p>
      <w:pPr>
        <w:spacing w:after="0" w:line="3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The majority of these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2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interest and costs, of less than $100,000. The following matter is disclosed in accordance with that requirement. We do not currently believe that the eventual outcome of such matter could have a material adverse effect on the Company’s business, financial condition, results of operations or cash flows.</w:t>
      </w:r>
    </w:p>
    <w:p>
      <w:pPr>
        <w:spacing w:after="0" w:line="4" w:lineRule="exact"/>
        <w:rPr>
          <w:sz w:val="20"/>
          <w:szCs w:val="20"/>
          <w:color w:val="auto"/>
        </w:rPr>
      </w:pPr>
    </w:p>
    <w:p>
      <w:pPr>
        <w:jc w:val="both"/>
        <w:ind w:left="460" w:right="80" w:firstLine="438"/>
        <w:spacing w:after="0" w:line="298" w:lineRule="auto"/>
        <w:rPr>
          <w:sz w:val="20"/>
          <w:szCs w:val="20"/>
          <w:color w:val="auto"/>
        </w:rPr>
      </w:pPr>
      <w:r>
        <w:rPr>
          <w:rFonts w:ascii="Arial" w:cs="Arial" w:eastAsia="Arial" w:hAnsi="Arial"/>
          <w:sz w:val="16"/>
          <w:szCs w:val="16"/>
          <w:color w:val="auto"/>
        </w:rPr>
        <w:t>On December 22, 2011, the Harris County Attorney in Houston, Texas filed suit against McGinnes Industrial Maintenance Corporation (“MIMC”), WM and Waste Management of Texas, Inc., et. al, seeking civil penalties and attorneys’ fees for alleged violations of the Texas Water Code and the Texas Health and Safety Code. The County’s Original Petition pending in the District Court of Harris County, Texas alleges the mismanagement of certain waste pits that were operated from 1965 to 1966 by MIMC. In 1998, a predecessor of WM acquired the stock of the parent entity of MIMC.</w:t>
      </w:r>
    </w:p>
    <w:p>
      <w:pPr>
        <w:spacing w:after="0" w:line="3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Additionally, the United States Attorney’s Office for the District of Hawaii has been conducting an investigation prompted by allegations of violations of the federal Clean Water Act involving discharge of stormwater at the Waimanalo Gulch Sanitary Landfill, located on Oahu, in connection with three major storm events in December 2010 and January 2011. No formal enforcement action has been brought against the Company. While we could potentially be subject to sanctions, including requirements to pay monetary penalties, in connection with a future proceeding that may arise from the investigation, a range of loss cannot currently be estimated because no proceeding has yet commenced and significant factual and legal issues remain. We are cooperating with the U.S. Attorney’s Office.</w:t>
      </w:r>
    </w:p>
    <w:p>
      <w:pPr>
        <w:spacing w:after="0" w:line="6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Litigation </w:t>
      </w:r>
      <w:r>
        <w:rPr>
          <w:rFonts w:ascii="Arial" w:cs="Arial" w:eastAsia="Arial" w:hAnsi="Arial"/>
          <w:sz w:val="16"/>
          <w:szCs w:val="16"/>
          <w:color w:val="auto"/>
        </w:rPr>
        <w:t>— In October 2011 and January 2012, we were named as a defendant in a purported class action in the Circuit Court of Sarasota County, Florida</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Circuit Court of Lawrence County Alabama, respectively. These cases primarily pertain to our fuel and environmental charges included on our invoices, generally alleging that such charges were not properly disclosed, were unfair and were contrary to the customer service contracts. The law firm that filed these lawsuits had filed a purported class action in 2008 against subsidiaries of WM in Bullock County, Alabama, making similar allegations. The prior Alabama suit was removed to federal court, where the federal court ultimately dismissed the plaintiffs’ national class action claims. The plaintiffs then elected to dismiss the case without prejudice. We will vigorously defend against these pending lawsuits. Given the inherent uncertainties of litigation, including the early stage of these cases, the unknown size of any potential class, and legal and factual issues in dispute, the outcome of these cases cannot be predicted and a range of loss cannot currently be estimated.</w:t>
      </w:r>
    </w:p>
    <w:p>
      <w:pPr>
        <w:spacing w:after="0" w:line="3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4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employment-related claims, including purported class action lawsuits related to our sales and marketing practices and our customer service agreements and purported class actions involving federal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could have a material adverse effect on the Company’s business, financial condition, results of operations, or cash flows.</w:t>
      </w:r>
    </w:p>
    <w:p>
      <w:pPr>
        <w:spacing w:after="0" w:line="2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WM’s charter and bylaws provide that WM shall indemnify against all liabilities and expenses, and upon request shall advance expenses to, any person who is subject to a pending or threatened proceeding because such person is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entitled to have such fees advanced under Delaware law. Additionally, WM has entered into separate indemnification agreements with each of the members of its Board of Directors, its Chief Executive Officer and each of its executive vice presidents. Additionally, the employment agreements between WM and its Chief Executive Officer and other executive and senior vice presidents contain a direct contractual obligation of the Company to provide indemnification to the executive.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3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 xml:space="preserve">Multiemployer Defined Benefit Pension Plans </w:t>
      </w:r>
      <w:r>
        <w:rPr>
          <w:rFonts w:ascii="Arial" w:cs="Arial" w:eastAsia="Arial" w:hAnsi="Arial"/>
          <w:sz w:val="16"/>
          <w:szCs w:val="16"/>
          <w:color w:val="auto"/>
        </w:rPr>
        <w:t>— About 20% of our workforce is covered by collective bargaining agreements with various union locals</w:t>
      </w:r>
      <w:r>
        <w:rPr>
          <w:rFonts w:ascii="Arial" w:cs="Arial" w:eastAsia="Arial" w:hAnsi="Arial"/>
          <w:sz w:val="16"/>
          <w:szCs w:val="16"/>
          <w:i w:val="1"/>
          <w:iCs w:val="1"/>
          <w:color w:val="auto"/>
        </w:rPr>
        <w:t xml:space="preserve"> </w:t>
      </w:r>
      <w:r>
        <w:rPr>
          <w:rFonts w:ascii="Arial" w:cs="Arial" w:eastAsia="Arial" w:hAnsi="Arial"/>
          <w:sz w:val="16"/>
          <w:szCs w:val="16"/>
          <w:color w:val="auto"/>
        </w:rPr>
        <w:t>across the United States and Canada. As a result of some of these agreements, certain of our subsidiaries are participating employers in a number of trustee-managed multiemployer defined benefit pension plans for the covered employees. Refer to Note 10 for additional information about our participation in multiemployer defined benefit pension plans considered individually significant. In connection with our ongoing renegotiation of various collective bargaining agreements, we may discuss and negotiate for the complete or partial withdrawal from one or more of these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defined benefit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39"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One of the most significant multiemployer pension plans in which we have participated is the Central States, Southeast and Southwest Areas Pension Plan (“Central States Pension Plan”). The Central States Pension Plan is in “critical status,” as defined by the Pension Protection Act of 2006. Since 2008, certain of our affiliates have bargained to remove covered employees from the Central States Pension Plan, resulting in a series of withdrawals, and we have recognized charges to “Operating” expenses associated with the withdrawal of certain bargaining units from the Central States Pension Plan and other underfunded multiemployer pension plans. In October 2011, employees at the last of our affiliates with active participants in the Central States Pension Plan voted to decertify the union that represented them, withdrawing themselves from the Central States Pension Plan. The Company believes there are no collective bargaining agreements remaining that require continuing contributions to this plan; however, this point is the subject of pending litigation with the trustees for the Central States, Southeast and Southwest Areas Pension Plan.</w:t>
      </w:r>
    </w:p>
    <w:p>
      <w:pPr>
        <w:spacing w:after="0" w:line="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still negotiating and litigating final resolutions of our withdrawal liability for certain previous withdrawals. Except in the case of our withdrawals from the Central States Pension Plan, we do not believe any additional liability above the charges we have already recognized for such previous withdrawals could be material to the Company’s business, financial condition, liquidity, results of operations or cash flows. In addition to charges recognized in prior years, we currently estimate that we could incur up to approximately $40 million in future charges based on demands from representatives of the Central States Pension Plan. As a result, we do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not anticipate that the final resolution of the Central States Pension Plan matter could be material to the Company’s business, financial condition or liquidity; however, such loss could have a material adverse effect on our cash flows and, to a lesser extent, our results of operations, for a particular reporting period. Similarly, we also do not believe that any future withdrawals, individually or in the aggregate, from the multiemployer pension plans to which we contribute, could have a material adverse effect on our business, financial condition or liquidity. However, such withdrawals could have a material adverse effect on our results of operations or cash flows for a particular reporting period, depending on the number of employees withdrawn in any future period and the financial condition of the multiemployer pension plan(s) at the time of such withdrawal(s).</w:t>
      </w:r>
    </w:p>
    <w:p>
      <w:pPr>
        <w:spacing w:after="0" w:line="3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Tax Matters </w:t>
      </w:r>
      <w:r>
        <w:rPr>
          <w:rFonts w:ascii="Arial" w:cs="Arial" w:eastAsia="Arial" w:hAnsi="Arial"/>
          <w:sz w:val="16"/>
          <w:szCs w:val="16"/>
          <w:color w:val="auto"/>
        </w:rPr>
        <w:t>— We are currently in the examination phase of IRS audits for the tax years 2013 and 2014 and expect these audits to be completed within the</w:t>
      </w:r>
      <w:r>
        <w:rPr>
          <w:rFonts w:ascii="Arial" w:cs="Arial" w:eastAsia="Arial" w:hAnsi="Arial"/>
          <w:sz w:val="16"/>
          <w:szCs w:val="16"/>
          <w:i w:val="1"/>
          <w:iCs w:val="1"/>
          <w:color w:val="auto"/>
        </w:rPr>
        <w:t xml:space="preserve"> </w:t>
      </w:r>
      <w:r>
        <w:rPr>
          <w:rFonts w:ascii="Arial" w:cs="Arial" w:eastAsia="Arial" w:hAnsi="Arial"/>
          <w:sz w:val="16"/>
          <w:szCs w:val="16"/>
          <w:color w:val="auto"/>
        </w:rPr>
        <w:t>next 15 and 27 months, respectively. We participate in the IRS’s Compliance Assurance Process, which means we work with the IRS throughout the year in order to resolve any material issues prior to the filing of our annual tax return. We are also currently undergoing audits by various state and local jurisdictions for tax years that date back to 2005, with the exception of affirmative claims in one jurisdiction that date back to 2000. We are not currently under audit in Canada and, due to the expiration of statutes of limitations, all tax years prior to 2009 are closed. In July 2011, we acquired Oakleaf, which is subject to potential IRS examinations for the years 2010 and 2011. Pursuant to the terms of our acquisition of Oakleaf, we are entitled to indemnification for Oakleaf’s pre-acquisition period tax liabilities. We maintain a liability for uncertain tax positions, the balance of which management believes is adequate. Results of audit assessments by taxing authorities are not currently expected to have a material adverse impact on our results of operations or cash flows.</w:t>
      </w:r>
    </w:p>
    <w:p>
      <w:pPr>
        <w:spacing w:after="0" w:line="112" w:lineRule="exact"/>
        <w:rPr>
          <w:sz w:val="20"/>
          <w:szCs w:val="20"/>
          <w:color w:val="auto"/>
        </w:rPr>
      </w:pPr>
    </w:p>
    <w:p>
      <w:pPr>
        <w:ind w:left="440" w:hanging="432"/>
        <w:spacing w:after="0"/>
        <w:tabs>
          <w:tab w:leader="none" w:pos="4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pre-tax restructuring charges, including employee severance and benefit costs and other charges,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for the respective periods (in millions):</w:t>
      </w:r>
    </w:p>
    <w:p>
      <w:pPr>
        <w:spacing w:after="0" w:line="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2013</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8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Solid Waste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w:t>
            </w:r>
          </w:p>
        </w:tc>
        <w:tc>
          <w:tcPr>
            <w:tcW w:w="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Wheelabrator</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10</w:t>
            </w:r>
          </w:p>
        </w:tc>
        <w:tc>
          <w:tcPr>
            <w:tcW w:w="5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22"/>
        </w:trPr>
        <w:tc>
          <w:tcPr>
            <w:tcW w:w="86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18</w:t>
            </w: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w:t>
            </w:r>
          </w:p>
        </w:tc>
        <w:tc>
          <w:tcPr>
            <w:tcW w:w="100" w:type="dxa"/>
            <w:vAlign w:val="bottom"/>
          </w:tcPr>
          <w:p>
            <w:pPr>
              <w:spacing w:after="0"/>
              <w:rPr>
                <w:sz w:val="19"/>
                <w:szCs w:val="19"/>
                <w:color w:val="auto"/>
              </w:rPr>
            </w:pPr>
          </w:p>
        </w:tc>
      </w:tr>
      <w:tr>
        <w:trPr>
          <w:trHeight w:val="20"/>
        </w:trPr>
        <w:tc>
          <w:tcPr>
            <w:tcW w:w="8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year ended December 31, 2013, we recognized a total of $18 million of pre-tax restructuring charges, of which $7 million was related to employee severance and benefit costs, including costs associated with our acquisitions of Greenstar and RCI and our 2012 restructurings discussed below. The remaining charges were primarily related to operating lease obligations for property that will no longer be utilized. We do not expect to incur any material charges associated with our past restructuring efforts in future periods.</w:t>
      </w:r>
    </w:p>
    <w:p>
      <w:pPr>
        <w:spacing w:after="0" w:line="6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2012 Restructurings — </w:t>
      </w:r>
      <w:r>
        <w:rPr>
          <w:rFonts w:ascii="Arial" w:cs="Arial" w:eastAsia="Arial" w:hAnsi="Arial"/>
          <w:sz w:val="16"/>
          <w:szCs w:val="16"/>
          <w:color w:val="auto"/>
        </w:rPr>
        <w:t>In July 2012, we announced a reorganization of operations, designed to streamline management and staff support and reduce our</w:t>
      </w:r>
      <w:r>
        <w:rPr>
          <w:rFonts w:ascii="Arial" w:cs="Arial" w:eastAsia="Arial" w:hAnsi="Arial"/>
          <w:sz w:val="16"/>
          <w:szCs w:val="16"/>
          <w:i w:val="1"/>
          <w:iCs w:val="1"/>
          <w:color w:val="auto"/>
        </w:rPr>
        <w:t xml:space="preserve"> </w:t>
      </w:r>
      <w:r>
        <w:rPr>
          <w:rFonts w:ascii="Arial" w:cs="Arial" w:eastAsia="Arial" w:hAnsi="Arial"/>
          <w:sz w:val="16"/>
          <w:szCs w:val="16"/>
          <w:color w:val="auto"/>
        </w:rPr>
        <w:t>cost structure, while not disrupting our front-line operations. Principal organizational changes included removing the management layer of our four geographic Groups, each of which previously constituted a reportable segment, and consolidating and reducing the number of our geographic Areas through which we evaluate and oversee our Solid Waste subsidiaries from 22 to 17. This reorganization eliminated approximately 700 employee positions throughout the Company, including positions at both the management and support level. Voluntary separation arrangements were offered to many employees.</w:t>
      </w:r>
    </w:p>
    <w:p>
      <w:pPr>
        <w:spacing w:after="0" w:line="3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Additionally, in 2012, we recognized employee severance and benefits restructuring charges associated with the reorganization of Oakleaf discussed below that began in 2011 along with certain other actions taken by the Company in early 2012.</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During the year ended December 31, 2012, we recognized a total of $67 million of pre-tax restructuring charges, of which $56 million were related to employee severance and benefit costs associated with these reorganizations. The remaining charges were primarily related to operating lease obligations for property that will no longer be utilized.</w:t>
      </w:r>
    </w:p>
    <w:p>
      <w:pPr>
        <w:spacing w:after="0" w:line="59"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 xml:space="preserve">2011 Restructurings — </w:t>
      </w:r>
      <w:r>
        <w:rPr>
          <w:rFonts w:ascii="Arial" w:cs="Arial" w:eastAsia="Arial" w:hAnsi="Arial"/>
          <w:sz w:val="16"/>
          <w:szCs w:val="16"/>
          <w:color w:val="auto"/>
        </w:rPr>
        <w:t>Beginning in July 2011, we took steps to streamline our organization as part of our cost savings programs. This reorganization</w:t>
      </w:r>
      <w:r>
        <w:rPr>
          <w:rFonts w:ascii="Arial" w:cs="Arial" w:eastAsia="Arial" w:hAnsi="Arial"/>
          <w:sz w:val="16"/>
          <w:szCs w:val="16"/>
          <w:i w:val="1"/>
          <w:iCs w:val="1"/>
          <w:color w:val="auto"/>
        </w:rPr>
        <w:t xml:space="preserve"> </w:t>
      </w:r>
      <w:r>
        <w:rPr>
          <w:rFonts w:ascii="Arial" w:cs="Arial" w:eastAsia="Arial" w:hAnsi="Arial"/>
          <w:sz w:val="16"/>
          <w:szCs w:val="16"/>
          <w:color w:val="auto"/>
        </w:rPr>
        <w:t>eliminated over 700 employee positions throughout the Company, including approximately 300 open positions. Additionally, subsequent to our acquisition of Oakleaf, we incurred charges in connection with restructuring that organization. During the year ended December 31, 2011, we recognized a total of $19 million of pre-tax restructuring charges, of which $18 million were related to employee severance and benefit costs.</w:t>
      </w:r>
    </w:p>
    <w:p>
      <w:pPr>
        <w:spacing w:after="0" w:line="32"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Through December 31, 2013, we had recognized charges of $81 million related to employee severance and benefits associated with our restructuring efforts beginning in 2011 and we have paid approximately $74 million of these costs. At December 31, 2013, we had approximately $4 million of accrued employee severance related to our restructuring efforts, which will be paid through the end of 2014.</w:t>
      </w:r>
    </w:p>
    <w:p>
      <w:pPr>
        <w:spacing w:after="0" w:line="101" w:lineRule="exact"/>
        <w:rPr>
          <w:sz w:val="20"/>
          <w:szCs w:val="20"/>
          <w:color w:val="auto"/>
        </w:rPr>
      </w:pPr>
    </w:p>
    <w:p>
      <w:pPr>
        <w:ind w:left="240" w:right="8100" w:hanging="232"/>
        <w:spacing w:after="0" w:line="347" w:lineRule="auto"/>
        <w:tabs>
          <w:tab w:leader="none" w:pos="397"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Asset Impairments and Unusual Items </w:t>
      </w:r>
      <w:r>
        <w:rPr>
          <w:rFonts w:ascii="Arial" w:cs="Arial" w:eastAsia="Arial" w:hAnsi="Arial"/>
          <w:sz w:val="18"/>
          <w:szCs w:val="18"/>
          <w:b w:val="1"/>
          <w:bCs w:val="1"/>
          <w:i w:val="1"/>
          <w:iCs w:val="1"/>
          <w:color w:val="auto"/>
        </w:rPr>
        <w:t>Goodwill impairments</w:t>
      </w:r>
    </w:p>
    <w:p>
      <w:pPr>
        <w:spacing w:after="0" w:line="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year ended December 31, 2013, we recognized $509 million of goodwill impairment charges, primarily related to (i) $483 million associated with our Wheelabrator business; (ii) $10 million associated with our Puerto Rico operations and (iii) $9 million associated with a majority-owned waste diversion technology company. During the years ended December 31, 2012 and 2011, we recognized goodwill impairment charges of $4 million and $1 million, respectively, related to certain of our non-Solid Waste operations. See Notes 3 and 6 for additional information related to these impairment charges as well as the accounting policy and analysis involved in identifying and calculating impairments.</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expense from divestitures, asset impairments (other than goodwill) and unusual items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major components of “(Income) expense from divestitures, asset impairments and unusual items”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for the respective periods (in millions):</w:t>
      </w:r>
    </w:p>
    <w:p>
      <w:pPr>
        <w:spacing w:after="0" w:line="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2013</w:t>
            </w:r>
          </w:p>
        </w:tc>
        <w:tc>
          <w:tcPr>
            <w:tcW w:w="5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2012</w:t>
            </w:r>
          </w:p>
        </w:tc>
        <w:tc>
          <w:tcPr>
            <w:tcW w:w="5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6"/>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expense from divestitures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8"/>
                <w:szCs w:val="18"/>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Asset impairments (other than goodwill)</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472</w:t>
            </w:r>
          </w:p>
        </w:tc>
        <w:tc>
          <w:tcPr>
            <w:tcW w:w="50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9"/>
                <w:szCs w:val="19"/>
                <w:color w:val="auto"/>
              </w:rPr>
            </w:pPr>
          </w:p>
        </w:tc>
      </w:tr>
      <w:tr>
        <w:trPr>
          <w:trHeight w:val="216"/>
        </w:trPr>
        <w:tc>
          <w:tcPr>
            <w:tcW w:w="8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464</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w:t>
            </w:r>
          </w:p>
        </w:tc>
        <w:tc>
          <w:tcPr>
            <w:tcW w:w="100" w:type="dxa"/>
            <w:vAlign w:val="bottom"/>
            <w:shd w:val="clear" w:color="auto" w:fill="CCEEFF"/>
          </w:tcPr>
          <w:p>
            <w:pPr>
              <w:spacing w:after="0"/>
              <w:rPr>
                <w:sz w:val="18"/>
                <w:szCs w:val="18"/>
                <w:color w:val="auto"/>
              </w:rPr>
            </w:pP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 ended December 31, 2013, we recognized net charges of $464 million, primarily related to the following:</w:t>
      </w:r>
    </w:p>
    <w:p>
      <w:pPr>
        <w:spacing w:after="0" w:line="90" w:lineRule="exact"/>
        <w:rPr>
          <w:sz w:val="20"/>
          <w:szCs w:val="20"/>
          <w:color w:val="auto"/>
        </w:rPr>
      </w:pPr>
    </w:p>
    <w:p>
      <w:pPr>
        <w:ind w:left="700" w:right="80" w:hanging="246"/>
        <w:spacing w:after="0" w:line="289" w:lineRule="auto"/>
        <w:tabs>
          <w:tab w:leader="none" w:pos="700"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 xml:space="preserve">Landfill impairments </w:t>
      </w:r>
      <w:r>
        <w:rPr>
          <w:rFonts w:ascii="Arial" w:cs="Arial" w:eastAsia="Arial" w:hAnsi="Arial"/>
          <w:sz w:val="16"/>
          <w:szCs w:val="16"/>
          <w:color w:val="auto"/>
        </w:rPr>
        <w:t>— We recognized $262 million of charges to impair certain of our landfills, primarily as a result of our consideration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management’s decision in the fourth quarter of 2013 not to actively pursue expansion and/or development of such landfills. These charges were primarily associated with two landfills in our Eastern Canada Area, which are no longer accepting waste. We had previously concluded that receipt of permits for these landfills was probable. However, in connection with our asset rationalization and capital allocation analysis, which was influenced, in some cases, by our acquisition of RCI, we determined that the future costs to construct these landfills could be avoided as we are able to allocate disposal that would have gone to these landfills to other facilities and not materially impact operations. As a result of management’s decision, we determined that the landfill assets were no longer able to be recovered by the undiscounted cash flows attributable to these assets. As such, we wrote them down to their estimated fair values using a market approach considering the highest and best use of the assets.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700" w:right="60" w:hanging="246"/>
        <w:spacing w:after="0" w:line="256" w:lineRule="auto"/>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Waste-to-energy impairments </w:t>
      </w:r>
      <w:r>
        <w:rPr>
          <w:rFonts w:ascii="Arial" w:cs="Arial" w:eastAsia="Arial" w:hAnsi="Arial"/>
          <w:sz w:val="18"/>
          <w:szCs w:val="18"/>
          <w:color w:val="auto"/>
        </w:rPr>
        <w:t>— We recognized $144 million of impairment charges relating to three waste-to-energy facilities, primarily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closure or anticipated closure due to continued difficulty securing sufficient volumes to operate the plants at capacity and the prospect of additional capacity entering the market where the largest facility is located. We wrote down the carrying value of our facilities to their estimated fair value using a market approach.</w:t>
      </w:r>
    </w:p>
    <w:p>
      <w:pPr>
        <w:spacing w:after="0" w:line="62" w:lineRule="exact"/>
        <w:rPr>
          <w:rFonts w:ascii="Arial" w:cs="Arial" w:eastAsia="Arial" w:hAnsi="Arial"/>
          <w:sz w:val="18"/>
          <w:szCs w:val="18"/>
          <w:color w:val="auto"/>
        </w:rPr>
      </w:pPr>
    </w:p>
    <w:p>
      <w:pPr>
        <w:ind w:left="700" w:right="140" w:hanging="246"/>
        <w:spacing w:after="0" w:line="259" w:lineRule="auto"/>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Other impairments </w:t>
      </w:r>
      <w:r>
        <w:rPr>
          <w:rFonts w:ascii="Arial" w:cs="Arial" w:eastAsia="Arial" w:hAnsi="Arial"/>
          <w:sz w:val="18"/>
          <w:szCs w:val="18"/>
          <w:color w:val="auto"/>
        </w:rPr>
        <w:t>— The remainder of our 2013 charges were attributable to (i) $31 million of charges to impair various recycling assets; (ii) $20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charges to write down assets related to a majority-owned waste diversion technology company and; (iii) a $15 million charge to write down the carrying value of an oil and gas property to its estimated fair value.</w:t>
      </w:r>
    </w:p>
    <w:p>
      <w:pPr>
        <w:spacing w:after="0" w:line="59" w:lineRule="exact"/>
        <w:rPr>
          <w:rFonts w:ascii="Arial" w:cs="Arial" w:eastAsia="Arial" w:hAnsi="Arial"/>
          <w:sz w:val="18"/>
          <w:szCs w:val="18"/>
          <w:color w:val="auto"/>
        </w:rPr>
      </w:pPr>
    </w:p>
    <w:p>
      <w:pPr>
        <w:ind w:left="700" w:hanging="246"/>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Divestitures — </w:t>
      </w:r>
      <w:r>
        <w:rPr>
          <w:rFonts w:ascii="Arial" w:cs="Arial" w:eastAsia="Arial" w:hAnsi="Arial"/>
          <w:sz w:val="18"/>
          <w:szCs w:val="18"/>
          <w:color w:val="auto"/>
        </w:rPr>
        <w:t>Partially offsetting these charges were $8 million of net gains on divestitures.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3 for additional information related to the accounting policy and analysis involved in identifying and calculating impairments.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During the year ended December 31, 2012, we recognized impairment charges aggregating $79 million, attributable to (i) $45 million of charges related to three facilities in our medical waste services business as a result of projected operating losses at each of these facilities; (ii) $20 million of charges related to investments in waste diversion technology companies and (iii) other charges to write down the carrying value of assets to their estimated fair values, all of which are individually immaterial.</w:t>
      </w:r>
    </w:p>
    <w:p>
      <w:pPr>
        <w:spacing w:after="0" w:line="6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During the year ended December 31, 2011, we recognized impairment charges relating to two facilities in our medical waste services business, in addition to the three facilities impaired in 2012 discussed above, as a result of the closure of one site and continuing operating losses at the other site.</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 21 for information related to the impact of impairments on the results of operations of our reportable segments.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During the year ended December 31, 2012, we recognized a charge of $10 million related to a payment we made under a guarantee on behalf of an unconsolidated entity that went into liquidation. This investment was accounted for under the equity method.</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the year ended December 31, 2013, we recognized impairment charges of $71 million relating to other-than-temporary declines in the value of investments in waste diversion technology companies accounted for under the cost method. We wrote down the carrying value of our investments to their fair value, which was primarily determined using an income approach based on estimated future cash flow projections obtained in the fourth quarter of 2013 and, to a lesser extent, third-party investors’ recent transactions in these securities. Partially offsetting these charges was a $4 million gain on the sale of a similar investment recognized in the second quarter of 2013.</w:t>
      </w:r>
    </w:p>
    <w:p>
      <w:pPr>
        <w:spacing w:after="0" w:line="62"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During the year ended December 31, 2012, we recognized an impairment charge of $16 million relating to an other-than-temporary decline in the value of another investment in a waste diversion technology company accounted for under the cost method. We wrote down the carrying value of our investment to its fair value based on other third-party investors’ recent transactions in these securities, which are considered to be the best evidence of fair value currently available.</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net charges are recorded in “Other, net” in our Consolidated Statement of Operations.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80"/>
          </w:cols>
          <w:pgMar w:left="240" w:top="459" w:right="2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Accumulated Other Comprehensive Income</w:t>
      </w:r>
    </w:p>
    <w:p>
      <w:pPr>
        <w:spacing w:after="0" w:line="96" w:lineRule="exact"/>
        <w:rPr>
          <w:sz w:val="20"/>
          <w:szCs w:val="20"/>
          <w:color w:val="auto"/>
        </w:rPr>
      </w:pPr>
    </w:p>
    <w:p>
      <w:pPr>
        <w:ind w:firstLine="456"/>
        <w:spacing w:after="0" w:line="353" w:lineRule="auto"/>
        <w:rPr>
          <w:sz w:val="20"/>
          <w:szCs w:val="20"/>
          <w:color w:val="auto"/>
        </w:rPr>
      </w:pPr>
      <w:r>
        <w:rPr>
          <w:rFonts w:ascii="Arial" w:cs="Arial" w:eastAsia="Arial" w:hAnsi="Arial"/>
          <w:sz w:val="15"/>
          <w:szCs w:val="15"/>
          <w:color w:val="auto"/>
        </w:rPr>
        <w:t>The changes in the balances of each component of accumulated other comprehensive income, net of tax, which is included as a component of Waste Management, Inc. stockholders’ equity, are as follows (in millions, with amounts in parentheses representing debits to accumulated other comprehensive income):</w:t>
      </w: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gridSpan w:val="3"/>
          </w:tcPr>
          <w:p>
            <w:pPr>
              <w:spacing w:after="0" w:line="150"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Gains and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Gains and</w:t>
            </w:r>
          </w:p>
        </w:tc>
        <w:tc>
          <w:tcPr>
            <w:tcW w:w="320" w:type="dxa"/>
            <w:vAlign w:val="bottom"/>
          </w:tcPr>
          <w:p>
            <w:pPr>
              <w:spacing w:after="0"/>
              <w:rPr>
                <w:sz w:val="12"/>
                <w:szCs w:val="12"/>
                <w:color w:val="auto"/>
              </w:rPr>
            </w:pPr>
          </w:p>
        </w:tc>
        <w:tc>
          <w:tcPr>
            <w:tcW w:w="13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0"/>
              </w:rPr>
              <w:t>Losses on</w:t>
            </w:r>
          </w:p>
        </w:tc>
        <w:tc>
          <w:tcPr>
            <w:tcW w:w="100" w:type="dxa"/>
            <w:vAlign w:val="bottom"/>
          </w:tcPr>
          <w:p>
            <w:pPr>
              <w:spacing w:after="0"/>
              <w:rPr>
                <w:sz w:val="12"/>
                <w:szCs w:val="12"/>
                <w:color w:val="auto"/>
              </w:rPr>
            </w:pPr>
          </w:p>
        </w:tc>
        <w:tc>
          <w:tcPr>
            <w:tcW w:w="13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Foreign</w:t>
            </w:r>
          </w:p>
        </w:tc>
        <w:tc>
          <w:tcPr>
            <w:tcW w:w="100" w:type="dxa"/>
            <w:vAlign w:val="bottom"/>
          </w:tcPr>
          <w:p>
            <w:pPr>
              <w:spacing w:after="0"/>
              <w:rPr>
                <w:sz w:val="12"/>
                <w:szCs w:val="12"/>
                <w:color w:val="auto"/>
              </w:rPr>
            </w:pPr>
          </w:p>
        </w:tc>
        <w:tc>
          <w:tcPr>
            <w:tcW w:w="9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Post-</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Losses on</w:t>
            </w:r>
          </w:p>
        </w:tc>
        <w:tc>
          <w:tcPr>
            <w:tcW w:w="320" w:type="dxa"/>
            <w:vAlign w:val="bottom"/>
          </w:tcPr>
          <w:p>
            <w:pPr>
              <w:spacing w:after="0"/>
              <w:rPr>
                <w:sz w:val="12"/>
                <w:szCs w:val="12"/>
                <w:color w:val="auto"/>
              </w:rPr>
            </w:pPr>
          </w:p>
        </w:tc>
        <w:tc>
          <w:tcPr>
            <w:tcW w:w="13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Available-</w:t>
            </w:r>
          </w:p>
        </w:tc>
        <w:tc>
          <w:tcPr>
            <w:tcW w:w="100" w:type="dxa"/>
            <w:vAlign w:val="bottom"/>
          </w:tcPr>
          <w:p>
            <w:pPr>
              <w:spacing w:after="0"/>
              <w:rPr>
                <w:sz w:val="12"/>
                <w:szCs w:val="12"/>
                <w:color w:val="auto"/>
              </w:rPr>
            </w:pPr>
          </w:p>
        </w:tc>
        <w:tc>
          <w:tcPr>
            <w:tcW w:w="13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Currency</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Retirement</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Derivative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4"/>
              </w:rPr>
              <w:t>for-Sale</w:t>
            </w:r>
          </w:p>
        </w:tc>
        <w:tc>
          <w:tcPr>
            <w:tcW w:w="144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00" w:type="dxa"/>
            <w:vAlign w:val="bottom"/>
          </w:tcPr>
          <w:p>
            <w:pPr>
              <w:spacing w:after="0"/>
              <w:rPr>
                <w:sz w:val="12"/>
                <w:szCs w:val="12"/>
                <w:color w:val="auto"/>
              </w:rPr>
            </w:pPr>
          </w:p>
        </w:tc>
        <w:tc>
          <w:tcPr>
            <w:tcW w:w="9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Benefit</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Instruments</w:t>
            </w:r>
          </w:p>
        </w:tc>
        <w:tc>
          <w:tcPr>
            <w:tcW w:w="320" w:type="dxa"/>
            <w:vAlign w:val="bottom"/>
          </w:tcPr>
          <w:p>
            <w:pPr>
              <w:spacing w:after="0"/>
              <w:rPr>
                <w:sz w:val="14"/>
                <w:szCs w:val="14"/>
                <w:color w:val="auto"/>
              </w:rPr>
            </w:pPr>
          </w:p>
        </w:tc>
        <w:tc>
          <w:tcPr>
            <w:tcW w:w="13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3"/>
              </w:rPr>
              <w:t>Securities</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4"/>
                <w:szCs w:val="14"/>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0"/>
              </w:rPr>
              <w:t>Plans</w:t>
            </w:r>
          </w:p>
        </w:tc>
        <w:tc>
          <w:tcPr>
            <w:tcW w:w="3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42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Other comprehensive income (loss) before reclassifications</w:t>
            </w:r>
          </w:p>
        </w:tc>
        <w:tc>
          <w:tcPr>
            <w:tcW w:w="2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Amounts reclassified from accumulated other comprehensive</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w:t>
            </w: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Net current period other comprehensive income (loss)</w:t>
            </w: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Other comprehensive income (loss) before reclassifications</w:t>
            </w:r>
          </w:p>
        </w:tc>
        <w:tc>
          <w:tcPr>
            <w:tcW w:w="2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Amounts reclassified from accumulated other comprehensive</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w:t>
            </w: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Net current period other comprehensive income (loss)</w:t>
            </w: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Other comprehensive income (loss) before reclassifications</w:t>
            </w:r>
          </w:p>
        </w:tc>
        <w:tc>
          <w:tcPr>
            <w:tcW w:w="28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Amounts reclassified from accumulated other comprehensive</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w:t>
            </w: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Net current period other comprehensive income (loss)</w:t>
            </w: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amounts of other comprehensive income (loss) before reclassifications associated with our cash flow derivative instruments are as follows (in millions):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Amount of Derivative Gain (Loss) Recognized in OCI</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center"/>
              <w:ind w:right="840"/>
              <w:spacing w:after="0"/>
              <w:rPr>
                <w:sz w:val="20"/>
                <w:szCs w:val="20"/>
                <w:color w:val="auto"/>
              </w:rPr>
            </w:pPr>
            <w:r>
              <w:rPr>
                <w:rFonts w:ascii="Arial" w:cs="Arial" w:eastAsia="Arial" w:hAnsi="Arial"/>
                <w:sz w:val="14"/>
                <w:szCs w:val="14"/>
                <w:b w:val="1"/>
                <w:bCs w:val="1"/>
                <w:color w:val="auto"/>
                <w:w w:val="89"/>
              </w:rPr>
              <w:t>(Effective Portion)</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40" w:type="dxa"/>
            <w:vAlign w:val="bottom"/>
            <w:vMerge w:val="restart"/>
          </w:tcPr>
          <w:p>
            <w:pPr>
              <w:spacing w:after="0"/>
              <w:rPr>
                <w:sz w:val="20"/>
                <w:szCs w:val="20"/>
                <w:color w:val="auto"/>
              </w:rPr>
            </w:pPr>
            <w:r>
              <w:rPr>
                <w:rFonts w:ascii="Arial" w:cs="Arial" w:eastAsia="Arial" w:hAnsi="Arial"/>
                <w:sz w:val="14"/>
                <w:szCs w:val="14"/>
                <w:b w:val="1"/>
                <w:bCs w:val="1"/>
                <w:color w:val="auto"/>
                <w:w w:val="90"/>
              </w:rPr>
              <w:t>Derivatives Designated as Cash Flow Hedges</w:t>
            </w:r>
          </w:p>
        </w:tc>
        <w:tc>
          <w:tcPr>
            <w:tcW w:w="30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980" w:type="dxa"/>
            <w:vAlign w:val="bottom"/>
            <w:tcBorders>
              <w:bottom w:val="single" w:sz="8" w:color="auto"/>
            </w:tcBorders>
            <w:gridSpan w:val="4"/>
          </w:tcPr>
          <w:p>
            <w:pPr>
              <w:jc w:val="center"/>
              <w:ind w:left="106"/>
              <w:spacing w:after="0" w:line="142" w:lineRule="exact"/>
              <w:rPr>
                <w:sz w:val="20"/>
                <w:szCs w:val="20"/>
                <w:color w:val="auto"/>
              </w:rPr>
            </w:pPr>
            <w:r>
              <w:rPr>
                <w:rFonts w:ascii="Arial" w:cs="Arial" w:eastAsia="Arial" w:hAnsi="Arial"/>
                <w:sz w:val="14"/>
                <w:szCs w:val="14"/>
                <w:b w:val="1"/>
                <w:bCs w:val="1"/>
                <w:color w:val="auto"/>
                <w:w w:val="86"/>
              </w:rPr>
              <w:t>Years Ended December 31,</w:t>
            </w: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Borders>
              <w:bottom w:val="single" w:sz="8" w:color="auto"/>
            </w:tcBorders>
            <w:vMerge w:val="continue"/>
          </w:tcPr>
          <w:p>
            <w:pPr>
              <w:spacing w:after="0"/>
              <w:rPr>
                <w:sz w:val="12"/>
                <w:szCs w:val="12"/>
                <w:color w:val="auto"/>
              </w:rPr>
            </w:pPr>
          </w:p>
        </w:tc>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95"/>
              <w:spacing w:after="0" w:line="129"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215"/>
              <w:spacing w:after="0" w:line="129" w:lineRule="exact"/>
              <w:rPr>
                <w:sz w:val="20"/>
                <w:szCs w:val="20"/>
                <w:color w:val="auto"/>
              </w:rPr>
            </w:pPr>
            <w:r>
              <w:rPr>
                <w:rFonts w:ascii="Arial" w:cs="Arial" w:eastAsia="Arial" w:hAnsi="Arial"/>
                <w:sz w:val="14"/>
                <w:szCs w:val="14"/>
                <w:b w:val="1"/>
                <w:bCs w:val="1"/>
                <w:color w:val="auto"/>
              </w:rPr>
              <w:t>2012</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ind w:right="255"/>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4"/>
              </w:rPr>
              <w:t>Forward-starting interest rate swaps</w:t>
            </w:r>
          </w:p>
        </w:tc>
        <w:tc>
          <w:tcPr>
            <w:tcW w:w="30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w:t>
            </w:r>
          </w:p>
        </w:tc>
        <w:tc>
          <w:tcPr>
            <w:tcW w:w="1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ind w:right="106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Electricity commodity derivatives</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220"/>
              <w:spacing w:after="0"/>
              <w:rPr>
                <w:sz w:val="20"/>
                <w:szCs w:val="20"/>
                <w:color w:val="auto"/>
              </w:rPr>
            </w:pPr>
            <w:r>
              <w:rPr>
                <w:rFonts w:ascii="Arial" w:cs="Arial" w:eastAsia="Arial" w:hAnsi="Arial"/>
                <w:sz w:val="18"/>
                <w:szCs w:val="18"/>
                <w:color w:val="auto"/>
              </w:rPr>
              <w:t>Total before tax</w:t>
            </w:r>
          </w:p>
        </w:tc>
        <w:tc>
          <w:tcPr>
            <w:tcW w:w="3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740" w:type="dxa"/>
            <w:vAlign w:val="bottom"/>
            <w:vMerge w:val="continue"/>
          </w:tcPr>
          <w:p>
            <w:pPr>
              <w:spacing w:after="0"/>
              <w:rPr>
                <w:sz w:val="19"/>
                <w:szCs w:val="19"/>
                <w:color w:val="auto"/>
              </w:rPr>
            </w:pPr>
          </w:p>
        </w:tc>
        <w:tc>
          <w:tcPr>
            <w:tcW w:w="3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2"/>
          </w:tcPr>
          <w:p>
            <w:pPr>
              <w:jc w:val="right"/>
              <w:ind w:right="106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7"/>
        </w:trPr>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(expense) benefit</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220"/>
              <w:spacing w:after="0"/>
              <w:rPr>
                <w:sz w:val="20"/>
                <w:szCs w:val="20"/>
                <w:color w:val="auto"/>
              </w:rPr>
            </w:pPr>
            <w:r>
              <w:rPr>
                <w:rFonts w:ascii="Arial" w:cs="Arial" w:eastAsia="Arial" w:hAnsi="Arial"/>
                <w:sz w:val="18"/>
                <w:szCs w:val="18"/>
                <w:color w:val="auto"/>
              </w:rPr>
              <w:t>Net of tax</w:t>
            </w:r>
          </w:p>
        </w:tc>
        <w:tc>
          <w:tcPr>
            <w:tcW w:w="3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740" w:type="dxa"/>
            <w:vAlign w:val="bottom"/>
            <w:vMerge w:val="continue"/>
          </w:tcPr>
          <w:p>
            <w:pPr>
              <w:spacing w:after="0"/>
              <w:rPr>
                <w:sz w:val="19"/>
                <w:szCs w:val="19"/>
                <w:color w:val="auto"/>
              </w:rPr>
            </w:pPr>
          </w:p>
        </w:tc>
        <w:tc>
          <w:tcPr>
            <w:tcW w:w="30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2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60"/>
              <w:spacing w:after="0"/>
              <w:rPr>
                <w:sz w:val="20"/>
                <w:szCs w:val="20"/>
                <w:color w:val="auto"/>
              </w:rPr>
            </w:pPr>
            <w:r>
              <w:rPr>
                <w:rFonts w:ascii="Arial" w:cs="Arial" w:eastAsia="Arial" w:hAnsi="Arial"/>
                <w:sz w:val="18"/>
                <w:szCs w:val="18"/>
                <w:color w:val="auto"/>
              </w:rPr>
              <w:t>(22)</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020" w:type="dxa"/>
            <w:vAlign w:val="bottom"/>
            <w:vMerge w:val="restart"/>
          </w:tcPr>
          <w:p>
            <w:pPr>
              <w:jc w:val="right"/>
              <w:ind w:right="292"/>
              <w:spacing w:after="0"/>
              <w:rPr>
                <w:sz w:val="20"/>
                <w:szCs w:val="20"/>
                <w:color w:val="auto"/>
              </w:rPr>
            </w:pPr>
            <w:r>
              <w:rPr>
                <w:rFonts w:ascii="Arial" w:cs="Arial" w:eastAsia="Arial" w:hAnsi="Arial"/>
                <w:sz w:val="18"/>
                <w:szCs w:val="18"/>
                <w:color w:val="auto"/>
              </w:rPr>
              <w:t>123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74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amounts reclassified out of each component of accumulated other comprehensive income are as follows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8"/>
          </w:tcPr>
          <w:p>
            <w:pPr>
              <w:jc w:val="center"/>
              <w:spacing w:after="0"/>
              <w:rPr>
                <w:sz w:val="20"/>
                <w:szCs w:val="20"/>
                <w:color w:val="auto"/>
              </w:rPr>
            </w:pPr>
            <w:r>
              <w:rPr>
                <w:rFonts w:ascii="Arial" w:cs="Arial" w:eastAsia="Arial" w:hAnsi="Arial"/>
                <w:sz w:val="14"/>
                <w:szCs w:val="14"/>
                <w:b w:val="1"/>
                <w:bCs w:val="1"/>
                <w:color w:val="auto"/>
                <w:w w:val="87"/>
              </w:rPr>
              <w:t>Amount Reclassified from</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6"/>
              </w:rPr>
              <w:t>Other Comprehensive Income(a)</w:t>
            </w:r>
          </w:p>
        </w:tc>
        <w:tc>
          <w:tcPr>
            <w:tcW w:w="1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06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Statement of</w:t>
            </w: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8"/>
          </w:tcPr>
          <w:p>
            <w:pPr>
              <w:jc w:val="center"/>
              <w:spacing w:after="0" w:line="142" w:lineRule="exact"/>
              <w:rPr>
                <w:sz w:val="20"/>
                <w:szCs w:val="20"/>
                <w:color w:val="auto"/>
              </w:rPr>
            </w:pPr>
            <w:r>
              <w:rPr>
                <w:rFonts w:ascii="Arial" w:cs="Arial" w:eastAsia="Arial" w:hAnsi="Arial"/>
                <w:sz w:val="14"/>
                <w:szCs w:val="14"/>
                <w:b w:val="1"/>
                <w:bCs w:val="1"/>
                <w:color w:val="auto"/>
                <w:w w:val="86"/>
              </w:rPr>
              <w:t>Years Ended December 31,</w:t>
            </w:r>
          </w:p>
        </w:tc>
        <w:tc>
          <w:tcPr>
            <w:tcW w:w="1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tcBorders>
              <w:bottom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2"/>
              </w:rPr>
              <w:t>Details about Accumulated Other Comprehensive Income Components</w:t>
            </w:r>
          </w:p>
        </w:tc>
        <w:tc>
          <w:tcPr>
            <w:tcW w:w="2320" w:type="dxa"/>
            <w:vAlign w:val="bottom"/>
            <w:gridSpan w:val="2"/>
          </w:tcPr>
          <w:p>
            <w:pPr>
              <w:spacing w:after="0"/>
              <w:rPr>
                <w:sz w:val="12"/>
                <w:szCs w:val="12"/>
                <w:color w:val="auto"/>
              </w:rPr>
            </w:pPr>
          </w:p>
        </w:tc>
        <w:tc>
          <w:tcPr>
            <w:tcW w:w="3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2013</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2012</w:t>
            </w:r>
          </w:p>
        </w:tc>
        <w:tc>
          <w:tcPr>
            <w:tcW w:w="360" w:type="dxa"/>
            <w:vAlign w:val="bottom"/>
          </w:tcPr>
          <w:p>
            <w:pPr>
              <w:spacing w:after="0"/>
              <w:rPr>
                <w:sz w:val="12"/>
                <w:szCs w:val="12"/>
                <w:color w:val="auto"/>
              </w:rPr>
            </w:pPr>
          </w:p>
        </w:tc>
        <w:tc>
          <w:tcPr>
            <w:tcW w:w="54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2"/>
                <w:szCs w:val="12"/>
                <w:color w:val="auto"/>
              </w:rPr>
            </w:pPr>
          </w:p>
        </w:tc>
        <w:tc>
          <w:tcPr>
            <w:tcW w:w="2060" w:type="dxa"/>
            <w:vAlign w:val="bottom"/>
          </w:tcPr>
          <w:p>
            <w:pPr>
              <w:ind w:left="300"/>
              <w:spacing w:after="0" w:line="129" w:lineRule="exact"/>
              <w:rPr>
                <w:sz w:val="20"/>
                <w:szCs w:val="20"/>
                <w:color w:val="auto"/>
              </w:rPr>
            </w:pPr>
            <w:r>
              <w:rPr>
                <w:rFonts w:ascii="Arial" w:cs="Arial" w:eastAsia="Arial" w:hAnsi="Arial"/>
                <w:sz w:val="14"/>
                <w:szCs w:val="14"/>
                <w:b w:val="1"/>
                <w:bCs w:val="1"/>
                <w:color w:val="auto"/>
              </w:rPr>
              <w:t>Operations Classification</w:t>
            </w:r>
          </w:p>
        </w:tc>
        <w:tc>
          <w:tcPr>
            <w:tcW w:w="0" w:type="dxa"/>
            <w:vAlign w:val="bottom"/>
          </w:tcPr>
          <w:p>
            <w:pPr>
              <w:spacing w:after="0"/>
              <w:rPr>
                <w:sz w:val="1"/>
                <w:szCs w:val="1"/>
                <w:color w:val="auto"/>
              </w:rPr>
            </w:pPr>
          </w:p>
        </w:tc>
      </w:tr>
      <w:tr>
        <w:trPr>
          <w:trHeight w:val="190"/>
        </w:trPr>
        <w:tc>
          <w:tcPr>
            <w:tcW w:w="43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Gains and losses on cash flow hedges:</w:t>
            </w:r>
          </w:p>
        </w:tc>
        <w:tc>
          <w:tcPr>
            <w:tcW w:w="23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220"/>
              <w:spacing w:after="0"/>
              <w:rPr>
                <w:sz w:val="20"/>
                <w:szCs w:val="20"/>
                <w:color w:val="auto"/>
              </w:rPr>
            </w:pPr>
            <w:r>
              <w:rPr>
                <w:rFonts w:ascii="Arial" w:cs="Arial" w:eastAsia="Arial" w:hAnsi="Arial"/>
                <w:sz w:val="18"/>
                <w:szCs w:val="18"/>
                <w:color w:val="auto"/>
              </w:rPr>
              <w:t>Forward-starting interest rate swaps</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20"/>
              <w:spacing w:after="0"/>
              <w:rPr>
                <w:sz w:val="20"/>
                <w:szCs w:val="20"/>
                <w:color w:val="auto"/>
              </w:rPr>
            </w:pPr>
            <w:r>
              <w:rPr>
                <w:rFonts w:ascii="Arial" w:cs="Arial" w:eastAsia="Arial" w:hAnsi="Arial"/>
                <w:sz w:val="18"/>
                <w:szCs w:val="18"/>
                <w:color w:val="auto"/>
                <w:w w:val="81"/>
              </w:rPr>
              <w:t>(1)</w:t>
            </w:r>
          </w:p>
        </w:tc>
        <w:tc>
          <w:tcPr>
            <w:tcW w:w="2060" w:type="dxa"/>
            <w:vAlign w:val="bottom"/>
          </w:tcPr>
          <w:p>
            <w:pPr>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Treasury rate locks</w:t>
            </w:r>
          </w:p>
        </w:tc>
        <w:tc>
          <w:tcPr>
            <w:tcW w:w="2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1"/>
              </w:rPr>
              <w:t>(7)</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16"/>
        </w:trPr>
        <w:tc>
          <w:tcPr>
            <w:tcW w:w="4380" w:type="dxa"/>
            <w:vAlign w:val="bottom"/>
            <w:gridSpan w:val="2"/>
          </w:tcPr>
          <w:p>
            <w:pPr>
              <w:ind w:left="220"/>
              <w:spacing w:after="0"/>
              <w:rPr>
                <w:sz w:val="20"/>
                <w:szCs w:val="20"/>
                <w:color w:val="auto"/>
              </w:rPr>
            </w:pPr>
            <w:r>
              <w:rPr>
                <w:rFonts w:ascii="Arial" w:cs="Arial" w:eastAsia="Arial" w:hAnsi="Arial"/>
                <w:sz w:val="18"/>
                <w:szCs w:val="18"/>
                <w:color w:val="auto"/>
              </w:rPr>
              <w:t>Foreign currency derivatives</w:t>
            </w: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480"/>
              <w:spacing w:after="0"/>
              <w:rPr>
                <w:sz w:val="20"/>
                <w:szCs w:val="20"/>
                <w:color w:val="auto"/>
              </w:rPr>
            </w:pPr>
            <w:r>
              <w:rPr>
                <w:rFonts w:ascii="Arial" w:cs="Arial" w:eastAsia="Arial" w:hAnsi="Arial"/>
                <w:sz w:val="18"/>
                <w:szCs w:val="18"/>
                <w:color w:val="auto"/>
              </w:rPr>
              <w:t>4</w:t>
            </w:r>
          </w:p>
        </w:tc>
        <w:tc>
          <w:tcPr>
            <w:tcW w:w="2060" w:type="dxa"/>
            <w:vAlign w:val="bottom"/>
          </w:tcPr>
          <w:p>
            <w:pPr>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Electricity commodity derivatives</w:t>
            </w:r>
          </w:p>
        </w:tc>
        <w:tc>
          <w:tcPr>
            <w:tcW w:w="2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60" w:type="dxa"/>
            <w:vAlign w:val="bottom"/>
            <w:vMerge w:val="restart"/>
          </w:tcPr>
          <w:p>
            <w:pPr>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line="20" w:lineRule="exact"/>
              <w:rPr>
                <w:sz w:val="1"/>
                <w:szCs w:val="1"/>
                <w:color w:val="auto"/>
              </w:rPr>
            </w:pPr>
          </w:p>
        </w:tc>
      </w:tr>
      <w:tr>
        <w:trPr>
          <w:trHeight w:val="222"/>
        </w:trPr>
        <w:tc>
          <w:tcPr>
            <w:tcW w:w="15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gridSpan w:val="2"/>
          </w:tcPr>
          <w:p>
            <w:pPr>
              <w:jc w:val="right"/>
              <w:ind w:right="420"/>
              <w:spacing w:after="0"/>
              <w:rPr>
                <w:sz w:val="20"/>
                <w:szCs w:val="20"/>
                <w:color w:val="auto"/>
              </w:rPr>
            </w:pPr>
            <w:r>
              <w:rPr>
                <w:rFonts w:ascii="Arial" w:cs="Arial" w:eastAsia="Arial" w:hAnsi="Arial"/>
                <w:sz w:val="18"/>
                <w:szCs w:val="18"/>
                <w:color w:val="auto"/>
                <w:w w:val="81"/>
              </w:rPr>
              <w:t>(2)</w:t>
            </w:r>
          </w:p>
        </w:tc>
        <w:tc>
          <w:tcPr>
            <w:tcW w:w="2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5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Tax (expense) benefit</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reclassifications for the period</w:t>
            </w: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60" w:type="dxa"/>
            <w:vAlign w:val="bottom"/>
            <w:vMerge w:val="restart"/>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line="20" w:lineRule="exact"/>
              <w:rPr>
                <w:sz w:val="1"/>
                <w:szCs w:val="1"/>
                <w:color w:val="auto"/>
              </w:rPr>
            </w:pPr>
          </w:p>
        </w:tc>
      </w:tr>
      <w:tr>
        <w:trPr>
          <w:trHeight w:val="222"/>
        </w:trPr>
        <w:tc>
          <w:tcPr>
            <w:tcW w:w="4380" w:type="dxa"/>
            <w:vAlign w:val="bottom"/>
            <w:gridSpan w:val="2"/>
            <w:vMerge w:val="continue"/>
          </w:tcPr>
          <w:p>
            <w:pPr>
              <w:spacing w:after="0"/>
              <w:rPr>
                <w:sz w:val="19"/>
                <w:szCs w:val="19"/>
                <w:color w:val="auto"/>
              </w:rPr>
            </w:pP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20"/>
              <w:spacing w:after="0"/>
              <w:rPr>
                <w:sz w:val="20"/>
                <w:szCs w:val="20"/>
                <w:color w:val="auto"/>
              </w:rPr>
            </w:pPr>
            <w:r>
              <w:rPr>
                <w:rFonts w:ascii="Arial" w:cs="Arial" w:eastAsia="Arial" w:hAnsi="Arial"/>
                <w:sz w:val="18"/>
                <w:szCs w:val="18"/>
                <w:color w:val="auto"/>
                <w:w w:val="81"/>
              </w:rPr>
              <w:t>(1)</w:t>
            </w:r>
          </w:p>
        </w:tc>
        <w:tc>
          <w:tcPr>
            <w:tcW w:w="2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1500" w:type="dxa"/>
            <w:vAlign w:val="bottom"/>
            <w:tcBorders>
              <w:bottom w:val="single" w:sz="8" w:color="auto"/>
            </w:tcBorders>
          </w:tcPr>
          <w:p>
            <w:pPr>
              <w:spacing w:after="0"/>
              <w:rPr>
                <w:sz w:val="7"/>
                <w:szCs w:val="7"/>
                <w:color w:val="auto"/>
              </w:rPr>
            </w:pPr>
          </w:p>
        </w:tc>
        <w:tc>
          <w:tcPr>
            <w:tcW w:w="28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Amounts in parentheses represent debits to the statement of operations classification.</w:t>
      </w:r>
    </w:p>
    <w:p>
      <w:pPr>
        <w:spacing w:after="0" w:line="165" w:lineRule="exact"/>
        <w:rPr>
          <w:sz w:val="20"/>
          <w:szCs w:val="20"/>
          <w:color w:val="auto"/>
        </w:rPr>
      </w:pPr>
    </w:p>
    <w:p>
      <w:pPr>
        <w:ind w:left="240" w:right="7360" w:hanging="232"/>
        <w:spacing w:after="0" w:line="347" w:lineRule="auto"/>
        <w:tabs>
          <w:tab w:leader="none" w:pos="407"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 Stock, Dividends and Share Repurchases </w:t>
      </w:r>
      <w:r>
        <w:rPr>
          <w:rFonts w:ascii="Arial" w:cs="Arial" w:eastAsia="Arial" w:hAnsi="Arial"/>
          <w:sz w:val="18"/>
          <w:szCs w:val="18"/>
          <w:b w:val="1"/>
          <w:bCs w:val="1"/>
          <w:i w:val="1"/>
          <w:iCs w:val="1"/>
          <w:color w:val="auto"/>
        </w:rPr>
        <w:t>Capital Stock</w:t>
      </w:r>
    </w:p>
    <w:p>
      <w:pPr>
        <w:spacing w:after="0" w:line="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have 1.5 billion shares of authorized common stock with a par value of $0.01 per common share. As of December 31, 2013, we had 464.3 million shares of common stock issued and outstanding. The Board of Directors is authorized to issue preferred stock in series, and with respect to each series, to fix its designation, relative rights (including voting, dividend, conversion, sinking fund, and redemption rights), preferences (including dividends and liquidation) and limitations. We have 10 million shares of authorized preferred stock, $0.01 par value, none of which is currently outstanding.</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quarterly dividends have been declared and approved by our Board of Directors and paid in accordance with our financial plans. Cash dividends declared and paid were $683 million in 2013, or $1.46 per common share, $658 million in 2012, or $1.42 per common share, and $637 million in 2011, or $1.36 per common share.</w:t>
      </w:r>
    </w:p>
    <w:p>
      <w:pPr>
        <w:spacing w:after="0" w:line="59"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In February 2014, we announced that our Board of Directors expects to increase the quarterly dividend from $0.365 to $0.375 per share for dividends declared in 2014. However, all future dividend declarations are at the discretion of the Board of Directors and depend on various factors, including our net earnings, financial condition, cash required for future business plans and other factors the Board may deem relevant.</w:t>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share repurchases have been made in accordance with financial plans approved by our Board of Directors. The following is a summary of our share repurchases for the periods presented. We did not repurchase any shares of common stock in 2012.</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84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4060" w:type="dxa"/>
            <w:vAlign w:val="bottom"/>
            <w:tcBorders>
              <w:bottom w:val="single" w:sz="8" w:color="CCEEFF"/>
            </w:tcBorders>
          </w:tcPr>
          <w:p>
            <w:pPr>
              <w:spacing w:after="0"/>
              <w:rPr>
                <w:sz w:val="12"/>
                <w:szCs w:val="12"/>
                <w:color w:val="auto"/>
              </w:rPr>
            </w:pPr>
          </w:p>
        </w:tc>
        <w:tc>
          <w:tcPr>
            <w:tcW w:w="360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2013</w:t>
            </w:r>
          </w:p>
        </w:tc>
        <w:tc>
          <w:tcPr>
            <w:tcW w:w="32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r>
      <w:tr>
        <w:trPr>
          <w:trHeight w:val="210"/>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repurchased (in thousands)</w:t>
            </w:r>
          </w:p>
        </w:tc>
        <w:tc>
          <w:tcPr>
            <w:tcW w:w="36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5,368</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17,338</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Weighted average per share purchase price</w:t>
            </w:r>
          </w:p>
        </w:tc>
        <w:tc>
          <w:tcPr>
            <w:tcW w:w="4860" w:type="dxa"/>
            <w:vAlign w:val="bottom"/>
            <w:gridSpan w:val="2"/>
          </w:tcPr>
          <w:p>
            <w:pPr>
              <w:jc w:val="center"/>
              <w:ind w:left="3512"/>
              <w:spacing w:after="0"/>
              <w:rPr>
                <w:sz w:val="20"/>
                <w:szCs w:val="20"/>
                <w:color w:val="auto"/>
              </w:rPr>
            </w:pPr>
            <w:r>
              <w:rPr>
                <w:rFonts w:ascii="Arial" w:cs="Arial" w:eastAsia="Arial" w:hAnsi="Arial"/>
                <w:sz w:val="18"/>
                <w:szCs w:val="18"/>
                <w:color w:val="auto"/>
                <w:w w:val="87"/>
              </w:rPr>
              <w:t>$43.48-$45.95</w:t>
            </w: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$28.95-$39.57</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repurchases (in millions)</w:t>
            </w:r>
          </w:p>
        </w:tc>
        <w:tc>
          <w:tcPr>
            <w:tcW w:w="4860" w:type="dxa"/>
            <w:vAlign w:val="bottom"/>
            <w:gridSpan w:val="2"/>
            <w:shd w:val="clear" w:color="auto" w:fill="CCEEFF"/>
          </w:tcPr>
          <w:p>
            <w:pPr>
              <w:jc w:val="center"/>
              <w:ind w:left="3512"/>
              <w:spacing w:after="0"/>
              <w:rPr>
                <w:sz w:val="20"/>
                <w:szCs w:val="20"/>
                <w:color w:val="auto"/>
              </w:rPr>
            </w:pPr>
            <w:r>
              <w:rPr>
                <w:rFonts w:ascii="Arial" w:cs="Arial" w:eastAsia="Arial" w:hAnsi="Arial"/>
                <w:sz w:val="18"/>
                <w:szCs w:val="18"/>
                <w:color w:val="auto"/>
                <w:w w:val="84"/>
              </w:rPr>
              <w:t>$239</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$575</w:t>
            </w:r>
          </w:p>
        </w:tc>
      </w:tr>
      <w:tr>
        <w:trPr>
          <w:trHeight w:val="363"/>
        </w:trPr>
        <w:tc>
          <w:tcPr>
            <w:tcW w:w="4060" w:type="dxa"/>
            <w:vAlign w:val="bottom"/>
          </w:tcPr>
          <w:p>
            <w:pPr>
              <w:spacing w:after="0"/>
              <w:rPr>
                <w:sz w:val="24"/>
                <w:szCs w:val="24"/>
                <w:color w:val="auto"/>
              </w:rPr>
            </w:pPr>
          </w:p>
        </w:tc>
        <w:tc>
          <w:tcPr>
            <w:tcW w:w="3600" w:type="dxa"/>
            <w:vAlign w:val="bottom"/>
          </w:tcPr>
          <w:p>
            <w:pPr>
              <w:jc w:val="right"/>
              <w:ind w:right="2192"/>
              <w:spacing w:after="0"/>
              <w:rPr>
                <w:sz w:val="20"/>
                <w:szCs w:val="20"/>
                <w:color w:val="auto"/>
              </w:rPr>
            </w:pPr>
            <w:r>
              <w:rPr>
                <w:rFonts w:ascii="Arial" w:cs="Arial" w:eastAsia="Arial" w:hAnsi="Arial"/>
                <w:sz w:val="18"/>
                <w:szCs w:val="18"/>
                <w:color w:val="auto"/>
              </w:rPr>
              <w:t>124</w:t>
            </w: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December 2012, the Board of Directors authorized up to $500 million in share repurchases, and we repurchased $239 million of our common stock pursuant to that authorization in 2013. In February 2014, the Board of Directors authorized up to $600 million in future share repurchases; this authorization both replaces and increases the amount that remained available for share repurchases under the prior authorization. Any future share repurchases will be made at the discretion of management, and will depend on factors similar to those considered by the Board in making dividend declarations.</w:t>
      </w:r>
    </w:p>
    <w:p>
      <w:pPr>
        <w:spacing w:after="0" w:line="107" w:lineRule="exact"/>
        <w:rPr>
          <w:sz w:val="20"/>
          <w:szCs w:val="20"/>
          <w:color w:val="auto"/>
        </w:rPr>
      </w:pPr>
    </w:p>
    <w:p>
      <w:pPr>
        <w:jc w:val="both"/>
        <w:ind w:left="240" w:right="8900" w:hanging="232"/>
        <w:spacing w:after="0" w:line="417" w:lineRule="auto"/>
        <w:tabs>
          <w:tab w:leader="none" w:pos="407" w:val="left"/>
        </w:tabs>
        <w:numPr>
          <w:ilvl w:val="0"/>
          <w:numId w:val="9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b w:val="1"/>
          <w:bCs w:val="1"/>
          <w:i w:val="1"/>
          <w:iCs w:val="1"/>
          <w:color w:val="auto"/>
        </w:rPr>
        <w:t>Employee Stock Purchase Plan</w:t>
      </w:r>
    </w:p>
    <w:p>
      <w:pPr>
        <w:spacing w:after="0" w:line="1"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We have an Employee Stock Purchase Plan (“ESPP”) under which employees that have been employed for at least 30 days may purchase shares of our common stock at a discount. The plan provides for two offering periods for purchases: January through June and July through December. At the end of each offering period, employees are able to purchase shares of our common stock at a price equal to 85% of the lesser of the market value of the stock on the first and last day of such offering period. The purchases are made at the end of an offering period with funds accumulated through payroll deductions over the course of the offering period, and the number of shares that may be purchased is limited by IRS regulations. The total number of shares issued under the plan for the offering periods in each of 2013, 2012 and 2011 was approximately 928,000, 1 million and 920,000, respectively. Including the impact of the January 2014 issuance of shares associated with the July to December 2013 offering period, approximately 1.7 million shares remain available for issuance under the plan.</w:t>
      </w:r>
    </w:p>
    <w:p>
      <w:pPr>
        <w:spacing w:after="0" w:line="2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Accounting for our ESPP increased annual compensation expense by approximately by $6 million, or $4 million net of tax, for 2013 and by $7 million, or $4 million net of tax, for 2012 and 2011.</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 Stock Incentive Plans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currently grant equity and equity-based awards to our officers, employees and independent directors using our 2009 Stock Incentive Plan (“LTIP”). The LTIP provides for the issuance of up to 26.2 million shares of our common stock. As of December 31, 2013, approximately 4.2 million shares remain available for future grants under the LTIP. We currently utilize treasury shares to meet the needs of our equity-based compensation programs.</w:t>
      </w:r>
    </w:p>
    <w:p>
      <w:pPr>
        <w:spacing w:after="0" w:line="2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Pursuant to the LTIP, we have the ability to issue stock options, stock appreciation rights and stock awards, including restricted stock, restricted stock units, or RSUs, and performance share units, or PSUs. The terms and conditions of equity awards granted under the LTIP are determined by the Management Development and Compensation Committee of our Board of Directors.</w:t>
      </w:r>
    </w:p>
    <w:p>
      <w:pPr>
        <w:spacing w:after="0" w:line="5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2013 annual LTIP awards granted to the Company’s senior leadership team, which generally includes the Company’s executive officers, included a combination of PSUs and stock options. The annual LTIP awards granted to certain key employees included a combination of PSUs, RSUs and stock options in 2013. The Company has also periodically granted RSUs and stock options to employees working on key initiatives, in connection with new hires and promotions and to field-based managers.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Restricted Stock Units — </w:t>
      </w:r>
      <w:r>
        <w:rPr>
          <w:rFonts w:ascii="Arial" w:cs="Arial" w:eastAsia="Arial" w:hAnsi="Arial"/>
          <w:sz w:val="18"/>
          <w:szCs w:val="18"/>
          <w:color w:val="auto"/>
        </w:rPr>
        <w:t>A summary of our RSUs is presented in the table below (units in thousands):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3"/>
              </w:rPr>
              <w:t>Weighted 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5"/>
              </w:rPr>
              <w:t>Units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Unvested at January 1, 2013</w:t>
            </w:r>
          </w:p>
        </w:tc>
        <w:tc>
          <w:tcPr>
            <w:tcW w:w="4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316</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Granted</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4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5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Forfeited</w:t>
            </w:r>
          </w:p>
        </w:tc>
        <w:tc>
          <w:tcPr>
            <w:tcW w:w="4440" w:type="dxa"/>
            <w:vAlign w:val="bottom"/>
          </w:tcPr>
          <w:p>
            <w:pPr>
              <w:spacing w:after="0"/>
              <w:rPr>
                <w:sz w:val="19"/>
                <w:szCs w:val="19"/>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(23)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2013</w:t>
            </w:r>
          </w:p>
        </w:tc>
        <w:tc>
          <w:tcPr>
            <w:tcW w:w="444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535</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440" w:type="dxa"/>
            <w:vAlign w:val="bottom"/>
            <w:vMerge w:val="restart"/>
          </w:tcPr>
          <w:p>
            <w:pPr>
              <w:jc w:val="right"/>
              <w:ind w:right="2672"/>
              <w:spacing w:after="0"/>
              <w:rPr>
                <w:sz w:val="20"/>
                <w:szCs w:val="20"/>
                <w:color w:val="auto"/>
              </w:rPr>
            </w:pPr>
            <w:r>
              <w:rPr>
                <w:rFonts w:ascii="Arial" w:cs="Arial" w:eastAsia="Arial" w:hAnsi="Arial"/>
                <w:sz w:val="18"/>
                <w:szCs w:val="18"/>
                <w:color w:val="auto"/>
              </w:rPr>
              <w:t>125</w:t>
            </w: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total fair market value of RSUs that vested during the years ended December 31, 2013, 2012 and 2011 was $1 million, $11 million and $9 million, respectively. Net of units deferred and units used for payment of associated taxes, we issued approximately 15,000, 196,000 and 162,000 shares of common stock for RSUs that vested during the years ended December 31, 2013, 2012 and 2011, respectively.</w:t>
      </w:r>
    </w:p>
    <w:p>
      <w:pPr>
        <w:spacing w:after="0" w:line="5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RSUs provide award recipients with dividend equivalents during the vesting period, but the units may not be voted or sold until time-based vesting restrictions have lapsed. RSUs primarily provide for three-year cliff vesting. Unvested units are subject to forfeiture in the event of voluntary or for-cause termination. RSUs are subject to pro-rata vesting upon an employee’s retirement or involuntary termination other than for cause and become immediately vested in the event of an employee’s death or disability.</w:t>
      </w:r>
    </w:p>
    <w:p>
      <w:pPr>
        <w:spacing w:after="0" w:line="6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Compensation expense associated with RSUs is measured based on the grant-date fair value of our common stock and is recognized on a straight-line basis over the required employment period, which is generally the vesting period. Compensation expense is only recognized for those awards that we expect to vest, which we estimate based upon an assessment of expected forfeitures.</w:t>
      </w:r>
    </w:p>
    <w:p>
      <w:pPr>
        <w:spacing w:after="0" w:line="5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Performance Share Units — </w:t>
      </w:r>
      <w:r>
        <w:rPr>
          <w:rFonts w:ascii="Arial" w:cs="Arial" w:eastAsia="Arial" w:hAnsi="Arial"/>
          <w:sz w:val="16"/>
          <w:szCs w:val="16"/>
          <w:color w:val="auto"/>
        </w:rPr>
        <w:t>Two types of PSUs are currently outstanding: PSUs for which payout is dependent on the Company’s performance against pre-established return on invested capital metrics (“ROIC PSUs”) and PSUs for which payout is dependent on total shareholder return relative to the S&amp;P 500 (“TSR PSUs”). Both types of PSUs are payable in shares of common stock after the end of a three-year performance period, when the Company’s financial performance for the entire performance period is reported, typically in mid- to late-February of the succeeding year. At the end of the performance period, the number of shares awarded can range from 0% to 200% of the targeted amount, depending on the performance against the pre-established targets. A summary of our PSUs is presented in the table below (units in thousands):</w:t>
      </w:r>
    </w:p>
    <w:p>
      <w:pPr>
        <w:spacing w:after="0" w:line="2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3"/>
              </w:rPr>
              <w:t>Weighted Average</w:t>
            </w:r>
          </w:p>
        </w:tc>
      </w:t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Fair Value</w:t>
            </w: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Unvested at January 1, 2013</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1,718</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rPr>
              <w:t>752</w:t>
            </w:r>
          </w:p>
        </w:tc>
        <w:tc>
          <w:tcPr>
            <w:tcW w:w="4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Forfeited</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(45)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43.43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2013</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1,826</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determination of achievement of performance results and corresponding vesting of PSUs for the three-year performance period ended December 31, 2013 was performed by the Management Development and Compensation Committee in February 2014. Accordingly, vesting information for such awards is not included in the table above as of December 31, 2013. The “vested” PSUs are for the three-year performance period ended December 31, 2012, as achievement of performance results and corresponding vesting was determined in February 2013. The Company’s financial results, as measured for purposes of these awards, were lower than the target levels established but in excess of the threshold performance criteria. Accordingly, recipients of these PSU awards were entitled to receive a payout of approximately 63% of the vested PSUs. In early 2013, we issued approximately 238,000 shares of common stock for these vested PSUs, net of units deferred and units used for payment of associated taxes.</w:t>
      </w:r>
    </w:p>
    <w:p>
      <w:pPr>
        <w:spacing w:after="0" w:line="3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shares of common stock that were earned during the years ended December 31, 2013 and 2012 on account of PSU awards had a fair market value of $14 million and $32 million, respectively. No shares of common stock were earned in 2011, as the Company’s performance for purposes of the PSUs for the performance period ended December 31, 2010 did not meet threshold criteria. PSUs have no voting rights. PSUs receive dividend equivalents that are paid out in cash based on actual performance at the end of the awards’ performance period. PSUs are payable to an employee (or his beneficiary) upon death or disability as if that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employee had remained employed until the end of the performance period, are subject to pro-rata vesting upon an employee’s retirement or involuntary termination other than for cause and are subject to forfeiture in the event of voluntary or for-cause termination.</w:t>
      </w:r>
    </w:p>
    <w:p>
      <w:pPr>
        <w:spacing w:after="0" w:line="4"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Compensation expense associated with our ROIC PSUs that continue to vest based on future performance is measured based on the fair value of our common stock at the end of each reporting period until the performance period ends. Compensation expense is recognized ratably over the performance period based on our estimated achievement of the established performance criteria. Compensation expense is only recognized for those awards that we expect to vest, which we estimate based upon an assessment of both the probability that the performance criteria will be achieved and expected forfeitures.</w:t>
      </w:r>
    </w:p>
    <w:p>
      <w:pPr>
        <w:spacing w:after="0" w:line="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grant-date fair value of our TSR PSUs is based on a Monte Carlo valuation and compensation expense is recognized on a straight-line basis over the vesting period. Compensation expense is recognized for all TSR PSUs whether or not the market conditions are achieved less expected forfeitures.</w:t>
      </w:r>
    </w:p>
    <w:p>
      <w:pPr>
        <w:spacing w:after="0" w:line="4"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i w:val="1"/>
          <w:iCs w:val="1"/>
          <w:color w:val="auto"/>
        </w:rPr>
        <w:t xml:space="preserve">Deferred Units — </w:t>
      </w:r>
      <w:r>
        <w:rPr>
          <w:rFonts w:ascii="Arial" w:cs="Arial" w:eastAsia="Arial" w:hAnsi="Arial"/>
          <w:sz w:val="18"/>
          <w:szCs w:val="18"/>
          <w:color w:val="auto"/>
        </w:rPr>
        <w:t>Recipients can elect to defer some or all of the vested RSU or PSU awards until a specified date or dates they choose. Deferred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invested, nor do they earn interest, but deferred amounts do earn dividend equivalents during deferral. Deferred amounts are paid out in shares of common stock at the end of the deferral period. At December 31, 2013, 2012 and 2011 we had approximately 297,000, 300,000 and 372,000, respectively, vested deferred units outstanding.</w:t>
      </w:r>
    </w:p>
    <w:p>
      <w:pPr>
        <w:spacing w:after="0" w:line="6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 xml:space="preserve">Stock Options — </w:t>
      </w:r>
      <w:r>
        <w:rPr>
          <w:rFonts w:ascii="Arial" w:cs="Arial" w:eastAsia="Arial" w:hAnsi="Arial"/>
          <w:sz w:val="16"/>
          <w:szCs w:val="16"/>
          <w:color w:val="auto"/>
        </w:rPr>
        <w:t>Stock options granted primarily vest in 25% increments on the first two anniversaries of the date of grant with the remaining 50% vesting</w:t>
      </w:r>
      <w:r>
        <w:rPr>
          <w:rFonts w:ascii="Arial" w:cs="Arial" w:eastAsia="Arial" w:hAnsi="Arial"/>
          <w:sz w:val="16"/>
          <w:szCs w:val="16"/>
          <w:i w:val="1"/>
          <w:iCs w:val="1"/>
          <w:color w:val="auto"/>
        </w:rPr>
        <w:t xml:space="preserve"> </w:t>
      </w:r>
      <w:r>
        <w:rPr>
          <w:rFonts w:ascii="Arial" w:cs="Arial" w:eastAsia="Arial" w:hAnsi="Arial"/>
          <w:sz w:val="16"/>
          <w:szCs w:val="16"/>
          <w:color w:val="auto"/>
        </w:rPr>
        <w:t>on the third anniversary. The exercise price of the options is the average of the high and low market value of our common stock on the date of grant, and the options have a term of 10 years. A summary of our stock options is presented in the table below (options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3"/>
              </w:rPr>
              <w:t>Weighted Average</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0"/>
              </w:rPr>
              <w:t>Options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2013</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12,997</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spacing w:after="0"/>
              <w:rPr>
                <w:sz w:val="20"/>
                <w:szCs w:val="20"/>
                <w:color w:val="auto"/>
              </w:rPr>
            </w:pPr>
            <w:r>
              <w:rPr>
                <w:rFonts w:ascii="Arial" w:cs="Arial" w:eastAsia="Arial" w:hAnsi="Arial"/>
                <w:sz w:val="18"/>
                <w:szCs w:val="18"/>
                <w:color w:val="auto"/>
              </w:rPr>
              <w:t>1,968</w:t>
            </w:r>
          </w:p>
        </w:tc>
        <w:tc>
          <w:tcPr>
            <w:tcW w:w="4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(4,788)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(503)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2013(a)</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9,674</w:t>
            </w: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80" w:type="dxa"/>
            <w:vAlign w:val="bottom"/>
            <w:gridSpan w:val="3"/>
            <w:vMerge w:val="restart"/>
          </w:tcPr>
          <w:p>
            <w:pPr>
              <w:ind w:left="460"/>
              <w:spacing w:after="0"/>
              <w:rPr>
                <w:sz w:val="20"/>
                <w:szCs w:val="20"/>
                <w:color w:val="auto"/>
              </w:rPr>
            </w:pPr>
            <w:r>
              <w:rPr>
                <w:rFonts w:ascii="Arial" w:cs="Arial" w:eastAsia="Arial" w:hAnsi="Arial"/>
                <w:sz w:val="18"/>
                <w:szCs w:val="18"/>
                <w:color w:val="auto"/>
              </w:rPr>
              <w:t>Exercisable at December 31, 2013(b)</w:t>
            </w: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35.01</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80" w:type="dxa"/>
            <w:vAlign w:val="bottom"/>
            <w:gridSpan w:val="3"/>
            <w:vMerge w:val="continue"/>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w:t>
            </w:r>
          </w:p>
        </w:tc>
        <w:tc>
          <w:tcPr>
            <w:tcW w:w="48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4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68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80" w:hanging="452"/>
        <w:spacing w:after="0" w:line="268"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Stock options outstanding as of December 31, 2013 have a weighted average remaining contractual term of 7.4 years and an aggregate intrinsic value of $86 million based on the market value of our common stock on December 31, 2013.</w:t>
      </w:r>
    </w:p>
    <w:p>
      <w:pPr>
        <w:spacing w:after="0" w:line="23"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Stock options exercisable as of December 31, 2013 have a weighted average remaining contractual term of 6.4 years and an aggregate intrinsic value of $37 million based on the market value of our common stock on December 31, 2013. Stock options exercisable at December 31, 2013 have an exercise price ranging from $29.24 to $37.59.</w:t>
      </w:r>
    </w:p>
    <w:p>
      <w:pPr>
        <w:spacing w:after="0" w:line="59"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received cash proceeds of $132 million, $43 million and $45 million during the years ended December 31, 2013, 2012 and 2011, respectively, from employee stock option exercises. We also realized tax benefits from these stock option exercises during the years ended December 31, 2013, 2012 and 2011 of $10 million, $5 million and $8 million, respectively. These amounts have been presented as cash inflows in the “Cash flows from financing activities” section of our Consolidated Statements of Cash Flows. The aggregate intrinsic value of stock options exercised during the years ended December 31, 2013, 2012 and 2011 was $41 million, $15 million and $20 million, respectively.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All unvested stock options shall become exercisable upon the award recipient’s death or disability. In the event of a recipient’s retirement, stock options shall continue to vest pursuant to the original schedule set forth in the award agreement. If the recipient is terminated by the Company without cause or voluntarily resigns, the recipient shall be entitled to exercise all stock options outstanding and exercisable within a specified time frame after such termination. All outstanding stock options, whether exercisable or not, are forfeited upon termination for cause.</w:t>
      </w:r>
    </w:p>
    <w:p>
      <w:pPr>
        <w:spacing w:after="0" w:line="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account for our employee stock options under the fair value method of accounting using a Black-Scholes methodology to measure stock option expense at the date of grant. The weighted average grant-date fair value of stock options granted during the years ended December 31, 2013, 2012 and 2011 was $4.26, $4.66 and $5.88, respectively. The fair value of the stock options at the date of grant is amortized to expense over the vesting period less expected forfeitures, except for stock options granted to retirement-eligible employees, for which expense is accelerated over the period that the recipient becomes retirement-eligible. The following table presents the weighted average assumptions used to value employee stock options granted during the years ended December 31 under the Black-Scholes valuation model:</w:t>
      </w:r>
    </w:p>
    <w:p>
      <w:pPr>
        <w:spacing w:after="0" w:line="5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3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3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r>
      <w:tr>
        <w:trPr>
          <w:trHeight w:val="210"/>
        </w:trPr>
        <w:tc>
          <w:tcPr>
            <w:tcW w:w="7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option life</w:t>
            </w:r>
          </w:p>
        </w:tc>
        <w:tc>
          <w:tcPr>
            <w:tcW w:w="8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5.4 years</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5.5 years</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5.4 years</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Expected volatility</w:t>
            </w:r>
          </w:p>
        </w:tc>
        <w:tc>
          <w:tcPr>
            <w:tcW w:w="840" w:type="dxa"/>
            <w:vAlign w:val="bottom"/>
          </w:tcPr>
          <w:p>
            <w:pPr>
              <w:jc w:val="center"/>
              <w:spacing w:after="0"/>
              <w:rPr>
                <w:sz w:val="20"/>
                <w:szCs w:val="20"/>
                <w:color w:val="auto"/>
              </w:rPr>
            </w:pPr>
            <w:r>
              <w:rPr>
                <w:rFonts w:ascii="Arial" w:cs="Arial" w:eastAsia="Arial" w:hAnsi="Arial"/>
                <w:sz w:val="18"/>
                <w:szCs w:val="18"/>
                <w:color w:val="auto"/>
                <w:w w:val="86"/>
              </w:rPr>
              <w:t>21.8%</w:t>
            </w:r>
          </w:p>
        </w:tc>
        <w:tc>
          <w:tcPr>
            <w:tcW w:w="3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24.2%</w:t>
            </w:r>
          </w:p>
        </w:tc>
        <w:tc>
          <w:tcPr>
            <w:tcW w:w="3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24.2%</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4.1%</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3.7%</w:t>
            </w:r>
          </w:p>
        </w:tc>
      </w:tr>
      <w:tr>
        <w:trPr>
          <w:trHeight w:val="222"/>
        </w:trPr>
        <w:tc>
          <w:tcPr>
            <w:tcW w:w="73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3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3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2.3%</w:t>
            </w:r>
          </w:p>
        </w:tc>
      </w:tr>
    </w:tbl>
    <w:p>
      <w:pPr>
        <w:spacing w:after="0" w:line="6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bases its expected option life on the expected exercise and termination behavior of its optionees and an appropriate model of the Company’s future stock price. The expected volatility assumption is derived from the historical volatility of the Company’s common stock over the most recent period commensurate with the estimated expected life of the Company’s stock options, combined with other relevant factors including implied volatility in market-traded options on the Company’s stock. The dividend yield is the annual rate of dividends per share over the exercise price of the option as of the grant date.</w:t>
      </w:r>
    </w:p>
    <w:p>
      <w:pPr>
        <w:spacing w:after="0" w:line="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For the years ended December 31, 2013, 2012 and 2011 we recognized $54 million, $22 million and $38 million, respectively, of compensation expense associated with RSU, PSU and stock option awards as a component of “Selling, general and administrative” expenses in our Consolidated Statement of Operations. Our “Provision for income taxes” for the years ended December 31, 2013, 2012 and 2011 includes related deferred income tax benefits of $21 million, $9 million and $15 million, respectively. We have not capitalized any equity-based compensation costs during the years ended December 31, 2013, 2012 and 2011.</w:t>
      </w:r>
    </w:p>
    <w:p>
      <w:pPr>
        <w:spacing w:after="0" w:line="6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Compensation expense recognized in 2013 increased when compared to 2012, in part due to the payout of PSUs granted in 2010, which was approved in 2013. Expense associated with these awards had been reversed in 2012 when it no longer appeared probable that threshold performance would be achieved. As of December 31, 2013 we estimate that a total of approximately $46 million of currently unrecognized compensation expense will be recognized over a weighted average period of 1.4 years for unvested RSU, PSU and stock option awards issued and outstanding.</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Non-Employee Director Plan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non-employee directors currently receive annual grants of shares of our common stock, generally payable in two equal installments, under the LTIP described above. Due to tax-planning considerations, the non-employee directors’ grants of common stock on account of 2013 board service were accelerated and paid out in December 2012.</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and diluted earnings per share were computed using the following common share data (shares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2180" w:type="dxa"/>
            <w:vAlign w:val="bottom"/>
            <w:gridSpan w:val="6"/>
          </w:tcPr>
          <w:p>
            <w:pPr>
              <w:ind w:left="2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Number of common shares outstanding at year-end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464.3</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464.2</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Effect of using weighted average common shares outstanding</w:t>
            </w: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(0.6)</w:t>
            </w:r>
          </w:p>
        </w:tc>
        <w:tc>
          <w:tcPr>
            <w:tcW w:w="4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467.7</w:t>
            </w:r>
          </w:p>
        </w:tc>
        <w:tc>
          <w:tcPr>
            <w:tcW w:w="4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463.6</w:t>
            </w:r>
          </w:p>
        </w:tc>
        <w:tc>
          <w:tcPr>
            <w:tcW w:w="3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469.8</w:t>
            </w:r>
          </w:p>
        </w:tc>
        <w:tc>
          <w:tcPr>
            <w:tcW w:w="4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464.4</w:t>
            </w:r>
          </w:p>
        </w:tc>
        <w:tc>
          <w:tcPr>
            <w:tcW w:w="3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color w:val="auto"/>
              </w:rPr>
              <w:t>Potentially issuable shares</w:t>
            </w: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20" w:type="dxa"/>
            <w:vAlign w:val="bottom"/>
            <w:gridSpan w:val="2"/>
            <w:vMerge w:val="continue"/>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12.3</w:t>
            </w:r>
          </w:p>
        </w:tc>
        <w:tc>
          <w:tcPr>
            <w:tcW w:w="460" w:type="dxa"/>
            <w:vAlign w:val="bottom"/>
          </w:tcPr>
          <w:p>
            <w:pPr>
              <w:jc w:val="right"/>
              <w:spacing w:after="0"/>
              <w:rPr>
                <w:sz w:val="20"/>
                <w:szCs w:val="20"/>
                <w:color w:val="auto"/>
              </w:rPr>
            </w:pPr>
            <w:r>
              <w:rPr>
                <w:rFonts w:ascii="Arial" w:cs="Arial" w:eastAsia="Arial" w:hAnsi="Arial"/>
                <w:sz w:val="18"/>
                <w:szCs w:val="18"/>
                <w:color w:val="auto"/>
              </w:rPr>
              <w:t>15.3</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Number of anti-dilutive potentially issuable shares excluded from diluted common shares outstanding</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Fair Value Measurements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defines fair value as the price that would be received from selling an asset or paid to transfer a liability in an orderly transaction between market participants at the measurement date. When measuring assets and liabilities that are required to be recorded at fair value, the Company considers the principal or most advantageous market in which the Company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90" w:lineRule="exact"/>
        <w:rPr>
          <w:sz w:val="20"/>
          <w:szCs w:val="20"/>
          <w:color w:val="auto"/>
        </w:rPr>
      </w:pPr>
    </w:p>
    <w:p>
      <w:pPr>
        <w:jc w:val="both"/>
        <w:ind w:left="460" w:right="220"/>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59"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that are generally unobservable and typically reflect management’s estimate of assumptions that market participants would use 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or liability.</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40"/>
          </w:cols>
          <w:pgMar w:left="240" w:top="459" w:right="3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 Our assets and liabilities that are measured at fair value on a recurring basis include the following (in millions):</w:t>
      </w:r>
    </w:p>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40" w:type="dxa"/>
            <w:vAlign w:val="bottom"/>
            <w:gridSpan w:val="4"/>
          </w:tcPr>
          <w:p>
            <w:pPr>
              <w:jc w:val="center"/>
              <w:ind w:left="280"/>
              <w:spacing w:after="0"/>
              <w:rPr>
                <w:sz w:val="20"/>
                <w:szCs w:val="20"/>
                <w:color w:val="auto"/>
              </w:rPr>
            </w:pPr>
            <w:r>
              <w:rPr>
                <w:rFonts w:ascii="Arial" w:cs="Arial" w:eastAsia="Arial" w:hAnsi="Arial"/>
                <w:sz w:val="14"/>
                <w:szCs w:val="14"/>
                <w:b w:val="1"/>
                <w:bCs w:val="1"/>
                <w:color w:val="auto"/>
                <w:w w:val="87"/>
              </w:rPr>
              <w:t>Fair Value Measurements at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left="280"/>
              <w:spacing w:after="0"/>
              <w:rPr>
                <w:sz w:val="20"/>
                <w:szCs w:val="20"/>
                <w:color w:val="auto"/>
              </w:rPr>
            </w:pPr>
            <w:r>
              <w:rPr>
                <w:rFonts w:ascii="Arial" w:cs="Arial" w:eastAsia="Arial" w:hAnsi="Arial"/>
                <w:sz w:val="14"/>
                <w:szCs w:val="14"/>
                <w:b w:val="1"/>
                <w:bCs w:val="1"/>
                <w:color w:val="auto"/>
                <w:w w:val="86"/>
              </w:rPr>
              <w:t>December 31, 2013 Using</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Quoted</w:t>
            </w:r>
          </w:p>
        </w:tc>
        <w:tc>
          <w:tcPr>
            <w:tcW w:w="780" w:type="dxa"/>
            <w:vAlign w:val="bottom"/>
          </w:tcPr>
          <w:p>
            <w:pPr>
              <w:spacing w:after="0"/>
              <w:rPr>
                <w:sz w:val="11"/>
                <w:szCs w:val="11"/>
                <w:color w:val="auto"/>
              </w:rPr>
            </w:pPr>
          </w:p>
        </w:tc>
        <w:tc>
          <w:tcPr>
            <w:tcW w:w="1360" w:type="dxa"/>
            <w:vAlign w:val="bottom"/>
            <w:gridSpan w:val="3"/>
          </w:tcPr>
          <w:p>
            <w:pPr>
              <w:jc w:val="center"/>
              <w:ind w:right="70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Prices in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Active</w:t>
            </w:r>
          </w:p>
        </w:tc>
        <w:tc>
          <w:tcPr>
            <w:tcW w:w="78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Markets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38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5"/>
              </w:rPr>
              <w:t>Total</w:t>
            </w:r>
          </w:p>
        </w:tc>
        <w:tc>
          <w:tcPr>
            <w:tcW w:w="78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4"/>
              </w:rPr>
              <w:t>(Level 1)</w:t>
            </w:r>
          </w:p>
        </w:tc>
        <w:tc>
          <w:tcPr>
            <w:tcW w:w="780" w:type="dxa"/>
            <w:vAlign w:val="bottom"/>
          </w:tcPr>
          <w:p>
            <w:pPr>
              <w:spacing w:after="0"/>
              <w:rPr>
                <w:sz w:val="14"/>
                <w:szCs w:val="14"/>
                <w:color w:val="auto"/>
              </w:rPr>
            </w:pPr>
          </w:p>
        </w:tc>
        <w:tc>
          <w:tcPr>
            <w:tcW w:w="13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96"/>
        </w:trPr>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900" w:type="dxa"/>
            <w:vAlign w:val="bottom"/>
            <w:tcBorders>
              <w:top w:val="single" w:sz="8" w:color="CCEEFF"/>
              <w:right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$ 99</w:t>
            </w:r>
          </w:p>
        </w:tc>
        <w:tc>
          <w:tcPr>
            <w:tcW w:w="9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99</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Fixed-income securities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7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80"/>
              <w:spacing w:after="0"/>
              <w:rPr>
                <w:sz w:val="20"/>
                <w:szCs w:val="20"/>
                <w:color w:val="auto"/>
              </w:rPr>
            </w:pPr>
            <w:r>
              <w:rPr>
                <w:rFonts w:ascii="Arial" w:cs="Arial" w:eastAsia="Arial" w:hAnsi="Arial"/>
                <w:sz w:val="15"/>
                <w:szCs w:val="15"/>
                <w:color w:val="auto"/>
                <w:w w:val="71"/>
              </w:rPr>
              <w:t>36</w:t>
            </w:r>
          </w:p>
        </w:tc>
        <w:tc>
          <w:tcPr>
            <w:tcW w:w="7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8"/>
                <w:szCs w:val="18"/>
                <w:color w:val="auto"/>
              </w:rPr>
              <w:t>Redeemable preferred stock</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6"/>
                <w:szCs w:val="16"/>
                <w:color w:val="auto"/>
                <w:w w:val="78"/>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derivatives</w:t>
            </w:r>
          </w:p>
        </w:tc>
        <w:tc>
          <w:tcPr>
            <w:tcW w:w="19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480"/>
              <w:spacing w:after="0"/>
              <w:rPr>
                <w:sz w:val="20"/>
                <w:szCs w:val="20"/>
                <w:color w:val="auto"/>
              </w:rPr>
            </w:pPr>
            <w:r>
              <w:rPr>
                <w:rFonts w:ascii="Arial" w:cs="Arial" w:eastAsia="Arial" w:hAnsi="Arial"/>
                <w:sz w:val="5"/>
                <w:szCs w:val="5"/>
                <w:color w:val="auto"/>
                <w:w w:val="70"/>
              </w:rPr>
              <w:t>2</w:t>
            </w:r>
          </w:p>
        </w:tc>
        <w:tc>
          <w:tcPr>
            <w:tcW w:w="7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19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vMerge w:val="continue"/>
          </w:tcPr>
          <w:p>
            <w:pPr>
              <w:spacing w:after="0"/>
              <w:rPr>
                <w:sz w:val="19"/>
                <w:szCs w:val="19"/>
                <w:color w:val="auto"/>
              </w:rPr>
            </w:pPr>
          </w:p>
        </w:tc>
        <w:tc>
          <w:tcPr>
            <w:tcW w:w="19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162</w:t>
            </w:r>
          </w:p>
        </w:tc>
        <w:tc>
          <w:tcPr>
            <w:tcW w:w="9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99</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540" w:type="dxa"/>
            <w:vAlign w:val="bottom"/>
          </w:tcPr>
          <w:p>
            <w:pPr>
              <w:ind w:left="380"/>
              <w:spacing w:after="0"/>
              <w:rPr>
                <w:sz w:val="20"/>
                <w:szCs w:val="20"/>
                <w:color w:val="auto"/>
              </w:rPr>
            </w:pPr>
            <w:r>
              <w:rPr>
                <w:rFonts w:ascii="Arial" w:cs="Arial" w:eastAsia="Arial" w:hAnsi="Arial"/>
                <w:sz w:val="15"/>
                <w:szCs w:val="15"/>
                <w:color w:val="auto"/>
                <w:w w:val="71"/>
              </w:rPr>
              <w:t>38</w:t>
            </w:r>
          </w:p>
        </w:tc>
        <w:tc>
          <w:tcPr>
            <w:tcW w:w="72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540"/>
              <w:spacing w:after="0"/>
              <w:rPr>
                <w:sz w:val="20"/>
                <w:szCs w:val="20"/>
                <w:color w:val="auto"/>
              </w:rPr>
            </w:pPr>
            <w:r>
              <w:rPr>
                <w:rFonts w:ascii="Arial" w:cs="Arial" w:eastAsia="Arial" w:hAnsi="Arial"/>
                <w:sz w:val="16"/>
                <w:szCs w:val="16"/>
                <w:color w:val="auto"/>
                <w:w w:val="78"/>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9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8"/>
                <w:szCs w:val="18"/>
                <w:color w:val="auto"/>
              </w:rPr>
              <w:t>Interest rate derivatives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$ 28</w:t>
            </w:r>
          </w:p>
        </w:tc>
        <w:tc>
          <w:tcPr>
            <w:tcW w:w="9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540" w:type="dxa"/>
            <w:vAlign w:val="bottom"/>
          </w:tcPr>
          <w:p>
            <w:pPr>
              <w:ind w:left="380"/>
              <w:spacing w:after="0"/>
              <w:rPr>
                <w:sz w:val="20"/>
                <w:szCs w:val="20"/>
                <w:color w:val="auto"/>
              </w:rPr>
            </w:pPr>
            <w:r>
              <w:rPr>
                <w:rFonts w:ascii="Arial" w:cs="Arial" w:eastAsia="Arial" w:hAnsi="Arial"/>
                <w:sz w:val="15"/>
                <w:szCs w:val="15"/>
                <w:color w:val="auto"/>
                <w:w w:val="71"/>
              </w:rPr>
              <w:t>28</w:t>
            </w:r>
          </w:p>
        </w:tc>
        <w:tc>
          <w:tcPr>
            <w:tcW w:w="72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Electricity commodity derivatives</w:t>
            </w:r>
          </w:p>
        </w:tc>
        <w:tc>
          <w:tcPr>
            <w:tcW w:w="19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480"/>
              <w:spacing w:after="0"/>
              <w:rPr>
                <w:sz w:val="20"/>
                <w:szCs w:val="20"/>
                <w:color w:val="auto"/>
              </w:rPr>
            </w:pPr>
            <w:r>
              <w:rPr>
                <w:rFonts w:ascii="Arial" w:cs="Arial" w:eastAsia="Arial" w:hAnsi="Arial"/>
                <w:sz w:val="5"/>
                <w:szCs w:val="5"/>
                <w:color w:val="auto"/>
                <w:w w:val="70"/>
              </w:rPr>
              <w:t>3</w:t>
            </w:r>
          </w:p>
        </w:tc>
        <w:tc>
          <w:tcPr>
            <w:tcW w:w="7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440"/>
              <w:spacing w:after="0"/>
              <w:rPr>
                <w:sz w:val="20"/>
                <w:szCs w:val="20"/>
                <w:color w:val="auto"/>
              </w:rPr>
            </w:pPr>
            <w:r>
              <w:rPr>
                <w:rFonts w:ascii="Arial" w:cs="Arial" w:eastAsia="Arial" w:hAnsi="Arial"/>
                <w:sz w:val="18"/>
                <w:szCs w:val="18"/>
                <w:color w:val="auto"/>
              </w:rPr>
              <w:t>Total liabilities</w:t>
            </w:r>
          </w:p>
        </w:tc>
        <w:tc>
          <w:tcPr>
            <w:tcW w:w="19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vMerge w:val="continue"/>
          </w:tcPr>
          <w:p>
            <w:pPr>
              <w:spacing w:after="0"/>
              <w:rPr>
                <w:sz w:val="19"/>
                <w:szCs w:val="19"/>
                <w:color w:val="auto"/>
              </w:rPr>
            </w:pPr>
          </w:p>
        </w:tc>
        <w:tc>
          <w:tcPr>
            <w:tcW w:w="19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$ 31</w:t>
            </w:r>
          </w:p>
        </w:tc>
        <w:tc>
          <w:tcPr>
            <w:tcW w:w="9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540" w:type="dxa"/>
            <w:vAlign w:val="bottom"/>
          </w:tcPr>
          <w:p>
            <w:pPr>
              <w:ind w:left="380"/>
              <w:spacing w:after="0"/>
              <w:rPr>
                <w:sz w:val="20"/>
                <w:szCs w:val="20"/>
                <w:color w:val="auto"/>
              </w:rPr>
            </w:pPr>
            <w:r>
              <w:rPr>
                <w:rFonts w:ascii="Arial" w:cs="Arial" w:eastAsia="Arial" w:hAnsi="Arial"/>
                <w:sz w:val="15"/>
                <w:szCs w:val="15"/>
                <w:color w:val="auto"/>
                <w:w w:val="71"/>
              </w:rPr>
              <w:t>31</w:t>
            </w:r>
          </w:p>
        </w:tc>
        <w:tc>
          <w:tcPr>
            <w:tcW w:w="72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8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4"/>
          </w:tcPr>
          <w:p>
            <w:pPr>
              <w:jc w:val="center"/>
              <w:ind w:left="260"/>
              <w:spacing w:after="0"/>
              <w:rPr>
                <w:sz w:val="20"/>
                <w:szCs w:val="20"/>
                <w:color w:val="auto"/>
              </w:rPr>
            </w:pPr>
            <w:r>
              <w:rPr>
                <w:rFonts w:ascii="Arial" w:cs="Arial" w:eastAsia="Arial" w:hAnsi="Arial"/>
                <w:sz w:val="14"/>
                <w:szCs w:val="14"/>
                <w:b w:val="1"/>
                <w:bCs w:val="1"/>
                <w:color w:val="auto"/>
                <w:w w:val="88"/>
              </w:rPr>
              <w:t>Fair Value Measurements at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8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left="280"/>
              <w:spacing w:after="0"/>
              <w:rPr>
                <w:sz w:val="20"/>
                <w:szCs w:val="20"/>
                <w:color w:val="auto"/>
              </w:rPr>
            </w:pPr>
            <w:r>
              <w:rPr>
                <w:rFonts w:ascii="Arial" w:cs="Arial" w:eastAsia="Arial" w:hAnsi="Arial"/>
                <w:sz w:val="14"/>
                <w:szCs w:val="14"/>
                <w:b w:val="1"/>
                <w:bCs w:val="1"/>
                <w:color w:val="auto"/>
                <w:w w:val="86"/>
              </w:rPr>
              <w:t>December 31, 2012 Using</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Quoted</w:t>
            </w:r>
          </w:p>
        </w:tc>
        <w:tc>
          <w:tcPr>
            <w:tcW w:w="780" w:type="dxa"/>
            <w:vAlign w:val="bottom"/>
          </w:tcPr>
          <w:p>
            <w:pPr>
              <w:spacing w:after="0"/>
              <w:rPr>
                <w:sz w:val="11"/>
                <w:szCs w:val="11"/>
                <w:color w:val="auto"/>
              </w:rPr>
            </w:pPr>
          </w:p>
        </w:tc>
        <w:tc>
          <w:tcPr>
            <w:tcW w:w="13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Prices in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Active</w:t>
            </w:r>
          </w:p>
        </w:tc>
        <w:tc>
          <w:tcPr>
            <w:tcW w:w="78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Markets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38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Total</w:t>
            </w:r>
          </w:p>
        </w:tc>
        <w:tc>
          <w:tcPr>
            <w:tcW w:w="78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4"/>
              </w:rPr>
              <w:t>(Level 1)</w:t>
            </w:r>
          </w:p>
        </w:tc>
        <w:tc>
          <w:tcPr>
            <w:tcW w:w="780" w:type="dxa"/>
            <w:vAlign w:val="bottom"/>
          </w:tcPr>
          <w:p>
            <w:pPr>
              <w:spacing w:after="0"/>
              <w:rPr>
                <w:sz w:val="14"/>
                <w:szCs w:val="14"/>
                <w:color w:val="auto"/>
              </w:rPr>
            </w:pPr>
          </w:p>
        </w:tc>
        <w:tc>
          <w:tcPr>
            <w:tcW w:w="136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96"/>
        </w:trPr>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900" w:type="dxa"/>
            <w:vAlign w:val="bottom"/>
            <w:tcBorders>
              <w:top w:val="single" w:sz="8" w:color="CCEEFF"/>
              <w:right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127</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Fixed-income securities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80"/>
              <w:spacing w:after="0"/>
              <w:rPr>
                <w:sz w:val="20"/>
                <w:szCs w:val="20"/>
                <w:color w:val="auto"/>
              </w:rPr>
            </w:pPr>
            <w:r>
              <w:rPr>
                <w:rFonts w:ascii="Arial" w:cs="Arial" w:eastAsia="Arial" w:hAnsi="Arial"/>
                <w:sz w:val="15"/>
                <w:szCs w:val="15"/>
                <w:color w:val="auto"/>
                <w:w w:val="71"/>
              </w:rPr>
              <w:t>37</w:t>
            </w:r>
          </w:p>
        </w:tc>
        <w:tc>
          <w:tcPr>
            <w:tcW w:w="7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8"/>
                <w:szCs w:val="18"/>
                <w:color w:val="auto"/>
              </w:rPr>
              <w:t>Redeemable preferred stock</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6"/>
                <w:szCs w:val="16"/>
                <w:color w:val="auto"/>
                <w:w w:val="78"/>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Electricity commodity derivatives</w:t>
            </w:r>
          </w:p>
        </w:tc>
        <w:tc>
          <w:tcPr>
            <w:tcW w:w="19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460"/>
              <w:spacing w:after="0"/>
              <w:rPr>
                <w:sz w:val="20"/>
                <w:szCs w:val="20"/>
                <w:color w:val="auto"/>
              </w:rPr>
            </w:pPr>
            <w:r>
              <w:rPr>
                <w:rFonts w:ascii="Arial" w:cs="Arial" w:eastAsia="Arial" w:hAnsi="Arial"/>
                <w:sz w:val="10"/>
                <w:szCs w:val="10"/>
                <w:color w:val="auto"/>
                <w:w w:val="71"/>
              </w:rPr>
              <w:t>1</w:t>
            </w:r>
          </w:p>
        </w:tc>
        <w:tc>
          <w:tcPr>
            <w:tcW w:w="7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19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vMerge w:val="continue"/>
          </w:tcPr>
          <w:p>
            <w:pPr>
              <w:spacing w:after="0"/>
              <w:rPr>
                <w:sz w:val="19"/>
                <w:szCs w:val="19"/>
                <w:color w:val="auto"/>
              </w:rPr>
            </w:pPr>
          </w:p>
        </w:tc>
        <w:tc>
          <w:tcPr>
            <w:tcW w:w="19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190</w:t>
            </w:r>
          </w:p>
        </w:tc>
        <w:tc>
          <w:tcPr>
            <w:tcW w:w="7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127</w:t>
            </w:r>
          </w:p>
        </w:tc>
        <w:tc>
          <w:tcPr>
            <w:tcW w:w="7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ind w:left="380"/>
              <w:spacing w:after="0"/>
              <w:rPr>
                <w:sz w:val="20"/>
                <w:szCs w:val="20"/>
                <w:color w:val="auto"/>
              </w:rPr>
            </w:pPr>
            <w:r>
              <w:rPr>
                <w:rFonts w:ascii="Arial" w:cs="Arial" w:eastAsia="Arial" w:hAnsi="Arial"/>
                <w:sz w:val="15"/>
                <w:szCs w:val="15"/>
                <w:color w:val="auto"/>
                <w:w w:val="71"/>
              </w:rPr>
              <w:t>38</w:t>
            </w:r>
          </w:p>
        </w:tc>
        <w:tc>
          <w:tcPr>
            <w:tcW w:w="72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540"/>
              <w:spacing w:after="0"/>
              <w:rPr>
                <w:sz w:val="20"/>
                <w:szCs w:val="20"/>
                <w:color w:val="auto"/>
              </w:rPr>
            </w:pPr>
            <w:r>
              <w:rPr>
                <w:rFonts w:ascii="Arial" w:cs="Arial" w:eastAsia="Arial" w:hAnsi="Arial"/>
                <w:sz w:val="16"/>
                <w:szCs w:val="16"/>
                <w:color w:val="auto"/>
                <w:w w:val="78"/>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9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8"/>
                <w:szCs w:val="18"/>
                <w:color w:val="auto"/>
              </w:rPr>
              <w:t>Interest rate derivatives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$ 42</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380"/>
              <w:spacing w:after="0"/>
              <w:rPr>
                <w:sz w:val="20"/>
                <w:szCs w:val="20"/>
                <w:color w:val="auto"/>
              </w:rPr>
            </w:pPr>
            <w:r>
              <w:rPr>
                <w:rFonts w:ascii="Arial" w:cs="Arial" w:eastAsia="Arial" w:hAnsi="Arial"/>
                <w:sz w:val="15"/>
                <w:szCs w:val="15"/>
                <w:color w:val="auto"/>
                <w:w w:val="71"/>
              </w:rPr>
              <w:t>42</w:t>
            </w:r>
          </w:p>
        </w:tc>
        <w:tc>
          <w:tcPr>
            <w:tcW w:w="72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derivatives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80"/>
              <w:spacing w:after="0"/>
              <w:rPr>
                <w:sz w:val="20"/>
                <w:szCs w:val="20"/>
                <w:color w:val="auto"/>
              </w:rPr>
            </w:pPr>
            <w:r>
              <w:rPr>
                <w:rFonts w:ascii="Arial" w:cs="Arial" w:eastAsia="Arial" w:hAnsi="Arial"/>
                <w:sz w:val="15"/>
                <w:szCs w:val="15"/>
                <w:color w:val="auto"/>
                <w:w w:val="71"/>
              </w:rPr>
              <w:t>11</w:t>
            </w:r>
          </w:p>
        </w:tc>
        <w:tc>
          <w:tcPr>
            <w:tcW w:w="7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8"/>
                <w:szCs w:val="18"/>
                <w:color w:val="auto"/>
              </w:rPr>
              <w:t>Electricity commodity derivatives</w:t>
            </w:r>
          </w:p>
        </w:tc>
        <w:tc>
          <w:tcPr>
            <w:tcW w:w="19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ind w:left="460"/>
              <w:spacing w:after="0"/>
              <w:rPr>
                <w:sz w:val="20"/>
                <w:szCs w:val="20"/>
                <w:color w:val="auto"/>
              </w:rPr>
            </w:pPr>
            <w:r>
              <w:rPr>
                <w:rFonts w:ascii="Arial" w:cs="Arial" w:eastAsia="Arial" w:hAnsi="Arial"/>
                <w:sz w:val="10"/>
                <w:szCs w:val="10"/>
                <w:color w:val="auto"/>
                <w:w w:val="71"/>
              </w:rPr>
              <w:t>5</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9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$ 58</w:t>
            </w:r>
          </w:p>
        </w:tc>
        <w:tc>
          <w:tcPr>
            <w:tcW w:w="7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380"/>
              <w:spacing w:after="0"/>
              <w:rPr>
                <w:sz w:val="20"/>
                <w:szCs w:val="20"/>
                <w:color w:val="auto"/>
              </w:rPr>
            </w:pPr>
            <w:r>
              <w:rPr>
                <w:rFonts w:ascii="Arial" w:cs="Arial" w:eastAsia="Arial" w:hAnsi="Arial"/>
                <w:sz w:val="15"/>
                <w:szCs w:val="15"/>
                <w:color w:val="auto"/>
                <w:w w:val="71"/>
              </w:rPr>
              <w:t>58</w:t>
            </w:r>
          </w:p>
        </w:tc>
        <w:tc>
          <w:tcPr>
            <w:tcW w:w="72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900" w:type="dxa"/>
            <w:vAlign w:val="bottom"/>
            <w:vMerge w:val="restart"/>
          </w:tcPr>
          <w:p>
            <w:pPr>
              <w:jc w:val="right"/>
              <w:ind w:right="292"/>
              <w:spacing w:after="0"/>
              <w:rPr>
                <w:sz w:val="20"/>
                <w:szCs w:val="20"/>
                <w:color w:val="auto"/>
              </w:rPr>
            </w:pPr>
            <w:r>
              <w:rPr>
                <w:rFonts w:ascii="Arial" w:cs="Arial" w:eastAsia="Arial" w:hAnsi="Arial"/>
                <w:sz w:val="18"/>
                <w:szCs w:val="18"/>
                <w:color w:val="auto"/>
              </w:rPr>
              <w:t>130</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86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Money Market Funds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invest portions of our “Cash and cash equivalents” and restricted trust and escrow account balances in money market funds. We measure the fair value of these money market fund investments using quoted prices in active markets for identical assets.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Fixed-Income Securities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invest a portion of our restricted trust and escrow balances in fixed-income securities, including U.S. Treasury securities, U.S. agency securities, municipal securities and mortgage- and asset-backed securities. We measure the fair value of these securities using quoted prices for identical or similar assets in inactive markets. The fair value of our fixed-income securities approximates our cost basis in the investments.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Redeemable Preferred Stock</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November 2011, we made a noncontrolling investment in redeemable preferred stock of an unconsolidated entity, which is included in “Investments in unconsolidated entities” in our Consolidated Balance Sheet. The fair value of this investment has been measured based on third-party investors’ recent or pending transactions in these securities, which are considered the best evidence of fair value currently available. When this evidence is not available, we use other valuation techniques as appropriate and available. These valuation methodologies may include transactions in similar instruments, discounted cash flow techniques, third-party appraisals or industry multiples and public comparables. Based on our assessment of fair value at December 31, 2013, there has not been any significant change in the fair value of the redeemable preferred stock.</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Derivatives</w:t>
      </w:r>
    </w:p>
    <w:p>
      <w:pPr>
        <w:spacing w:after="0" w:line="90" w:lineRule="exact"/>
        <w:rPr>
          <w:sz w:val="20"/>
          <w:szCs w:val="20"/>
          <w:color w:val="auto"/>
        </w:rPr>
      </w:pPr>
    </w:p>
    <w:p>
      <w:pPr>
        <w:jc w:val="both"/>
        <w:ind w:right="100" w:firstLine="456"/>
        <w:spacing w:after="0" w:line="303" w:lineRule="auto"/>
        <w:rPr>
          <w:sz w:val="20"/>
          <w:szCs w:val="20"/>
          <w:color w:val="auto"/>
        </w:rPr>
      </w:pPr>
      <w:r>
        <w:rPr>
          <w:rFonts w:ascii="Arial" w:cs="Arial" w:eastAsia="Arial" w:hAnsi="Arial"/>
          <w:sz w:val="15"/>
          <w:szCs w:val="15"/>
          <w:color w:val="auto"/>
        </w:rPr>
        <w:t>As of December 31, 2013, we are party to forward-starting interest rate swaps that are designated as cash flow hedges of anticipated interest payments for future fixed-rate debt issuances. Our forward-starting interest rate swaps are LIBOR-based instruments. Accordingly, these derivatives are valued using a third-party pricing model that incorporates information about LIBOR yield curves, which is considered observable market data, for each instrument’s respective term.</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third-party pricing model used to value our interest rate derivatives also incorporates Company and counterparty credit valuation adjustments, as appropriate. Counterparties to our interest rate contracts are financial institutions who participate in our $2.25 billion revolving credit facility. Valuations of our interest rate derivatives may fluctuate significantly from period-to-period due to volatility in underlying interest rates, which are driven by market conditions and the scheduled maturities of the derivatives.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Derivatives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foreign currency derivatives are valued using a third-party pricing model that incorporates information about forward Canadian dollar rates, or observable market data, as of the reporting date. The third-party pricing model used to value our foreign currency derivatives also incorporates Company and counterparty credit valuation adjustments, as appropriate. Counterparties to these contracts are financial institutions who participate in our $2.25 billion revolving credit facility. Valuations may fluctuate significantly from period-to-period due to volatility in the Canadian dollar to U.S. dollar exchange rate.</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Electricity Commodity Derivatives</w:t>
      </w:r>
    </w:p>
    <w:p>
      <w:pPr>
        <w:spacing w:after="0" w:line="90"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As of December 31, 2013, we are party to “receive fixed, pay variable” electricity commodity derivatives to hedge the variability in revenues and cash flows caused by fluctuations in the market prices for electricity. These derivative instruments are valued using third-party pricing models that incorporate observable market data, including forward power curves published by Platts and congestion rates where appropriate. The third-party pricing models also incorporate Company and counterparty credit valuation adjustments, as appropriate. Counterparties to our electricity commodity derivatives are either power marketing arms of investor-owned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utilities or power trading desks at various financial institutions. Valuations of the Company’s electricity commodity derivatives may fluctuate significantly from period-to-period due to volatility in the market price of electricity caused by factors such as demand and supply movements, changes in the price of natural gas, and weather related events, among others.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Notes 8 and 14 for additional information regarding our derivative instruments discussed above.</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2013 the carrying value of our debt was approximately $10.2 billion compared with approximately $9.9 billion at December 31, 2012.</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of our debt includes adjustments associated with fair value hedge accounting related to our interest rate swaps as discussed in Note 8.</w:t>
      </w:r>
    </w:p>
    <w:p>
      <w:pPr>
        <w:spacing w:after="0" w:line="10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estimated fair value of our debt was approximately $11.0 billion at December 31, 2013 and approximately $11.3 billion at December 31, 2012. The estimated fair value of our senior notes is based on quoted market prices. The carrying value of remarketable debt and borrowings under our revolving credit facilities approximates fair value due to the short-term nature of the interest rates. The fair value of our other debt is estimated using discounted cash flow analysis, based on current market rates for similar types of instruments. The decrease in the fair value of our debt when comparing December 31, 2013 with December 31, 2012 is primarily related to recent increases in long-term interest rates, which have caused a decline in market prices for fixed-rate corporate debt securities.</w:t>
      </w:r>
    </w:p>
    <w:p>
      <w:pPr>
        <w:spacing w:after="0" w:line="6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Level 2 inputs of the fair value hierarchy available as of December 31, 2013 and 2012. These amounts have not been revalued since those dates, and current estimates of fair value could differ significantly from the amounts presented.</w:t>
      </w:r>
    </w:p>
    <w:p>
      <w:pPr>
        <w:spacing w:after="0" w:line="138" w:lineRule="exact"/>
        <w:rPr>
          <w:sz w:val="20"/>
          <w:szCs w:val="20"/>
          <w:color w:val="auto"/>
        </w:rPr>
      </w:pPr>
    </w:p>
    <w:p>
      <w:pPr>
        <w:ind w:left="240" w:right="8800" w:hanging="232"/>
        <w:spacing w:after="0" w:line="417" w:lineRule="auto"/>
        <w:tabs>
          <w:tab w:leader="none" w:pos="397" w:val="left"/>
        </w:tabs>
        <w:numPr>
          <w:ilvl w:val="0"/>
          <w:numId w:val="9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and Divestitures </w:t>
      </w:r>
      <w:r>
        <w:rPr>
          <w:rFonts w:ascii="Arial" w:cs="Arial" w:eastAsia="Arial" w:hAnsi="Arial"/>
          <w:sz w:val="15"/>
          <w:szCs w:val="15"/>
          <w:b w:val="1"/>
          <w:bCs w:val="1"/>
          <w:i w:val="1"/>
          <w:iCs w:val="1"/>
          <w:color w:val="auto"/>
        </w:rPr>
        <w:t>Current Year Acquisitions</w:t>
      </w:r>
    </w:p>
    <w:p>
      <w:pPr>
        <w:spacing w:after="0" w:line="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continue to pursue the acquisition of businesses that are accretive to our Solid Waste business and enhance and expand our existing service offerings. During the year ended December 31, 2013, we acquired Greenstar, LLC and substantially all of the assets of RCI Environnement, Inc., which are discussed further below. Additionally, we acquired 14 other businesses related primarily to our collection and energy services operations. Total consideration, inclusive of $7 million for estimated working capital, for all acquisitions was $772 million, which included $714 million in cash paid in 2013, debt of $22 million and a liability for contingent consideration with a preliminary estimated fair value of $29 million. The contingent consideration is primarily based on changes in certain recycling commodity indexes and, to a lesser extent, contingent upon achievement by the acquired businesses of certain negotiated goals, which generally include targeted revenues. Our estimated maximum obligations for the contingent cash payments were $33 million at the dates of acquisition. As of December 31, 2013, we had paid $4 million of this contingent consideration. In 2013, we also paid $6 million of contingent consideration associated with acquisitions completed prior to 2013.</w:t>
      </w:r>
    </w:p>
    <w:p>
      <w:pPr>
        <w:spacing w:after="0" w:line="39"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allocation of purchase price for 2013 acquisitions was primarily to “Property and equipment,” which had an estimated fair value of $195 million; “Other intangible assets,” which had an estimated fair value of $232 million; and “Goodwill” of $327 million. Other intangible assets included $218 million of customer and supplier relationships, $5 million of covenants not-to-compete and $9 million of other intangible assets. Goodwill is primarily a result of expected synergies from combining the acquired businesses with our existing operations and is generally tax deductible.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Acquisition of Greenstar, LLC</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On January 31, 2013, we paid $170 million inclusive of certain adjustments, to acquire Greenstar, LLC (“Greenstar”). Pursuant to the sale and purchase agreement, up to an additional $40 million is payable to the sellers during the period from 2014 to 2018, of which $20 million is guaranteed. The remaining $20 million of this consideration is contingent based on changes in certain recyclable commodity indexes and had a preliminary estimated fair value at closing of $16 million. Greenstar was an operator of recycling and resource recovery facilities. This acquisition provides the Company’s customers with greater access to recycling solutions, having supplemented our extensive nationwide recycling network with the operations of one of the nation’s largest private recyclers. Since the acquisition date, the Greenstar business has recognized revenues of $139 million and net losses of $17 million, which are included in our Consolidated Statement of Operations.</w:t>
      </w:r>
    </w:p>
    <w:p>
      <w:pPr>
        <w:spacing w:after="0" w:line="6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Goodwill of $122 million was calculated as the excess of the consideration paid over the net assets recognized and represents the future economic benefits expected to arise from other assets acquired that could not be individually identified and separately recognized. Goodwill has been assigned predominantly to our Areas and, to a lesser extent, our recycling brokerage services, as they are expected to benefit from the synergies of the combination. Goodwill related to this acquisition is deductible for income tax purposes. There have been no material adjustments to the purchase price allocation since the date of acquisition.</w:t>
      </w:r>
    </w:p>
    <w:p>
      <w:pPr>
        <w:spacing w:after="0" w:line="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final allocation of the purchase price for the Greenstar acquisition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2013</w:t>
            </w:r>
          </w:p>
        </w:tc>
      </w:tr>
      <w:tr>
        <w:trPr>
          <w:trHeight w:val="210"/>
        </w:trPr>
        <w:tc>
          <w:tcPr>
            <w:tcW w:w="6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Accounts and other receivables</w:t>
            </w:r>
          </w:p>
        </w:tc>
        <w:tc>
          <w:tcPr>
            <w:tcW w:w="29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Parts and supplies</w:t>
            </w:r>
          </w:p>
        </w:tc>
        <w:tc>
          <w:tcPr>
            <w:tcW w:w="2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2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Accrued liabilities</w:t>
            </w:r>
          </w:p>
        </w:tc>
        <w:tc>
          <w:tcPr>
            <w:tcW w:w="2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Landfill and environmental remediation liabilities</w:t>
            </w:r>
          </w:p>
        </w:tc>
        <w:tc>
          <w:tcPr>
            <w:tcW w:w="2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Other liabilities</w:t>
            </w:r>
          </w:p>
        </w:tc>
        <w:tc>
          <w:tcPr>
            <w:tcW w:w="2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7"/>
        </w:trPr>
        <w:tc>
          <w:tcPr>
            <w:tcW w:w="64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purchase price</w:t>
            </w:r>
          </w:p>
        </w:tc>
        <w:tc>
          <w:tcPr>
            <w:tcW w:w="3360" w:type="dxa"/>
            <w:vAlign w:val="bottom"/>
            <w:gridSpan w:val="2"/>
            <w:shd w:val="clear" w:color="auto" w:fill="CCEEFF"/>
          </w:tcPr>
          <w:p>
            <w:pPr>
              <w:ind w:left="29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r>
      <w:tr>
        <w:trPr>
          <w:trHeight w:val="20"/>
        </w:trPr>
        <w:tc>
          <w:tcPr>
            <w:tcW w:w="64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final allocation of the purchase price to intangible assets (amounts in millions, except for amortization periods):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Amortization</w:t>
            </w:r>
          </w:p>
        </w:tc>
        <w:tc>
          <w:tcPr>
            <w:tcW w:w="0" w:type="dxa"/>
            <w:vAlign w:val="bottom"/>
          </w:tcPr>
          <w:p>
            <w:pPr>
              <w:spacing w:after="0"/>
              <w:rPr>
                <w:sz w:val="1"/>
                <w:szCs w:val="1"/>
                <w:color w:val="auto"/>
              </w:rPr>
            </w:pPr>
          </w:p>
        </w:tc>
      </w:tr>
      <w:tr>
        <w:trPr>
          <w:trHeight w:val="161"/>
        </w:trPr>
        <w:tc>
          <w:tcPr>
            <w:tcW w:w="42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110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Periods (in Years)</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Supplier relationships</w:t>
            </w:r>
          </w:p>
        </w:tc>
        <w:tc>
          <w:tcPr>
            <w:tcW w:w="3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Lease agreements</w:t>
            </w:r>
          </w:p>
        </w:tc>
        <w:tc>
          <w:tcPr>
            <w:tcW w:w="3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intangible assets subject to amortization</w:t>
            </w:r>
          </w:p>
        </w:tc>
        <w:tc>
          <w:tcPr>
            <w:tcW w:w="3700" w:type="dxa"/>
            <w:vAlign w:val="bottom"/>
            <w:gridSpan w:val="2"/>
            <w:shd w:val="clear" w:color="auto" w:fill="CCEEFF"/>
          </w:tcPr>
          <w:p>
            <w:pPr>
              <w:ind w:left="3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500" w:type="dxa"/>
            <w:vAlign w:val="bottom"/>
            <w:vMerge w:val="restart"/>
          </w:tcPr>
          <w:p>
            <w:pPr>
              <w:jc w:val="right"/>
              <w:ind w:right="2312"/>
              <w:spacing w:after="0"/>
              <w:rPr>
                <w:sz w:val="20"/>
                <w:szCs w:val="20"/>
                <w:color w:val="auto"/>
              </w:rPr>
            </w:pPr>
            <w:r>
              <w:rPr>
                <w:rFonts w:ascii="Arial" w:cs="Arial" w:eastAsia="Arial" w:hAnsi="Arial"/>
                <w:sz w:val="18"/>
                <w:szCs w:val="18"/>
                <w:color w:val="auto"/>
              </w:rPr>
              <w:t>133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28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Acquisition of RCI Environnement, Inc.</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On July 5, 2013, we paid C$509 million, or $481 million, to acquire substantially all of the assets of RCI Environnement, Inc. (“RCI”), the largest waste management company in Quebec, and certain related entities. Total consideration, inclusive of amounts for estimated working capital, was C$515 million, or $487 million. RCI provides collection, transfer, recycling and disposal operations throughout the Greater Montreal area. The acquired RCI operations complement and expand the Company’s existing assets and operations in Quebec. Since the acquisition date, the RCI business has recognized revenues of $87 million and net income of $7 million, which are included in our Consolidated Statement of Operations.</w:t>
      </w:r>
    </w:p>
    <w:p>
      <w:pPr>
        <w:spacing w:after="0" w:line="3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Goodwill of $177 million was calculated as the excess of the consideration paid over the net assets recognized and represents the future economic benefits expected to arise from other assets acquired that could not be individually identified and separately recognized. Goodwill has been assigned to our Eastern Canada Area as it is expected to benefit from the synergies of the combination. A portion of goodwill related to this acquisition is deductible for income tax purposes in accordance with Canadian tax law. There have been no material adjustments to the purchase price allocation since the date of acquisition.</w:t>
      </w:r>
    </w:p>
    <w:p>
      <w:pPr>
        <w:spacing w:after="0" w:line="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allocation of the purchase price for the RCI acquisition is preliminary and subject to change based on the finalization of our detailed valuation. The following table presents the preliminary allocation of the purchase price for the RCI acquisition (in millions):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210"/>
        </w:trPr>
        <w:tc>
          <w:tcPr>
            <w:tcW w:w="9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Accounts and other receivables</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Landfill and environmental remediation liabilities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300" w:type="dxa"/>
            <w:vAlign w:val="bottom"/>
            <w:vMerge w:val="restart"/>
          </w:tcPr>
          <w:p>
            <w:pPr>
              <w:ind w:left="220"/>
              <w:spacing w:after="0"/>
              <w:rPr>
                <w:sz w:val="20"/>
                <w:szCs w:val="20"/>
                <w:color w:val="auto"/>
              </w:rPr>
            </w:pPr>
            <w:r>
              <w:rPr>
                <w:rFonts w:ascii="Arial" w:cs="Arial" w:eastAsia="Arial" w:hAnsi="Arial"/>
                <w:sz w:val="18"/>
                <w:szCs w:val="18"/>
                <w:color w:val="auto"/>
              </w:rPr>
              <w:t>Total purchase price</w:t>
            </w: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00" w:type="dxa"/>
            <w:vAlign w:val="bottom"/>
            <w:vMerge w:val="continue"/>
          </w:tcPr>
          <w:p>
            <w:pPr>
              <w:spacing w:after="0"/>
              <w:rPr>
                <w:sz w:val="19"/>
                <w:szCs w:val="19"/>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preliminary allocation of the purchase price to intangible assets (amounts in millions, except for amortization periods):</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Amortization</w:t>
            </w:r>
          </w:p>
        </w:tc>
        <w:tc>
          <w:tcPr>
            <w:tcW w:w="0" w:type="dxa"/>
            <w:vAlign w:val="bottom"/>
          </w:tcPr>
          <w:p>
            <w:pPr>
              <w:spacing w:after="0"/>
              <w:rPr>
                <w:sz w:val="1"/>
                <w:szCs w:val="1"/>
                <w:color w:val="auto"/>
              </w:rPr>
            </w:pPr>
          </w:p>
        </w:tc>
      </w:tr>
      <w:tr>
        <w:trPr>
          <w:trHeight w:val="161"/>
        </w:trPr>
        <w:tc>
          <w:tcPr>
            <w:tcW w:w="42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102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Periods (in Years)</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3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Trade name</w:t>
            </w:r>
          </w:p>
        </w:tc>
        <w:tc>
          <w:tcPr>
            <w:tcW w:w="3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intangible assets subject to amortization</w:t>
            </w:r>
          </w:p>
        </w:tc>
        <w:tc>
          <w:tcPr>
            <w:tcW w:w="3740" w:type="dxa"/>
            <w:vAlign w:val="bottom"/>
            <w:gridSpan w:val="2"/>
            <w:shd w:val="clear" w:color="auto" w:fill="CCEEFF"/>
          </w:tcPr>
          <w:p>
            <w:pPr>
              <w:ind w:left="3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580" w:type="dxa"/>
            <w:vAlign w:val="bottom"/>
            <w:vMerge w:val="restart"/>
          </w:tcPr>
          <w:p>
            <w:pPr>
              <w:jc w:val="right"/>
              <w:ind w:right="2392"/>
              <w:spacing w:after="0"/>
              <w:rPr>
                <w:sz w:val="20"/>
                <w:szCs w:val="20"/>
                <w:color w:val="auto"/>
              </w:rPr>
            </w:pPr>
            <w:r>
              <w:rPr>
                <w:rFonts w:ascii="Arial" w:cs="Arial" w:eastAsia="Arial" w:hAnsi="Arial"/>
                <w:sz w:val="18"/>
                <w:szCs w:val="18"/>
                <w:color w:val="auto"/>
              </w:rPr>
              <w:t>134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28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 Forma Consolidated Results of Operations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pro forma consolidated results of operations have been prepared as if the acquisitions of RCI and Greenstar occurred at January 1, 2012 (in millions, except per share amounts):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180" w:type="dxa"/>
            <w:vAlign w:val="bottom"/>
            <w:gridSpan w:val="4"/>
          </w:tcPr>
          <w:p>
            <w:pPr>
              <w:ind w:left="26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83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2013</w:t>
            </w:r>
          </w:p>
        </w:tc>
        <w:tc>
          <w:tcPr>
            <w:tcW w:w="70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14,085</w:t>
            </w: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14,009</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112</w:t>
            </w:r>
          </w:p>
        </w:tc>
        <w:tc>
          <w:tcPr>
            <w:tcW w:w="70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r>
      <w:tr>
        <w:trPr>
          <w:trHeight w:val="222"/>
        </w:trPr>
        <w:tc>
          <w:tcPr>
            <w:tcW w:w="83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680" w:type="dxa"/>
            <w:vAlign w:val="bottom"/>
          </w:tcPr>
          <w:p>
            <w:pPr>
              <w:jc w:val="right"/>
              <w:spacing w:after="0"/>
              <w:rPr>
                <w:sz w:val="20"/>
                <w:szCs w:val="20"/>
                <w:color w:val="auto"/>
              </w:rPr>
            </w:pPr>
            <w:r>
              <w:rPr>
                <w:rFonts w:ascii="Arial" w:cs="Arial" w:eastAsia="Arial" w:hAnsi="Arial"/>
                <w:sz w:val="18"/>
                <w:szCs w:val="18"/>
                <w:color w:val="auto"/>
              </w:rPr>
              <w:t>0.24</w:t>
            </w:r>
          </w:p>
        </w:tc>
        <w:tc>
          <w:tcPr>
            <w:tcW w:w="7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Prior Year Acquisitions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2012, we paid $94 million for interests in oil and gas producing properties through two transactions. The purchase price was allocated primarily to “Property and equipment.” Additionally, we acquired 32 other businesses related to our Solid Waste business. Total consideration, net of cash acquired, for all acquisitions was $244 million, which included $207 million in cash paid in 2012, deposits paid during 2011 for acquisitions completed in 2012 of $7 million, a liability for additional cash payments with a preliminary estimated fair value of $22 million, and assumed liabilities of $8 million. The additional cash payments are contingent upon achievement by the acquired businesses of certain negotiated goals, which generally include targeted revenues. At the dates of acquisition, our estimated maximum obligations for the contingent cash payments were $57 million. As of December 31, 2012, we had paid $9 million of this contingent consideration. In 2012, we also paid $34 million of contingent consideration associated with acquisitions completed prior to 2012.</w:t>
      </w:r>
    </w:p>
    <w:p>
      <w:pPr>
        <w:spacing w:after="0" w:line="3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allocation of purchase price for 2012 acquisitions was primarily to “Property and equipment,” which had an estimated fair value of $126 million; “Other intangible assets,” which had an estimated fair value of $43 million; and “Goodwill” of $69 million. Other intangible assets included $34 million of customer contracts and customer relationships and $9 million of covenants not-to-compete. Goodwill is primarily a result of expected synergies from combining the acquired businesses with our existing operations and is tax deductible.</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2011, we acquired businesses primarily related to our Solid Waste business, including the acquisition of Oakleaf discussed below. Total consideration, net of cash acquired, for all acquisitions was $893 million, which included $839 million in cash payments, a liability for additional cash payments with a preliminary estimated fair value of $47 million, and assumed liabilities of $7 million. In 2011, we paid $8 million in deposits for acquisitions that had not closed as of December 31, 2011. The additional cash payments are contingent upon achievement by the acquired businesses of certain negotiated goals, which generally include targeted revenues. At the dates of acquisition, our estimated maximum obligations for the contingent cash payments were $49 million. As of December 31, 2011, we had paid $12 million of this contingent consideration. In 2011, we also paid $8 million of contingent consideration associated with acquisitions completed in 2010 and 2009.</w:t>
      </w:r>
    </w:p>
    <w:p>
      <w:pPr>
        <w:spacing w:after="0" w:line="3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allocation of purchase price for 2011 acquisitions was primarily to “Property and equipment,” which had an estimated fair value of $225 million; “Other intangible assets,” which had an estimated fair value of $225 million; and “Goodwill” of $497 million. Other intangible assets included $166 million of customer contracts and customer relationships, $29 million of covenants not-to-compete and $30 million of licenses, permits and other. Goodwill is primarily a result of expected synergies from combining the acquired businesses with our existing operations and is tax deductible, except for the $327 million recognized from the Oakleaf acquisition, which is not deductible for income tax purposes.</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Acquisition of Oakleaf Global Holdings</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On July 28, 2011, we paid $432 million, net of cash received of $4 million and inclusive of certain adjustments, to acquire Oakleaf. Oakleaf provides outsourced waste and recycling services through a nationwide network of third-party haulers. We acquired Oakleaf to advance our growth and transformation strategies and</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40"/>
          </w:cols>
          <w:pgMar w:left="240" w:top="459" w:right="3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increase our national accounts customer base while enhancing our ability to provide comprehensive environmental solutions. For the year ended December 31, 2011, subsequent to the acquisition date, Oakleaf recognized revenues of $265 million and net income of less than $1 million, which are included in our Consolidated Statement of Operations.</w:t>
      </w:r>
    </w:p>
    <w:p>
      <w:pPr>
        <w:spacing w:after="0" w:line="59"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pro forma consolidated results of operations have been prepared as if the acquisition of Oakleaf occurred at January 1, 2011 (in millions, except per share amounts):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w w:val="89"/>
              </w:rPr>
              <w:t>Year Ended December 31, 2011</w:t>
            </w:r>
          </w:p>
        </w:tc>
      </w:tr>
      <w:tr>
        <w:trPr>
          <w:trHeight w:val="210"/>
        </w:trPr>
        <w:tc>
          <w:tcPr>
            <w:tcW w:w="8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r>
      <w:tr>
        <w:trPr>
          <w:trHeight w:val="222"/>
        </w:trPr>
        <w:tc>
          <w:tcPr>
            <w:tcW w:w="86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Divestitures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aggregate sales price for divestitures of operations was $70 million in 2013, $7 million in 2012 and $32 million in 2011. The proceeds from these sales for 2013 and 2012 were comprised substantially of cash. For 2011, the proceeds from these sales were comprised primarily of assets acquired in exchanges of assets. We recognized net gains on these divestitures of $8 million and less than $1 million in 2013 and 2012, respectively, and net losses on these divestitures of $1 million in 2011. These divestitures were made as part of our initiative to improve or divest certain underperforming and non-strategic operations. The remaining amounts reported in the Consolidated Statement of Cash Flows generally relate to the sale of fixed assets.</w:t>
      </w:r>
    </w:p>
    <w:p>
      <w:pPr>
        <w:spacing w:after="0" w:line="1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Variable Interest Entities</w:t>
      </w:r>
    </w:p>
    <w:p>
      <w:pPr>
        <w:spacing w:after="0" w:line="96" w:lineRule="exact"/>
        <w:rPr>
          <w:sz w:val="20"/>
          <w:szCs w:val="20"/>
          <w:color w:val="auto"/>
        </w:rPr>
      </w:pPr>
    </w:p>
    <w:p>
      <w:pPr>
        <w:jc w:val="both"/>
        <w:ind w:right="660" w:firstLine="456"/>
        <w:spacing w:after="0" w:line="259" w:lineRule="auto"/>
        <w:rPr>
          <w:sz w:val="20"/>
          <w:szCs w:val="20"/>
          <w:color w:val="auto"/>
        </w:rPr>
      </w:pPr>
      <w:r>
        <w:rPr>
          <w:rFonts w:ascii="Arial" w:cs="Arial" w:eastAsia="Arial" w:hAnsi="Arial"/>
          <w:sz w:val="18"/>
          <w:szCs w:val="18"/>
          <w:color w:val="auto"/>
        </w:rPr>
        <w:t>Following is a description of our financial interests in variable interest entities that we consider significant, including (i) those for which we have determined that we are the primary beneficiary of the entity and, therefore, have consolidated the entities into our financial statements; and (ii) those that represent a significant interest in an unconsolidated entity.</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Waste-to-Energy LLCs </w:t>
      </w:r>
      <w:r>
        <w:rPr>
          <w:rFonts w:ascii="Arial" w:cs="Arial" w:eastAsia="Arial" w:hAnsi="Arial"/>
          <w:sz w:val="18"/>
          <w:szCs w:val="18"/>
          <w:color w:val="auto"/>
        </w:rPr>
        <w:t>— In June 2000, two limited liability companies were established to purchase interests in existing leveraged lease financings at</w:t>
      </w:r>
      <w:r>
        <w:rPr>
          <w:rFonts w:ascii="Arial" w:cs="Arial" w:eastAsia="Arial" w:hAnsi="Arial"/>
          <w:sz w:val="18"/>
          <w:szCs w:val="18"/>
          <w:i w:val="1"/>
          <w:iCs w:val="1"/>
          <w:color w:val="auto"/>
        </w:rPr>
        <w:t xml:space="preserve"> </w:t>
      </w:r>
      <w:r>
        <w:rPr>
          <w:rFonts w:ascii="Arial" w:cs="Arial" w:eastAsia="Arial" w:hAnsi="Arial"/>
          <w:sz w:val="18"/>
          <w:szCs w:val="18"/>
          <w:color w:val="auto"/>
        </w:rPr>
        <w:t>three waste-to-energy facilities that we lease, operate and maintain. We own a 0.5% interest in one of the LLCs (“LLC I”) and a 0.25% interest in the second LLC (“LLC II”). John Hancock Life Insurance Company (“Hancock”) owns 99.5% of LLC I and 99.75% of LLC II is owned by LLC I and the CIT Group (“CIT”). In 2000, Hancock and CIT made an initial investment of $167 million in the LLCs, which was used to purchase the three waste-to-energy facilities and assume the seller’s indebtedness. Under the LLC agreements, the LLCs shall be dissolved upon the occurrence of any of the following events: (i) a written decision of all members of the LLCs; (ii) December 31, 2063; (iii) a court’s dissolution of the LLCs; or (iv) the LLCs ceasing to own any interest in the waste-to-energy facilities.</w:t>
      </w:r>
    </w:p>
    <w:p>
      <w:pPr>
        <w:spacing w:after="0" w:line="6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Income, losses and cash flows of the LLCs are allocated to the members based on their initial equity ownership percentages until Hancock and CIT achieve targeted returns on their initial capital investments in each respective LLC. All allocations made through December 31, 2013 have been based on initial equity ownership percentages as the target returns have not yet been achieved for either LLC. We currently expect Hancock and CIT to achieve their targeted return on LLC II in early 2015 and Hancock to achieve its targeted return on LLC I in mid-2015. After the investors have achieved their targeted returns, the LLC agreements provide that we will receive 80% of the earnings of each of the LLCs and Hancock and CIT will be allocated the remaining 20%.</w:t>
      </w:r>
    </w:p>
    <w:p>
      <w:pPr>
        <w:spacing w:after="0" w:line="3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obligations associated with our interests in the LLCs are primarily related to the lease of the facilities. In addition to our minimum lease payment obligations, we are required to make cash payments to the LLCs for differences between fair market rents and our minimum lease payments. These payments are subject to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adjustment based on factors that include the fair market value of rents for the facilities and lease payments made through the re-measurement dates. In addition, we may also be required under certain circumstances to make capital contributions to the LLCs based on differences between the fair market value of the facilities and defined termination values as provided for in the underlying lease agreements, although we believe the likelihood of the occurrence of these circumstances is remote.</w:t>
      </w:r>
    </w:p>
    <w:p>
      <w:pPr>
        <w:spacing w:after="0" w:line="6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have determined that we are the primary beneficiary of the LLCs and consolidate these entities in our Consolidated Financial Statements because (i) all of the equity owners of the LLCs are considered related parties for purposes of applying this accounting guidance; (ii) the equity owners share power over the significant activities of the LLCs; and (iii) we are the entity within the related party group whose activities are most closely associated with the LLCs.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2013 and 2012, our Consolidated Balance Sheets included $284 million and $296 million, respectively, of net property and equipment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the LLCs’ waste-to-energy facilities and $239 million and $245 million, respectively, in noncontrolling interests associated with Hancock’s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CIT’s interests in the LLCs. During the years ended December 31, 2013, 2012 and 2011, we recognized reductions in earnings of $43 million, $45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 million, respectively, for Hancock’s and CIT’s noncontrolling interests in the LLCs’ earnings, which are included in our consolidated net income. The LLCs’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earnings relate to the rental income generated from leasing the facilities to our subsidiaries, reduced by depreciation expense. The LLCs’ rental income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eliminated in WM’s consolidation.</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Unconsolidated Variable Interest Entities</w:t>
      </w:r>
    </w:p>
    <w:p>
      <w:pPr>
        <w:spacing w:after="0" w:line="9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i w:val="1"/>
          <w:iCs w:val="1"/>
          <w:color w:val="auto"/>
        </w:rPr>
        <w:t xml:space="preserve">Investment in U.K. Waste-to-Energy and Recycling Entity — </w:t>
      </w:r>
      <w:r>
        <w:rPr>
          <w:rFonts w:ascii="Arial" w:cs="Arial" w:eastAsia="Arial" w:hAnsi="Arial"/>
          <w:sz w:val="16"/>
          <w:szCs w:val="16"/>
          <w:color w:val="auto"/>
        </w:rPr>
        <w:t>In the first quarter of 2012, we formed a U.K. joint venture (the “JV”), together with a</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waste management company (“Partner”), to develop, construct, operate and maintain a waste-to-energy and recycling facility in England. We own a 50% interest in the JV. The total cost of constructing this facility is expected to be £200 million, or $331 million based on the exchange rate as of December 31, 2013. The JV will be funded primarily through loans from the joint venture partners and loans under the JV’s credit facility agreements with third-party financial institutions. The funds loaned under the credit facility agreements will be used for the development and construction of the facility. We are committed to provide funding of up to £57 million, or $94 million, based on the exchange rate as of December 31, 2013, of funding to the JV. Our actual commitment may be more or less depending on the actual cost of the facility. Through December 31, 2013, we had funded approximately £11 million, or $18 million, through loans and less than $1 million through equity contributions. These amounts are included in our Condensed Consolidated Balance Sheet as long-term “Other assets” and “Investments in unconsolidated entities,” respectively. In addition to the funding commitments described above, the JV has entered into certain foreign currency and interest rate derivatives at the direction of the governmental authority that awarded the project to the JV. The impacts of gains or losses incurred on these derivatives will ultimately be remitted to or recoverable from the governmental authority under the terms of the project, and accordingly, are not reflected in our “Equity in net losses of unconsolidated entities”. We also have guaranteed the performance of certain management services for the project for which our maximum exposure is not material.</w:t>
      </w:r>
    </w:p>
    <w:p>
      <w:pPr>
        <w:spacing w:after="0" w:line="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a wholly-owned subsidiary of WM will be responsible for constructing the waste-to-energy facility for the JV under a fixed-price construction contract. Once the facility is constructed, a majority-owned subsidiary of WM will be responsible for operating and maintaining the facility for the JV under a substantially fixed-price operating and maintenance contract. Under the operating and maintenance contract, we have guaranteed our ability to operate this facility at certain performance levels that we believe are achievable. We also will be jointly responsible, along with our Partner, for the performance of sales and marketing services for the JV through a 50%-owned unconsolidated entity. The fixed-price components of the above mentioned contracts were established based on estimates of expected construction, operation and maintenance costs.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However, we may not achieve the financial results anticipated and could incur losses if the actual costs differ from the costs established in the contracts. A range of our exposure to potential loss under these contracts cannot presently be estimated.</w:t>
      </w:r>
    </w:p>
    <w:p>
      <w:pPr>
        <w:spacing w:after="0" w:line="51"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We determined that we are not the primary beneficiary of the JV, as all major decisions of the JV require either majority vote or unanimous consent of the directors (who are appointed in equal numbers by us and our Partner) or unanimous consent of the two shareholders of the JV. As such, our Partner shares equally in the power to direct the activities of the JV that most significantly impact its economic performance, including approval of the facility construction and operations and maintenance contract terms. Accordingly, we account for this investment under the equity method of accounting and do not consolidate this entity.</w:t>
      </w:r>
    </w:p>
    <w:p>
      <w:pPr>
        <w:spacing w:after="0" w:line="1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i w:val="1"/>
          <w:iCs w:val="1"/>
          <w:color w:val="auto"/>
        </w:rPr>
        <w:t xml:space="preserve">Investment in Refined Coal Facility </w:t>
      </w:r>
      <w:r>
        <w:rPr>
          <w:rFonts w:ascii="Arial" w:cs="Arial" w:eastAsia="Arial" w:hAnsi="Arial"/>
          <w:sz w:val="16"/>
          <w:szCs w:val="16"/>
          <w:color w:val="auto"/>
        </w:rPr>
        <w:t>— In January 2011, we acquired a noncontrolling interest in a limited liability company established to invest in and</w:t>
      </w:r>
      <w:r>
        <w:rPr>
          <w:rFonts w:ascii="Arial" w:cs="Arial" w:eastAsia="Arial" w:hAnsi="Arial"/>
          <w:sz w:val="16"/>
          <w:szCs w:val="16"/>
          <w:i w:val="1"/>
          <w:iCs w:val="1"/>
          <w:color w:val="auto"/>
        </w:rPr>
        <w:t xml:space="preserve"> </w:t>
      </w:r>
      <w:r>
        <w:rPr>
          <w:rFonts w:ascii="Arial" w:cs="Arial" w:eastAsia="Arial" w:hAnsi="Arial"/>
          <w:sz w:val="16"/>
          <w:szCs w:val="16"/>
          <w:color w:val="auto"/>
        </w:rPr>
        <w:t>manage a refined coal facility. Along with the other equity investor, we support the operations of the entity in exchange for a pro-rata share of the tax credits it generates. Our initial consideration for this investment consisted of a cash payment of $48 million. At December 31, 2013 and 2012, our investment balance was $27 million and $19 million, respectively, representing our current maximum pre-tax exposure to loss. Under the terms and conditions of the transaction, we do not believe that we have any material exposure to loss. Required capital contributions commenced in the first quarter of 2013 and will continue through the expiration of the tax credits under Section 45 of the Internal Revenue Code, which occurs at the end of 2019. We are only obligated to make future contributions to the extent tax credits are generated.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9.</w:t>
      </w:r>
    </w:p>
    <w:p>
      <w:pPr>
        <w:spacing w:after="0" w:line="3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 xml:space="preserve">Investment in Low-Income Housing Properties </w:t>
      </w:r>
      <w:r>
        <w:rPr>
          <w:rFonts w:ascii="Arial" w:cs="Arial" w:eastAsia="Arial" w:hAnsi="Arial"/>
          <w:sz w:val="16"/>
          <w:szCs w:val="16"/>
          <w:color w:val="auto"/>
        </w:rPr>
        <w:t>— In April 2010, we acquired a noncontrolling interest in a limited liability company established to invest</w:t>
      </w:r>
      <w:r>
        <w:rPr>
          <w:rFonts w:ascii="Arial" w:cs="Arial" w:eastAsia="Arial" w:hAnsi="Arial"/>
          <w:sz w:val="16"/>
          <w:szCs w:val="16"/>
          <w:i w:val="1"/>
          <w:iCs w:val="1"/>
          <w:color w:val="auto"/>
        </w:rPr>
        <w:t xml:space="preserve"> </w:t>
      </w:r>
      <w:r>
        <w:rPr>
          <w:rFonts w:ascii="Arial" w:cs="Arial" w:eastAsia="Arial" w:hAnsi="Arial"/>
          <w:sz w:val="16"/>
          <w:szCs w:val="16"/>
          <w:color w:val="auto"/>
        </w:rPr>
        <w:t>in and manage low-income housing properties. We support the operations of the entity in exchange for a pro-rata share of the tax credits it generates. Our target return on the investment is guaranteed and, therefore, we do not believe that we have any material exposure to loss. Our consideration for this investment totaled $221 million, which was comprised of a $215 million note payable and an initial cash payment of $6 million. At December 31, 2013 and 2012, our investment balance was $129 million and $153 million, respectively, and our debt balance was $128 million and $152 million, respectively.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9.</w:t>
      </w:r>
    </w:p>
    <w:p>
      <w:pPr>
        <w:spacing w:after="0" w:line="3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Trusts for Final Capping, Closure, Post-Closure or Environmental Remediation Obligations </w:t>
      </w:r>
      <w:r>
        <w:rPr>
          <w:rFonts w:ascii="Arial" w:cs="Arial" w:eastAsia="Arial" w:hAnsi="Arial"/>
          <w:sz w:val="16"/>
          <w:szCs w:val="16"/>
          <w:color w:val="auto"/>
        </w:rPr>
        <w:t>— We have significant financial interests in trust funds that</w:t>
      </w:r>
      <w:r>
        <w:rPr>
          <w:rFonts w:ascii="Arial" w:cs="Arial" w:eastAsia="Arial" w:hAnsi="Arial"/>
          <w:sz w:val="16"/>
          <w:szCs w:val="16"/>
          <w:i w:val="1"/>
          <w:iCs w:val="1"/>
          <w:color w:val="auto"/>
        </w:rPr>
        <w:t xml:space="preserve"> </w:t>
      </w:r>
      <w:r>
        <w:rPr>
          <w:rFonts w:ascii="Arial" w:cs="Arial" w:eastAsia="Arial" w:hAnsi="Arial"/>
          <w:sz w:val="16"/>
          <w:szCs w:val="16"/>
          <w:color w:val="auto"/>
        </w:rPr>
        <w:t>were created to settle certain of our final capping, closure, post-closure or environmental remediation obligations. Generally, we are the sole beneficiary of these restricted balances; however, certain of the funds have been established for the benefit of both the Company and the host community in which we operate. We have determined that these trust funds are variable interest entities; however, we are not the primary beneficiary of these entities because either (i) we do not have the power to direct the significant activities of the trusts or (ii) power over the trusts’ significant activities is shared.</w:t>
      </w:r>
    </w:p>
    <w:p>
      <w:pPr>
        <w:spacing w:after="0" w:line="35" w:lineRule="exact"/>
        <w:rPr>
          <w:sz w:val="20"/>
          <w:szCs w:val="20"/>
          <w:color w:val="auto"/>
        </w:rPr>
      </w:pPr>
    </w:p>
    <w:p>
      <w:pPr>
        <w:jc w:val="both"/>
        <w:ind w:right="160" w:firstLine="456"/>
        <w:spacing w:after="0" w:line="255" w:lineRule="auto"/>
        <w:rPr>
          <w:sz w:val="20"/>
          <w:szCs w:val="20"/>
          <w:color w:val="auto"/>
        </w:rPr>
      </w:pPr>
      <w:r>
        <w:rPr>
          <w:rFonts w:ascii="Arial" w:cs="Arial" w:eastAsia="Arial" w:hAnsi="Arial"/>
          <w:sz w:val="18"/>
          <w:szCs w:val="18"/>
          <w:color w:val="auto"/>
        </w:rPr>
        <w:t>We account for the trusts for which we are the sole beneficiary as long-term “Other assets” in our Consolidated Balance Sheet. We reflect our interests in the unrealized gains and losses on available-for-sale securities held by these trusts as a component of “Accumulated other comprehensive income.” These trusts had a fair value of $125 million at both December 31, 2013 and 2012. Our interests in the trusts that have been established for the benefit of both the Company and the host community in which we operate are accounted for as investments in unconsolidated entities and receivables. These amounts are recorded in “Other receivables,”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80"/>
          </w:cols>
          <w:pgMar w:left="240" w:top="459"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“Investments in unconsolidated entities” and long-term “Other assets” in our Consolidated Balance Sheet, as appropriate. Our investments and receivables related to these trusts had an aggregate carrying value of $110 million as of both December 31, 2013 and December 31, 2012.</w:t>
      </w:r>
    </w:p>
    <w:p>
      <w:pPr>
        <w:spacing w:after="0" w:line="5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As the party with primary responsibility to fund the related final capping, closure, post-closure or environmental remediation activities, we are exposed to risk of loss as a result of potential changes in the fair value of the assets of the trust. The fair value of trust assets can fluctuate due to (i) changes in the market value of the investments held by the trusts and (ii) credit risk associated with trust receivables. Although we are exposed to changes in the fair value of the trust assets, we currently expect the trust funds to continue to meet the statutory requirements for which they were established.</w:t>
      </w:r>
    </w:p>
    <w:p>
      <w:pPr>
        <w:spacing w:after="0" w:line="1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Segment and Related Information</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July 2012, we announced a reorganization of operations, designed to streamline management and staff support and reduce our cost structure, while not disrupting our front-line operations. Principal organizational changes included removing the management layer of our four geographic Groups, each of which previously constituted a reportable segment, and consolidating and reducing the number of our geographic Areas from 22 to 17.</w:t>
      </w:r>
    </w:p>
    <w:p>
      <w:pPr>
        <w:spacing w:after="0" w:line="2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Following our reorganization, our senior management now evaluates, oversees and manages the financial performance of our Solid Waste subsidiaries through these 17 Areas. The 17 Areas constitute our operating segments and none of the Areas individually meet the quantitative criteria to be a separate reportable segment. We have evaluated the aggregation criteria and concluded that, based on the similarities between our Areas, including the fact that our Solid Waste business is homogenous across geography with the same services offered across the Areas, aggregation of our Areas is appropriate for purposes of presenting our reportable segments. Accordingly, we have aggregated our 17 Areas into three tiers that we believe have similar economic characteristics and future prospects based in large part on a review of the Areas’ income from operations margins. The economic variations experienced by our Areas is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 As a result of our consideration of economic and other similarities, we have established the following three reportable segments for our Solid Waste business: Tier 1, which is comprised almost exclusively of Areas in the Southern United States; Tier 2, which is comprised predominately of Areas located in the Midwest and Northeast United States; and Tier 3, which encompasses all remaining Areas, including the Northwest and Mid-Atlantic regions of the United States and Eastern Canada. Our Wheelabrator business, which manages waste-to-energy facilities and independent power production plants, continues to be a separate reportable segment as it meets one of the quantitative disclosure thresholds. The operating segments not evaluated and overseen through the 17 Areas and Wheelabrator, including the Oakleaf operations we acquired in 2011, are presented herein as “Other” as these operating segments do not meet the criteria to be aggregated with other operating segments and do not meet the quantitative criteria to be separately reported.</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380"/>
          </w:cols>
          <w:pgMar w:left="240" w:top="459" w:right="2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Summarized financial information concerning our reportable segments for the respective years ended December 31 is shown in the following table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33"/>
              <w:spacing w:after="0" w:line="149" w:lineRule="exact"/>
              <w:rPr>
                <w:sz w:val="20"/>
                <w:szCs w:val="20"/>
                <w:color w:val="auto"/>
              </w:rPr>
            </w:pPr>
            <w:r>
              <w:rPr>
                <w:rFonts w:ascii="Arial" w:cs="Arial" w:eastAsia="Arial" w:hAnsi="Arial"/>
                <w:sz w:val="14"/>
                <w:szCs w:val="14"/>
                <w:b w:val="1"/>
                <w:bCs w:val="1"/>
                <w:color w:val="auto"/>
                <w:w w:val="83"/>
              </w:rPr>
              <w:t>Gross</w:t>
            </w:r>
          </w:p>
        </w:tc>
        <w:tc>
          <w:tcPr>
            <w:tcW w:w="48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Intercompany</w:t>
            </w:r>
          </w:p>
        </w:tc>
        <w:tc>
          <w:tcPr>
            <w:tcW w:w="100" w:type="dxa"/>
            <w:vAlign w:val="bottom"/>
          </w:tcPr>
          <w:p>
            <w:pPr>
              <w:spacing w:after="0"/>
              <w:rPr>
                <w:sz w:val="12"/>
                <w:szCs w:val="12"/>
                <w:color w:val="auto"/>
              </w:rPr>
            </w:pPr>
          </w:p>
        </w:tc>
        <w:tc>
          <w:tcPr>
            <w:tcW w:w="48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rPr>
              <w:t>Net</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from</w:t>
            </w: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Depreciation</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94"/>
              <w:spacing w:after="0" w:line="149" w:lineRule="exact"/>
              <w:rPr>
                <w:sz w:val="20"/>
                <w:szCs w:val="20"/>
                <w:color w:val="auto"/>
              </w:rPr>
            </w:pPr>
            <w:r>
              <w:rPr>
                <w:rFonts w:ascii="Arial" w:cs="Arial" w:eastAsia="Arial" w:hAnsi="Arial"/>
                <w:sz w:val="14"/>
                <w:szCs w:val="14"/>
                <w:b w:val="1"/>
                <w:bCs w:val="1"/>
                <w:color w:val="auto"/>
                <w:w w:val="98"/>
              </w:rPr>
              <w:t>Capital</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Operating</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7"/>
              </w:rPr>
              <w:t>Operating</w:t>
            </w: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Operating</w:t>
            </w:r>
          </w:p>
        </w:tc>
        <w:tc>
          <w:tcPr>
            <w:tcW w:w="48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Operations</w:t>
            </w:r>
          </w:p>
        </w:tc>
        <w:tc>
          <w:tcPr>
            <w:tcW w:w="180" w:type="dxa"/>
            <w:vAlign w:val="bottom"/>
          </w:tcPr>
          <w:p>
            <w:pPr>
              <w:spacing w:after="0"/>
              <w:rPr>
                <w:sz w:val="12"/>
                <w:szCs w:val="12"/>
                <w:color w:val="auto"/>
              </w:rPr>
            </w:pPr>
          </w:p>
        </w:tc>
        <w:tc>
          <w:tcPr>
            <w:tcW w:w="600" w:type="dxa"/>
            <w:vAlign w:val="bottom"/>
          </w:tcPr>
          <w:p>
            <w:pPr>
              <w:jc w:val="right"/>
              <w:ind w:right="193"/>
              <w:spacing w:after="0" w:line="149" w:lineRule="exact"/>
              <w:rPr>
                <w:sz w:val="20"/>
                <w:szCs w:val="20"/>
                <w:color w:val="auto"/>
              </w:rPr>
            </w:pPr>
            <w:r>
              <w:rPr>
                <w:rFonts w:ascii="Arial" w:cs="Arial" w:eastAsia="Arial" w:hAnsi="Arial"/>
                <w:sz w:val="14"/>
                <w:szCs w:val="14"/>
                <w:b w:val="1"/>
                <w:bCs w:val="1"/>
                <w:color w:val="auto"/>
              </w:rPr>
              <w:t>and</w:t>
            </w:r>
          </w:p>
        </w:tc>
        <w:tc>
          <w:tcPr>
            <w:tcW w:w="46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Expenditures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81"/>
              </w:rPr>
              <w:t>Revenues</w:t>
            </w:r>
          </w:p>
        </w:tc>
        <w:tc>
          <w:tcPr>
            <w:tcW w:w="480" w:type="dxa"/>
            <w:vAlign w:val="bottom"/>
          </w:tcPr>
          <w:p>
            <w:pPr>
              <w:spacing w:after="0"/>
              <w:rPr>
                <w:sz w:val="14"/>
                <w:szCs w:val="14"/>
                <w:color w:val="auto"/>
              </w:rPr>
            </w:pPr>
          </w:p>
        </w:tc>
        <w:tc>
          <w:tcPr>
            <w:tcW w:w="13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8"/>
              </w:rPr>
              <w:t>Revenues(c)</w:t>
            </w: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81"/>
              </w:rPr>
              <w:t>Revenues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(d),(e)</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254"/>
              <w:spacing w:after="0"/>
              <w:rPr>
                <w:sz w:val="20"/>
                <w:szCs w:val="20"/>
                <w:color w:val="auto"/>
              </w:rPr>
            </w:pPr>
            <w:r>
              <w:rPr>
                <w:rFonts w:ascii="Arial" w:cs="Arial" w:eastAsia="Arial" w:hAnsi="Arial"/>
                <w:sz w:val="14"/>
                <w:szCs w:val="14"/>
                <w:b w:val="1"/>
                <w:bCs w:val="1"/>
                <w:color w:val="auto"/>
              </w:rPr>
              <w:t>(f)</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(g),(h)</w:t>
            </w:r>
          </w:p>
        </w:tc>
        <w:tc>
          <w:tcPr>
            <w:tcW w:w="0" w:type="dxa"/>
            <w:vAlign w:val="bottom"/>
          </w:tcPr>
          <w:p>
            <w:pPr>
              <w:spacing w:after="0"/>
              <w:rPr>
                <w:sz w:val="1"/>
                <w:szCs w:val="1"/>
                <w:color w:val="auto"/>
              </w:rPr>
            </w:pPr>
          </w:p>
        </w:tc>
      </w:tr>
      <w:tr>
        <w:trPr>
          <w:trHeight w:val="196"/>
        </w:trPr>
        <w:tc>
          <w:tcPr>
            <w:tcW w:w="1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2013</w:t>
            </w:r>
          </w:p>
        </w:tc>
        <w:tc>
          <w:tcPr>
            <w:tcW w:w="2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Solid Waste: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220"/>
              <w:spacing w:after="0"/>
              <w:rPr>
                <w:sz w:val="20"/>
                <w:szCs w:val="20"/>
                <w:color w:val="auto"/>
              </w:rPr>
            </w:pPr>
            <w:r>
              <w:rPr>
                <w:rFonts w:ascii="Arial" w:cs="Arial" w:eastAsia="Arial" w:hAnsi="Arial"/>
                <w:sz w:val="18"/>
                <w:szCs w:val="18"/>
                <w:color w:val="auto"/>
              </w:rPr>
              <w:t>Tier 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6,438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5,236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1,291</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522</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291</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(517)</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(171)</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5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16,507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(2,524)</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13,983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1,746</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1,261</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(667)</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6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16,507</w:t>
            </w:r>
          </w:p>
        </w:tc>
        <w:tc>
          <w:tcPr>
            <w:tcW w:w="4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(2,524)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13,983</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1,079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1,333</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1,267</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Solid Waste: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220"/>
              <w:spacing w:after="0"/>
              <w:rPr>
                <w:sz w:val="20"/>
                <w:szCs w:val="20"/>
                <w:color w:val="auto"/>
              </w:rPr>
            </w:pPr>
            <w:r>
              <w:rPr>
                <w:rFonts w:ascii="Arial" w:cs="Arial" w:eastAsia="Arial" w:hAnsi="Arial"/>
                <w:sz w:val="18"/>
                <w:szCs w:val="18"/>
                <w:color w:val="auto"/>
              </w:rPr>
              <w:t>Tier 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6,273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5,177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1,270</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512</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504</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5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16,008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(2,359)</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13,649</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2,496</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1,224</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(645)</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6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16,008</w:t>
            </w:r>
          </w:p>
        </w:tc>
        <w:tc>
          <w:tcPr>
            <w:tcW w:w="4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(2,359)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13,649</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1,851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1,297</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1,438</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Solid Waste: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220"/>
              <w:spacing w:after="0"/>
              <w:rPr>
                <w:sz w:val="20"/>
                <w:szCs w:val="20"/>
                <w:color w:val="auto"/>
              </w:rPr>
            </w:pPr>
            <w:r>
              <w:rPr>
                <w:rFonts w:ascii="Arial" w:cs="Arial" w:eastAsia="Arial" w:hAnsi="Arial"/>
                <w:sz w:val="18"/>
                <w:szCs w:val="18"/>
                <w:color w:val="auto"/>
              </w:rPr>
              <w:t>Tier 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6,332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5,352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1,237</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492</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512</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5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15,409</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13,378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2,616</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1,165</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(588)</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6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15,409</w:t>
            </w:r>
          </w:p>
        </w:tc>
        <w:tc>
          <w:tcPr>
            <w:tcW w:w="4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13,378</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2,028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1,229</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1,362</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1500" w:type="dxa"/>
            <w:vAlign w:val="bottom"/>
            <w:tcBorders>
              <w:bottom w:val="single" w:sz="8" w:color="auto"/>
            </w:tcBorders>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left="460" w:right="160" w:hanging="452"/>
        <w:spacing w:after="0" w:line="256"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“Other” net operating revenues and “Other” income from operations include (i) the effects of those elements of our in-plant services, landfill gas-to-energy operations, and third-party subcontract and administration revenues managed by our Sustainability Services and Renewable Energy organizations, that are not included with the operations of our reportable segments; (ii) our recycling brokerage and electronic recycling services; and (iii) the impacts of investments that we are making in expanded service offerings,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right="80"/>
        <w:spacing w:after="0" w:line="338" w:lineRule="auto"/>
        <w:rPr>
          <w:sz w:val="20"/>
          <w:szCs w:val="20"/>
          <w:color w:val="auto"/>
        </w:rPr>
      </w:pPr>
      <w:r>
        <w:rPr>
          <w:rFonts w:ascii="Arial" w:cs="Arial" w:eastAsia="Arial" w:hAnsi="Arial"/>
          <w:sz w:val="15"/>
          <w:szCs w:val="15"/>
          <w:color w:val="auto"/>
        </w:rPr>
        <w:t>such as portable self-storage, fluorescent lamp recycling and oil and gas producing properties. In addition, our “Other” income from operations reflects the impacts of non-operating entities that provide financial assurance and self-insurance support for the segments or financing for our Canadian operations.</w:t>
      </w:r>
    </w:p>
    <w:p>
      <w:pPr>
        <w:ind w:left="460" w:right="40" w:hanging="452"/>
        <w:spacing w:after="0" w:line="298" w:lineRule="auto"/>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Corporate operating results reflect the costs incurred for various support services that are not allocated to our reportable segments. These support services include, among other things, treasury, legal, information technology, tax, insurance, centralized service center processes, other administrative functions and the maintenance of our closed landfills. Income from operations for “Corporate and other” also includes costs associated with our long-term incentive program and any administrative expenses or revisions to our estimated obligations associated with divested operations.</w:t>
      </w:r>
    </w:p>
    <w:p>
      <w:pPr>
        <w:spacing w:after="0" w:line="4" w:lineRule="exact"/>
        <w:rPr>
          <w:rFonts w:ascii="Arial" w:cs="Arial" w:eastAsia="Arial" w:hAnsi="Arial"/>
          <w:sz w:val="16"/>
          <w:szCs w:val="16"/>
          <w:color w:val="auto"/>
        </w:rPr>
      </w:pPr>
    </w:p>
    <w:p>
      <w:pPr>
        <w:ind w:left="460" w:right="180" w:hanging="452"/>
        <w:spacing w:after="0" w:line="317" w:lineRule="auto"/>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ind w:left="460" w:hanging="452"/>
        <w:spacing w:after="0"/>
        <w:tabs>
          <w:tab w:leader="none" w:pos="4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For those items included in the determination of income from operations, the accounting policies of the segments are the same as those described in Note 3.</w:t>
      </w:r>
    </w:p>
    <w:p>
      <w:pPr>
        <w:spacing w:after="0" w:line="124" w:lineRule="exact"/>
        <w:rPr>
          <w:rFonts w:ascii="Arial" w:cs="Arial" w:eastAsia="Arial" w:hAnsi="Arial"/>
          <w:sz w:val="15"/>
          <w:szCs w:val="15"/>
          <w:color w:val="auto"/>
        </w:rPr>
      </w:pPr>
    </w:p>
    <w:p>
      <w:pPr>
        <w:ind w:left="460" w:right="20" w:hanging="452"/>
        <w:spacing w:after="0" w:line="294" w:lineRule="auto"/>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income from operations provided by our Solid Waste business is generally indicative of the margins provided by our collection, landfill, transfer and recycling businesses. From time to time the operating results of our reportable segments are significantly affected by certain transactions or events that management believes are not indicative or representative of our results. In 2013, we recognized $981 million of impairment charges, the most significant of which impacted our Tier 3 and Wheelabrator segments by $253 million and $627 million, respectively. Refer to Note 12 and Note 13 for an explanation of certain other transactions and events affecting our operating results.</w:t>
      </w:r>
    </w:p>
    <w:p>
      <w:pPr>
        <w:spacing w:after="0" w:line="7"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Includes non-cash items. Capital expenditures are reported in our reportable segments at the time they are recorded within the segments’ property, plant and equipment balances and, therefore, may include amounts that have been accrued but not yet paid.</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reconciliation of total assets reported above to “Total assets” in the Consolidated Balance Sheet is as follows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86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80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assets, as reported above</w:t>
            </w:r>
          </w:p>
        </w:tc>
        <w:tc>
          <w:tcPr>
            <w:tcW w:w="30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$23,215</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$23,797</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$23,241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Elimination of intercompany investments and advances</w:t>
            </w:r>
          </w:p>
        </w:tc>
        <w:tc>
          <w:tcPr>
            <w:tcW w:w="30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(612)</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(700)</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assets, per Consolidated Balance Sheet</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22,603</w:t>
            </w:r>
          </w:p>
        </w:tc>
        <w:tc>
          <w:tcPr>
            <w:tcW w:w="2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23,097</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080" w:type="dxa"/>
            <w:vAlign w:val="bottom"/>
            <w:vMerge w:val="restart"/>
          </w:tcPr>
          <w:p>
            <w:pPr>
              <w:jc w:val="right"/>
              <w:ind w:right="2132"/>
              <w:spacing w:after="0"/>
              <w:rPr>
                <w:sz w:val="20"/>
                <w:szCs w:val="20"/>
                <w:color w:val="auto"/>
              </w:rPr>
            </w:pPr>
            <w:r>
              <w:rPr>
                <w:rFonts w:ascii="Arial" w:cs="Arial" w:eastAsia="Arial" w:hAnsi="Arial"/>
                <w:sz w:val="18"/>
                <w:szCs w:val="18"/>
                <w:color w:val="auto"/>
              </w:rPr>
              <w:t>141</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hanging="452"/>
        <w:spacing w:after="0" w:line="294" w:lineRule="auto"/>
        <w:tabs>
          <w:tab w:leader="none" w:pos="4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Goodwill is included within each segment’s total assets. For segment reporting purposes, our material recovery facilities and secondary processing facilities are included as a component of their respective Areas and our recycling brokerage business and electronics recycling services are included as part of our “Other” operations. As discussed in Note 19, the goodwill associated with our acquisition of Oakleaf and Greenstar, has been assigned to our Areas and to a lesser extent “Other”. Our acquisition of RCI has been assigned to our Eastern Canada Area, which is included in Tier 3. The following table presents changes in goodwill during 2012 and 2013 by reportable segment (in millions):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Solid Waste</w:t>
            </w: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w w:val="87"/>
              </w:rPr>
              <w:t>Wheelabrator</w:t>
            </w:r>
          </w:p>
        </w:tc>
        <w:tc>
          <w:tcPr>
            <w:tcW w:w="280" w:type="dxa"/>
            <w:vAlign w:val="bottom"/>
          </w:tcPr>
          <w:p>
            <w:pPr>
              <w:spacing w:after="0"/>
              <w:rPr>
                <w:sz w:val="14"/>
                <w:szCs w:val="14"/>
                <w:color w:val="auto"/>
              </w:rPr>
            </w:pPr>
          </w:p>
        </w:tc>
        <w:tc>
          <w:tcPr>
            <w:tcW w:w="8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85"/>
              </w:rPr>
              <w:t>Other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76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Tier 1</w:t>
            </w:r>
          </w:p>
        </w:tc>
        <w:tc>
          <w:tcPr>
            <w:tcW w:w="280" w:type="dxa"/>
            <w:vAlign w:val="bottom"/>
          </w:tcPr>
          <w:p>
            <w:pPr>
              <w:spacing w:after="0"/>
              <w:rPr>
                <w:sz w:val="12"/>
                <w:szCs w:val="12"/>
                <w:color w:val="auto"/>
              </w:rPr>
            </w:pPr>
          </w:p>
        </w:tc>
        <w:tc>
          <w:tcPr>
            <w:tcW w:w="82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Tier 2</w:t>
            </w:r>
          </w:p>
        </w:tc>
        <w:tc>
          <w:tcPr>
            <w:tcW w:w="24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Tier 3</w:t>
            </w:r>
          </w:p>
        </w:tc>
        <w:tc>
          <w:tcPr>
            <w:tcW w:w="56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4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2011</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$1,166</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$2,806</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$1,359</w:t>
            </w:r>
          </w:p>
        </w:tc>
        <w:tc>
          <w:tcPr>
            <w:tcW w:w="5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$ 96</w:t>
            </w:r>
          </w:p>
        </w:tc>
        <w:tc>
          <w:tcPr>
            <w:tcW w:w="520" w:type="dxa"/>
            <w:vAlign w:val="bottom"/>
            <w:tcBorders>
              <w:top w:val="single" w:sz="8" w:color="CCEEFF"/>
              <w:lef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$6,215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Acquired goodwill</w:t>
            </w: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22</w:t>
            </w:r>
          </w:p>
        </w:tc>
        <w:tc>
          <w:tcPr>
            <w:tcW w:w="1300" w:type="dxa"/>
            <w:vAlign w:val="bottom"/>
            <w:gridSpan w:val="3"/>
          </w:tcPr>
          <w:p>
            <w:pPr>
              <w:jc w:val="right"/>
              <w:ind w:right="5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60"/>
              <w:spacing w:after="0"/>
              <w:rPr>
                <w:sz w:val="20"/>
                <w:szCs w:val="20"/>
                <w:color w:val="auto"/>
              </w:rPr>
            </w:pPr>
            <w:r>
              <w:rPr>
                <w:rFonts w:ascii="Arial" w:cs="Arial" w:eastAsia="Arial" w:hAnsi="Arial"/>
                <w:sz w:val="18"/>
                <w:szCs w:val="18"/>
                <w:color w:val="auto"/>
              </w:rPr>
              <w:t>20</w:t>
            </w: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Divested goodwill, net of assets held-for-sale</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Impairments</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(4)</w:t>
            </w: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Translation and other adjustments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920" w:type="dxa"/>
            <w:vAlign w:val="bottom"/>
            <w:gridSpan w:val="3"/>
            <w:vMerge w:val="restart"/>
          </w:tcPr>
          <w:p>
            <w:pPr>
              <w:ind w:left="460"/>
              <w:spacing w:after="0"/>
              <w:rPr>
                <w:sz w:val="20"/>
                <w:szCs w:val="20"/>
                <w:color w:val="auto"/>
              </w:rPr>
            </w:pPr>
            <w:r>
              <w:rPr>
                <w:rFonts w:ascii="Arial" w:cs="Arial" w:eastAsia="Arial" w:hAnsi="Arial"/>
                <w:sz w:val="18"/>
                <w:szCs w:val="18"/>
                <w:color w:val="auto"/>
              </w:rPr>
              <w:t>Balance, December 31, 2012</w:t>
            </w: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20" w:type="dxa"/>
            <w:vAlign w:val="bottom"/>
            <w:gridSpan w:val="3"/>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$1,186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$2,828</w:t>
            </w:r>
          </w:p>
        </w:tc>
        <w:tc>
          <w:tcPr>
            <w:tcW w:w="1300" w:type="dxa"/>
            <w:vAlign w:val="bottom"/>
            <w:gridSpan w:val="3"/>
          </w:tcPr>
          <w:p>
            <w:pPr>
              <w:jc w:val="right"/>
              <w:ind w:right="560"/>
              <w:spacing w:after="0"/>
              <w:rPr>
                <w:sz w:val="20"/>
                <w:szCs w:val="20"/>
                <w:color w:val="auto"/>
              </w:rPr>
            </w:pPr>
            <w:r>
              <w:rPr>
                <w:rFonts w:ascii="Arial" w:cs="Arial" w:eastAsia="Arial" w:hAnsi="Arial"/>
                <w:sz w:val="18"/>
                <w:szCs w:val="18"/>
                <w:color w:val="auto"/>
              </w:rPr>
              <w:t>$1,374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788</w:t>
            </w:r>
          </w:p>
        </w:tc>
        <w:tc>
          <w:tcPr>
            <w:tcW w:w="1100" w:type="dxa"/>
            <w:vAlign w:val="bottom"/>
            <w:gridSpan w:val="3"/>
          </w:tcPr>
          <w:p>
            <w:pPr>
              <w:jc w:val="right"/>
              <w:ind w:right="460"/>
              <w:spacing w:after="0"/>
              <w:rPr>
                <w:sz w:val="20"/>
                <w:szCs w:val="20"/>
                <w:color w:val="auto"/>
              </w:rPr>
            </w:pPr>
            <w:r>
              <w:rPr>
                <w:rFonts w:ascii="Arial" w:cs="Arial" w:eastAsia="Arial" w:hAnsi="Arial"/>
                <w:sz w:val="18"/>
                <w:szCs w:val="18"/>
                <w:color w:val="auto"/>
              </w:rPr>
              <w:t>$ 115</w:t>
            </w: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$6,291</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goodwill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56</w:t>
            </w:r>
          </w:p>
        </w:tc>
        <w:tc>
          <w:tcPr>
            <w:tcW w:w="1300" w:type="dxa"/>
            <w:vAlign w:val="bottom"/>
            <w:tcBorders>
              <w:right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20</w:t>
            </w: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Divested goodwill, net of assets held-for-sale</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(2)</w:t>
            </w:r>
          </w:p>
        </w:tc>
        <w:tc>
          <w:tcPr>
            <w:tcW w:w="1300" w:type="dxa"/>
            <w:vAlign w:val="bottom"/>
            <w:gridSpan w:val="3"/>
          </w:tcPr>
          <w:p>
            <w:pPr>
              <w:jc w:val="right"/>
              <w:ind w:right="5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Impairments</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(483)</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(16)</w:t>
            </w: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Translation and other adjustments</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5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(4)</w:t>
            </w: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1,221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2,882</w:t>
            </w:r>
          </w:p>
        </w:tc>
        <w:tc>
          <w:tcPr>
            <w:tcW w:w="1300" w:type="dxa"/>
            <w:vAlign w:val="bottom"/>
            <w:tcBorders>
              <w:right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305</w:t>
            </w: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115</w:t>
            </w: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6,070</w:t>
            </w: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080" w:type="dxa"/>
            <w:vAlign w:val="bottom"/>
            <w:gridSpan w:val="11"/>
          </w:tcPr>
          <w:p>
            <w:pPr>
              <w:ind w:left="460"/>
              <w:spacing w:after="0"/>
              <w:rPr>
                <w:sz w:val="20"/>
                <w:szCs w:val="20"/>
                <w:color w:val="auto"/>
              </w:rPr>
            </w:pPr>
            <w:r>
              <w:rPr>
                <w:rFonts w:ascii="Arial" w:cs="Arial" w:eastAsia="Arial" w:hAnsi="Arial"/>
                <w:sz w:val="18"/>
                <w:szCs w:val="18"/>
                <w:color w:val="auto"/>
                <w:w w:val="90"/>
              </w:rPr>
              <w:t>The mix of operating revenues from our major lines of business is reflected in the table below (in millions):</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87"/>
              </w:rPr>
              <w:t>Years Ended December 31,</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2013</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gridSpan w:val="2"/>
          </w:tcPr>
          <w:p>
            <w:pPr>
              <w:jc w:val="right"/>
              <w:ind w:right="57"/>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2"/>
                <w:szCs w:val="12"/>
                <w:color w:val="auto"/>
              </w:rPr>
            </w:pPr>
          </w:p>
        </w:tc>
        <w:tc>
          <w:tcPr>
            <w:tcW w:w="600" w:type="dxa"/>
            <w:vAlign w:val="bottom"/>
            <w:gridSpan w:val="3"/>
          </w:tcPr>
          <w:p>
            <w:pPr>
              <w:jc w:val="right"/>
              <w:ind w:right="8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4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Commercial</w:t>
            </w:r>
          </w:p>
        </w:tc>
        <w:tc>
          <w:tcPr>
            <w:tcW w:w="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3,423</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$ 3,417</w:t>
            </w:r>
          </w:p>
        </w:tc>
        <w:tc>
          <w:tcPr>
            <w:tcW w:w="520" w:type="dxa"/>
            <w:vAlign w:val="bottom"/>
            <w:tcBorders>
              <w:top w:val="single" w:sz="8" w:color="CCEEFF"/>
              <w:lef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$ 3,499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2,608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2,584</w:t>
            </w:r>
          </w:p>
        </w:tc>
        <w:tc>
          <w:tcPr>
            <w:tcW w:w="52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2,209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52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52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8,513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8,405</w:t>
            </w:r>
          </w:p>
        </w:tc>
        <w:tc>
          <w:tcPr>
            <w:tcW w:w="52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8,406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Landfill</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2,790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2,685</w:t>
            </w:r>
          </w:p>
        </w:tc>
        <w:tc>
          <w:tcPr>
            <w:tcW w:w="52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1,329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52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845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846</w:t>
            </w:r>
          </w:p>
        </w:tc>
        <w:tc>
          <w:tcPr>
            <w:tcW w:w="52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Recycling</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1,447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52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Other(a)</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1,583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1,416</w:t>
            </w:r>
          </w:p>
        </w:tc>
        <w:tc>
          <w:tcPr>
            <w:tcW w:w="52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Intercompany(b)</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w w:val="87"/>
              </w:rPr>
              <w:t>(2,524)</w:t>
            </w: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(2,359)</w:t>
            </w: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0"/>
        </w:trPr>
        <w:tc>
          <w:tcPr>
            <w:tcW w:w="4920" w:type="dxa"/>
            <w:vAlign w:val="bottom"/>
            <w:gridSpan w:val="3"/>
            <w:vMerge w:val="restart"/>
          </w:tcPr>
          <w:p>
            <w:pPr>
              <w:ind w:left="460"/>
              <w:spacing w:after="0"/>
              <w:rPr>
                <w:sz w:val="20"/>
                <w:szCs w:val="20"/>
                <w:color w:val="auto"/>
              </w:rPr>
            </w:pPr>
            <w:r>
              <w:rPr>
                <w:rFonts w:ascii="Arial" w:cs="Arial" w:eastAsia="Arial" w:hAnsi="Arial"/>
                <w:sz w:val="18"/>
                <w:szCs w:val="18"/>
                <w:color w:val="auto"/>
              </w:rPr>
              <w:t>Operating revenues</w:t>
            </w: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3"/>
            <w:vMerge w:val="continue"/>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13,983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13,649</w:t>
            </w:r>
          </w:p>
        </w:tc>
        <w:tc>
          <w:tcPr>
            <w:tcW w:w="520" w:type="dxa"/>
            <w:vAlign w:val="bottom"/>
          </w:tcPr>
          <w:p>
            <w:pPr>
              <w:spacing w:after="0"/>
              <w:rPr>
                <w:sz w:val="19"/>
                <w:szCs w:val="19"/>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13,378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4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3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80" w:hanging="452"/>
        <w:spacing w:after="0" w:line="268"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“Other” line of business includes Oakleaf, landfill gas-to-energy operations, Port-O-Let</w:t>
      </w:r>
      <w:r>
        <w:rPr>
          <w:rFonts w:ascii="Arial" w:cs="Arial" w:eastAsia="Arial" w:hAnsi="Arial"/>
          <w:sz w:val="11"/>
          <w:szCs w:val="11"/>
          <w:color w:val="auto"/>
        </w:rPr>
        <w:t>®</w:t>
      </w:r>
      <w:r>
        <w:rPr>
          <w:rFonts w:ascii="Arial" w:cs="Arial" w:eastAsia="Arial" w:hAnsi="Arial"/>
          <w:sz w:val="18"/>
          <w:szCs w:val="18"/>
          <w:color w:val="auto"/>
        </w:rPr>
        <w:t xml:space="preserve"> services, portable self-storage, fluorescent lamp recycling, and oil and gas producing properties.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right="1800" w:hanging="452"/>
        <w:spacing w:after="0" w:line="410" w:lineRule="auto"/>
        <w:tabs>
          <w:tab w:leader="none" w:pos="449" w:val="left"/>
        </w:tabs>
        <w:numPr>
          <w:ilvl w:val="0"/>
          <w:numId w:val="102"/>
        </w:numPr>
        <w:rPr>
          <w:rFonts w:ascii="Arial" w:cs="Arial" w:eastAsia="Arial" w:hAnsi="Arial"/>
          <w:sz w:val="15"/>
          <w:szCs w:val="15"/>
          <w:color w:val="auto"/>
        </w:rPr>
      </w:pPr>
      <w:r>
        <w:rPr>
          <w:rFonts w:ascii="Arial" w:cs="Arial" w:eastAsia="Arial" w:hAnsi="Arial"/>
          <w:sz w:val="15"/>
          <w:szCs w:val="15"/>
          <w:color w:val="auto"/>
        </w:rPr>
        <w:t>Intercompany revenues between lines of business are eliminated within the Consolidated Financial Statements included herein. Net operating revenues relating to operations in the United States and Puerto Rico, as well as Canada are as follows (in millions):</w:t>
      </w: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6"/>
              </w:rPr>
              <w:t>Years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5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108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2"/>
                <w:szCs w:val="12"/>
                <w:color w:val="auto"/>
              </w:rPr>
            </w:pPr>
          </w:p>
        </w:tc>
        <w:tc>
          <w:tcPr>
            <w:tcW w:w="58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 and Puerto Rico</w:t>
            </w:r>
          </w:p>
        </w:tc>
        <w:tc>
          <w:tcPr>
            <w:tcW w:w="27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$13,054</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$12,812</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$12,578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Canada</w:t>
            </w:r>
          </w:p>
        </w:tc>
        <w:tc>
          <w:tcPr>
            <w:tcW w:w="27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13,983</w:t>
            </w:r>
          </w:p>
        </w:tc>
        <w:tc>
          <w:tcPr>
            <w:tcW w:w="15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13,649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13,378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relating to operations in the United States and Puerto Rico, as well as Canada are as follows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5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90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2"/>
                <w:szCs w:val="12"/>
                <w:color w:val="auto"/>
              </w:rPr>
            </w:pPr>
          </w:p>
        </w:tc>
        <w:tc>
          <w:tcPr>
            <w:tcW w:w="58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 and Puerto Rico</w:t>
            </w:r>
          </w:p>
        </w:tc>
        <w:tc>
          <w:tcPr>
            <w:tcW w:w="27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$11,198</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$11,293</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$10,948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Canada</w:t>
            </w:r>
          </w:p>
        </w:tc>
        <w:tc>
          <w:tcPr>
            <w:tcW w:w="27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12,344</w:t>
            </w:r>
          </w:p>
        </w:tc>
        <w:tc>
          <w:tcPr>
            <w:tcW w:w="14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12,651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12,242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Quarterly Financial Data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unaudited quarterly results of operations for 2013 and 2012 (in millions, except per share amounts):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First</w:t>
            </w:r>
          </w:p>
        </w:tc>
        <w:tc>
          <w:tcPr>
            <w:tcW w:w="26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Second</w:t>
            </w:r>
          </w:p>
        </w:tc>
        <w:tc>
          <w:tcPr>
            <w:tcW w:w="26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Third</w:t>
            </w:r>
          </w:p>
        </w:tc>
        <w:tc>
          <w:tcPr>
            <w:tcW w:w="26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Fourth</w:t>
            </w:r>
          </w:p>
        </w:tc>
      </w:tr>
      <w:tr>
        <w:trPr>
          <w:trHeight w:val="161"/>
        </w:trPr>
        <w:tc>
          <w:tcPr>
            <w:tcW w:w="5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Quarter</w:t>
            </w:r>
          </w:p>
        </w:tc>
        <w:tc>
          <w:tcPr>
            <w:tcW w:w="26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Quarter</w:t>
            </w:r>
          </w:p>
        </w:tc>
        <w:tc>
          <w:tcPr>
            <w:tcW w:w="26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Quarter</w:t>
            </w:r>
          </w:p>
        </w:tc>
        <w:tc>
          <w:tcPr>
            <w:tcW w:w="2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Quarter</w:t>
            </w:r>
          </w:p>
        </w:tc>
      </w:tr>
      <w:tr>
        <w:trPr>
          <w:trHeight w:val="196"/>
        </w:trPr>
        <w:tc>
          <w:tcPr>
            <w:tcW w:w="5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2013</w:t>
            </w:r>
          </w:p>
        </w:tc>
        <w:tc>
          <w:tcPr>
            <w:tcW w:w="1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Operating revenues</w:t>
            </w:r>
          </w:p>
        </w:tc>
        <w:tc>
          <w:tcPr>
            <w:tcW w:w="2160" w:type="dxa"/>
            <w:vAlign w:val="bottom"/>
            <w:gridSpan w:val="3"/>
          </w:tcPr>
          <w:p>
            <w:pPr>
              <w:jc w:val="right"/>
              <w:ind w:right="240"/>
              <w:spacing w:after="0"/>
              <w:rPr>
                <w:sz w:val="20"/>
                <w:szCs w:val="20"/>
                <w:color w:val="auto"/>
              </w:rPr>
            </w:pPr>
            <w:r>
              <w:rPr>
                <w:rFonts w:ascii="Arial" w:cs="Arial" w:eastAsia="Arial" w:hAnsi="Arial"/>
                <w:sz w:val="18"/>
                <w:szCs w:val="18"/>
                <w:color w:val="auto"/>
              </w:rPr>
              <w:t>$3,336</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$3,526</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$3,621</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$3,500</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402</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510</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577</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(410)</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Consolidated net income (loss)</w:t>
            </w:r>
          </w:p>
        </w:tc>
        <w:tc>
          <w:tcPr>
            <w:tcW w:w="2160" w:type="dxa"/>
            <w:vAlign w:val="bottom"/>
            <w:gridSpan w:val="3"/>
          </w:tcPr>
          <w:p>
            <w:pPr>
              <w:jc w:val="right"/>
              <w:ind w:right="240"/>
              <w:spacing w:after="0"/>
              <w:rPr>
                <w:sz w:val="20"/>
                <w:szCs w:val="20"/>
                <w:color w:val="auto"/>
              </w:rPr>
            </w:pPr>
            <w:r>
              <w:rPr>
                <w:rFonts w:ascii="Arial" w:cs="Arial" w:eastAsia="Arial" w:hAnsi="Arial"/>
                <w:sz w:val="18"/>
                <w:szCs w:val="18"/>
                <w:color w:val="auto"/>
              </w:rPr>
              <w:t>176</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256</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297</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(599)</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Waste Management, Inc.</w:t>
            </w:r>
          </w:p>
        </w:tc>
        <w:tc>
          <w:tcPr>
            <w:tcW w:w="2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168</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244</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291</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(605)</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Basic earnings (loss) common share</w:t>
            </w:r>
          </w:p>
        </w:tc>
        <w:tc>
          <w:tcPr>
            <w:tcW w:w="2160" w:type="dxa"/>
            <w:vAlign w:val="bottom"/>
            <w:gridSpan w:val="3"/>
          </w:tcPr>
          <w:p>
            <w:pPr>
              <w:jc w:val="right"/>
              <w:ind w:right="240"/>
              <w:spacing w:after="0"/>
              <w:rPr>
                <w:sz w:val="20"/>
                <w:szCs w:val="20"/>
                <w:color w:val="auto"/>
              </w:rPr>
            </w:pPr>
            <w:r>
              <w:rPr>
                <w:rFonts w:ascii="Arial" w:cs="Arial" w:eastAsia="Arial" w:hAnsi="Arial"/>
                <w:sz w:val="18"/>
                <w:szCs w:val="18"/>
                <w:color w:val="auto"/>
              </w:rPr>
              <w:t>0.36</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0.52</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0.62</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(1.29)</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common share</w:t>
            </w:r>
          </w:p>
        </w:tc>
        <w:tc>
          <w:tcPr>
            <w:tcW w:w="2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0.36</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0.52</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0.62</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r>
      <w:tr>
        <w:trPr>
          <w:trHeight w:val="216"/>
        </w:trPr>
        <w:tc>
          <w:tcPr>
            <w:tcW w:w="548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$3,295</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$3,459</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$3,461</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$3,434</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160" w:type="dxa"/>
            <w:vAlign w:val="bottom"/>
            <w:gridSpan w:val="3"/>
          </w:tcPr>
          <w:p>
            <w:pPr>
              <w:jc w:val="right"/>
              <w:ind w:right="240"/>
              <w:spacing w:after="0"/>
              <w:rPr>
                <w:sz w:val="20"/>
                <w:szCs w:val="20"/>
                <w:color w:val="auto"/>
              </w:rPr>
            </w:pPr>
            <w:r>
              <w:rPr>
                <w:rFonts w:ascii="Arial" w:cs="Arial" w:eastAsia="Arial" w:hAnsi="Arial"/>
                <w:sz w:val="18"/>
                <w:szCs w:val="18"/>
                <w:color w:val="auto"/>
              </w:rPr>
              <w:t>401</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466</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500</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484</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2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183</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219</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223</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2160" w:type="dxa"/>
            <w:vAlign w:val="bottom"/>
            <w:gridSpan w:val="3"/>
          </w:tcPr>
          <w:p>
            <w:pPr>
              <w:jc w:val="right"/>
              <w:ind w:right="240"/>
              <w:spacing w:after="0"/>
              <w:rPr>
                <w:sz w:val="20"/>
                <w:szCs w:val="20"/>
                <w:color w:val="auto"/>
              </w:rPr>
            </w:pPr>
            <w:r>
              <w:rPr>
                <w:rFonts w:ascii="Arial" w:cs="Arial" w:eastAsia="Arial" w:hAnsi="Arial"/>
                <w:sz w:val="18"/>
                <w:szCs w:val="18"/>
                <w:color w:val="auto"/>
              </w:rPr>
              <w:t>171</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208</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214</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224</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0.37</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0.45</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0.46</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r>
      <w:tr>
        <w:trPr>
          <w:trHeight w:val="222"/>
        </w:trPr>
        <w:tc>
          <w:tcPr>
            <w:tcW w:w="548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160" w:type="dxa"/>
            <w:vAlign w:val="bottom"/>
            <w:gridSpan w:val="3"/>
          </w:tcPr>
          <w:p>
            <w:pPr>
              <w:jc w:val="right"/>
              <w:ind w:right="240"/>
              <w:spacing w:after="0"/>
              <w:rPr>
                <w:sz w:val="20"/>
                <w:szCs w:val="20"/>
                <w:color w:val="auto"/>
              </w:rPr>
            </w:pPr>
            <w:r>
              <w:rPr>
                <w:rFonts w:ascii="Arial" w:cs="Arial" w:eastAsia="Arial" w:hAnsi="Arial"/>
                <w:sz w:val="18"/>
                <w:szCs w:val="18"/>
                <w:color w:val="auto"/>
              </w:rPr>
              <w:t>0.37</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0.45</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0.46</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0.48</w:t>
            </w:r>
          </w:p>
        </w:tc>
      </w:tr>
    </w:tbl>
    <w:p>
      <w:pPr>
        <w:spacing w:after="0" w:line="6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Basic and diluted earnings per common share for each of the quarters presented above is based on the respective weighted average number of common and dilutive potential common shares outstanding for each quarter and the sum of the quarters may not necessarily be equal to the full year basic and diluted earnings per common share amounts.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60"/>
          </w:cols>
          <w:pgMar w:left="240" w:top="459" w:right="2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Our operating revenues normally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The operating results of our first quarter also often reflect higher repair and maintenance expenses because we rely on the slower winter months, when waste flows are generally lower, to perform scheduled maintenance at our waste-to-energy facilities. Additionally, from time to time, our operating results are significantly affected by certain transactions or events that management believes are not indicative or representative of our results. The following significant items have affected the comparison of our operating results during the periods indicated:</w:t>
      </w:r>
    </w:p>
    <w:p>
      <w:pPr>
        <w:spacing w:after="0" w:line="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First Quarter 2013</w:t>
      </w:r>
    </w:p>
    <w:p>
      <w:pPr>
        <w:spacing w:after="0" w:line="90" w:lineRule="exact"/>
        <w:rPr>
          <w:sz w:val="20"/>
          <w:szCs w:val="20"/>
          <w:color w:val="auto"/>
        </w:rPr>
      </w:pPr>
    </w:p>
    <w:p>
      <w:pPr>
        <w:ind w:left="700" w:right="160" w:hanging="246"/>
        <w:spacing w:after="0" w:line="332" w:lineRule="auto"/>
        <w:tabs>
          <w:tab w:leader="none" w:pos="7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Net income was negatively impacted by pre-tax impairment charges aggregating $15 million attributable to investments in waste diversion technology companies and goodwill related to certain of our operations. These items had a negative impact of $0.03 on our diluted earnings per share.</w:t>
      </w:r>
    </w:p>
    <w:p>
      <w:pPr>
        <w:spacing w:after="0" w:line="4" w:lineRule="exact"/>
        <w:rPr>
          <w:rFonts w:ascii="Arial" w:cs="Arial" w:eastAsia="Arial" w:hAnsi="Arial"/>
          <w:sz w:val="16"/>
          <w:szCs w:val="16"/>
          <w:color w:val="auto"/>
        </w:rPr>
      </w:pPr>
    </w:p>
    <w:p>
      <w:pPr>
        <w:ind w:left="700" w:hanging="246"/>
        <w:spacing w:after="0" w:line="268" w:lineRule="auto"/>
        <w:tabs>
          <w:tab w:leader="none" w:pos="7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Income from operations was negatively impacted by $8 million of pre-tax restructuring charges related to our acquisition of Greenstar and our July 2012 restructuring. These items had a negative impact of $0.01 on our diluted earnings per share.</w:t>
      </w:r>
    </w:p>
    <w:p>
      <w:pPr>
        <w:spacing w:after="0" w:line="50" w:lineRule="exact"/>
        <w:rPr>
          <w:rFonts w:ascii="Arial" w:cs="Arial" w:eastAsia="Arial" w:hAnsi="Arial"/>
          <w:sz w:val="18"/>
          <w:szCs w:val="18"/>
          <w:color w:val="auto"/>
        </w:rPr>
      </w:pPr>
    </w:p>
    <w:p>
      <w:pPr>
        <w:ind w:left="700" w:right="60" w:hanging="246"/>
        <w:spacing w:after="0" w:line="268" w:lineRule="auto"/>
        <w:tabs>
          <w:tab w:leader="none" w:pos="7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Income from operations was negatively impacted by bad debt expense associated with collection issues in our Puerto Rico operations, which negatively affected our diluted earnings per share by $0.01.</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Second Quarter 2013</w:t>
      </w:r>
    </w:p>
    <w:p>
      <w:pPr>
        <w:spacing w:after="0" w:line="90" w:lineRule="exact"/>
        <w:rPr>
          <w:sz w:val="20"/>
          <w:szCs w:val="20"/>
          <w:color w:val="auto"/>
        </w:rPr>
      </w:pPr>
    </w:p>
    <w:p>
      <w:pPr>
        <w:ind w:left="700" w:right="80" w:hanging="246"/>
        <w:spacing w:after="0" w:line="259" w:lineRule="auto"/>
        <w:tabs>
          <w:tab w:leader="none" w:pos="7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Income from operations was negatively impacted by the recognition of pre-tax impairment and restructuring charges primarily related to an impairment of a waste-to-energy facility as result of projected operating losses partially offset by gains on divestitures. These items had a negative impact of $0.02 on our diluted earnings per share.</w:t>
      </w:r>
    </w:p>
    <w:p>
      <w:pPr>
        <w:spacing w:after="0" w:line="59" w:lineRule="exact"/>
        <w:rPr>
          <w:rFonts w:ascii="Arial" w:cs="Arial" w:eastAsia="Arial" w:hAnsi="Arial"/>
          <w:sz w:val="18"/>
          <w:szCs w:val="18"/>
          <w:color w:val="auto"/>
        </w:rPr>
      </w:pPr>
    </w:p>
    <w:p>
      <w:pPr>
        <w:ind w:left="700" w:right="540" w:hanging="246"/>
        <w:spacing w:after="0" w:line="332" w:lineRule="auto"/>
        <w:tabs>
          <w:tab w:leader="none" w:pos="7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Income from operations was impacted by a favorable adjustment to “Operating” expenses due to an increase in the risk-free discount rate used to measure our environmental remediation liabilities and recovery assets, which positively affected our diluted earnings per share by $0.01.</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Third Quarter 2013</w:t>
      </w:r>
    </w:p>
    <w:p>
      <w:pPr>
        <w:spacing w:after="0" w:line="90" w:lineRule="exact"/>
        <w:rPr>
          <w:sz w:val="20"/>
          <w:szCs w:val="20"/>
          <w:color w:val="auto"/>
        </w:rPr>
      </w:pPr>
    </w:p>
    <w:p>
      <w:pPr>
        <w:jc w:val="both"/>
        <w:ind w:left="700" w:right="60" w:hanging="246"/>
        <w:spacing w:after="0" w:line="306" w:lineRule="auto"/>
        <w:tabs>
          <w:tab w:leader="none" w:pos="7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Net income was negatively impacted by the recognition of pre-tax charges aggregating $23 million comprised of (i) $18 million related to impairments, primarily attributable to an investment in a majority-owned waste diversion technology company and (ii) $5 million of losses on divestitures, primarily related to oil and gas producing properties. These items had a negative impact of $0.02 on our diluted earnings per share.</w:t>
      </w:r>
    </w:p>
    <w:p>
      <w:pPr>
        <w:spacing w:after="0" w:line="25" w:lineRule="exact"/>
        <w:rPr>
          <w:rFonts w:ascii="Arial" w:cs="Arial" w:eastAsia="Arial" w:hAnsi="Arial"/>
          <w:sz w:val="16"/>
          <w:szCs w:val="16"/>
          <w:color w:val="auto"/>
        </w:rPr>
      </w:pPr>
    </w:p>
    <w:p>
      <w:pPr>
        <w:ind w:left="700" w:right="160" w:hanging="246"/>
        <w:spacing w:after="0" w:line="259" w:lineRule="auto"/>
        <w:tabs>
          <w:tab w:leader="none" w:pos="7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Income from operations was negatively impacted by the recognition of pre-tax charges aggregating $8 million primarily associated with the partial withdrawal from an underfunded multiemployer pension plan and, to a lesser extent, other restructuring charges. These items had a negative impact of $0.01 on our diluted earnings per share.</w:t>
      </w:r>
    </w:p>
    <w:p>
      <w:pPr>
        <w:spacing w:after="0" w:line="59" w:lineRule="exact"/>
        <w:rPr>
          <w:rFonts w:ascii="Arial" w:cs="Arial" w:eastAsia="Arial" w:hAnsi="Arial"/>
          <w:sz w:val="18"/>
          <w:szCs w:val="18"/>
          <w:color w:val="auto"/>
        </w:rPr>
      </w:pPr>
    </w:p>
    <w:p>
      <w:pPr>
        <w:ind w:left="700" w:right="120" w:hanging="246"/>
        <w:spacing w:after="0" w:line="268" w:lineRule="auto"/>
        <w:tabs>
          <w:tab w:leader="none" w:pos="7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Income from operations was positively impacted as a result of the collection of certain fully reserved receivables related to our Puerto Rico operations, which positively affected our diluted earnings per share by $0.01.</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Fourth Quarter 2013</w:t>
      </w:r>
    </w:p>
    <w:p>
      <w:pPr>
        <w:spacing w:after="0" w:line="90" w:lineRule="exact"/>
        <w:rPr>
          <w:sz w:val="20"/>
          <w:szCs w:val="20"/>
          <w:color w:val="auto"/>
        </w:rPr>
      </w:pPr>
    </w:p>
    <w:p>
      <w:pPr>
        <w:ind w:left="700" w:right="220" w:hanging="246"/>
        <w:spacing w:after="0" w:line="259" w:lineRule="auto"/>
        <w:tabs>
          <w:tab w:leader="none" w:pos="7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Net income was negatively impacted by the recognition of net pre-tax charges aggregating $1 billion comprised of (i) a $483 million charge to impair goodwill associated with our Wheelabrator business; (ii) $262 million of charges to impair certain landfills, primarily in our Eastern Canada Area; (iii) $130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680" w:right="40"/>
        <w:spacing w:after="0" w:line="294" w:lineRule="auto"/>
        <w:rPr>
          <w:sz w:val="20"/>
          <w:szCs w:val="20"/>
          <w:color w:val="auto"/>
        </w:rPr>
      </w:pPr>
      <w:r>
        <w:rPr>
          <w:rFonts w:ascii="Arial" w:cs="Arial" w:eastAsia="Arial" w:hAnsi="Arial"/>
          <w:sz w:val="16"/>
          <w:szCs w:val="16"/>
          <w:color w:val="auto"/>
        </w:rPr>
        <w:t>million of charges to write down the carrying value of three waste-to-energy facilities; (iv) $61 million of charges attributable to investments in waste diversion technology companies; (v) $31 million of charges to impair various recycling assets; (vi) a $15 million charge to write down the carrying value of an oil and gas property to its estimated fair value and (vii) other charges to impair goodwill and write down the carrying value of assets to their estimated fair values related to certain of our operations, partially offset by gains on divestitures. See Notes 6 and 13 for additional information. These items had a negative impact of $1.84 on our diluted earnings per share.</w:t>
      </w:r>
    </w:p>
    <w:p>
      <w:pPr>
        <w:spacing w:after="0" w:line="35" w:lineRule="exact"/>
        <w:rPr>
          <w:sz w:val="20"/>
          <w:szCs w:val="20"/>
          <w:color w:val="auto"/>
        </w:rPr>
      </w:pPr>
    </w:p>
    <w:p>
      <w:pPr>
        <w:ind w:left="700" w:hanging="246"/>
        <w:spacing w:after="0" w:line="268" w:lineRule="auto"/>
        <w:tabs>
          <w:tab w:leader="none" w:pos="7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Income from operations was negatively impacted by pre-tax restructuring charges of $5 million which negatively affected our diluted earnings per share by $0.01.</w:t>
      </w:r>
    </w:p>
    <w:p>
      <w:pPr>
        <w:spacing w:after="0" w:line="50" w:lineRule="exact"/>
        <w:rPr>
          <w:rFonts w:ascii="Arial" w:cs="Arial" w:eastAsia="Arial" w:hAnsi="Arial"/>
          <w:sz w:val="18"/>
          <w:szCs w:val="18"/>
          <w:color w:val="auto"/>
        </w:rPr>
      </w:pPr>
    </w:p>
    <w:p>
      <w:pPr>
        <w:ind w:left="700" w:right="40" w:hanging="246"/>
        <w:spacing w:after="0" w:line="306" w:lineRule="auto"/>
        <w:tabs>
          <w:tab w:leader="none" w:pos="7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Income from operations was positively impacted by net adjustments associated with changes in our expectations for the timing and cost of future final capping, closure and post-closure of fully utilized airspace, and by an increase in the risk-free discount rate used to measure environmental remediation liabilities and recovery assets. These items positively affected our diluted earnings per share by $0.02.</w:t>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First Quarter 2012</w:t>
      </w:r>
    </w:p>
    <w:p>
      <w:pPr>
        <w:spacing w:after="0" w:line="90" w:lineRule="exact"/>
        <w:rPr>
          <w:sz w:val="20"/>
          <w:szCs w:val="20"/>
          <w:color w:val="auto"/>
        </w:rPr>
      </w:pPr>
    </w:p>
    <w:p>
      <w:pPr>
        <w:ind w:left="700" w:right="760" w:hanging="246"/>
        <w:spacing w:after="0" w:line="268" w:lineRule="auto"/>
        <w:tabs>
          <w:tab w:leader="none" w:pos="7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Income from operations was negatively impacted by the recognition of pre-tax restructuring charges and integration costs associated with our acquisition of Oakleaf. These charges had a negative impact of $0.01 on our diluted earnings per share.</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Second Quarter 2012</w:t>
      </w:r>
    </w:p>
    <w:p>
      <w:pPr>
        <w:spacing w:after="0" w:line="90" w:lineRule="exact"/>
        <w:rPr>
          <w:sz w:val="20"/>
          <w:szCs w:val="20"/>
          <w:color w:val="auto"/>
        </w:rPr>
      </w:pPr>
    </w:p>
    <w:p>
      <w:pPr>
        <w:ind w:left="700" w:right="100" w:hanging="246"/>
        <w:spacing w:after="0" w:line="332" w:lineRule="auto"/>
        <w:tabs>
          <w:tab w:leader="none" w:pos="7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Income from operations was negatively impacted by the recognition of pre-tax impairment charges of $34 million, related primarily to two facilities in our medical waste services business. These impairment charges had an unfavorable impact of $0.04 on our diluted earnings per share.</w:t>
      </w:r>
    </w:p>
    <w:p>
      <w:pPr>
        <w:spacing w:after="0" w:line="4" w:lineRule="exact"/>
        <w:rPr>
          <w:rFonts w:ascii="Arial" w:cs="Arial" w:eastAsia="Arial" w:hAnsi="Arial"/>
          <w:sz w:val="16"/>
          <w:szCs w:val="16"/>
          <w:color w:val="auto"/>
        </w:rPr>
      </w:pPr>
    </w:p>
    <w:p>
      <w:pPr>
        <w:ind w:left="700" w:right="160" w:hanging="246"/>
        <w:spacing w:after="0" w:line="268" w:lineRule="auto"/>
        <w:tabs>
          <w:tab w:leader="none" w:pos="7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Income from operations was negatively impacted by the recognition of a pre-tax noncash charge of $10 million associated with the partial withdrawal from an underfunded multiemployer pension plan. This charge reduced diluted earnings per share by $0.01.</w:t>
      </w:r>
    </w:p>
    <w:p>
      <w:pPr>
        <w:spacing w:after="0" w:line="50" w:lineRule="exact"/>
        <w:rPr>
          <w:rFonts w:ascii="Arial" w:cs="Arial" w:eastAsia="Arial" w:hAnsi="Arial"/>
          <w:sz w:val="18"/>
          <w:szCs w:val="18"/>
          <w:color w:val="auto"/>
        </w:rPr>
      </w:pPr>
    </w:p>
    <w:p>
      <w:pPr>
        <w:ind w:left="700" w:right="180" w:hanging="246"/>
        <w:spacing w:after="0" w:line="332" w:lineRule="auto"/>
        <w:tabs>
          <w:tab w:leader="none" w:pos="7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Income from operations was negatively impacted by pre-tax costs aggregating $5 million from a combination of restructuring charges and integration costs associated with our acquisition of Oakleaf. These items negatively affected our diluted earnings per share by $0.01.</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Third Quarter 2012</w:t>
      </w:r>
    </w:p>
    <w:p>
      <w:pPr>
        <w:spacing w:after="0" w:line="90" w:lineRule="exact"/>
        <w:rPr>
          <w:sz w:val="20"/>
          <w:szCs w:val="20"/>
          <w:color w:val="auto"/>
        </w:rPr>
      </w:pPr>
    </w:p>
    <w:p>
      <w:pPr>
        <w:ind w:left="700" w:right="260" w:hanging="246"/>
        <w:spacing w:after="0" w:line="332" w:lineRule="auto"/>
        <w:tabs>
          <w:tab w:leader="none" w:pos="7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Income from operations was negatively impacted by pre-tax costs aggregating $47 million primarily related to our July 2012 restructuring as well as integration costs associated with our acquisition of Oakleaf. These items had a negative impact of $0.06 on our diluted earnings per share.</w:t>
      </w:r>
    </w:p>
    <w:p>
      <w:pPr>
        <w:spacing w:after="0" w:line="4" w:lineRule="exact"/>
        <w:rPr>
          <w:rFonts w:ascii="Arial" w:cs="Arial" w:eastAsia="Arial" w:hAnsi="Arial"/>
          <w:sz w:val="16"/>
          <w:szCs w:val="16"/>
          <w:color w:val="auto"/>
        </w:rPr>
      </w:pPr>
    </w:p>
    <w:p>
      <w:pPr>
        <w:ind w:left="700" w:right="320" w:hanging="246"/>
        <w:spacing w:after="0" w:line="259" w:lineRule="auto"/>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Net income was negatively impacted by the recognition of pre-tax impairment charges of $45 million, primarily associated with certain of our investments in unconsolidated entities and related assets. These impairment charges had an unfavorable impact of $0.08 on our diluted earnings per share.</w:t>
      </w:r>
    </w:p>
    <w:p>
      <w:pPr>
        <w:spacing w:after="0" w:line="59" w:lineRule="exact"/>
        <w:rPr>
          <w:rFonts w:ascii="Arial" w:cs="Arial" w:eastAsia="Arial" w:hAnsi="Arial"/>
          <w:sz w:val="18"/>
          <w:szCs w:val="18"/>
          <w:color w:val="auto"/>
        </w:rPr>
      </w:pPr>
    </w:p>
    <w:p>
      <w:pPr>
        <w:ind w:left="700" w:right="40" w:hanging="246"/>
        <w:spacing w:after="0" w:line="268" w:lineRule="auto"/>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Income from operations was negatively impacted by the recognition of a pre-tax charge of $6 million resulting from a labor union dispute in the Pacific Northwest Area, which had a negative impact of $0.01 on our diluted earnings per share.</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Fourth Quarter 2012</w:t>
      </w:r>
    </w:p>
    <w:p>
      <w:pPr>
        <w:spacing w:after="0" w:line="90" w:lineRule="exact"/>
        <w:rPr>
          <w:sz w:val="20"/>
          <w:szCs w:val="20"/>
          <w:color w:val="auto"/>
        </w:rPr>
      </w:pPr>
    </w:p>
    <w:p>
      <w:pPr>
        <w:ind w:left="700" w:right="260" w:hanging="246"/>
        <w:spacing w:after="0" w:line="332" w:lineRule="auto"/>
        <w:tabs>
          <w:tab w:leader="none" w:pos="7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Income from operations was negatively impacted by pre-tax costs aggregating $25 million primarily related to our July 2012 restructuring as well as integration costs associated with our acquisition of Oakleaf. These items had a negative impact of $0.03 on our diluted earnings per share.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80"/>
          </w:cols>
          <w:pgMar w:left="240" w:top="459" w:right="2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700" w:right="80" w:hanging="246"/>
        <w:spacing w:after="0" w:line="294" w:lineRule="auto"/>
        <w:tabs>
          <w:tab w:leader="none" w:pos="70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Income from operations was negatively impacted by the recognition of pre-tax impairment charges of $30 million, primarily attributable to (i) $13 million of charges related to two facilities in our medical waste services business as a result of projected operating losses at each of these facilities; (ii) $6 million of charges related to investments in waste diversion technology companies; (iii) $5 million for the impairment of a facility not currently used in our operations and (iv) $4 million of charges to impair goodwill related to certain of our operations. These impairment charges had an unfavorable impact of $0.05 on our diluted earnings per share.</w:t>
      </w:r>
    </w:p>
    <w:p>
      <w:pPr>
        <w:spacing w:after="0" w:line="34" w:lineRule="exact"/>
        <w:rPr>
          <w:rFonts w:ascii="Arial" w:cs="Arial" w:eastAsia="Arial" w:hAnsi="Arial"/>
          <w:sz w:val="16"/>
          <w:szCs w:val="16"/>
          <w:color w:val="auto"/>
        </w:rPr>
      </w:pPr>
    </w:p>
    <w:p>
      <w:pPr>
        <w:ind w:left="700" w:hanging="246"/>
        <w:spacing w:after="0" w:line="259" w:lineRule="auto"/>
        <w:tabs>
          <w:tab w:leader="none" w:pos="7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Income from operations was negatively impacted by pre-tax charges aggregating $10 million related to an accrual for legal reserves and the impact of a decrease in the risk-free discount rate used to measure our environmental remediation liabilities. These items had a negative impact of $0.01 on our diluted earnings per share.</w:t>
      </w:r>
    </w:p>
    <w:p>
      <w:pPr>
        <w:spacing w:after="0" w:line="134" w:lineRule="exact"/>
        <w:rPr>
          <w:rFonts w:ascii="Arial" w:cs="Arial" w:eastAsia="Arial" w:hAnsi="Arial"/>
          <w:sz w:val="18"/>
          <w:szCs w:val="18"/>
          <w:color w:val="auto"/>
        </w:rPr>
      </w:pPr>
    </w:p>
    <w:p>
      <w:pPr>
        <w:ind w:left="400" w:hanging="392"/>
        <w:spacing w:after="0"/>
        <w:tabs>
          <w:tab w:leader="none" w:pos="40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Consolidating Financial Statements</w:t>
      </w:r>
    </w:p>
    <w:p>
      <w:pPr>
        <w:spacing w:after="0" w:line="96"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340"/>
          </w:cols>
          <w:pgMar w:left="240" w:top="459" w:right="3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33"/>
              <w:spacing w:after="0"/>
              <w:rPr>
                <w:sz w:val="20"/>
                <w:szCs w:val="20"/>
                <w:color w:val="auto"/>
              </w:rPr>
            </w:pPr>
            <w:r>
              <w:rPr>
                <w:rFonts w:ascii="Arial" w:cs="Arial" w:eastAsia="Arial" w:hAnsi="Arial"/>
                <w:sz w:val="14"/>
                <w:szCs w:val="14"/>
                <w:b w:val="1"/>
                <w:bCs w:val="1"/>
                <w:color w:val="auto"/>
              </w:rPr>
              <w:t>Non-</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3"/>
              <w:spacing w:after="0" w:line="149" w:lineRule="exact"/>
              <w:rPr>
                <w:sz w:val="20"/>
                <w:szCs w:val="20"/>
                <w:color w:val="auto"/>
              </w:rPr>
            </w:pPr>
            <w:r>
              <w:rPr>
                <w:rFonts w:ascii="Arial" w:cs="Arial" w:eastAsia="Arial" w:hAnsi="Arial"/>
                <w:sz w:val="14"/>
                <w:szCs w:val="14"/>
                <w:b w:val="1"/>
                <w:bCs w:val="1"/>
                <w:color w:val="auto"/>
              </w:rPr>
              <w:t>WM</w:t>
            </w:r>
          </w:p>
        </w:tc>
        <w:tc>
          <w:tcPr>
            <w:tcW w:w="6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Guarantor</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rPr>
              <w:t>WM</w:t>
            </w:r>
          </w:p>
        </w:tc>
        <w:tc>
          <w:tcPr>
            <w:tcW w:w="700" w:type="dxa"/>
            <w:vAlign w:val="bottom"/>
            <w:gridSpan w:val="2"/>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Holdings</w:t>
            </w: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81"/>
              </w:rPr>
              <w:t>Subsidiaries</w:t>
            </w:r>
          </w:p>
        </w:tc>
        <w:tc>
          <w:tcPr>
            <w:tcW w:w="70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0"/>
        </w:trPr>
        <w:tc>
          <w:tcPr>
            <w:tcW w:w="39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520"/>
              <w:spacing w:after="0" w:line="196" w:lineRule="exact"/>
              <w:rPr>
                <w:sz w:val="20"/>
                <w:szCs w:val="20"/>
                <w:color w:val="auto"/>
              </w:rPr>
            </w:pPr>
            <w:r>
              <w:rPr>
                <w:rFonts w:ascii="Arial" w:cs="Arial" w:eastAsia="Arial" w:hAnsi="Arial"/>
                <w:sz w:val="18"/>
                <w:szCs w:val="18"/>
                <w:b w:val="1"/>
                <w:bCs w:val="1"/>
                <w:color w:val="auto"/>
                <w:w w:val="88"/>
              </w:rPr>
              <w:t>ASSETS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Current assets: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2,435</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12,344</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and advances to affiliates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12,133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16,246</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(32,647)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Other assets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7,706</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12,175</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16,264</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26,811</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(32,647)</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3980" w:type="dxa"/>
            <w:vAlign w:val="bottom"/>
          </w:tcPr>
          <w:p>
            <w:pPr>
              <w:spacing w:after="0"/>
              <w:rPr>
                <w:sz w:val="24"/>
                <w:szCs w:val="24"/>
                <w:color w:val="auto"/>
              </w:rPr>
            </w:pPr>
          </w:p>
        </w:tc>
        <w:tc>
          <w:tcPr>
            <w:tcW w:w="3120" w:type="dxa"/>
            <w:vAlign w:val="bottom"/>
            <w:gridSpan w:val="7"/>
          </w:tcPr>
          <w:p>
            <w:pPr>
              <w:jc w:val="right"/>
              <w:ind w:right="233"/>
              <w:spacing w:after="0"/>
              <w:rPr>
                <w:sz w:val="20"/>
                <w:szCs w:val="20"/>
                <w:color w:val="auto"/>
              </w:rPr>
            </w:pPr>
            <w:r>
              <w:rPr>
                <w:rFonts w:ascii="Arial" w:cs="Arial" w:eastAsia="Arial" w:hAnsi="Arial"/>
                <w:sz w:val="18"/>
                <w:szCs w:val="18"/>
                <w:b w:val="1"/>
                <w:bCs w:val="1"/>
                <w:color w:val="auto"/>
              </w:rPr>
              <w:t>LIABILITIES AND EQUITY</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587</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139</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696</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2,305</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5,772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Other liabilities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4,087</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6,468</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9,671</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Equity:</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 equity</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15,802</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16,845</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(32,647)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295</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15,802</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17,140</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(32,647)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ind w:left="440"/>
              <w:spacing w:after="0"/>
              <w:rPr>
                <w:sz w:val="20"/>
                <w:szCs w:val="20"/>
                <w:color w:val="auto"/>
              </w:rPr>
            </w:pPr>
            <w:r>
              <w:rPr>
                <w:rFonts w:ascii="Arial" w:cs="Arial" w:eastAsia="Arial" w:hAnsi="Arial"/>
                <w:sz w:val="18"/>
                <w:szCs w:val="18"/>
                <w:color w:val="auto"/>
              </w:rPr>
              <w:t>Total liabilities and equity</w:t>
            </w:r>
          </w:p>
        </w:tc>
        <w:tc>
          <w:tcPr>
            <w:tcW w:w="12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12,175</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16,264</w:t>
            </w:r>
          </w:p>
        </w:tc>
        <w:tc>
          <w:tcPr>
            <w:tcW w:w="6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26,811</w:t>
            </w:r>
          </w:p>
        </w:tc>
        <w:tc>
          <w:tcPr>
            <w:tcW w:w="7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(32,647)</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Non-</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3"/>
              <w:spacing w:after="0" w:line="149" w:lineRule="exact"/>
              <w:rPr>
                <w:sz w:val="20"/>
                <w:szCs w:val="20"/>
                <w:color w:val="auto"/>
              </w:rPr>
            </w:pPr>
            <w:r>
              <w:rPr>
                <w:rFonts w:ascii="Arial" w:cs="Arial" w:eastAsia="Arial" w:hAnsi="Arial"/>
                <w:sz w:val="14"/>
                <w:szCs w:val="14"/>
                <w:b w:val="1"/>
                <w:bCs w:val="1"/>
                <w:color w:val="auto"/>
              </w:rPr>
              <w:t>WM</w:t>
            </w:r>
          </w:p>
        </w:tc>
        <w:tc>
          <w:tcPr>
            <w:tcW w:w="6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Guarantor</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rPr>
              <w:t>WM</w:t>
            </w:r>
          </w:p>
        </w:tc>
        <w:tc>
          <w:tcPr>
            <w:tcW w:w="600" w:type="dxa"/>
            <w:vAlign w:val="bottom"/>
            <w:gridSpan w:val="2"/>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Holdings</w:t>
            </w:r>
          </w:p>
        </w:tc>
        <w:tc>
          <w:tcPr>
            <w:tcW w:w="6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Subsidiaries</w:t>
            </w:r>
          </w:p>
        </w:tc>
        <w:tc>
          <w:tcPr>
            <w:tcW w:w="5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0"/>
        </w:trPr>
        <w:tc>
          <w:tcPr>
            <w:tcW w:w="150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0" w:type="dxa"/>
            <w:vAlign w:val="bottom"/>
            <w:gridSpan w:val="2"/>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2140" w:type="dxa"/>
            <w:vAlign w:val="bottom"/>
            <w:gridSpan w:val="3"/>
            <w:shd w:val="clear" w:color="auto" w:fill="CCEEFF"/>
          </w:tcPr>
          <w:p>
            <w:pPr>
              <w:jc w:val="right"/>
              <w:ind w:right="33"/>
              <w:spacing w:after="0" w:line="196" w:lineRule="exact"/>
              <w:rPr>
                <w:sz w:val="20"/>
                <w:szCs w:val="20"/>
                <w:color w:val="auto"/>
              </w:rPr>
            </w:pPr>
            <w:r>
              <w:rPr>
                <w:rFonts w:ascii="Arial" w:cs="Arial" w:eastAsia="Arial" w:hAnsi="Arial"/>
                <w:sz w:val="18"/>
                <w:szCs w:val="18"/>
                <w:b w:val="1"/>
                <w:bCs w:val="1"/>
                <w:color w:val="auto"/>
              </w:rPr>
              <w:t>ASSETS</w:t>
            </w:r>
          </w:p>
        </w:tc>
        <w:tc>
          <w:tcPr>
            <w:tcW w:w="6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Other current assets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2,222</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12,651</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and advances to affiliates (a)</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12,725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15,932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(32,055)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7,966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5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12,830</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15,951</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26,371</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(32,055)</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1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840" w:type="dxa"/>
            <w:vAlign w:val="bottom"/>
            <w:gridSpan w:val="6"/>
          </w:tcPr>
          <w:p>
            <w:pPr>
              <w:jc w:val="right"/>
              <w:spacing w:after="0"/>
              <w:rPr>
                <w:sz w:val="20"/>
                <w:szCs w:val="20"/>
                <w:color w:val="auto"/>
              </w:rPr>
            </w:pPr>
            <w:r>
              <w:rPr>
                <w:rFonts w:ascii="Arial" w:cs="Arial" w:eastAsia="Arial" w:hAnsi="Arial"/>
                <w:sz w:val="18"/>
                <w:szCs w:val="18"/>
                <w:b w:val="1"/>
                <w:bCs w:val="1"/>
                <w:color w:val="auto"/>
              </w:rPr>
              <w:t>LIABILITIES AND EQUITY</w:t>
            </w: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Current portion of long-term debt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343</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5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477</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2,546</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4,171</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Stockholders’ equity (a)</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6,354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15,489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(32,055)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220"/>
              <w:spacing w:after="0"/>
              <w:rPr>
                <w:sz w:val="20"/>
                <w:szCs w:val="20"/>
                <w:color w:val="auto"/>
              </w:rPr>
            </w:pPr>
            <w:r>
              <w:rPr>
                <w:rFonts w:ascii="Arial" w:cs="Arial" w:eastAsia="Arial" w:hAnsi="Arial"/>
                <w:sz w:val="18"/>
                <w:szCs w:val="18"/>
                <w:color w:val="auto"/>
              </w:rPr>
              <w:t>Noncontrolling interests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15,489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16,887</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(32,055)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liabilities and equity</w:t>
            </w:r>
          </w:p>
        </w:tc>
        <w:tc>
          <w:tcPr>
            <w:tcW w:w="15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gridSpan w:val="2"/>
            <w:vMerge w:val="continue"/>
          </w:tcPr>
          <w:p>
            <w:pPr>
              <w:spacing w:after="0"/>
              <w:rPr>
                <w:sz w:val="19"/>
                <w:szCs w:val="19"/>
                <w:color w:val="auto"/>
              </w:rPr>
            </w:pPr>
          </w:p>
        </w:tc>
        <w:tc>
          <w:tcPr>
            <w:tcW w:w="15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12,830</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15,951</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26,371</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(32,055)</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1500" w:type="dxa"/>
            <w:vAlign w:val="bottom"/>
            <w:tcBorders>
              <w:bottom w:val="single" w:sz="8" w:color="auto"/>
            </w:tcBorders>
          </w:tcPr>
          <w:p>
            <w:pPr>
              <w:spacing w:after="0"/>
              <w:rPr>
                <w:sz w:val="7"/>
                <w:szCs w:val="7"/>
                <w:color w:val="auto"/>
              </w:rPr>
            </w:pPr>
          </w:p>
        </w:tc>
        <w:tc>
          <w:tcPr>
            <w:tcW w:w="24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20" w:hanging="452"/>
        <w:spacing w:after="0" w:line="306" w:lineRule="auto"/>
        <w:tabs>
          <w:tab w:leader="none" w:pos="4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 conjunction with the preparation of our 2013 Condensed Consolidating Financial Statements, we identified corrections associated with the computation of the amounts reported as WM Holdings’ “Investments in and advances to affiliates” and “Stockholders’ equity” previously reported in the 2012 Condensed Consolidating Balance Sheet. Accordingly, the 2012 Condensed Consolidating Balance Sheet included herein has been restated.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Non-</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WM</w:t>
            </w:r>
          </w:p>
        </w:tc>
        <w:tc>
          <w:tcPr>
            <w:tcW w:w="104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7"/>
              </w:rPr>
              <w:t>Guarantor</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WM</w:t>
            </w:r>
          </w:p>
        </w:tc>
        <w:tc>
          <w:tcPr>
            <w:tcW w:w="2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2013</w:t>
            </w:r>
          </w:p>
        </w:tc>
        <w:tc>
          <w:tcPr>
            <w:tcW w:w="9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Operating revenues</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13,983</w:t>
            </w:r>
          </w:p>
        </w:tc>
        <w:tc>
          <w:tcPr>
            <w:tcW w:w="32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 (b)</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12,904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12,904</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80" w:type="dxa"/>
            <w:vAlign w:val="bottom"/>
            <w:gridSpan w:val="2"/>
            <w:vMerge w:val="continue"/>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1,079</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Interest income (expense)</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(645)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(645)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8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(645)</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8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(645)</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Waste Management, Inc.</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80" w:type="dxa"/>
            <w:vAlign w:val="bottom"/>
            <w:gridSpan w:val="2"/>
            <w:vMerge w:val="continue"/>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98</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332</w:t>
            </w:r>
          </w:p>
        </w:tc>
        <w:tc>
          <w:tcPr>
            <w:tcW w:w="320" w:type="dxa"/>
            <w:vAlign w:val="bottom"/>
          </w:tcPr>
          <w:p>
            <w:pPr>
              <w:spacing w:after="0"/>
              <w:rPr>
                <w:sz w:val="19"/>
                <w:szCs w:val="19"/>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(645)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2012</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Operating revenues</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13,649</w:t>
            </w:r>
          </w:p>
        </w:tc>
        <w:tc>
          <w:tcPr>
            <w:tcW w:w="32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 (b)</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11,805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11,798</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80" w:type="dxa"/>
            <w:vAlign w:val="bottom"/>
            <w:gridSpan w:val="2"/>
            <w:vMerge w:val="continue"/>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1,844</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Interest income (expense)</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(358)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1,034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1,046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(2,080)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1,014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(2,080)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8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676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1,021</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1,686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(2,080)</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8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817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1,034</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(2,080)</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Waste Management, Inc.</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80" w:type="dxa"/>
            <w:vAlign w:val="bottom"/>
            <w:gridSpan w:val="2"/>
            <w:vMerge w:val="continue"/>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817</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1,034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1,046</w:t>
            </w:r>
          </w:p>
        </w:tc>
        <w:tc>
          <w:tcPr>
            <w:tcW w:w="320" w:type="dxa"/>
            <w:vAlign w:val="bottom"/>
          </w:tcPr>
          <w:p>
            <w:pPr>
              <w:spacing w:after="0"/>
              <w:rPr>
                <w:sz w:val="19"/>
                <w:szCs w:val="19"/>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(2,080)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460" w:type="dxa"/>
            <w:vAlign w:val="bottom"/>
            <w:gridSpan w:val="4"/>
          </w:tcPr>
          <w:p>
            <w:pPr>
              <w:jc w:val="right"/>
              <w:ind w:right="313"/>
              <w:spacing w:after="0"/>
              <w:rPr>
                <w:sz w:val="20"/>
                <w:szCs w:val="20"/>
                <w:color w:val="auto"/>
              </w:rPr>
            </w:pPr>
            <w:r>
              <w:rPr>
                <w:rFonts w:ascii="Arial" w:cs="Arial" w:eastAsia="Arial" w:hAnsi="Arial"/>
                <w:sz w:val="18"/>
                <w:szCs w:val="18"/>
                <w:color w:val="auto"/>
              </w:rPr>
              <w:t>149</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Non-</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WM</w:t>
            </w: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WM</w:t>
            </w:r>
          </w:p>
        </w:tc>
        <w:tc>
          <w:tcPr>
            <w:tcW w:w="2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2011</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13,378</w:t>
            </w:r>
          </w:p>
        </w:tc>
        <w:tc>
          <w:tcPr>
            <w:tcW w:w="32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and expenses (b)</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11,350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11,350</w:t>
            </w: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4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2,028</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200"/>
              <w:spacing w:after="0"/>
              <w:rPr>
                <w:sz w:val="20"/>
                <w:szCs w:val="20"/>
                <w:color w:val="auto"/>
              </w:rPr>
            </w:pPr>
            <w:r>
              <w:rPr>
                <w:rFonts w:ascii="Arial" w:cs="Arial" w:eastAsia="Arial" w:hAnsi="Arial"/>
                <w:sz w:val="18"/>
                <w:szCs w:val="18"/>
                <w:color w:val="auto"/>
              </w:rPr>
              <w:t>Interest income (expense)</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(342)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1,188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(2,356)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1,155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(2,356)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826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1,155</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1,895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(2,356)</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961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1,168</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(2,356)</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spacing w:after="0"/>
              <w:rPr>
                <w:sz w:val="20"/>
                <w:szCs w:val="20"/>
                <w:color w:val="auto"/>
              </w:rPr>
            </w:pPr>
            <w:r>
              <w:rPr>
                <w:rFonts w:ascii="Arial" w:cs="Arial" w:eastAsia="Arial" w:hAnsi="Arial"/>
                <w:sz w:val="18"/>
                <w:szCs w:val="18"/>
                <w:color w:val="auto"/>
              </w:rPr>
              <w:t>Net income attributable to Waste Management, Inc.</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961</w:t>
            </w:r>
          </w:p>
        </w:tc>
        <w:tc>
          <w:tcPr>
            <w:tcW w:w="32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1,168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1,188</w:t>
            </w:r>
          </w:p>
        </w:tc>
        <w:tc>
          <w:tcPr>
            <w:tcW w:w="320" w:type="dxa"/>
            <w:vAlign w:val="bottom"/>
          </w:tcPr>
          <w:p>
            <w:pPr>
              <w:spacing w:after="0"/>
              <w:rPr>
                <w:sz w:val="19"/>
                <w:szCs w:val="19"/>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(2,356)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4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20" w:hanging="452"/>
        <w:spacing w:after="0" w:line="268"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Includes “Goodwill impairments” and “(Income) expense from divestitures, asset impairments (other than goodwill) and unusual items” as reported in our Consolidated Statement of Operations.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54"/>
              <w:spacing w:after="0"/>
              <w:rPr>
                <w:sz w:val="20"/>
                <w:szCs w:val="20"/>
                <w:color w:val="auto"/>
              </w:rPr>
            </w:pPr>
            <w:r>
              <w:rPr>
                <w:rFonts w:ascii="Arial" w:cs="Arial" w:eastAsia="Arial" w:hAnsi="Arial"/>
                <w:sz w:val="14"/>
                <w:szCs w:val="14"/>
                <w:b w:val="1"/>
                <w:bCs w:val="1"/>
                <w:color w:val="auto"/>
              </w:rPr>
              <w:t>WM</w:t>
            </w:r>
          </w:p>
        </w:tc>
        <w:tc>
          <w:tcPr>
            <w:tcW w:w="64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0"/>
              </w:rPr>
              <w:t>Non-Guarantor</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WM</w:t>
            </w: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Holdings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4"/>
              <w:spacing w:after="0"/>
              <w:rPr>
                <w:sz w:val="20"/>
                <w:szCs w:val="20"/>
                <w:color w:val="auto"/>
              </w:rPr>
            </w:pPr>
            <w:r>
              <w:rPr>
                <w:rFonts w:ascii="Arial" w:cs="Arial" w:eastAsia="Arial" w:hAnsi="Arial"/>
                <w:sz w:val="14"/>
                <w:szCs w:val="14"/>
                <w:b w:val="1"/>
                <w:bCs w:val="1"/>
                <w:color w:val="auto"/>
                <w:w w:val="84"/>
              </w:rPr>
              <w:t>Subsidiaries</w:t>
            </w:r>
          </w:p>
        </w:tc>
        <w:tc>
          <w:tcPr>
            <w:tcW w:w="6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6"/>
        </w:trPr>
        <w:tc>
          <w:tcPr>
            <w:tcW w:w="5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2013</w:t>
            </w: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Comprehensive income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$ 112</w:t>
            </w:r>
          </w:p>
        </w:tc>
        <w:tc>
          <w:tcPr>
            <w:tcW w:w="6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313</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311</w:t>
            </w:r>
          </w:p>
        </w:tc>
        <w:tc>
          <w:tcPr>
            <w:tcW w:w="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(645)</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93"/>
              </w:rPr>
              <w:t>Less: Comprehensive income attributable to noncontrolling interests</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color w:val="auto"/>
                <w:w w:val="99"/>
              </w:rPr>
              <w:t>Comprehensive income attributable to Waste Management, Inc.</w:t>
            </w: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00" w:type="dxa"/>
            <w:vAlign w:val="bottom"/>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112</w:t>
            </w:r>
          </w:p>
        </w:tc>
        <w:tc>
          <w:tcPr>
            <w:tcW w:w="6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313</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279</w:t>
            </w:r>
          </w:p>
        </w:tc>
        <w:tc>
          <w:tcPr>
            <w:tcW w:w="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(645)</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2012</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Comprehensive income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$807</w:t>
            </w:r>
          </w:p>
        </w:tc>
        <w:tc>
          <w:tcPr>
            <w:tcW w:w="6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1,034</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1,120</w:t>
            </w:r>
          </w:p>
        </w:tc>
        <w:tc>
          <w:tcPr>
            <w:tcW w:w="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(2,080)</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93"/>
              </w:rPr>
              <w:t>Less: Comprehensive income attributable to noncontrolling interests</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color w:val="auto"/>
                <w:w w:val="99"/>
              </w:rPr>
              <w:t>Comprehensive income attributable to Waste Management, Inc.</w:t>
            </w: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00" w:type="dxa"/>
            <w:vAlign w:val="bottom"/>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807</w:t>
            </w:r>
          </w:p>
        </w:tc>
        <w:tc>
          <w:tcPr>
            <w:tcW w:w="6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1,034</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1,077</w:t>
            </w:r>
          </w:p>
        </w:tc>
        <w:tc>
          <w:tcPr>
            <w:tcW w:w="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(2,080)</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2011</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Comprehensive income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$929</w:t>
            </w:r>
          </w:p>
        </w:tc>
        <w:tc>
          <w:tcPr>
            <w:tcW w:w="6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1,168</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1,210</w:t>
            </w:r>
          </w:p>
        </w:tc>
        <w:tc>
          <w:tcPr>
            <w:tcW w:w="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(2,356)</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93"/>
              </w:rPr>
              <w:t>Less: Comprehensive income attributable to noncontrolling interests</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color w:val="auto"/>
                <w:w w:val="99"/>
              </w:rPr>
              <w:t>Comprehensive income attributable to Waste Management, Inc.</w:t>
            </w: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00" w:type="dxa"/>
            <w:vAlign w:val="bottom"/>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929</w:t>
            </w:r>
          </w:p>
        </w:tc>
        <w:tc>
          <w:tcPr>
            <w:tcW w:w="6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1,168</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1,162</w:t>
            </w:r>
          </w:p>
        </w:tc>
        <w:tc>
          <w:tcPr>
            <w:tcW w:w="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(2,356)</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100" w:type="dxa"/>
            <w:vAlign w:val="bottom"/>
          </w:tcPr>
          <w:p>
            <w:pPr>
              <w:spacing w:after="0"/>
              <w:rPr>
                <w:sz w:val="24"/>
                <w:szCs w:val="24"/>
                <w:color w:val="auto"/>
              </w:rPr>
            </w:pPr>
          </w:p>
        </w:tc>
        <w:tc>
          <w:tcPr>
            <w:tcW w:w="1300" w:type="dxa"/>
            <w:vAlign w:val="bottom"/>
            <w:gridSpan w:val="3"/>
          </w:tcPr>
          <w:p>
            <w:pPr>
              <w:jc w:val="right"/>
              <w:ind w:right="56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WM</w:t>
            </w:r>
          </w:p>
        </w:tc>
        <w:tc>
          <w:tcPr>
            <w:tcW w:w="3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WM</w:t>
            </w:r>
          </w:p>
        </w:tc>
        <w:tc>
          <w:tcPr>
            <w:tcW w:w="2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4"/>
              </w:rPr>
              <w:t>Subsidiaries</w:t>
            </w:r>
          </w:p>
        </w:tc>
        <w:tc>
          <w:tcPr>
            <w:tcW w:w="30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2013</w:t>
            </w: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Consolidated 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313</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(645)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8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(313)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(332)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645</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adjustments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(217)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2,691</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Acquisition of businesses, net of cash acquired</w:t>
            </w:r>
          </w:p>
        </w:tc>
        <w:tc>
          <w:tcPr>
            <w:tcW w:w="8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(724)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w w:val="98"/>
              </w:rPr>
              <w:t>Proceeds from divestitures of businesses (net of cash divested)</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and other sales of assets</w:t>
            </w:r>
          </w:p>
        </w:tc>
        <w:tc>
          <w:tcPr>
            <w:tcW w:w="80" w:type="dxa"/>
            <w:vAlign w:val="bottom"/>
          </w:tcPr>
          <w:p>
            <w:pPr>
              <w:spacing w:after="0"/>
              <w:rPr>
                <w:sz w:val="19"/>
                <w:szCs w:val="19"/>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receipts from restricted trust and escrow accounts and other,</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(1,900)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New borrowings</w:t>
            </w: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325</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982</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repayments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(305)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Common stock repurchases</w:t>
            </w:r>
          </w:p>
        </w:tc>
        <w:tc>
          <w:tcPr>
            <w:tcW w:w="8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(239)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(683)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132</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paid to noncontrolling interests and other</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(Increase) decrease in intercompany and investments, net</w:t>
            </w: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913</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(932)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WM</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4"/>
              </w:rPr>
              <w:t>Subsidiaries</w:t>
            </w:r>
          </w:p>
        </w:tc>
        <w:tc>
          <w:tcPr>
            <w:tcW w:w="2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2012</w:t>
            </w: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Consolidated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1,034</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(2,080)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0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(1,034)</w:t>
            </w: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(1,046)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2,080</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adjustments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2,443</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0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w w:val="99"/>
              </w:rPr>
              <w:t>Proceeds from divestitures of businesses (net of cash divested)</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and other sales of assets</w:t>
            </w:r>
          </w:p>
        </w:tc>
        <w:tc>
          <w:tcPr>
            <w:tcW w:w="100" w:type="dxa"/>
            <w:vAlign w:val="bottom"/>
          </w:tcPr>
          <w:p>
            <w:pPr>
              <w:spacing w:after="0"/>
              <w:rPr>
                <w:sz w:val="19"/>
                <w:szCs w:val="19"/>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Net receipts from restricted trust and escrow accounts and other,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(1,830)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New borrowings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repayments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Common stock repurchases</w:t>
            </w:r>
          </w:p>
        </w:tc>
        <w:tc>
          <w:tcPr>
            <w:tcW w:w="10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paid to noncontrolling interests and other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(Increase) decrease in intercompany and investments, net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(379)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4"/>
              </w:rPr>
              <w:t>Subsidiaries</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2011</w:t>
            </w: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Consolidated 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1,168</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(2,356)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8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(1,168)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(1,188)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2,356</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adjustments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(195)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2,687</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Acquisition of businesses, net of cash acquired</w:t>
            </w:r>
          </w:p>
        </w:tc>
        <w:tc>
          <w:tcPr>
            <w:tcW w:w="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(867)</w:t>
            </w:r>
          </w:p>
        </w:tc>
        <w:tc>
          <w:tcPr>
            <w:tcW w:w="2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(1,324)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w w:val="98"/>
              </w:rPr>
              <w:t>Proceeds from divestitures of businesses (net of cash divested)</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and other sales of assets</w:t>
            </w:r>
          </w:p>
        </w:tc>
        <w:tc>
          <w:tcPr>
            <w:tcW w:w="80" w:type="dxa"/>
            <w:vAlign w:val="bottom"/>
          </w:tcPr>
          <w:p>
            <w:pPr>
              <w:spacing w:after="0"/>
              <w:rPr>
                <w:sz w:val="19"/>
                <w:szCs w:val="19"/>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receipts from restricted trust and escrow accounts and</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(2,180)</w:t>
            </w:r>
          </w:p>
        </w:tc>
        <w:tc>
          <w:tcPr>
            <w:tcW w:w="200" w:type="dxa"/>
            <w:vAlign w:val="bottom"/>
          </w:tcPr>
          <w:p>
            <w:pPr>
              <w:spacing w:after="0"/>
              <w:rPr>
                <w:sz w:val="20"/>
                <w:szCs w:val="20"/>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New borrowings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1,043</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repayments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Common stock repurchases</w:t>
            </w:r>
          </w:p>
        </w:tc>
        <w:tc>
          <w:tcPr>
            <w:tcW w:w="8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(575)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paid to noncontrolling interests and other</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(Increase) decrease in intercompany and investments, net</w:t>
            </w:r>
          </w:p>
        </w:tc>
        <w:tc>
          <w:tcPr>
            <w:tcW w:w="8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170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154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December 31, 2013 (the end of the period covered by this Annual Report on Form 10-K).</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Management’s report on our internal control over financial reporting can be found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xml:space="preserve"> of this report. Ernst &amp; Young LLP, an independent registered public accounting firm, has audited the effectiveness of our internal control over financial reporting as of December 31, 2013 as stated in their report, which appears in Item 8 of this report.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Management, together with our CEO and CFO, evaluated the changes in our internal control over financial reporting during the quarter ended December 31, 2013. We determined that there were no changes in our internal control over financial reporting during the quarter ended December 31, 2013 that have materially affected, or are reasonably likely to materially affect, our internal control over financial reporting.</w:t>
      </w:r>
    </w:p>
    <w:p>
      <w:pPr>
        <w:spacing w:after="0" w:line="1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6"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 information required by this Item is incorporated by reference to the sections entitled “Board of Directors,” “Section 16(a) Beneficial Ownership Reporting Compliance,” and “Executive Officers,” in the Company’s definitive Proxy Statement for its 2014 Annual Meeting of Stockholders (the “Proxy Statement”), to be held May 13, 2014. The Proxy Statement will be filed with the SEC within 120 days of the end of our fiscal year.</w:t>
      </w:r>
    </w:p>
    <w:p>
      <w:pPr>
        <w:spacing w:after="0" w:line="2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adopted a code of ethics that applies to our CEO, CFO and Chief Accounting Officer, as well as other officers, directors and employees of the Company. The code of ethics, entitled “Code of Conduct,” is posted on our website at www.wm.com under the section “Corporate Governance” within the “Investor Relations” tab.</w:t>
      </w:r>
    </w:p>
    <w:p>
      <w:pPr>
        <w:spacing w:after="0" w:line="17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6"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The information required by this Item is incorporated herein by reference to the sections entitled “Board of Directors — Non-Employee Director Compensation,” “— Compensation Committee Report,” “— Compensation Committee Interlocks and Insider Participation,” “Executive Compensation — Compensation Discussion and Analysis” and “— Executive Compensation Tables” in the Proxy Statement.</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320"/>
          </w:cols>
          <w:pgMar w:left="240" w:top="460" w:right="3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information required by this Item is incorporated herein by reference to the sections entitled “Equity Compensation Plan Table,” “Director Nominee and Officer Stock Ownership,” and “Persons Owning More than 5% of Waste Management Common Stock” in the Proxy Statement.</w:t>
      </w:r>
    </w:p>
    <w:p>
      <w:pPr>
        <w:spacing w:after="0" w:line="12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“Board of Directors — Related Party Transactions” and “— Independence of Board Members” in the Proxy Statement.</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section entitled “Ratification of Independent Registered Public Accounting Firm — Independent Registered Public Accounting Firm Fee Information” in the Proxy Statement.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(1) Consolidated Financial Statements: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Consolidated Balance Sheets as of December 31, 2013 and 2012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Consolidated Statements of Operations for the years ended December 31, 2013, 2012 and 2011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Consolidated Statements of Comprehensive Income for the years ended December 31, 2013, 2012 and 2011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Consolidated Statements of Cash Flows for the years ended December 31, 2013, 2012 and 2011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Consolidated Statements of Changes in Equity for the years ended December 31, 2013, 2012 and 2011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Notes to Consolidated Financial Statements</w:t>
      </w:r>
    </w:p>
    <w:p>
      <w:pPr>
        <w:spacing w:after="0" w:line="84" w:lineRule="exact"/>
        <w:rPr>
          <w:sz w:val="20"/>
          <w:szCs w:val="20"/>
          <w:color w:val="auto"/>
        </w:rPr>
      </w:pPr>
    </w:p>
    <w:p>
      <w:pPr>
        <w:ind w:left="460" w:right="7200" w:firstLine="4"/>
        <w:spacing w:after="0" w:line="387" w:lineRule="auto"/>
        <w:tabs>
          <w:tab w:leader="none" w:pos="699"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(2) </w:t>
      </w:r>
      <w:r>
        <w:rPr>
          <w:rFonts w:ascii="Arial" w:cs="Arial" w:eastAsia="Arial" w:hAnsi="Arial"/>
          <w:sz w:val="16"/>
          <w:szCs w:val="16"/>
          <w:i w:val="1"/>
          <w:iCs w:val="1"/>
          <w:color w:val="auto"/>
        </w:rPr>
        <w:t>Consolidated Financial Statement Schedules:</w:t>
      </w:r>
      <w:r>
        <w:rPr>
          <w:rFonts w:ascii="Arial" w:cs="Arial" w:eastAsia="Arial" w:hAnsi="Arial"/>
          <w:sz w:val="16"/>
          <w:szCs w:val="16"/>
          <w:color w:val="auto"/>
        </w:rPr>
        <w:t xml:space="preserve"> Schedule II — Valuation and Qualifying Accounts</w:t>
      </w:r>
    </w:p>
    <w:p>
      <w:pPr>
        <w:spacing w:after="0" w:line="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All other schedules have been omitted because the required information is not significant or is included in the financial statements or notes thereto, or is not applicable.</w:t>
      </w:r>
    </w:p>
    <w:p>
      <w:pPr>
        <w:spacing w:after="0" w:line="132" w:lineRule="exact"/>
        <w:rPr>
          <w:sz w:val="20"/>
          <w:szCs w:val="20"/>
          <w:color w:val="auto"/>
        </w:rPr>
      </w:pPr>
    </w:p>
    <w:p>
      <w:pPr>
        <w:ind w:left="760" w:hanging="296"/>
        <w:spacing w:after="0"/>
        <w:tabs>
          <w:tab w:leader="none" w:pos="76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list required by this Item is incorporated by reference to the Exhibit Index filed as part of this report.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ind w:left="6860"/>
        <w:spacing w:after="0"/>
        <w:tabs>
          <w:tab w:leader="none" w:pos="8220" w:val="left"/>
          <w:tab w:leader="none" w:pos="8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6985</wp:posOffset>
            </wp:positionV>
            <wp:extent cx="265874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0"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David P. Steiner</w:t>
      </w:r>
    </w:p>
    <w:p>
      <w:pPr>
        <w:spacing w:after="0" w:line="15" w:lineRule="exact"/>
        <w:rPr>
          <w:sz w:val="20"/>
          <w:szCs w:val="20"/>
          <w:color w:val="auto"/>
        </w:rPr>
      </w:pPr>
    </w:p>
    <w:p>
      <w:pPr>
        <w:ind w:left="766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2014</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459" w:right="239" w:bottom="1440" w:gutter="0" w:footer="0" w:header="0"/>
        </w:sectPr>
      </w:pPr>
    </w:p>
    <w:p>
      <w:pPr>
        <w:spacing w:after="0" w:line="4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0" w:type="dxa"/>
            <w:vAlign w:val="bottom"/>
            <w:vMerge w:val="restart"/>
          </w:tcPr>
          <w:p>
            <w:pPr>
              <w:ind w:left="140"/>
              <w:spacing w:after="0"/>
              <w:rPr>
                <w:sz w:val="20"/>
                <w:szCs w:val="20"/>
                <w:color w:val="auto"/>
              </w:rPr>
            </w:pPr>
            <w:r>
              <w:rPr>
                <w:rFonts w:ascii="Arial" w:cs="Arial" w:eastAsia="Arial" w:hAnsi="Arial"/>
                <w:sz w:val="18"/>
                <w:szCs w:val="18"/>
                <w:color w:val="auto"/>
                <w:w w:val="73"/>
              </w:rPr>
              <w:t>/s/</w:t>
            </w:r>
          </w:p>
        </w:tc>
        <w:tc>
          <w:tcPr>
            <w:tcW w:w="4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DAVID P.</w:t>
            </w:r>
          </w:p>
        </w:tc>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STEINER</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gridSpan w:val="3"/>
          </w:tcPr>
          <w:p>
            <w:pPr>
              <w:jc w:val="center"/>
              <w:ind w:right="1292"/>
              <w:spacing w:after="0"/>
              <w:rPr>
                <w:sz w:val="20"/>
                <w:szCs w:val="20"/>
                <w:color w:val="auto"/>
              </w:rPr>
            </w:pPr>
            <w:r>
              <w:rPr>
                <w:rFonts w:ascii="Arial" w:cs="Arial" w:eastAsia="Arial" w:hAnsi="Arial"/>
                <w:sz w:val="18"/>
                <w:szCs w:val="18"/>
                <w:color w:val="auto"/>
                <w:w w:val="87"/>
              </w:rPr>
              <w:t>David P. Steiner</w:t>
            </w:r>
          </w:p>
        </w:tc>
        <w:tc>
          <w:tcPr>
            <w:tcW w:w="0" w:type="dxa"/>
            <w:vAlign w:val="bottom"/>
          </w:tcPr>
          <w:p>
            <w:pPr>
              <w:spacing w:after="0"/>
              <w:rPr>
                <w:sz w:val="1"/>
                <w:szCs w:val="1"/>
                <w:color w:val="auto"/>
              </w:rPr>
            </w:pPr>
          </w:p>
        </w:tc>
      </w:tr>
      <w:tr>
        <w:trPr>
          <w:trHeight w:val="438"/>
        </w:trPr>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4"/>
              </w:rPr>
              <w:t>/s/</w:t>
            </w:r>
          </w:p>
        </w:tc>
        <w:tc>
          <w:tcPr>
            <w:tcW w:w="28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JAMES C. FISH, JR.</w:t>
            </w: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gridSpan w:val="3"/>
          </w:tcPr>
          <w:p>
            <w:pPr>
              <w:jc w:val="center"/>
              <w:ind w:right="1312"/>
              <w:spacing w:after="0"/>
              <w:rPr>
                <w:sz w:val="20"/>
                <w:szCs w:val="20"/>
                <w:color w:val="auto"/>
              </w:rPr>
            </w:pPr>
            <w:r>
              <w:rPr>
                <w:rFonts w:ascii="Arial" w:cs="Arial" w:eastAsia="Arial" w:hAnsi="Arial"/>
                <w:sz w:val="18"/>
                <w:szCs w:val="18"/>
                <w:color w:val="auto"/>
                <w:w w:val="85"/>
              </w:rPr>
              <w:t>James C. Fish, Jr.</w:t>
            </w:r>
          </w:p>
        </w:tc>
        <w:tc>
          <w:tcPr>
            <w:tcW w:w="0" w:type="dxa"/>
            <w:vAlign w:val="bottom"/>
          </w:tcPr>
          <w:p>
            <w:pPr>
              <w:spacing w:after="0"/>
              <w:rPr>
                <w:sz w:val="1"/>
                <w:szCs w:val="1"/>
                <w:color w:val="auto"/>
              </w:rPr>
            </w:pPr>
          </w:p>
        </w:tc>
      </w:tr>
      <w:tr>
        <w:trPr>
          <w:trHeight w:val="641"/>
        </w:trPr>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w:t>
            </w:r>
          </w:p>
        </w:tc>
        <w:tc>
          <w:tcPr>
            <w:tcW w:w="2880" w:type="dxa"/>
            <w:vAlign w:val="bottom"/>
            <w:tcBorders>
              <w:bottom w:val="single" w:sz="8" w:color="auto"/>
            </w:tcBorders>
            <w:gridSpan w:val="3"/>
          </w:tcPr>
          <w:p>
            <w:pPr>
              <w:jc w:val="center"/>
              <w:ind w:right="972"/>
              <w:spacing w:after="0"/>
              <w:rPr>
                <w:sz w:val="20"/>
                <w:szCs w:val="20"/>
                <w:color w:val="auto"/>
              </w:rPr>
            </w:pPr>
            <w:r>
              <w:rPr>
                <w:rFonts w:ascii="Arial" w:cs="Arial" w:eastAsia="Arial" w:hAnsi="Arial"/>
                <w:sz w:val="18"/>
                <w:szCs w:val="18"/>
                <w:color w:val="auto"/>
                <w:w w:val="90"/>
              </w:rPr>
              <w:t>DON P. CARPENTER</w:t>
            </w: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gridSpan w:val="3"/>
          </w:tcPr>
          <w:p>
            <w:pPr>
              <w:jc w:val="center"/>
              <w:ind w:right="1312"/>
              <w:spacing w:after="0"/>
              <w:rPr>
                <w:sz w:val="20"/>
                <w:szCs w:val="20"/>
                <w:color w:val="auto"/>
              </w:rPr>
            </w:pPr>
            <w:r>
              <w:rPr>
                <w:rFonts w:ascii="Arial" w:cs="Arial" w:eastAsia="Arial" w:hAnsi="Arial"/>
                <w:sz w:val="18"/>
                <w:szCs w:val="18"/>
                <w:color w:val="auto"/>
                <w:w w:val="85"/>
              </w:rPr>
              <w:t>Don P. Carpenter</w:t>
            </w:r>
          </w:p>
        </w:tc>
        <w:tc>
          <w:tcPr>
            <w:tcW w:w="0" w:type="dxa"/>
            <w:vAlign w:val="bottom"/>
          </w:tcPr>
          <w:p>
            <w:pPr>
              <w:spacing w:after="0"/>
              <w:rPr>
                <w:sz w:val="1"/>
                <w:szCs w:val="1"/>
                <w:color w:val="auto"/>
              </w:rPr>
            </w:pPr>
          </w:p>
        </w:tc>
      </w:tr>
      <w:tr>
        <w:trPr>
          <w:trHeight w:val="438"/>
        </w:trPr>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rPr>
              <w:t>BRADBURY H. ANDERSON</w:t>
            </w: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3180" w:type="dxa"/>
            <w:vAlign w:val="bottom"/>
            <w:gridSpan w:val="4"/>
          </w:tcPr>
          <w:p>
            <w:pPr>
              <w:jc w:val="center"/>
              <w:ind w:right="1012"/>
              <w:spacing w:after="0"/>
              <w:rPr>
                <w:sz w:val="20"/>
                <w:szCs w:val="20"/>
                <w:color w:val="auto"/>
              </w:rPr>
            </w:pPr>
            <w:r>
              <w:rPr>
                <w:rFonts w:ascii="Arial" w:cs="Arial" w:eastAsia="Arial" w:hAnsi="Arial"/>
                <w:sz w:val="18"/>
                <w:szCs w:val="18"/>
                <w:color w:val="auto"/>
                <w:w w:val="89"/>
              </w:rPr>
              <w:t>Bradbury H. Anderson</w:t>
            </w:r>
          </w:p>
        </w:tc>
        <w:tc>
          <w:tcPr>
            <w:tcW w:w="0" w:type="dxa"/>
            <w:vAlign w:val="bottom"/>
          </w:tcPr>
          <w:p>
            <w:pPr>
              <w:spacing w:after="0"/>
              <w:rPr>
                <w:sz w:val="1"/>
                <w:szCs w:val="1"/>
                <w:color w:val="auto"/>
              </w:rPr>
            </w:pPr>
          </w:p>
        </w:tc>
      </w:tr>
      <w:tr>
        <w:trPr>
          <w:trHeight w:val="438"/>
        </w:trPr>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73"/>
              </w:rPr>
              <w:t>/s/</w:t>
            </w:r>
          </w:p>
        </w:tc>
        <w:tc>
          <w:tcPr>
            <w:tcW w:w="2880" w:type="dxa"/>
            <w:vAlign w:val="bottom"/>
            <w:tcBorders>
              <w:bottom w:val="single" w:sz="8" w:color="auto"/>
            </w:tcBorders>
            <w:gridSpan w:val="3"/>
          </w:tcPr>
          <w:p>
            <w:pPr>
              <w:jc w:val="center"/>
              <w:ind w:right="952"/>
              <w:spacing w:after="0"/>
              <w:rPr>
                <w:sz w:val="20"/>
                <w:szCs w:val="20"/>
                <w:color w:val="auto"/>
              </w:rPr>
            </w:pPr>
            <w:r>
              <w:rPr>
                <w:rFonts w:ascii="Arial" w:cs="Arial" w:eastAsia="Arial" w:hAnsi="Arial"/>
                <w:sz w:val="18"/>
                <w:szCs w:val="18"/>
                <w:color w:val="auto"/>
                <w:w w:val="97"/>
              </w:rPr>
              <w:t>FRANK M. CLARK</w:t>
            </w: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gridSpan w:val="3"/>
          </w:tcPr>
          <w:p>
            <w:pPr>
              <w:jc w:val="center"/>
              <w:ind w:right="1312"/>
              <w:spacing w:after="0"/>
              <w:rPr>
                <w:sz w:val="20"/>
                <w:szCs w:val="20"/>
                <w:color w:val="auto"/>
              </w:rPr>
            </w:pPr>
            <w:r>
              <w:rPr>
                <w:rFonts w:ascii="Arial" w:cs="Arial" w:eastAsia="Arial" w:hAnsi="Arial"/>
                <w:sz w:val="18"/>
                <w:szCs w:val="18"/>
                <w:color w:val="auto"/>
                <w:w w:val="91"/>
              </w:rPr>
              <w:t>Frank M. Clark</w:t>
            </w:r>
          </w:p>
        </w:tc>
        <w:tc>
          <w:tcPr>
            <w:tcW w:w="0" w:type="dxa"/>
            <w:vAlign w:val="bottom"/>
          </w:tcPr>
          <w:p>
            <w:pPr>
              <w:spacing w:after="0"/>
              <w:rPr>
                <w:sz w:val="1"/>
                <w:szCs w:val="1"/>
                <w:color w:val="auto"/>
              </w:rPr>
            </w:pPr>
          </w:p>
        </w:tc>
      </w:tr>
      <w:tr>
        <w:trPr>
          <w:trHeight w:val="438"/>
        </w:trPr>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w:t>
            </w:r>
          </w:p>
        </w:tc>
        <w:tc>
          <w:tcPr>
            <w:tcW w:w="2880" w:type="dxa"/>
            <w:vAlign w:val="bottom"/>
            <w:tcBorders>
              <w:bottom w:val="single" w:sz="8" w:color="auto"/>
            </w:tcBorders>
            <w:gridSpan w:val="3"/>
          </w:tcPr>
          <w:p>
            <w:pPr>
              <w:jc w:val="center"/>
              <w:ind w:right="972"/>
              <w:spacing w:after="0"/>
              <w:rPr>
                <w:sz w:val="20"/>
                <w:szCs w:val="20"/>
                <w:color w:val="auto"/>
              </w:rPr>
            </w:pPr>
            <w:r>
              <w:rPr>
                <w:rFonts w:ascii="Arial" w:cs="Arial" w:eastAsia="Arial" w:hAnsi="Arial"/>
                <w:sz w:val="18"/>
                <w:szCs w:val="18"/>
                <w:color w:val="auto"/>
                <w:w w:val="90"/>
              </w:rPr>
              <w:t>PARTICK W. GROSS</w:t>
            </w: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gridSpan w:val="3"/>
          </w:tcPr>
          <w:p>
            <w:pPr>
              <w:jc w:val="center"/>
              <w:ind w:right="1312"/>
              <w:spacing w:after="0"/>
              <w:rPr>
                <w:sz w:val="20"/>
                <w:szCs w:val="20"/>
                <w:color w:val="auto"/>
              </w:rPr>
            </w:pPr>
            <w:r>
              <w:rPr>
                <w:rFonts w:ascii="Arial" w:cs="Arial" w:eastAsia="Arial" w:hAnsi="Arial"/>
                <w:sz w:val="18"/>
                <w:szCs w:val="18"/>
                <w:color w:val="auto"/>
                <w:w w:val="88"/>
              </w:rPr>
              <w:t>Patrick W. Gross</w:t>
            </w:r>
          </w:p>
        </w:tc>
        <w:tc>
          <w:tcPr>
            <w:tcW w:w="0" w:type="dxa"/>
            <w:vAlign w:val="bottom"/>
          </w:tcPr>
          <w:p>
            <w:pPr>
              <w:spacing w:after="0"/>
              <w:rPr>
                <w:sz w:val="1"/>
                <w:szCs w:val="1"/>
                <w:color w:val="auto"/>
              </w:rPr>
            </w:pPr>
          </w:p>
        </w:tc>
      </w:tr>
      <w:tr>
        <w:trPr>
          <w:trHeight w:val="438"/>
        </w:trPr>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w:t>
            </w:r>
          </w:p>
        </w:tc>
        <w:tc>
          <w:tcPr>
            <w:tcW w:w="2880" w:type="dxa"/>
            <w:vAlign w:val="bottom"/>
            <w:tcBorders>
              <w:bottom w:val="single" w:sz="8" w:color="auto"/>
            </w:tcBorders>
            <w:gridSpan w:val="3"/>
          </w:tcPr>
          <w:p>
            <w:pPr>
              <w:jc w:val="center"/>
              <w:ind w:right="992"/>
              <w:spacing w:after="0"/>
              <w:rPr>
                <w:sz w:val="20"/>
                <w:szCs w:val="20"/>
                <w:color w:val="auto"/>
              </w:rPr>
            </w:pPr>
            <w:r>
              <w:rPr>
                <w:rFonts w:ascii="Arial" w:cs="Arial" w:eastAsia="Arial" w:hAnsi="Arial"/>
                <w:sz w:val="18"/>
                <w:szCs w:val="18"/>
                <w:color w:val="auto"/>
                <w:w w:val="95"/>
              </w:rPr>
              <w:t>VICTORIA M. HOLT</w:t>
            </w: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gridSpan w:val="3"/>
          </w:tcPr>
          <w:p>
            <w:pPr>
              <w:jc w:val="center"/>
              <w:ind w:right="1312"/>
              <w:spacing w:after="0"/>
              <w:rPr>
                <w:sz w:val="20"/>
                <w:szCs w:val="20"/>
                <w:color w:val="auto"/>
              </w:rPr>
            </w:pPr>
            <w:r>
              <w:rPr>
                <w:rFonts w:ascii="Arial" w:cs="Arial" w:eastAsia="Arial" w:hAnsi="Arial"/>
                <w:sz w:val="18"/>
                <w:szCs w:val="18"/>
                <w:color w:val="auto"/>
                <w:w w:val="95"/>
              </w:rPr>
              <w:t>Victoria M. Holt</w:t>
            </w:r>
          </w:p>
        </w:tc>
        <w:tc>
          <w:tcPr>
            <w:tcW w:w="0" w:type="dxa"/>
            <w:vAlign w:val="bottom"/>
          </w:tcPr>
          <w:p>
            <w:pPr>
              <w:spacing w:after="0"/>
              <w:rPr>
                <w:sz w:val="1"/>
                <w:szCs w:val="1"/>
                <w:color w:val="auto"/>
              </w:rPr>
            </w:pPr>
          </w:p>
        </w:tc>
      </w:tr>
      <w:tr>
        <w:trPr>
          <w:trHeight w:val="438"/>
        </w:trPr>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center"/>
              <w:ind w:right="1312"/>
              <w:spacing w:after="0"/>
              <w:rPr>
                <w:sz w:val="20"/>
                <w:szCs w:val="20"/>
                <w:color w:val="auto"/>
              </w:rPr>
            </w:pPr>
            <w:r>
              <w:rPr>
                <w:rFonts w:ascii="Arial" w:cs="Arial" w:eastAsia="Arial" w:hAnsi="Arial"/>
                <w:sz w:val="18"/>
                <w:szCs w:val="18"/>
                <w:color w:val="auto"/>
                <w:w w:val="94"/>
              </w:rPr>
              <w:t>/s/  JOHN C. POPE</w:t>
            </w: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gridSpan w:val="3"/>
          </w:tcPr>
          <w:p>
            <w:pPr>
              <w:jc w:val="center"/>
              <w:ind w:right="1312"/>
              <w:spacing w:after="0"/>
              <w:rPr>
                <w:sz w:val="20"/>
                <w:szCs w:val="20"/>
                <w:color w:val="auto"/>
              </w:rPr>
            </w:pPr>
            <w:r>
              <w:rPr>
                <w:rFonts w:ascii="Arial" w:cs="Arial" w:eastAsia="Arial" w:hAnsi="Arial"/>
                <w:sz w:val="18"/>
                <w:szCs w:val="18"/>
                <w:color w:val="auto"/>
                <w:w w:val="84"/>
              </w:rPr>
              <w:t>John C. Pope</w:t>
            </w:r>
          </w:p>
        </w:tc>
        <w:tc>
          <w:tcPr>
            <w:tcW w:w="0" w:type="dxa"/>
            <w:vAlign w:val="bottom"/>
          </w:tcPr>
          <w:p>
            <w:pPr>
              <w:spacing w:after="0"/>
              <w:rPr>
                <w:sz w:val="1"/>
                <w:szCs w:val="1"/>
                <w:color w:val="auto"/>
              </w:rPr>
            </w:pPr>
          </w:p>
        </w:tc>
      </w:tr>
      <w:tr>
        <w:trPr>
          <w:trHeight w:val="438"/>
        </w:trPr>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73"/>
              </w:rPr>
              <w:t>/s/</w:t>
            </w:r>
          </w:p>
        </w:tc>
        <w:tc>
          <w:tcPr>
            <w:tcW w:w="2880" w:type="dxa"/>
            <w:vAlign w:val="bottom"/>
            <w:tcBorders>
              <w:bottom w:val="single" w:sz="8" w:color="auto"/>
            </w:tcBorders>
            <w:gridSpan w:val="3"/>
          </w:tcPr>
          <w:p>
            <w:pPr>
              <w:jc w:val="center"/>
              <w:ind w:right="972"/>
              <w:spacing w:after="0"/>
              <w:rPr>
                <w:sz w:val="20"/>
                <w:szCs w:val="20"/>
                <w:color w:val="auto"/>
              </w:rPr>
            </w:pPr>
            <w:r>
              <w:rPr>
                <w:rFonts w:ascii="Arial" w:cs="Arial" w:eastAsia="Arial" w:hAnsi="Arial"/>
                <w:sz w:val="18"/>
                <w:szCs w:val="18"/>
                <w:color w:val="auto"/>
                <w:w w:val="91"/>
              </w:rPr>
              <w:t>W. ROBERT REUM</w:t>
            </w: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gridSpan w:val="3"/>
          </w:tcPr>
          <w:p>
            <w:pPr>
              <w:jc w:val="center"/>
              <w:ind w:right="1292"/>
              <w:spacing w:after="0"/>
              <w:rPr>
                <w:sz w:val="20"/>
                <w:szCs w:val="20"/>
                <w:color w:val="auto"/>
              </w:rPr>
            </w:pPr>
            <w:r>
              <w:rPr>
                <w:rFonts w:ascii="Arial" w:cs="Arial" w:eastAsia="Arial" w:hAnsi="Arial"/>
                <w:sz w:val="18"/>
                <w:szCs w:val="18"/>
                <w:color w:val="auto"/>
                <w:w w:val="88"/>
              </w:rPr>
              <w:t>W. Robert Reum</w:t>
            </w:r>
          </w:p>
        </w:tc>
        <w:tc>
          <w:tcPr>
            <w:tcW w:w="0" w:type="dxa"/>
            <w:vAlign w:val="bottom"/>
          </w:tcPr>
          <w:p>
            <w:pPr>
              <w:spacing w:after="0"/>
              <w:rPr>
                <w:sz w:val="1"/>
                <w:szCs w:val="1"/>
                <w:color w:val="auto"/>
              </w:rPr>
            </w:pPr>
          </w:p>
        </w:tc>
      </w:tr>
      <w:tr>
        <w:trPr>
          <w:trHeight w:val="438"/>
        </w:trPr>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rPr>
              <w:t>THOMAS H. WEIDEMEYER</w:t>
            </w: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3180" w:type="dxa"/>
            <w:vAlign w:val="bottom"/>
            <w:gridSpan w:val="4"/>
          </w:tcPr>
          <w:p>
            <w:pPr>
              <w:jc w:val="center"/>
              <w:ind w:right="1012"/>
              <w:spacing w:after="0"/>
              <w:rPr>
                <w:sz w:val="20"/>
                <w:szCs w:val="20"/>
                <w:color w:val="auto"/>
              </w:rPr>
            </w:pPr>
            <w:r>
              <w:rPr>
                <w:rFonts w:ascii="Arial" w:cs="Arial" w:eastAsia="Arial" w:hAnsi="Arial"/>
                <w:sz w:val="18"/>
                <w:szCs w:val="18"/>
                <w:color w:val="auto"/>
                <w:w w:val="88"/>
              </w:rPr>
              <w:t>Thomas H. Weidemeyer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Date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26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President, Chief Executive Officer and Director (Principal Executive</w:t>
            </w:r>
          </w:p>
        </w:tc>
        <w:tc>
          <w:tcPr>
            <w:tcW w:w="1720" w:type="dxa"/>
            <w:vAlign w:val="bottom"/>
            <w:gridSpan w:val="3"/>
          </w:tcPr>
          <w:p>
            <w:pPr>
              <w:ind w:left="420"/>
              <w:spacing w:after="0"/>
              <w:rPr>
                <w:sz w:val="20"/>
                <w:szCs w:val="20"/>
                <w:color w:val="auto"/>
              </w:rPr>
            </w:pPr>
            <w:r>
              <w:rPr>
                <w:rFonts w:ascii="Arial" w:cs="Arial" w:eastAsia="Arial" w:hAnsi="Arial"/>
                <w:sz w:val="18"/>
                <w:szCs w:val="18"/>
                <w:color w:val="auto"/>
                <w:w w:val="86"/>
              </w:rPr>
              <w:t>February 18, 2014</w:t>
            </w:r>
          </w:p>
        </w:tc>
        <w:tc>
          <w:tcPr>
            <w:tcW w:w="0" w:type="dxa"/>
            <w:vAlign w:val="bottom"/>
          </w:tcPr>
          <w:p>
            <w:pPr>
              <w:spacing w:after="0"/>
              <w:rPr>
                <w:sz w:val="1"/>
                <w:szCs w:val="1"/>
                <w:color w:val="auto"/>
              </w:rPr>
            </w:pPr>
          </w:p>
        </w:tc>
      </w:tr>
      <w:tr>
        <w:trPr>
          <w:trHeight w:val="222"/>
        </w:trPr>
        <w:tc>
          <w:tcPr>
            <w:tcW w:w="5260" w:type="dxa"/>
            <w:vAlign w:val="bottom"/>
            <w:gridSpan w:val="3"/>
          </w:tcPr>
          <w:p>
            <w:pPr>
              <w:jc w:val="center"/>
              <w:ind w:right="420"/>
              <w:spacing w:after="0"/>
              <w:rPr>
                <w:sz w:val="20"/>
                <w:szCs w:val="20"/>
                <w:color w:val="auto"/>
              </w:rPr>
            </w:pPr>
            <w:r>
              <w:rPr>
                <w:rFonts w:ascii="Arial" w:cs="Arial" w:eastAsia="Arial" w:hAnsi="Arial"/>
                <w:sz w:val="18"/>
                <w:szCs w:val="18"/>
                <w:color w:val="auto"/>
                <w:w w:val="94"/>
              </w:rPr>
              <w:t>Officer)</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5260" w:type="dxa"/>
            <w:vAlign w:val="bottom"/>
            <w:gridSpan w:val="3"/>
          </w:tcPr>
          <w:p>
            <w:pPr>
              <w:jc w:val="center"/>
              <w:ind w:right="400"/>
              <w:spacing w:after="0"/>
              <w:rPr>
                <w:sz w:val="20"/>
                <w:szCs w:val="20"/>
                <w:color w:val="auto"/>
              </w:rPr>
            </w:pPr>
            <w:r>
              <w:rPr>
                <w:rFonts w:ascii="Arial" w:cs="Arial" w:eastAsia="Arial" w:hAnsi="Arial"/>
                <w:sz w:val="18"/>
                <w:szCs w:val="18"/>
                <w:color w:val="auto"/>
                <w:w w:val="87"/>
              </w:rPr>
              <w:t>Executive Vice President and</w:t>
            </w:r>
          </w:p>
        </w:tc>
        <w:tc>
          <w:tcPr>
            <w:tcW w:w="1720" w:type="dxa"/>
            <w:vAlign w:val="bottom"/>
            <w:gridSpan w:val="3"/>
            <w:vMerge w:val="restart"/>
          </w:tcPr>
          <w:p>
            <w:pPr>
              <w:ind w:left="420"/>
              <w:spacing w:after="0"/>
              <w:rPr>
                <w:sz w:val="20"/>
                <w:szCs w:val="20"/>
                <w:color w:val="auto"/>
              </w:rPr>
            </w:pPr>
            <w:r>
              <w:rPr>
                <w:rFonts w:ascii="Arial" w:cs="Arial" w:eastAsia="Arial" w:hAnsi="Arial"/>
                <w:sz w:val="18"/>
                <w:szCs w:val="18"/>
                <w:color w:val="auto"/>
                <w:w w:val="86"/>
              </w:rPr>
              <w:t>February 18, 2014</w:t>
            </w:r>
          </w:p>
        </w:tc>
        <w:tc>
          <w:tcPr>
            <w:tcW w:w="0" w:type="dxa"/>
            <w:vAlign w:val="bottom"/>
          </w:tcPr>
          <w:p>
            <w:pPr>
              <w:spacing w:after="0"/>
              <w:rPr>
                <w:sz w:val="1"/>
                <w:szCs w:val="1"/>
                <w:color w:val="auto"/>
              </w:rPr>
            </w:pPr>
          </w:p>
        </w:tc>
      </w:tr>
      <w:tr>
        <w:trPr>
          <w:trHeight w:val="216"/>
        </w:trPr>
        <w:tc>
          <w:tcPr>
            <w:tcW w:w="526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Chief Financial Officer</w:t>
            </w:r>
          </w:p>
        </w:tc>
        <w:tc>
          <w:tcPr>
            <w:tcW w:w="17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6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(Principal Financial Officer)</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526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Vice President and Chief Accounting Officer</w:t>
            </w:r>
          </w:p>
        </w:tc>
        <w:tc>
          <w:tcPr>
            <w:tcW w:w="1720" w:type="dxa"/>
            <w:vAlign w:val="bottom"/>
            <w:gridSpan w:val="3"/>
          </w:tcPr>
          <w:p>
            <w:pPr>
              <w:ind w:left="420"/>
              <w:spacing w:after="0"/>
              <w:rPr>
                <w:sz w:val="20"/>
                <w:szCs w:val="20"/>
                <w:color w:val="auto"/>
              </w:rPr>
            </w:pPr>
            <w:r>
              <w:rPr>
                <w:rFonts w:ascii="Arial" w:cs="Arial" w:eastAsia="Arial" w:hAnsi="Arial"/>
                <w:sz w:val="18"/>
                <w:szCs w:val="18"/>
                <w:color w:val="auto"/>
                <w:w w:val="86"/>
              </w:rPr>
              <w:t>February 18, 2014</w:t>
            </w:r>
          </w:p>
        </w:tc>
        <w:tc>
          <w:tcPr>
            <w:tcW w:w="0" w:type="dxa"/>
            <w:vAlign w:val="bottom"/>
          </w:tcPr>
          <w:p>
            <w:pPr>
              <w:spacing w:after="0"/>
              <w:rPr>
                <w:sz w:val="1"/>
                <w:szCs w:val="1"/>
                <w:color w:val="auto"/>
              </w:rPr>
            </w:pPr>
          </w:p>
        </w:tc>
      </w:tr>
      <w:tr>
        <w:trPr>
          <w:trHeight w:val="230"/>
        </w:trPr>
        <w:tc>
          <w:tcPr>
            <w:tcW w:w="526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(Principal Accounting Officer)</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5260" w:type="dxa"/>
            <w:vAlign w:val="bottom"/>
            <w:gridSpan w:val="3"/>
          </w:tcPr>
          <w:p>
            <w:pPr>
              <w:jc w:val="center"/>
              <w:ind w:right="420"/>
              <w:spacing w:after="0"/>
              <w:rPr>
                <w:sz w:val="20"/>
                <w:szCs w:val="20"/>
                <w:color w:val="auto"/>
              </w:rPr>
            </w:pPr>
            <w:r>
              <w:rPr>
                <w:rFonts w:ascii="Arial" w:cs="Arial" w:eastAsia="Arial" w:hAnsi="Arial"/>
                <w:sz w:val="18"/>
                <w:szCs w:val="18"/>
                <w:color w:val="auto"/>
                <w:w w:val="95"/>
              </w:rPr>
              <w:t>Director</w:t>
            </w:r>
          </w:p>
        </w:tc>
        <w:tc>
          <w:tcPr>
            <w:tcW w:w="1720" w:type="dxa"/>
            <w:vAlign w:val="bottom"/>
            <w:gridSpan w:val="3"/>
          </w:tcPr>
          <w:p>
            <w:pPr>
              <w:ind w:left="420"/>
              <w:spacing w:after="0"/>
              <w:rPr>
                <w:sz w:val="20"/>
                <w:szCs w:val="20"/>
                <w:color w:val="auto"/>
              </w:rPr>
            </w:pPr>
            <w:r>
              <w:rPr>
                <w:rFonts w:ascii="Arial" w:cs="Arial" w:eastAsia="Arial" w:hAnsi="Arial"/>
                <w:sz w:val="18"/>
                <w:szCs w:val="18"/>
                <w:color w:val="auto"/>
                <w:w w:val="86"/>
              </w:rPr>
              <w:t>February 18, 2014</w:t>
            </w:r>
          </w:p>
        </w:tc>
        <w:tc>
          <w:tcPr>
            <w:tcW w:w="0" w:type="dxa"/>
            <w:vAlign w:val="bottom"/>
          </w:tcPr>
          <w:p>
            <w:pPr>
              <w:spacing w:after="0"/>
              <w:rPr>
                <w:sz w:val="1"/>
                <w:szCs w:val="1"/>
                <w:color w:val="auto"/>
              </w:rPr>
            </w:pPr>
          </w:p>
        </w:tc>
      </w:tr>
      <w:tr>
        <w:trPr>
          <w:trHeight w:val="675"/>
        </w:trPr>
        <w:tc>
          <w:tcPr>
            <w:tcW w:w="5260" w:type="dxa"/>
            <w:vAlign w:val="bottom"/>
            <w:gridSpan w:val="3"/>
          </w:tcPr>
          <w:p>
            <w:pPr>
              <w:jc w:val="center"/>
              <w:ind w:right="420"/>
              <w:spacing w:after="0"/>
              <w:rPr>
                <w:sz w:val="20"/>
                <w:szCs w:val="20"/>
                <w:color w:val="auto"/>
              </w:rPr>
            </w:pPr>
            <w:r>
              <w:rPr>
                <w:rFonts w:ascii="Arial" w:cs="Arial" w:eastAsia="Arial" w:hAnsi="Arial"/>
                <w:sz w:val="18"/>
                <w:szCs w:val="18"/>
                <w:color w:val="auto"/>
                <w:w w:val="95"/>
              </w:rPr>
              <w:t>Director</w:t>
            </w:r>
          </w:p>
        </w:tc>
        <w:tc>
          <w:tcPr>
            <w:tcW w:w="1720" w:type="dxa"/>
            <w:vAlign w:val="bottom"/>
            <w:gridSpan w:val="3"/>
          </w:tcPr>
          <w:p>
            <w:pPr>
              <w:ind w:left="420"/>
              <w:spacing w:after="0"/>
              <w:rPr>
                <w:sz w:val="20"/>
                <w:szCs w:val="20"/>
                <w:color w:val="auto"/>
              </w:rPr>
            </w:pPr>
            <w:r>
              <w:rPr>
                <w:rFonts w:ascii="Arial" w:cs="Arial" w:eastAsia="Arial" w:hAnsi="Arial"/>
                <w:sz w:val="18"/>
                <w:szCs w:val="18"/>
                <w:color w:val="auto"/>
                <w:w w:val="86"/>
              </w:rPr>
              <w:t>February 18, 2014</w:t>
            </w:r>
          </w:p>
        </w:tc>
        <w:tc>
          <w:tcPr>
            <w:tcW w:w="0" w:type="dxa"/>
            <w:vAlign w:val="bottom"/>
          </w:tcPr>
          <w:p>
            <w:pPr>
              <w:spacing w:after="0"/>
              <w:rPr>
                <w:sz w:val="1"/>
                <w:szCs w:val="1"/>
                <w:color w:val="auto"/>
              </w:rPr>
            </w:pPr>
          </w:p>
        </w:tc>
      </w:tr>
      <w:tr>
        <w:trPr>
          <w:trHeight w:val="675"/>
        </w:trPr>
        <w:tc>
          <w:tcPr>
            <w:tcW w:w="5260" w:type="dxa"/>
            <w:vAlign w:val="bottom"/>
            <w:gridSpan w:val="3"/>
          </w:tcPr>
          <w:p>
            <w:pPr>
              <w:jc w:val="center"/>
              <w:ind w:right="420"/>
              <w:spacing w:after="0"/>
              <w:rPr>
                <w:sz w:val="20"/>
                <w:szCs w:val="20"/>
                <w:color w:val="auto"/>
              </w:rPr>
            </w:pPr>
            <w:r>
              <w:rPr>
                <w:rFonts w:ascii="Arial" w:cs="Arial" w:eastAsia="Arial" w:hAnsi="Arial"/>
                <w:sz w:val="18"/>
                <w:szCs w:val="18"/>
                <w:color w:val="auto"/>
                <w:w w:val="95"/>
              </w:rPr>
              <w:t>Director</w:t>
            </w:r>
          </w:p>
        </w:tc>
        <w:tc>
          <w:tcPr>
            <w:tcW w:w="1720" w:type="dxa"/>
            <w:vAlign w:val="bottom"/>
            <w:gridSpan w:val="3"/>
          </w:tcPr>
          <w:p>
            <w:pPr>
              <w:ind w:left="420"/>
              <w:spacing w:after="0"/>
              <w:rPr>
                <w:sz w:val="20"/>
                <w:szCs w:val="20"/>
                <w:color w:val="auto"/>
              </w:rPr>
            </w:pPr>
            <w:r>
              <w:rPr>
                <w:rFonts w:ascii="Arial" w:cs="Arial" w:eastAsia="Arial" w:hAnsi="Arial"/>
                <w:sz w:val="18"/>
                <w:szCs w:val="18"/>
                <w:color w:val="auto"/>
                <w:w w:val="86"/>
              </w:rPr>
              <w:t>February 18, 2014</w:t>
            </w:r>
          </w:p>
        </w:tc>
        <w:tc>
          <w:tcPr>
            <w:tcW w:w="0" w:type="dxa"/>
            <w:vAlign w:val="bottom"/>
          </w:tcPr>
          <w:p>
            <w:pPr>
              <w:spacing w:after="0"/>
              <w:rPr>
                <w:sz w:val="1"/>
                <w:szCs w:val="1"/>
                <w:color w:val="auto"/>
              </w:rPr>
            </w:pPr>
          </w:p>
        </w:tc>
      </w:tr>
      <w:tr>
        <w:trPr>
          <w:trHeight w:val="675"/>
        </w:trPr>
        <w:tc>
          <w:tcPr>
            <w:tcW w:w="5260" w:type="dxa"/>
            <w:vAlign w:val="bottom"/>
            <w:gridSpan w:val="3"/>
          </w:tcPr>
          <w:p>
            <w:pPr>
              <w:jc w:val="center"/>
              <w:ind w:right="420"/>
              <w:spacing w:after="0"/>
              <w:rPr>
                <w:sz w:val="20"/>
                <w:szCs w:val="20"/>
                <w:color w:val="auto"/>
              </w:rPr>
            </w:pPr>
            <w:r>
              <w:rPr>
                <w:rFonts w:ascii="Arial" w:cs="Arial" w:eastAsia="Arial" w:hAnsi="Arial"/>
                <w:sz w:val="18"/>
                <w:szCs w:val="18"/>
                <w:color w:val="auto"/>
                <w:w w:val="95"/>
              </w:rPr>
              <w:t>Director</w:t>
            </w:r>
          </w:p>
        </w:tc>
        <w:tc>
          <w:tcPr>
            <w:tcW w:w="1720" w:type="dxa"/>
            <w:vAlign w:val="bottom"/>
            <w:gridSpan w:val="3"/>
          </w:tcPr>
          <w:p>
            <w:pPr>
              <w:ind w:left="420"/>
              <w:spacing w:after="0"/>
              <w:rPr>
                <w:sz w:val="20"/>
                <w:szCs w:val="20"/>
                <w:color w:val="auto"/>
              </w:rPr>
            </w:pPr>
            <w:r>
              <w:rPr>
                <w:rFonts w:ascii="Arial" w:cs="Arial" w:eastAsia="Arial" w:hAnsi="Arial"/>
                <w:sz w:val="18"/>
                <w:szCs w:val="18"/>
                <w:color w:val="auto"/>
                <w:w w:val="86"/>
              </w:rPr>
              <w:t>February 18, 2014</w:t>
            </w:r>
          </w:p>
        </w:tc>
        <w:tc>
          <w:tcPr>
            <w:tcW w:w="0" w:type="dxa"/>
            <w:vAlign w:val="bottom"/>
          </w:tcPr>
          <w:p>
            <w:pPr>
              <w:spacing w:after="0"/>
              <w:rPr>
                <w:sz w:val="1"/>
                <w:szCs w:val="1"/>
                <w:color w:val="auto"/>
              </w:rPr>
            </w:pPr>
          </w:p>
        </w:tc>
      </w:tr>
      <w:tr>
        <w:trPr>
          <w:trHeight w:val="675"/>
        </w:trPr>
        <w:tc>
          <w:tcPr>
            <w:tcW w:w="5260" w:type="dxa"/>
            <w:vAlign w:val="bottom"/>
            <w:gridSpan w:val="3"/>
          </w:tcPr>
          <w:p>
            <w:pPr>
              <w:jc w:val="center"/>
              <w:ind w:right="420"/>
              <w:spacing w:after="0"/>
              <w:rPr>
                <w:sz w:val="20"/>
                <w:szCs w:val="20"/>
                <w:color w:val="auto"/>
              </w:rPr>
            </w:pPr>
            <w:r>
              <w:rPr>
                <w:rFonts w:ascii="Arial" w:cs="Arial" w:eastAsia="Arial" w:hAnsi="Arial"/>
                <w:sz w:val="18"/>
                <w:szCs w:val="18"/>
                <w:color w:val="auto"/>
                <w:w w:val="95"/>
              </w:rPr>
              <w:t>Director</w:t>
            </w:r>
          </w:p>
        </w:tc>
        <w:tc>
          <w:tcPr>
            <w:tcW w:w="1720" w:type="dxa"/>
            <w:vAlign w:val="bottom"/>
            <w:gridSpan w:val="3"/>
          </w:tcPr>
          <w:p>
            <w:pPr>
              <w:ind w:left="420"/>
              <w:spacing w:after="0"/>
              <w:rPr>
                <w:sz w:val="20"/>
                <w:szCs w:val="20"/>
                <w:color w:val="auto"/>
              </w:rPr>
            </w:pPr>
            <w:r>
              <w:rPr>
                <w:rFonts w:ascii="Arial" w:cs="Arial" w:eastAsia="Arial" w:hAnsi="Arial"/>
                <w:sz w:val="18"/>
                <w:szCs w:val="18"/>
                <w:color w:val="auto"/>
                <w:w w:val="86"/>
              </w:rPr>
              <w:t>February 18, 2014</w:t>
            </w:r>
          </w:p>
        </w:tc>
        <w:tc>
          <w:tcPr>
            <w:tcW w:w="0" w:type="dxa"/>
            <w:vAlign w:val="bottom"/>
          </w:tcPr>
          <w:p>
            <w:pPr>
              <w:spacing w:after="0"/>
              <w:rPr>
                <w:sz w:val="1"/>
                <w:szCs w:val="1"/>
                <w:color w:val="auto"/>
              </w:rPr>
            </w:pPr>
          </w:p>
        </w:tc>
      </w:tr>
      <w:tr>
        <w:trPr>
          <w:trHeight w:val="675"/>
        </w:trPr>
        <w:tc>
          <w:tcPr>
            <w:tcW w:w="5260" w:type="dxa"/>
            <w:vAlign w:val="bottom"/>
            <w:gridSpan w:val="3"/>
          </w:tcPr>
          <w:p>
            <w:pPr>
              <w:jc w:val="center"/>
              <w:ind w:right="400"/>
              <w:spacing w:after="0"/>
              <w:rPr>
                <w:sz w:val="20"/>
                <w:szCs w:val="20"/>
                <w:color w:val="auto"/>
              </w:rPr>
            </w:pPr>
            <w:r>
              <w:rPr>
                <w:rFonts w:ascii="Arial" w:cs="Arial" w:eastAsia="Arial" w:hAnsi="Arial"/>
                <w:sz w:val="18"/>
                <w:szCs w:val="18"/>
                <w:color w:val="auto"/>
                <w:w w:val="89"/>
              </w:rPr>
              <w:t>Chairman of the Board and Director</w:t>
            </w:r>
          </w:p>
        </w:tc>
        <w:tc>
          <w:tcPr>
            <w:tcW w:w="1720" w:type="dxa"/>
            <w:vAlign w:val="bottom"/>
            <w:gridSpan w:val="3"/>
          </w:tcPr>
          <w:p>
            <w:pPr>
              <w:ind w:left="420"/>
              <w:spacing w:after="0"/>
              <w:rPr>
                <w:sz w:val="20"/>
                <w:szCs w:val="20"/>
                <w:color w:val="auto"/>
              </w:rPr>
            </w:pPr>
            <w:r>
              <w:rPr>
                <w:rFonts w:ascii="Arial" w:cs="Arial" w:eastAsia="Arial" w:hAnsi="Arial"/>
                <w:sz w:val="18"/>
                <w:szCs w:val="18"/>
                <w:color w:val="auto"/>
                <w:w w:val="86"/>
              </w:rPr>
              <w:t>February 18, 2014</w:t>
            </w:r>
          </w:p>
        </w:tc>
        <w:tc>
          <w:tcPr>
            <w:tcW w:w="0" w:type="dxa"/>
            <w:vAlign w:val="bottom"/>
          </w:tcPr>
          <w:p>
            <w:pPr>
              <w:spacing w:after="0"/>
              <w:rPr>
                <w:sz w:val="1"/>
                <w:szCs w:val="1"/>
                <w:color w:val="auto"/>
              </w:rPr>
            </w:pPr>
          </w:p>
        </w:tc>
      </w:tr>
      <w:tr>
        <w:trPr>
          <w:trHeight w:val="675"/>
        </w:trPr>
        <w:tc>
          <w:tcPr>
            <w:tcW w:w="5260" w:type="dxa"/>
            <w:vAlign w:val="bottom"/>
            <w:gridSpan w:val="3"/>
          </w:tcPr>
          <w:p>
            <w:pPr>
              <w:jc w:val="center"/>
              <w:ind w:right="420"/>
              <w:spacing w:after="0"/>
              <w:rPr>
                <w:sz w:val="20"/>
                <w:szCs w:val="20"/>
                <w:color w:val="auto"/>
              </w:rPr>
            </w:pPr>
            <w:r>
              <w:rPr>
                <w:rFonts w:ascii="Arial" w:cs="Arial" w:eastAsia="Arial" w:hAnsi="Arial"/>
                <w:sz w:val="18"/>
                <w:szCs w:val="18"/>
                <w:color w:val="auto"/>
                <w:w w:val="95"/>
              </w:rPr>
              <w:t>Director</w:t>
            </w:r>
          </w:p>
        </w:tc>
        <w:tc>
          <w:tcPr>
            <w:tcW w:w="1720" w:type="dxa"/>
            <w:vAlign w:val="bottom"/>
            <w:gridSpan w:val="3"/>
          </w:tcPr>
          <w:p>
            <w:pPr>
              <w:ind w:left="420"/>
              <w:spacing w:after="0"/>
              <w:rPr>
                <w:sz w:val="20"/>
                <w:szCs w:val="20"/>
                <w:color w:val="auto"/>
              </w:rPr>
            </w:pPr>
            <w:r>
              <w:rPr>
                <w:rFonts w:ascii="Arial" w:cs="Arial" w:eastAsia="Arial" w:hAnsi="Arial"/>
                <w:sz w:val="18"/>
                <w:szCs w:val="18"/>
                <w:color w:val="auto"/>
                <w:w w:val="86"/>
              </w:rPr>
              <w:t>February 18, 2014</w:t>
            </w:r>
          </w:p>
        </w:tc>
        <w:tc>
          <w:tcPr>
            <w:tcW w:w="0" w:type="dxa"/>
            <w:vAlign w:val="bottom"/>
          </w:tcPr>
          <w:p>
            <w:pPr>
              <w:spacing w:after="0"/>
              <w:rPr>
                <w:sz w:val="1"/>
                <w:szCs w:val="1"/>
                <w:color w:val="auto"/>
              </w:rPr>
            </w:pPr>
          </w:p>
        </w:tc>
      </w:tr>
      <w:tr>
        <w:trPr>
          <w:trHeight w:val="554"/>
        </w:trPr>
        <w:tc>
          <w:tcPr>
            <w:tcW w:w="2280" w:type="dxa"/>
            <w:vAlign w:val="bottom"/>
          </w:tcPr>
          <w:p>
            <w:pPr>
              <w:jc w:val="right"/>
              <w:ind w:right="792"/>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4280" w:space="160"/>
            <w:col w:w="6980"/>
          </w:cols>
          <w:pgMar w:left="240" w:top="459" w:right="239" w:bottom="1440" w:gutter="0" w:footer="0" w:header="0"/>
          <w:type w:val="continuous"/>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2680" w:firstLine="2700"/>
        <w:spacing w:after="0" w:line="34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Waste Management, Inc.</w:t>
      </w:r>
    </w:p>
    <w:p>
      <w:pPr>
        <w:spacing w:after="0" w:line="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audited the consolidated financial statements of Waste Management, Inc. as of December 31, 2013 and 2012, and for each of the three years in the period ended December 31, 2013, and have issued our report thereon dated February 18, 2014 (included elsewhere in this Form 10-K). Our audits also included the financial statement schedule listed in Item 15(a)(2) of this Form 10-K. This schedule is the responsibility of the Company’s management. Our responsibility is to express an opinion on this schedule based on our audits.</w:t>
      </w:r>
    </w:p>
    <w:p>
      <w:pPr>
        <w:spacing w:after="0" w:line="6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our opinion, the financial statement schedule referred to above, when considered in relation to the basic financial statements taken as a whole, presents fairly in all material respects the information set forth therein.</w:t>
      </w:r>
    </w:p>
    <w:p>
      <w:pPr>
        <w:spacing w:after="0" w:line="2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2014</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7"/>
              </w:rPr>
              <w:t>Charged</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Accounts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Balance</w:t>
            </w: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(Credited)</w:t>
            </w:r>
          </w:p>
        </w:tc>
        <w:tc>
          <w:tcPr>
            <w:tcW w:w="10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Written</w:t>
            </w:r>
          </w:p>
        </w:tc>
        <w:tc>
          <w:tcPr>
            <w:tcW w:w="340" w:type="dxa"/>
            <w:vAlign w:val="bottom"/>
          </w:tcPr>
          <w:p>
            <w:pPr>
              <w:spacing w:after="0"/>
              <w:rPr>
                <w:sz w:val="12"/>
                <w:szCs w:val="12"/>
                <w:color w:val="auto"/>
              </w:rPr>
            </w:pPr>
          </w:p>
        </w:tc>
        <w:tc>
          <w:tcPr>
            <w:tcW w:w="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Balance</w:t>
            </w:r>
          </w:p>
        </w:tc>
      </w:tr>
      <w:tr>
        <w:trPr>
          <w:trHeight w:val="149"/>
        </w:trPr>
        <w:tc>
          <w:tcPr>
            <w:tcW w:w="3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8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4"/>
              </w:rPr>
              <w:t>Beginning of</w:t>
            </w:r>
          </w:p>
        </w:tc>
        <w:tc>
          <w:tcPr>
            <w:tcW w:w="100" w:type="dxa"/>
            <w:vAlign w:val="bottom"/>
          </w:tcPr>
          <w:p>
            <w:pPr>
              <w:spacing w:after="0"/>
              <w:rPr>
                <w:sz w:val="12"/>
                <w:szCs w:val="12"/>
                <w:color w:val="auto"/>
              </w:rPr>
            </w:pPr>
          </w:p>
        </w:tc>
        <w:tc>
          <w:tcPr>
            <w:tcW w:w="12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to</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Off/Use of</w:t>
            </w:r>
          </w:p>
        </w:tc>
        <w:tc>
          <w:tcPr>
            <w:tcW w:w="340" w:type="dxa"/>
            <w:vAlign w:val="bottom"/>
          </w:tcPr>
          <w:p>
            <w:pPr>
              <w:spacing w:after="0"/>
              <w:rPr>
                <w:sz w:val="12"/>
                <w:szCs w:val="12"/>
                <w:color w:val="auto"/>
              </w:rPr>
            </w:pPr>
          </w:p>
        </w:tc>
        <w:tc>
          <w:tcPr>
            <w:tcW w:w="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End of</w:t>
            </w:r>
          </w:p>
        </w:tc>
      </w:tr>
      <w:tr>
        <w:trPr>
          <w:trHeight w:val="161"/>
        </w:trPr>
        <w:tc>
          <w:tcPr>
            <w:tcW w:w="3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14"/>
                <w:szCs w:val="14"/>
                <w:color w:val="auto"/>
              </w:rPr>
            </w:pPr>
          </w:p>
        </w:tc>
        <w:tc>
          <w:tcPr>
            <w:tcW w:w="128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5"/>
              </w:rPr>
              <w:t>Income</w:t>
            </w: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Reserve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Year</w:t>
            </w:r>
          </w:p>
        </w:tc>
      </w:tr>
      <w:tr>
        <w:trPr>
          <w:trHeight w:val="210"/>
        </w:trPr>
        <w:tc>
          <w:tcPr>
            <w:tcW w:w="4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2011 — Reserves for doubtful accounts(a)</w:t>
            </w:r>
          </w:p>
        </w:tc>
        <w:tc>
          <w:tcPr>
            <w:tcW w:w="1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w w:val="70"/>
              </w:rPr>
              <w:t>(42)</w:t>
            </w: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2012</w:t>
            </w:r>
          </w:p>
        </w:tc>
        <w:tc>
          <w:tcPr>
            <w:tcW w:w="4540" w:type="dxa"/>
            <w:vAlign w:val="bottom"/>
          </w:tcPr>
          <w:p>
            <w:pPr>
              <w:ind w:left="20"/>
              <w:spacing w:after="0"/>
              <w:rPr>
                <w:sz w:val="20"/>
                <w:szCs w:val="20"/>
                <w:color w:val="auto"/>
              </w:rPr>
            </w:pPr>
            <w:r>
              <w:rPr>
                <w:rFonts w:ascii="Arial" w:cs="Arial" w:eastAsia="Arial" w:hAnsi="Arial"/>
                <w:sz w:val="18"/>
                <w:szCs w:val="18"/>
                <w:color w:val="auto"/>
              </w:rPr>
              <w:t>— Reserves for doubtful accounts(a)</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7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(41)</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2013</w:t>
            </w:r>
          </w:p>
        </w:tc>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Reserves for doubtful accounts(a)</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2011 — Merger and restructuring accruals(b)</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(13)</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2012</w:t>
            </w:r>
          </w:p>
        </w:tc>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Merger and restructuring accruals(b)</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(44)</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r>
      <w:tr>
        <w:trPr>
          <w:trHeight w:val="222"/>
        </w:trPr>
        <w:tc>
          <w:tcPr>
            <w:tcW w:w="380" w:type="dxa"/>
            <w:vAlign w:val="bottom"/>
          </w:tcPr>
          <w:p>
            <w:pPr>
              <w:spacing w:after="0"/>
              <w:rPr>
                <w:sz w:val="20"/>
                <w:szCs w:val="20"/>
                <w:color w:val="auto"/>
              </w:rPr>
            </w:pPr>
            <w:r>
              <w:rPr>
                <w:rFonts w:ascii="Arial" w:cs="Arial" w:eastAsia="Arial" w:hAnsi="Arial"/>
                <w:sz w:val="18"/>
                <w:szCs w:val="18"/>
                <w:color w:val="auto"/>
                <w:w w:val="89"/>
              </w:rPr>
              <w:t>2013</w:t>
            </w:r>
          </w:p>
        </w:tc>
        <w:tc>
          <w:tcPr>
            <w:tcW w:w="4540" w:type="dxa"/>
            <w:vAlign w:val="bottom"/>
          </w:tcPr>
          <w:p>
            <w:pPr>
              <w:ind w:left="20"/>
              <w:spacing w:after="0"/>
              <w:rPr>
                <w:sz w:val="20"/>
                <w:szCs w:val="20"/>
                <w:color w:val="auto"/>
              </w:rPr>
            </w:pPr>
            <w:r>
              <w:rPr>
                <w:rFonts w:ascii="Arial" w:cs="Arial" w:eastAsia="Arial" w:hAnsi="Arial"/>
                <w:sz w:val="18"/>
                <w:szCs w:val="18"/>
                <w:color w:val="auto"/>
              </w:rPr>
              <w:t>— Merger and restructuring accruals(b)</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7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(36)</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94361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00"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Includes reserves for doubtful accounts receivable and notes receivable.</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Included in accrued liabilities in our Consolidated Balance Sheets. These accruals represent employee severance and benefit costs and transitional costs.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gridSpan w:val="3"/>
          </w:tcPr>
          <w:p>
            <w:pPr>
              <w:ind w:left="3680"/>
              <w:spacing w:after="0"/>
              <w:rPr>
                <w:sz w:val="20"/>
                <w:szCs w:val="20"/>
                <w:color w:val="auto"/>
              </w:rPr>
            </w:pPr>
            <w:r>
              <w:rPr>
                <w:rFonts w:ascii="Arial" w:cs="Arial" w:eastAsia="Arial" w:hAnsi="Arial"/>
                <w:sz w:val="18"/>
                <w:szCs w:val="18"/>
                <w:b w:val="1"/>
                <w:bCs w:val="1"/>
                <w:color w:val="auto"/>
              </w:rPr>
              <w:t>INDEX TO EXHIBITS</w:t>
            </w:r>
          </w:p>
        </w:tc>
      </w:tr>
      <w:tr>
        <w:trPr>
          <w:trHeight w:val="340"/>
        </w:trPr>
        <w:tc>
          <w:tcPr>
            <w:tcW w:w="6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6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181"/>
        </w:trPr>
        <w:tc>
          <w:tcPr>
            <w:tcW w:w="60" w:type="dxa"/>
            <w:vAlign w:val="bottom"/>
          </w:tcPr>
          <w:p>
            <w:pPr>
              <w:spacing w:after="0"/>
              <w:rPr>
                <w:sz w:val="15"/>
                <w:szCs w:val="15"/>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66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00" w:type="dxa"/>
            <w:vAlign w:val="bottom"/>
          </w:tcPr>
          <w:p>
            <w:pPr>
              <w:spacing w:after="0"/>
              <w:rPr>
                <w:sz w:val="15"/>
                <w:szCs w:val="15"/>
                <w:color w:val="auto"/>
              </w:rPr>
            </w:pPr>
          </w:p>
        </w:tc>
      </w:tr>
      <w:tr>
        <w:trPr>
          <w:trHeight w:val="195"/>
        </w:trPr>
        <w:tc>
          <w:tcPr>
            <w:tcW w:w="500" w:type="dxa"/>
            <w:vAlign w:val="bottom"/>
            <w:gridSpan w:val="2"/>
          </w:tcPr>
          <w:p>
            <w:pPr>
              <w:spacing w:after="0" w:line="195" w:lineRule="exact"/>
              <w:rPr>
                <w:sz w:val="20"/>
                <w:szCs w:val="20"/>
                <w:color w:val="auto"/>
              </w:rPr>
            </w:pPr>
            <w:r>
              <w:rPr>
                <w:rFonts w:ascii="Arial" w:cs="Arial" w:eastAsia="Arial" w:hAnsi="Arial"/>
                <w:sz w:val="18"/>
                <w:szCs w:val="18"/>
                <w:color w:val="auto"/>
              </w:rPr>
              <w:t>3.1</w:t>
            </w:r>
          </w:p>
        </w:tc>
        <w:tc>
          <w:tcPr>
            <w:tcW w:w="660" w:type="dxa"/>
            <w:vAlign w:val="bottom"/>
          </w:tcPr>
          <w:p>
            <w:pPr>
              <w:ind w:left="340"/>
              <w:spacing w:after="0" w:line="195" w:lineRule="exact"/>
              <w:rPr>
                <w:sz w:val="20"/>
                <w:szCs w:val="20"/>
                <w:color w:val="auto"/>
              </w:rPr>
            </w:pPr>
            <w:r>
              <w:rPr>
                <w:rFonts w:ascii="Arial" w:cs="Arial" w:eastAsia="Arial" w:hAnsi="Arial"/>
                <w:sz w:val="18"/>
                <w:szCs w:val="18"/>
                <w:color w:val="auto"/>
              </w:rPr>
              <w:t>—</w:t>
            </w:r>
          </w:p>
        </w:tc>
        <w:tc>
          <w:tcPr>
            <w:tcW w:w="10260" w:type="dxa"/>
            <w:vAlign w:val="bottom"/>
            <w:gridSpan w:val="3"/>
          </w:tcPr>
          <w:p>
            <w:pPr>
              <w:ind w:left="160"/>
              <w:spacing w:after="0" w:line="195" w:lineRule="exact"/>
              <w:rPr>
                <w:sz w:val="20"/>
                <w:szCs w:val="20"/>
                <w:color w:val="auto"/>
              </w:rPr>
            </w:pPr>
            <w:r>
              <w:rPr>
                <w:rFonts w:ascii="Arial" w:cs="Arial" w:eastAsia="Arial" w:hAnsi="Arial"/>
                <w:sz w:val="18"/>
                <w:szCs w:val="18"/>
                <w:color w:val="auto"/>
                <w:w w:val="93"/>
              </w:rPr>
              <w:t>Third Restated Certificate of Incorporation [incorporated by reference to Exhibit 3.1 to Form 10-Q for the quarter ended June 30, 2010].</w:t>
            </w: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rPr>
              <w:t>3.2</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90"/>
              </w:rPr>
              <w:t>Amended and Restated By-laws of Waste Management, Inc. [incorporated by reference to Exhibit 3.2 to Form 8-K dated December 6, 2012].</w:t>
            </w: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rPr>
              <w:t>4.1</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rPr>
              <w:t>Specimen Stock Certificate [incorporated by reference to Exhibit 4.1 to Form 10-K for the year ended December 31, 1998].</w:t>
            </w: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rPr>
              <w:t>4.2</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89"/>
              </w:rPr>
              <w:t>Indenture for Subordinated Debt Securities dated February 3, 1997, among the Registrant and The Bank of New York Mellon Trust Company,</w:t>
            </w:r>
          </w:p>
        </w:tc>
      </w:tr>
      <w:tr>
        <w:trPr>
          <w:trHeight w:val="216"/>
        </w:trPr>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90"/>
              </w:rPr>
              <w:t>N.A. (the current successor to Texas Commerce Bank National Association), as trustee [incorporated by reference to Exhibit 4.1 to Form 8-K</w:t>
            </w:r>
          </w:p>
        </w:tc>
      </w:tr>
      <w:tr>
        <w:trPr>
          <w:trHeight w:val="216"/>
        </w:trPr>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rPr>
              <w:t>dated February 7, 1997].</w:t>
            </w: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rPr>
              <w:t>4.3</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88"/>
              </w:rPr>
              <w:t>Indenture for Senior Debt Securities dated September 10, 1997, among the Registrant and The Bank of New York Mellon Trust Company, N.A.</w:t>
            </w:r>
          </w:p>
        </w:tc>
      </w:tr>
      <w:tr>
        <w:trPr>
          <w:trHeight w:val="216"/>
        </w:trPr>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89"/>
              </w:rPr>
              <w:t>(the current successor to Texas Commerce Bank National Association), as trustee [incorporated by reference to Exhibit 4.1 to Form 8-K dated</w:t>
            </w:r>
          </w:p>
        </w:tc>
      </w:tr>
      <w:tr>
        <w:trPr>
          <w:trHeight w:val="216"/>
        </w:trPr>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rPr>
              <w:t>September 10, 1997].</w:t>
            </w: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rPr>
              <w:t>4.4</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87"/>
              </w:rPr>
              <w:t>Officers’ Certificate delivered pursuant to Section 301 of the Indenture dated September 10, 1997 by and between Waste Management, Inc. and</w:t>
            </w:r>
          </w:p>
        </w:tc>
      </w:tr>
      <w:tr>
        <w:trPr>
          <w:trHeight w:val="216"/>
        </w:trPr>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90"/>
              </w:rPr>
              <w:t>The Bank of New York Mellon Trust Company, N.A., as Trustee, establishing the terms and form of Waste Management, Inc.’s 2.60% Senior</w:t>
            </w:r>
          </w:p>
        </w:tc>
      </w:tr>
      <w:tr>
        <w:trPr>
          <w:trHeight w:val="216"/>
        </w:trPr>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rPr>
              <w:t>Notes due 2016 [incorporated by reference to Exhibit 4.1 to Form 10-Q for the quarter ended September 30, 2012].</w:t>
            </w: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rPr>
              <w:t>4.5</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91"/>
              </w:rPr>
              <w:t>Guarantee Agreement by Waste Management Holdings, Inc. in favor of The Bank of New York Mellon Trust Company, N.A., as Trustee for</w:t>
            </w:r>
          </w:p>
        </w:tc>
      </w:tr>
      <w:tr>
        <w:trPr>
          <w:trHeight w:val="216"/>
        </w:trPr>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89"/>
              </w:rPr>
              <w:t>the holders of Waste Management, Inc.’s 2.60% Senior Notes due 2016 [incorporated by reference to Exhibit 4.2 to Form 10-Q for the quarter</w:t>
            </w:r>
          </w:p>
        </w:tc>
      </w:tr>
      <w:tr>
        <w:trPr>
          <w:trHeight w:val="216"/>
        </w:trPr>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rPr>
              <w:t>ended September 30, 2012].</w:t>
            </w: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rPr>
              <w:t>4.6*</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88"/>
              </w:rPr>
              <w:t>Schedule of Officers’ Certificates delivered pursuant to Section 301 of the Indenture dated September 10, 1997 establishing the terms and form</w:t>
            </w:r>
          </w:p>
        </w:tc>
      </w:tr>
      <w:tr>
        <w:trPr>
          <w:trHeight w:val="216"/>
        </w:trPr>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87"/>
              </w:rPr>
              <w:t>of Waste Management, Inc.’s Senior Notes. Waste Management and its subsidiaries are parties to debt instruments that have not been filed with</w:t>
            </w:r>
          </w:p>
        </w:tc>
      </w:tr>
      <w:tr>
        <w:trPr>
          <w:trHeight w:val="216"/>
        </w:trPr>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90"/>
              </w:rPr>
              <w:t>the SEC under which the total amount of securities authorized under any single instrument does not exceed 10% of the total assets of Waste</w:t>
            </w:r>
          </w:p>
        </w:tc>
      </w:tr>
      <w:tr>
        <w:trPr>
          <w:trHeight w:val="216"/>
        </w:trPr>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97"/>
              </w:rPr>
              <w:t>Management and its subsidiaries on a consolidated basis. Pursuant to paragraph 4(iii)(A) of Item 601(b) of Regulation S-K, Waste</w:t>
            </w:r>
          </w:p>
        </w:tc>
      </w:tr>
      <w:tr>
        <w:trPr>
          <w:trHeight w:val="216"/>
        </w:trPr>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rPr>
              <w:t>Management agrees to furnish a copy of such instruments to the SEC upon request.</w:t>
            </w: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rPr>
              <w:t>10.1†</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96"/>
              </w:rPr>
              <w:t>2009 Stock Incentive Plan [incorporated by reference to Appendix B to the Proxy Statement on Schedule 14A filed March 25, 2009].</w:t>
            </w: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rPr>
              <w:t>10.2†</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97"/>
              </w:rPr>
              <w:t>2005 Annual Incentive Plan [incorporated by reference to Appendix D to the Proxy Statement on Schedule 14A filed April 8, 2004].</w:t>
            </w: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rPr>
              <w:t>10.3†</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92"/>
              </w:rPr>
              <w:t>Employee Stock Purchase Plan [incorporated by reference to Appendix A to the Proxy Statement on Schedule 14A filed March 28, 2012].</w:t>
            </w: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rPr>
              <w:t>10.4†</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90"/>
              </w:rPr>
              <w:t>Waste Management, Inc. 409A Deferral Savings Plan. [incorporated by reference to Exhibit 10.4 to Form 10-K for the year ended December</w:t>
            </w:r>
          </w:p>
        </w:tc>
      </w:tr>
      <w:tr>
        <w:trPr>
          <w:trHeight w:val="216"/>
        </w:trPr>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31, 2006].</w:t>
            </w:r>
          </w:p>
        </w:tc>
        <w:tc>
          <w:tcPr>
            <w:tcW w:w="700" w:type="dxa"/>
            <w:vAlign w:val="bottom"/>
          </w:tcPr>
          <w:p>
            <w:pPr>
              <w:spacing w:after="0"/>
              <w:rPr>
                <w:sz w:val="18"/>
                <w:szCs w:val="18"/>
                <w:color w:val="auto"/>
              </w:rPr>
            </w:pPr>
          </w:p>
        </w:tc>
        <w:tc>
          <w:tcPr>
            <w:tcW w:w="4700" w:type="dxa"/>
            <w:vAlign w:val="bottom"/>
          </w:tcPr>
          <w:p>
            <w:pPr>
              <w:spacing w:after="0"/>
              <w:rPr>
                <w:sz w:val="18"/>
                <w:szCs w:val="18"/>
                <w:color w:val="auto"/>
              </w:rPr>
            </w:pP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rPr>
              <w:t>10.5†</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rPr>
              <w:t>1993 Stock Incentive Plan [incorporated by reference to Exhibit 10.2 to Form 10-K for the year ended December 31, 1998].</w:t>
            </w: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rPr>
              <w:t>10.6†</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98"/>
              </w:rPr>
              <w:t>2000 Stock Incentive Plan [incorporated by reference to Appendix B to the Proxy Statement on Schedule 14A filed April 6, 2000].</w:t>
            </w:r>
          </w:p>
        </w:tc>
      </w:tr>
      <w:tr>
        <w:trPr>
          <w:trHeight w:val="222"/>
        </w:trPr>
        <w:tc>
          <w:tcPr>
            <w:tcW w:w="500" w:type="dxa"/>
            <w:vAlign w:val="bottom"/>
            <w:gridSpan w:val="2"/>
          </w:tcPr>
          <w:p>
            <w:pPr>
              <w:spacing w:after="0"/>
              <w:rPr>
                <w:sz w:val="20"/>
                <w:szCs w:val="20"/>
                <w:color w:val="auto"/>
              </w:rPr>
            </w:pPr>
            <w:r>
              <w:rPr>
                <w:rFonts w:ascii="Arial" w:cs="Arial" w:eastAsia="Arial" w:hAnsi="Arial"/>
                <w:sz w:val="18"/>
                <w:szCs w:val="18"/>
                <w:color w:val="auto"/>
              </w:rPr>
              <w:t>10.7†</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rPr>
              <w:t>2004 Stock Incentive Plan [incorporated by reference to Appendix C to Proxy Statement on Schedule 14A filed April 8, 2004].</w:t>
            </w:r>
          </w:p>
        </w:tc>
      </w:tr>
      <w:tr>
        <w:trPr>
          <w:trHeight w:val="365"/>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60" w:type="dxa"/>
            <w:vAlign w:val="bottom"/>
          </w:tcPr>
          <w:p>
            <w:pPr>
              <w:ind w:left="4420"/>
              <w:spacing w:after="0"/>
              <w:rPr>
                <w:sz w:val="20"/>
                <w:szCs w:val="20"/>
                <w:color w:val="auto"/>
              </w:rPr>
            </w:pPr>
            <w:r>
              <w:rPr>
                <w:rFonts w:ascii="Arial" w:cs="Arial" w:eastAsia="Arial" w:hAnsi="Arial"/>
                <w:sz w:val="18"/>
                <w:szCs w:val="18"/>
                <w:color w:val="auto"/>
              </w:rPr>
              <w:t>160</w:t>
            </w:r>
          </w:p>
        </w:tc>
        <w:tc>
          <w:tcPr>
            <w:tcW w:w="700" w:type="dxa"/>
            <w:vAlign w:val="bottom"/>
          </w:tcPr>
          <w:p>
            <w:pPr>
              <w:spacing w:after="0"/>
              <w:rPr>
                <w:sz w:val="24"/>
                <w:szCs w:val="24"/>
                <w:color w:val="auto"/>
              </w:rPr>
            </w:pPr>
          </w:p>
        </w:tc>
        <w:tc>
          <w:tcPr>
            <w:tcW w:w="47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840" w:right="20" w:hanging="1201"/>
        <w:spacing w:after="0" w:line="283" w:lineRule="auto"/>
        <w:tabs>
          <w:tab w:leader="none" w:pos="8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 $2.25 Billion Second Amended and Restated Revolving Credit Agreement by and among Waste Management, Inc. and Waste Management Holdings, Inc. and certain banks party thereto, Bank of America, N.A., as Administrative Agent, JPMorgan Chase Bank, N.A. and Barclays Bank PLC, as syndication agents, BNP Paribas, Citibank, N.A., Deutsche Bank AG New York Branch, The Bank of Tokyo-Mitsubishi UFJ, Ltd., The Royal Bank of Scotland plc, U.S. Bank National Association and Wells Fargo Bank, National Association, as co-documentation agents and J.P. Morgan Securities LLC, Merrill Lynch, Pierce, Fenner &amp; Smith Incorporated, and Barclays Bank PLC, as lead arrangers and joint bookrunners. [incorporated by reference to Exhibit 10.1 to Form 8-K filed July 30, 2013].</w:t>
      </w:r>
    </w:p>
    <w:p>
      <w:pPr>
        <w:spacing w:after="0" w:line="1" w:lineRule="exact"/>
        <w:rPr>
          <w:sz w:val="20"/>
          <w:szCs w:val="20"/>
          <w:color w:val="auto"/>
        </w:rPr>
      </w:pPr>
    </w:p>
    <w:p>
      <w:pPr>
        <w:ind w:left="840" w:hanging="1201"/>
        <w:spacing w:after="0" w:line="250" w:lineRule="auto"/>
        <w:tabs>
          <w:tab w:leader="none" w:pos="8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 CDN$650 Million Credit Facilities Credit Agreement by and among Waste Management of Canada Corporation and WM Quebec Inc., as borrowers, Waste Management, Inc. and Waste Management Holdings, Inc., as guarantors, The Bank of Nova Scotia, as administrative agent, JP Morgan Chase Bank, N.A., Bank of America, N.A. and PNC Bank, National Association, as co-syndication agents, the Bank of Nova Scotia, J.P. Morgan Securities LLC, Merrill, Lynch, Pierce, Fenner &amp; Smith Incorporated and PNC Capital Markets LLC, as joint lead arrangers and joint bookrunners and the Lenders from time to time party thereto [incorporated by reference to Exhibit 10.2 to Form 10-Q for the quarter ended September 30, 2013]</w:t>
      </w:r>
    </w:p>
    <w:p>
      <w:pPr>
        <w:spacing w:after="0" w:line="3" w:lineRule="exact"/>
        <w:rPr>
          <w:sz w:val="20"/>
          <w:szCs w:val="20"/>
          <w:color w:val="auto"/>
        </w:rPr>
      </w:pPr>
    </w:p>
    <w:p>
      <w:pPr>
        <w:ind w:left="840" w:right="180" w:hanging="1201"/>
        <w:spacing w:after="0" w:line="250" w:lineRule="auto"/>
        <w:tabs>
          <w:tab w:leader="none" w:pos="8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 First Amendment Agreement to CDN$650 Credit Facilities Credit Agreement by and among Waste Management of Canada Corporation and WM Quebec Inc., as borrowers, Waste Management, Inc. and Waste Management Holdings, Inc., as guarantors, the Lenders from time to time party thereto, and The Bank of Nova Scotia, as administrative agent [incorporated by reference to Exhibit 10.3 to Form 10-Q for the quarter ended September 30, 2013].</w:t>
      </w:r>
    </w:p>
    <w:p>
      <w:pPr>
        <w:spacing w:after="0" w:line="2" w:lineRule="exact"/>
        <w:rPr>
          <w:sz w:val="20"/>
          <w:szCs w:val="20"/>
          <w:color w:val="auto"/>
        </w:rPr>
      </w:pPr>
    </w:p>
    <w:p>
      <w:pPr>
        <w:ind w:left="840" w:right="160" w:hanging="1201"/>
        <w:spacing w:after="0" w:line="250" w:lineRule="auto"/>
        <w:tabs>
          <w:tab w:leader="none" w:pos="8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 Employment Agreement between the Company and David Steiner dated May 6, 2002 [incorporated by reference to Exhibit 10.1 to Form 10-Q for the quarter ended March 31, 2002].</w:t>
      </w:r>
    </w:p>
    <w:p>
      <w:pPr>
        <w:spacing w:after="0" w:line="1" w:lineRule="exact"/>
        <w:rPr>
          <w:sz w:val="20"/>
          <w:szCs w:val="20"/>
          <w:color w:val="auto"/>
        </w:rPr>
      </w:pPr>
    </w:p>
    <w:p>
      <w:pPr>
        <w:spacing w:after="0"/>
        <w:tabs>
          <w:tab w:leader="none" w:pos="820" w:val="left"/>
          <w:tab w:leader="none" w:pos="12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Employment Agreement between the Company and James E. Trevathan dated June 1, 2000 [incorporated by reference to Exhibit 10.20 to Form</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10-K for the year ended December 31, 2000].</w:t>
      </w:r>
    </w:p>
    <w:p>
      <w:pPr>
        <w:spacing w:after="0" w:line="9" w:lineRule="exact"/>
        <w:rPr>
          <w:sz w:val="20"/>
          <w:szCs w:val="20"/>
          <w:color w:val="auto"/>
        </w:rPr>
      </w:pPr>
    </w:p>
    <w:p>
      <w:pPr>
        <w:ind w:left="840" w:right="120" w:hanging="1201"/>
        <w:spacing w:after="0" w:line="250" w:lineRule="auto"/>
        <w:tabs>
          <w:tab w:leader="none" w:pos="8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 Amendment to Employment Agreement between the Company and James E. Trevathan [incorporated by reference to Exhibit 10.3 to Form 8-K dated March 9, 2011].</w:t>
      </w:r>
    </w:p>
    <w:p>
      <w:pPr>
        <w:spacing w:after="0" w:line="1" w:lineRule="exact"/>
        <w:rPr>
          <w:sz w:val="20"/>
          <w:szCs w:val="20"/>
          <w:color w:val="auto"/>
        </w:rPr>
      </w:pPr>
    </w:p>
    <w:p>
      <w:pPr>
        <w:spacing w:after="0"/>
        <w:tabs>
          <w:tab w:leader="none" w:pos="820" w:val="left"/>
          <w:tab w:leader="none" w:pos="12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Employment Agreement between the Company and James C. Fish, Jr. dated August 15, 2011 [incorporated by reference to Exhibit 10.2 to Form</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10-Q for the quarter ended September 30, 2011].</w:t>
      </w:r>
    </w:p>
    <w:p>
      <w:pPr>
        <w:spacing w:after="0" w:line="9" w:lineRule="exact"/>
        <w:rPr>
          <w:sz w:val="20"/>
          <w:szCs w:val="20"/>
          <w:color w:val="auto"/>
        </w:rPr>
      </w:pPr>
    </w:p>
    <w:p>
      <w:pPr>
        <w:ind w:left="840" w:right="320" w:hanging="1201"/>
        <w:spacing w:after="0" w:line="250" w:lineRule="auto"/>
        <w:tabs>
          <w:tab w:leader="none" w:pos="8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 First Amendment to Employment Agreement between the Company and James C. Fish, Jr. dated July 20, 2012 [incorporated by reference to Exhibit 10.3 to Form 10-Q for the quarter ended June 30, 2012].</w:t>
      </w:r>
    </w:p>
    <w:p>
      <w:pPr>
        <w:spacing w:after="0" w:line="1" w:lineRule="exact"/>
        <w:rPr>
          <w:sz w:val="20"/>
          <w:szCs w:val="20"/>
          <w:color w:val="auto"/>
        </w:rPr>
      </w:pPr>
    </w:p>
    <w:p>
      <w:pPr>
        <w:ind w:left="840" w:right="80" w:hanging="1201"/>
        <w:spacing w:after="0" w:line="250" w:lineRule="auto"/>
        <w:tabs>
          <w:tab w:leader="none" w:pos="8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 Employment Agreement between the Company and Jeff Harris dated December 1, 2006 [incorporated by reference to Exhibit 10.1 to Form 8-K dated December 1, 2006].</w:t>
      </w:r>
    </w:p>
    <w:p>
      <w:pPr>
        <w:spacing w:after="0" w:line="1" w:lineRule="exact"/>
        <w:rPr>
          <w:sz w:val="20"/>
          <w:szCs w:val="20"/>
          <w:color w:val="auto"/>
        </w:rPr>
      </w:pPr>
    </w:p>
    <w:p>
      <w:pPr>
        <w:ind w:left="840" w:right="140" w:hanging="1201"/>
        <w:spacing w:after="0" w:line="250" w:lineRule="auto"/>
        <w:tabs>
          <w:tab w:leader="none" w:pos="82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 Amendment to Employment Agreement by and between the Company and Jeff Harris [incorporated by reference to Exhibit 10.6 to Form 10-Q for the quarter ended March 30, 2011].</w:t>
      </w:r>
    </w:p>
    <w:p>
      <w:pPr>
        <w:spacing w:after="0" w:line="1" w:lineRule="exact"/>
        <w:rPr>
          <w:sz w:val="20"/>
          <w:szCs w:val="20"/>
          <w:color w:val="auto"/>
        </w:rPr>
      </w:pPr>
    </w:p>
    <w:p>
      <w:pPr>
        <w:ind w:left="840" w:right="200" w:hanging="1201"/>
        <w:spacing w:after="0" w:line="250" w:lineRule="auto"/>
        <w:tabs>
          <w:tab w:leader="none" w:pos="82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 Employment Agreement between the Company and John Morris dated June 18, 2012 [incorporated by reference to Exhibit 10.4 to Form 10-Q for the quarter ended June 30, 2012].</w:t>
      </w:r>
    </w:p>
    <w:p>
      <w:pPr>
        <w:spacing w:after="0" w:line="1" w:lineRule="exact"/>
        <w:rPr>
          <w:sz w:val="20"/>
          <w:szCs w:val="20"/>
          <w:color w:val="auto"/>
        </w:rPr>
      </w:pPr>
    </w:p>
    <w:p>
      <w:pPr>
        <w:ind w:left="840" w:right="60" w:hanging="1201"/>
        <w:spacing w:after="0" w:line="250" w:lineRule="auto"/>
        <w:tabs>
          <w:tab w:leader="none" w:pos="82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 Employment Agreement between the Company and Barry H. Caldwell dated September 23, 2002 [incorporated by reference to Exhibit 10.24 to Form 10-K for the year ended December 31, 2002].</w:t>
      </w:r>
    </w:p>
    <w:p>
      <w:pPr>
        <w:spacing w:after="0" w:line="1" w:lineRule="exact"/>
        <w:rPr>
          <w:sz w:val="20"/>
          <w:szCs w:val="20"/>
          <w:color w:val="auto"/>
        </w:rPr>
      </w:pPr>
    </w:p>
    <w:p>
      <w:pPr>
        <w:ind w:left="840" w:right="20" w:hanging="1201"/>
        <w:spacing w:after="0" w:line="250" w:lineRule="auto"/>
        <w:tabs>
          <w:tab w:leader="none" w:pos="82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 Employment Agreement between the Company and David Aardsma dated June 16, 2005 [incorporated by reference to Exhibit 10.1 to Form 8-K dated June 16, 2005].</w:t>
      </w:r>
    </w:p>
    <w:p>
      <w:pPr>
        <w:spacing w:after="0" w:line="1" w:lineRule="exact"/>
        <w:rPr>
          <w:sz w:val="20"/>
          <w:szCs w:val="20"/>
          <w:color w:val="auto"/>
        </w:rPr>
      </w:pPr>
    </w:p>
    <w:p>
      <w:pPr>
        <w:ind w:left="840" w:right="100" w:hanging="1201"/>
        <w:spacing w:after="0" w:line="250" w:lineRule="auto"/>
        <w:tabs>
          <w:tab w:leader="none" w:pos="82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 Employment Agreement between the Company and Rick L Wittenbraker dated November 10, 2003 [incorporated by reference to Exhibit 10.30 to Form 10-K for the year ended December 31, 2003].</w:t>
      </w:r>
    </w:p>
    <w:p>
      <w:pPr>
        <w:spacing w:after="0" w:line="1" w:lineRule="exact"/>
        <w:rPr>
          <w:sz w:val="20"/>
          <w:szCs w:val="20"/>
          <w:color w:val="auto"/>
        </w:rPr>
      </w:pPr>
    </w:p>
    <w:p>
      <w:pPr>
        <w:ind w:left="840" w:right="400" w:hanging="1201"/>
        <w:spacing w:after="0" w:line="250" w:lineRule="auto"/>
        <w:tabs>
          <w:tab w:leader="none" w:pos="82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 Employment Agreement between the Company and William K. Caesar dated August 23, 2011 [incorporated by reference to Exhibit 10.3 to Form 10-Q for the quarter ended September 30, 2011].</w:t>
      </w:r>
    </w:p>
    <w:p>
      <w:pPr>
        <w:spacing w:after="0" w:line="1" w:lineRule="exact"/>
        <w:rPr>
          <w:sz w:val="20"/>
          <w:szCs w:val="20"/>
          <w:color w:val="auto"/>
        </w:rPr>
      </w:pPr>
    </w:p>
    <w:p>
      <w:pPr>
        <w:spacing w:after="0"/>
        <w:tabs>
          <w:tab w:leader="none" w:pos="820" w:val="left"/>
          <w:tab w:leader="none" w:pos="12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Employment Agreement between the Company and Puneet Bhasin dated December 7, 2009 [incorporated by reference to Exhibit 10.12 to Form</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10-K for the year ended December 31,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10.24†</w:t>
            </w:r>
          </w:p>
        </w:tc>
        <w:tc>
          <w:tcPr>
            <w:tcW w:w="10460" w:type="dxa"/>
            <w:vAlign w:val="bottom"/>
            <w:gridSpan w:val="2"/>
          </w:tcPr>
          <w:p>
            <w:pPr>
              <w:ind w:left="220"/>
              <w:spacing w:after="0"/>
              <w:rPr>
                <w:sz w:val="20"/>
                <w:szCs w:val="20"/>
                <w:color w:val="auto"/>
              </w:rPr>
            </w:pPr>
            <w:r>
              <w:rPr>
                <w:rFonts w:ascii="Arial" w:cs="Arial" w:eastAsia="Arial" w:hAnsi="Arial"/>
                <w:sz w:val="18"/>
                <w:szCs w:val="18"/>
                <w:color w:val="auto"/>
                <w:w w:val="91"/>
              </w:rPr>
              <w:t>—  Employment Agreement between the Company and Mark Schwartz dated July 5, 2012 [incorporated by reference to Exhibit 10.5 to Form</w:t>
            </w:r>
          </w:p>
        </w:tc>
      </w:tr>
      <w:tr>
        <w:trPr>
          <w:trHeight w:val="216"/>
        </w:trPr>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960" w:type="dxa"/>
            <w:vAlign w:val="bottom"/>
          </w:tcPr>
          <w:p>
            <w:pPr>
              <w:ind w:left="100"/>
              <w:spacing w:after="0"/>
              <w:rPr>
                <w:sz w:val="20"/>
                <w:szCs w:val="20"/>
                <w:color w:val="auto"/>
              </w:rPr>
            </w:pPr>
            <w:r>
              <w:rPr>
                <w:rFonts w:ascii="Arial" w:cs="Arial" w:eastAsia="Arial" w:hAnsi="Arial"/>
                <w:sz w:val="18"/>
                <w:szCs w:val="18"/>
                <w:color w:val="auto"/>
              </w:rPr>
              <w:t>10-Q for the quarter ended June 30, 2012].</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10.25†</w:t>
            </w:r>
          </w:p>
        </w:tc>
        <w:tc>
          <w:tcPr>
            <w:tcW w:w="10460" w:type="dxa"/>
            <w:vAlign w:val="bottom"/>
            <w:gridSpan w:val="2"/>
          </w:tcPr>
          <w:p>
            <w:pPr>
              <w:ind w:left="220"/>
              <w:spacing w:after="0"/>
              <w:rPr>
                <w:sz w:val="20"/>
                <w:szCs w:val="20"/>
                <w:color w:val="auto"/>
              </w:rPr>
            </w:pPr>
            <w:r>
              <w:rPr>
                <w:rFonts w:ascii="Arial" w:cs="Arial" w:eastAsia="Arial" w:hAnsi="Arial"/>
                <w:sz w:val="18"/>
                <w:szCs w:val="18"/>
                <w:color w:val="auto"/>
                <w:w w:val="88"/>
              </w:rPr>
              <w:t>—  Employment Agreement between the Company and Don P. Carpenter dated July 31, 2000, as amended by First Amendment to Employment</w:t>
            </w:r>
          </w:p>
        </w:tc>
      </w:tr>
      <w:tr>
        <w:trPr>
          <w:trHeight w:val="216"/>
        </w:trPr>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960" w:type="dxa"/>
            <w:vAlign w:val="bottom"/>
          </w:tcPr>
          <w:p>
            <w:pPr>
              <w:ind w:left="100"/>
              <w:spacing w:after="0"/>
              <w:rPr>
                <w:sz w:val="20"/>
                <w:szCs w:val="20"/>
                <w:color w:val="auto"/>
              </w:rPr>
            </w:pPr>
            <w:r>
              <w:rPr>
                <w:rFonts w:ascii="Arial" w:cs="Arial" w:eastAsia="Arial" w:hAnsi="Arial"/>
                <w:sz w:val="18"/>
                <w:szCs w:val="18"/>
                <w:color w:val="auto"/>
                <w:w w:val="91"/>
              </w:rPr>
              <w:t>Agreement between USA Waste-Management Resources, LLC and Don P. Carpenter effective as of August 24, 2012 [incorporated by</w:t>
            </w:r>
          </w:p>
        </w:tc>
      </w:tr>
      <w:tr>
        <w:trPr>
          <w:trHeight w:val="216"/>
        </w:trPr>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960" w:type="dxa"/>
            <w:vAlign w:val="bottom"/>
          </w:tcPr>
          <w:p>
            <w:pPr>
              <w:ind w:left="100"/>
              <w:spacing w:after="0"/>
              <w:rPr>
                <w:sz w:val="20"/>
                <w:szCs w:val="20"/>
                <w:color w:val="auto"/>
              </w:rPr>
            </w:pPr>
            <w:r>
              <w:rPr>
                <w:rFonts w:ascii="Arial" w:cs="Arial" w:eastAsia="Arial" w:hAnsi="Arial"/>
                <w:sz w:val="18"/>
                <w:szCs w:val="18"/>
                <w:color w:val="auto"/>
              </w:rPr>
              <w:t>reference to Exhibit 10.23 to Form 10-K for the year ended December 31, 2012].</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10.26†</w:t>
            </w:r>
          </w:p>
        </w:tc>
        <w:tc>
          <w:tcPr>
            <w:tcW w:w="10460" w:type="dxa"/>
            <w:vAlign w:val="bottom"/>
            <w:gridSpan w:val="2"/>
          </w:tcPr>
          <w:p>
            <w:pPr>
              <w:ind w:left="220"/>
              <w:spacing w:after="0"/>
              <w:rPr>
                <w:sz w:val="20"/>
                <w:szCs w:val="20"/>
                <w:color w:val="auto"/>
              </w:rPr>
            </w:pPr>
            <w:r>
              <w:rPr>
                <w:rFonts w:ascii="Arial" w:cs="Arial" w:eastAsia="Arial" w:hAnsi="Arial"/>
                <w:sz w:val="18"/>
                <w:szCs w:val="18"/>
                <w:color w:val="auto"/>
                <w:w w:val="89"/>
              </w:rPr>
              <w:t>—  Employment Agreement between Wheelabrator Technologies Inc. and Mark A. Weidman dated May 11, 2006 [incorporated by reference to</w:t>
            </w:r>
          </w:p>
        </w:tc>
      </w:tr>
      <w:tr>
        <w:trPr>
          <w:trHeight w:val="216"/>
        </w:trPr>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960" w:type="dxa"/>
            <w:vAlign w:val="bottom"/>
          </w:tcPr>
          <w:p>
            <w:pPr>
              <w:ind w:left="100"/>
              <w:spacing w:after="0"/>
              <w:rPr>
                <w:sz w:val="20"/>
                <w:szCs w:val="20"/>
                <w:color w:val="auto"/>
              </w:rPr>
            </w:pPr>
            <w:r>
              <w:rPr>
                <w:rFonts w:ascii="Arial" w:cs="Arial" w:eastAsia="Arial" w:hAnsi="Arial"/>
                <w:sz w:val="18"/>
                <w:szCs w:val="18"/>
                <w:color w:val="auto"/>
              </w:rPr>
              <w:t>Exhibit 10.1 to Form 8-K dated May 11, 2006].</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10.27†</w:t>
            </w:r>
          </w:p>
        </w:tc>
        <w:tc>
          <w:tcPr>
            <w:tcW w:w="10460" w:type="dxa"/>
            <w:vAlign w:val="bottom"/>
            <w:gridSpan w:val="2"/>
          </w:tcPr>
          <w:p>
            <w:pPr>
              <w:ind w:left="220"/>
              <w:spacing w:after="0"/>
              <w:rPr>
                <w:sz w:val="20"/>
                <w:szCs w:val="20"/>
                <w:color w:val="auto"/>
              </w:rPr>
            </w:pPr>
            <w:r>
              <w:rPr>
                <w:rFonts w:ascii="Arial" w:cs="Arial" w:eastAsia="Arial" w:hAnsi="Arial"/>
                <w:sz w:val="18"/>
                <w:szCs w:val="18"/>
                <w:color w:val="auto"/>
                <w:w w:val="91"/>
              </w:rPr>
              <w:t>—  Form of Director and Executive Officer Indemnity Agreement [incorporated by reference to Exhibit 10.43 to Form 10-K for the year ended</w:t>
            </w:r>
          </w:p>
        </w:tc>
      </w:tr>
      <w:tr>
        <w:trPr>
          <w:trHeight w:val="216"/>
        </w:trPr>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960" w:type="dxa"/>
            <w:vAlign w:val="bottom"/>
          </w:tcPr>
          <w:p>
            <w:pPr>
              <w:ind w:left="100"/>
              <w:spacing w:after="0"/>
              <w:rPr>
                <w:sz w:val="20"/>
                <w:szCs w:val="20"/>
                <w:color w:val="auto"/>
              </w:rPr>
            </w:pPr>
            <w:r>
              <w:rPr>
                <w:rFonts w:ascii="Arial" w:cs="Arial" w:eastAsia="Arial" w:hAnsi="Arial"/>
                <w:sz w:val="18"/>
                <w:szCs w:val="18"/>
                <w:color w:val="auto"/>
              </w:rPr>
              <w:t>December 31, 2012].</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10.28†</w:t>
            </w:r>
          </w:p>
        </w:tc>
        <w:tc>
          <w:tcPr>
            <w:tcW w:w="10460" w:type="dxa"/>
            <w:vAlign w:val="bottom"/>
            <w:gridSpan w:val="2"/>
          </w:tcPr>
          <w:p>
            <w:pPr>
              <w:ind w:left="220"/>
              <w:spacing w:after="0"/>
              <w:rPr>
                <w:sz w:val="20"/>
                <w:szCs w:val="20"/>
                <w:color w:val="auto"/>
              </w:rPr>
            </w:pPr>
            <w:r>
              <w:rPr>
                <w:rFonts w:ascii="Arial" w:cs="Arial" w:eastAsia="Arial" w:hAnsi="Arial"/>
                <w:sz w:val="18"/>
                <w:szCs w:val="18"/>
                <w:color w:val="auto"/>
                <w:w w:val="95"/>
              </w:rPr>
              <w:t>—  Form of 2013 PSU Award Agreement with ROIC Performance Measure [incorporated by reference to Exhibit 10.1 to Form 8-K filed</w:t>
            </w:r>
          </w:p>
        </w:tc>
      </w:tr>
      <w:tr>
        <w:trPr>
          <w:trHeight w:val="216"/>
        </w:trPr>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960" w:type="dxa"/>
            <w:vAlign w:val="bottom"/>
          </w:tcPr>
          <w:p>
            <w:pPr>
              <w:ind w:left="100"/>
              <w:spacing w:after="0"/>
              <w:rPr>
                <w:sz w:val="20"/>
                <w:szCs w:val="20"/>
                <w:color w:val="auto"/>
              </w:rPr>
            </w:pPr>
            <w:r>
              <w:rPr>
                <w:rFonts w:ascii="Arial" w:cs="Arial" w:eastAsia="Arial" w:hAnsi="Arial"/>
                <w:sz w:val="18"/>
                <w:szCs w:val="18"/>
                <w:color w:val="auto"/>
              </w:rPr>
              <w:t>March 13, 2013].</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10.29†</w:t>
            </w:r>
          </w:p>
        </w:tc>
        <w:tc>
          <w:tcPr>
            <w:tcW w:w="10460" w:type="dxa"/>
            <w:vAlign w:val="bottom"/>
            <w:gridSpan w:val="2"/>
          </w:tcPr>
          <w:p>
            <w:pPr>
              <w:ind w:left="220"/>
              <w:spacing w:after="0"/>
              <w:rPr>
                <w:sz w:val="20"/>
                <w:szCs w:val="20"/>
                <w:color w:val="auto"/>
              </w:rPr>
            </w:pPr>
            <w:r>
              <w:rPr>
                <w:rFonts w:ascii="Arial" w:cs="Arial" w:eastAsia="Arial" w:hAnsi="Arial"/>
                <w:sz w:val="18"/>
                <w:szCs w:val="18"/>
                <w:color w:val="auto"/>
                <w:w w:val="96"/>
              </w:rPr>
              <w:t>—  Form of 2013 PSU Award Agreement with TSR Performance Measure [incorporated by reference to Exhibit 10.2 to Form 8-K filed</w:t>
            </w:r>
          </w:p>
        </w:tc>
      </w:tr>
      <w:tr>
        <w:trPr>
          <w:trHeight w:val="216"/>
        </w:trPr>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960" w:type="dxa"/>
            <w:vAlign w:val="bottom"/>
          </w:tcPr>
          <w:p>
            <w:pPr>
              <w:ind w:left="100"/>
              <w:spacing w:after="0"/>
              <w:rPr>
                <w:sz w:val="20"/>
                <w:szCs w:val="20"/>
                <w:color w:val="auto"/>
              </w:rPr>
            </w:pPr>
            <w:r>
              <w:rPr>
                <w:rFonts w:ascii="Arial" w:cs="Arial" w:eastAsia="Arial" w:hAnsi="Arial"/>
                <w:sz w:val="18"/>
                <w:szCs w:val="18"/>
                <w:color w:val="auto"/>
              </w:rPr>
              <w:t>March 13, 2013].</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10.30†</w:t>
            </w:r>
          </w:p>
        </w:tc>
        <w:tc>
          <w:tcPr>
            <w:tcW w:w="10460" w:type="dxa"/>
            <w:vAlign w:val="bottom"/>
            <w:gridSpan w:val="2"/>
          </w:tcPr>
          <w:p>
            <w:pPr>
              <w:ind w:left="220"/>
              <w:spacing w:after="0"/>
              <w:rPr>
                <w:sz w:val="20"/>
                <w:szCs w:val="20"/>
                <w:color w:val="auto"/>
              </w:rPr>
            </w:pPr>
            <w:r>
              <w:rPr>
                <w:rFonts w:ascii="Arial" w:cs="Arial" w:eastAsia="Arial" w:hAnsi="Arial"/>
                <w:sz w:val="18"/>
                <w:szCs w:val="18"/>
                <w:color w:val="auto"/>
              </w:rPr>
              <w:t>—  Form of 2013 Stock Option Award Agreement [incorporated by reference to Exhibit 10.3 to Form 8-K filed March 13, 2013].</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10.31†</w:t>
            </w:r>
          </w:p>
        </w:tc>
        <w:tc>
          <w:tcPr>
            <w:tcW w:w="10460" w:type="dxa"/>
            <w:vAlign w:val="bottom"/>
            <w:gridSpan w:val="2"/>
          </w:tcPr>
          <w:p>
            <w:pPr>
              <w:ind w:left="220"/>
              <w:spacing w:after="0"/>
              <w:rPr>
                <w:sz w:val="20"/>
                <w:szCs w:val="20"/>
                <w:color w:val="auto"/>
              </w:rPr>
            </w:pPr>
            <w:r>
              <w:rPr>
                <w:rFonts w:ascii="Arial" w:cs="Arial" w:eastAsia="Arial" w:hAnsi="Arial"/>
                <w:sz w:val="18"/>
                <w:szCs w:val="18"/>
                <w:color w:val="auto"/>
                <w:w w:val="97"/>
              </w:rPr>
              <w:t>—  Form of 2012 Restricted Stock Unit Award Agreement [incorporated by reference to Exhibit 10.2 to Form 8-K dated July 3, 2012].</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10.32†</w:t>
            </w:r>
          </w:p>
        </w:tc>
        <w:tc>
          <w:tcPr>
            <w:tcW w:w="10460" w:type="dxa"/>
            <w:vAlign w:val="bottom"/>
            <w:gridSpan w:val="2"/>
          </w:tcPr>
          <w:p>
            <w:pPr>
              <w:ind w:left="220"/>
              <w:spacing w:after="0"/>
              <w:rPr>
                <w:sz w:val="20"/>
                <w:szCs w:val="20"/>
                <w:color w:val="auto"/>
              </w:rPr>
            </w:pPr>
            <w:r>
              <w:rPr>
                <w:rFonts w:ascii="Arial" w:cs="Arial" w:eastAsia="Arial" w:hAnsi="Arial"/>
                <w:sz w:val="18"/>
                <w:szCs w:val="18"/>
                <w:color w:val="auto"/>
                <w:w w:val="92"/>
              </w:rPr>
              <w:t>—  Form of 2012 Performance Share Unit Award Agreement with ROIC Performance Measure [incorporated by reference to Exhibit 10.1 to</w:t>
            </w:r>
          </w:p>
        </w:tc>
      </w:tr>
      <w:tr>
        <w:trPr>
          <w:trHeight w:val="216"/>
        </w:trPr>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960" w:type="dxa"/>
            <w:vAlign w:val="bottom"/>
          </w:tcPr>
          <w:p>
            <w:pPr>
              <w:ind w:left="100"/>
              <w:spacing w:after="0"/>
              <w:rPr>
                <w:sz w:val="20"/>
                <w:szCs w:val="20"/>
                <w:color w:val="auto"/>
              </w:rPr>
            </w:pPr>
            <w:r>
              <w:rPr>
                <w:rFonts w:ascii="Arial" w:cs="Arial" w:eastAsia="Arial" w:hAnsi="Arial"/>
                <w:sz w:val="18"/>
                <w:szCs w:val="18"/>
                <w:color w:val="auto"/>
              </w:rPr>
              <w:t>Form 8-K dated March 9, 2012].</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10.33†</w:t>
            </w:r>
          </w:p>
        </w:tc>
        <w:tc>
          <w:tcPr>
            <w:tcW w:w="10460" w:type="dxa"/>
            <w:vAlign w:val="bottom"/>
            <w:gridSpan w:val="2"/>
          </w:tcPr>
          <w:p>
            <w:pPr>
              <w:ind w:left="220"/>
              <w:spacing w:after="0"/>
              <w:rPr>
                <w:sz w:val="20"/>
                <w:szCs w:val="20"/>
                <w:color w:val="auto"/>
              </w:rPr>
            </w:pPr>
            <w:r>
              <w:rPr>
                <w:rFonts w:ascii="Arial" w:cs="Arial" w:eastAsia="Arial" w:hAnsi="Arial"/>
                <w:sz w:val="18"/>
                <w:szCs w:val="18"/>
                <w:color w:val="auto"/>
                <w:w w:val="93"/>
              </w:rPr>
              <w:t>—  Form of 2012 Performance Share Unit Award Agreement with TSR Performance Measure [incorporated by reference to Exhibit 10.2 to</w:t>
            </w:r>
          </w:p>
        </w:tc>
      </w:tr>
      <w:tr>
        <w:trPr>
          <w:trHeight w:val="216"/>
        </w:trPr>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960" w:type="dxa"/>
            <w:vAlign w:val="bottom"/>
          </w:tcPr>
          <w:p>
            <w:pPr>
              <w:ind w:left="100"/>
              <w:spacing w:after="0"/>
              <w:rPr>
                <w:sz w:val="20"/>
                <w:szCs w:val="20"/>
                <w:color w:val="auto"/>
              </w:rPr>
            </w:pPr>
            <w:r>
              <w:rPr>
                <w:rFonts w:ascii="Arial" w:cs="Arial" w:eastAsia="Arial" w:hAnsi="Arial"/>
                <w:sz w:val="18"/>
                <w:szCs w:val="18"/>
                <w:color w:val="auto"/>
              </w:rPr>
              <w:t>Form 8-K dated March 9, 2012].</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10.34†</w:t>
            </w:r>
          </w:p>
        </w:tc>
        <w:tc>
          <w:tcPr>
            <w:tcW w:w="10460" w:type="dxa"/>
            <w:vAlign w:val="bottom"/>
            <w:gridSpan w:val="2"/>
          </w:tcPr>
          <w:p>
            <w:pPr>
              <w:ind w:left="220"/>
              <w:spacing w:after="0"/>
              <w:rPr>
                <w:sz w:val="20"/>
                <w:szCs w:val="20"/>
                <w:color w:val="auto"/>
              </w:rPr>
            </w:pPr>
            <w:r>
              <w:rPr>
                <w:rFonts w:ascii="Arial" w:cs="Arial" w:eastAsia="Arial" w:hAnsi="Arial"/>
                <w:sz w:val="18"/>
                <w:szCs w:val="18"/>
                <w:color w:val="auto"/>
              </w:rPr>
              <w:t>—  Form of 2012 Stock Option Award Agreement [incorporated by reference to Exhibit 10.2 to Form 8-K dated March 9, 2012].</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10.35†</w:t>
            </w:r>
          </w:p>
        </w:tc>
        <w:tc>
          <w:tcPr>
            <w:tcW w:w="10460" w:type="dxa"/>
            <w:vAlign w:val="bottom"/>
            <w:gridSpan w:val="2"/>
          </w:tcPr>
          <w:p>
            <w:pPr>
              <w:ind w:left="220"/>
              <w:spacing w:after="0"/>
              <w:rPr>
                <w:sz w:val="20"/>
                <w:szCs w:val="20"/>
                <w:color w:val="auto"/>
              </w:rPr>
            </w:pPr>
            <w:r>
              <w:rPr>
                <w:rFonts w:ascii="Arial" w:cs="Arial" w:eastAsia="Arial" w:hAnsi="Arial"/>
                <w:sz w:val="18"/>
                <w:szCs w:val="18"/>
                <w:color w:val="auto"/>
                <w:w w:val="93"/>
              </w:rPr>
              <w:t>—  Form of 2011 Performance Share Unit Award Agreement [incorporated by reference to Exhibit 10.1 to Form 8-K dated March 9, 2011].</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10.36†</w:t>
            </w:r>
          </w:p>
        </w:tc>
        <w:tc>
          <w:tcPr>
            <w:tcW w:w="10460" w:type="dxa"/>
            <w:vAlign w:val="bottom"/>
            <w:gridSpan w:val="2"/>
          </w:tcPr>
          <w:p>
            <w:pPr>
              <w:ind w:left="220"/>
              <w:spacing w:after="0"/>
              <w:rPr>
                <w:sz w:val="20"/>
                <w:szCs w:val="20"/>
                <w:color w:val="auto"/>
              </w:rPr>
            </w:pPr>
            <w:r>
              <w:rPr>
                <w:rFonts w:ascii="Arial" w:cs="Arial" w:eastAsia="Arial" w:hAnsi="Arial"/>
                <w:sz w:val="18"/>
                <w:szCs w:val="18"/>
                <w:color w:val="auto"/>
              </w:rPr>
              <w:t>—  Form of 2011 Stock Option Award Agreement [incorporated by reference to Exhibit 10.2 to Form 8-K dated March 9, 2011].</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12.1*</w:t>
            </w:r>
          </w:p>
        </w:tc>
        <w:tc>
          <w:tcPr>
            <w:tcW w:w="10460" w:type="dxa"/>
            <w:vAlign w:val="bottom"/>
            <w:gridSpan w:val="2"/>
          </w:tcPr>
          <w:p>
            <w:pPr>
              <w:ind w:left="220"/>
              <w:spacing w:after="0"/>
              <w:rPr>
                <w:sz w:val="20"/>
                <w:szCs w:val="20"/>
                <w:color w:val="auto"/>
              </w:rPr>
            </w:pPr>
            <w:r>
              <w:rPr>
                <w:rFonts w:ascii="Arial" w:cs="Arial" w:eastAsia="Arial" w:hAnsi="Arial"/>
                <w:sz w:val="18"/>
                <w:szCs w:val="18"/>
                <w:color w:val="auto"/>
              </w:rPr>
              <w:t>—  Computation of Ratio of Earnings to Fixed Charges.</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21.1*</w:t>
            </w:r>
          </w:p>
        </w:tc>
        <w:tc>
          <w:tcPr>
            <w:tcW w:w="10460" w:type="dxa"/>
            <w:vAlign w:val="bottom"/>
            <w:gridSpan w:val="2"/>
          </w:tcPr>
          <w:p>
            <w:pPr>
              <w:ind w:left="220"/>
              <w:spacing w:after="0"/>
              <w:rPr>
                <w:sz w:val="20"/>
                <w:szCs w:val="20"/>
                <w:color w:val="auto"/>
              </w:rPr>
            </w:pPr>
            <w:r>
              <w:rPr>
                <w:rFonts w:ascii="Arial" w:cs="Arial" w:eastAsia="Arial" w:hAnsi="Arial"/>
                <w:sz w:val="18"/>
                <w:szCs w:val="18"/>
                <w:color w:val="auto"/>
              </w:rPr>
              <w:t>—  Subsidiaries of the Registrant.</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23.1*</w:t>
            </w:r>
          </w:p>
        </w:tc>
        <w:tc>
          <w:tcPr>
            <w:tcW w:w="10460" w:type="dxa"/>
            <w:vAlign w:val="bottom"/>
            <w:gridSpan w:val="2"/>
          </w:tcPr>
          <w:p>
            <w:pPr>
              <w:ind w:left="220"/>
              <w:spacing w:after="0"/>
              <w:rPr>
                <w:sz w:val="20"/>
                <w:szCs w:val="20"/>
                <w:color w:val="auto"/>
              </w:rPr>
            </w:pPr>
            <w:r>
              <w:rPr>
                <w:rFonts w:ascii="Arial" w:cs="Arial" w:eastAsia="Arial" w:hAnsi="Arial"/>
                <w:sz w:val="18"/>
                <w:szCs w:val="18"/>
                <w:color w:val="auto"/>
              </w:rPr>
              <w:t>—  Consent of Independent Registered Public Accounting Firm.</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10460" w:type="dxa"/>
            <w:vAlign w:val="bottom"/>
            <w:gridSpan w:val="2"/>
          </w:tcPr>
          <w:p>
            <w:pPr>
              <w:ind w:left="220"/>
              <w:spacing w:after="0"/>
              <w:rPr>
                <w:sz w:val="20"/>
                <w:szCs w:val="20"/>
                <w:color w:val="auto"/>
              </w:rPr>
            </w:pPr>
            <w:r>
              <w:rPr>
                <w:rFonts w:ascii="Arial" w:cs="Arial" w:eastAsia="Arial" w:hAnsi="Arial"/>
                <w:sz w:val="18"/>
                <w:szCs w:val="18"/>
                <w:color w:val="auto"/>
                <w:w w:val="94"/>
              </w:rPr>
              <w:t>—  Certification Pursuant to Rule 13a-14(a) and 15d-14(a) under the Securities Exchange Act of 1934, as amended, of David P. Steiner,</w:t>
            </w:r>
          </w:p>
        </w:tc>
      </w:tr>
      <w:tr>
        <w:trPr>
          <w:trHeight w:val="216"/>
        </w:trPr>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96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10460" w:type="dxa"/>
            <w:vAlign w:val="bottom"/>
            <w:gridSpan w:val="2"/>
          </w:tcPr>
          <w:p>
            <w:pPr>
              <w:ind w:left="220"/>
              <w:spacing w:after="0"/>
              <w:rPr>
                <w:sz w:val="20"/>
                <w:szCs w:val="20"/>
                <w:color w:val="auto"/>
              </w:rPr>
            </w:pPr>
            <w:r>
              <w:rPr>
                <w:rFonts w:ascii="Arial" w:cs="Arial" w:eastAsia="Arial" w:hAnsi="Arial"/>
                <w:sz w:val="18"/>
                <w:szCs w:val="18"/>
                <w:color w:val="auto"/>
                <w:w w:val="93"/>
              </w:rPr>
              <w:t>—  Certification Pursuant to Rule 13a-14(a) and 15d-14(a) under the Securities Exchange Act of 1934, as amended, of James C. Fish, Jr.,</w:t>
            </w:r>
          </w:p>
        </w:tc>
      </w:tr>
      <w:tr>
        <w:trPr>
          <w:trHeight w:val="216"/>
        </w:trPr>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960" w:type="dxa"/>
            <w:vAlign w:val="bottom"/>
          </w:tcPr>
          <w:p>
            <w:pPr>
              <w:ind w:left="1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10460" w:type="dxa"/>
            <w:vAlign w:val="bottom"/>
            <w:gridSpan w:val="2"/>
          </w:tcPr>
          <w:p>
            <w:pPr>
              <w:ind w:left="220"/>
              <w:spacing w:after="0"/>
              <w:rPr>
                <w:sz w:val="20"/>
                <w:szCs w:val="20"/>
                <w:color w:val="auto"/>
              </w:rPr>
            </w:pPr>
            <w:r>
              <w:rPr>
                <w:rFonts w:ascii="Arial" w:cs="Arial" w:eastAsia="Arial" w:hAnsi="Arial"/>
                <w:sz w:val="18"/>
                <w:szCs w:val="18"/>
                <w:color w:val="auto"/>
              </w:rPr>
              <w:t>—  Certification Pursuant to 18 U.S.C. §1350 of David P. Steiner, President and Chief Executive Officer.</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32.2*</w:t>
            </w:r>
          </w:p>
        </w:tc>
        <w:tc>
          <w:tcPr>
            <w:tcW w:w="10460" w:type="dxa"/>
            <w:vAlign w:val="bottom"/>
            <w:gridSpan w:val="2"/>
          </w:tcPr>
          <w:p>
            <w:pPr>
              <w:ind w:left="220"/>
              <w:spacing w:after="0"/>
              <w:rPr>
                <w:sz w:val="20"/>
                <w:szCs w:val="20"/>
                <w:color w:val="auto"/>
              </w:rPr>
            </w:pPr>
            <w:r>
              <w:rPr>
                <w:rFonts w:ascii="Arial" w:cs="Arial" w:eastAsia="Arial" w:hAnsi="Arial"/>
                <w:sz w:val="18"/>
                <w:szCs w:val="18"/>
                <w:color w:val="auto"/>
              </w:rPr>
              <w:t>—  Certification Pursuant to 18 U.S.C. §1350 of James C. Fish, Jr., Executive Vice President and Chief Financial Officer.</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95*</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9960" w:type="dxa"/>
            <w:vAlign w:val="bottom"/>
          </w:tcPr>
          <w:p>
            <w:pPr>
              <w:ind w:left="100"/>
              <w:spacing w:after="0"/>
              <w:rPr>
                <w:sz w:val="20"/>
                <w:szCs w:val="20"/>
                <w:color w:val="auto"/>
              </w:rPr>
            </w:pPr>
            <w:r>
              <w:rPr>
                <w:rFonts w:ascii="Arial" w:cs="Arial" w:eastAsia="Arial" w:hAnsi="Arial"/>
                <w:sz w:val="18"/>
                <w:szCs w:val="18"/>
                <w:color w:val="auto"/>
              </w:rPr>
              <w:t>Mine Safety Disclosures.</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9960" w:type="dxa"/>
            <w:vAlign w:val="bottom"/>
          </w:tcPr>
          <w:p>
            <w:pPr>
              <w:ind w:left="100"/>
              <w:spacing w:after="0"/>
              <w:rPr>
                <w:sz w:val="20"/>
                <w:szCs w:val="20"/>
                <w:color w:val="auto"/>
              </w:rPr>
            </w:pPr>
            <w:r>
              <w:rPr>
                <w:rFonts w:ascii="Arial" w:cs="Arial" w:eastAsia="Arial" w:hAnsi="Arial"/>
                <w:sz w:val="18"/>
                <w:szCs w:val="18"/>
                <w:color w:val="auto"/>
              </w:rPr>
              <w:t>XBRL Instance Document.</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460" w:type="dxa"/>
            <w:vAlign w:val="bottom"/>
            <w:gridSpan w:val="2"/>
          </w:tcPr>
          <w:p>
            <w:pPr>
              <w:ind w:left="220"/>
              <w:spacing w:after="0"/>
              <w:rPr>
                <w:sz w:val="20"/>
                <w:szCs w:val="20"/>
                <w:color w:val="auto"/>
              </w:rPr>
            </w:pPr>
            <w:r>
              <w:rPr>
                <w:rFonts w:ascii="Arial" w:cs="Arial" w:eastAsia="Arial" w:hAnsi="Arial"/>
                <w:sz w:val="18"/>
                <w:szCs w:val="18"/>
                <w:color w:val="auto"/>
              </w:rPr>
              <w:t>—  XBRL Taxonomy Extension Schema Document.</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460" w:type="dxa"/>
            <w:vAlign w:val="bottom"/>
            <w:gridSpan w:val="2"/>
          </w:tcPr>
          <w:p>
            <w:pPr>
              <w:ind w:left="22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0460" w:type="dxa"/>
            <w:vAlign w:val="bottom"/>
            <w:gridSpan w:val="2"/>
          </w:tcPr>
          <w:p>
            <w:pPr>
              <w:ind w:left="220"/>
              <w:spacing w:after="0"/>
              <w:rPr>
                <w:sz w:val="20"/>
                <w:szCs w:val="20"/>
                <w:color w:val="auto"/>
              </w:rPr>
            </w:pPr>
            <w:r>
              <w:rPr>
                <w:rFonts w:ascii="Arial" w:cs="Arial" w:eastAsia="Arial" w:hAnsi="Arial"/>
                <w:sz w:val="18"/>
                <w:szCs w:val="18"/>
                <w:color w:val="auto"/>
              </w:rPr>
              <w:t>—  XBRL Taxonomy Extension Definition Linkbase Document.</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460" w:type="dxa"/>
            <w:vAlign w:val="bottom"/>
            <w:gridSpan w:val="2"/>
          </w:tcPr>
          <w:p>
            <w:pPr>
              <w:ind w:left="220"/>
              <w:spacing w:after="0"/>
              <w:rPr>
                <w:sz w:val="20"/>
                <w:szCs w:val="20"/>
                <w:color w:val="auto"/>
              </w:rPr>
            </w:pPr>
            <w:r>
              <w:rPr>
                <w:rFonts w:ascii="Arial" w:cs="Arial" w:eastAsia="Arial" w:hAnsi="Arial"/>
                <w:sz w:val="18"/>
                <w:szCs w:val="18"/>
                <w:color w:val="auto"/>
              </w:rPr>
              <w:t>—  XBRL Taxonomy Extension Labels Linkbase Document.</w:t>
            </w:r>
          </w:p>
        </w:tc>
      </w:t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9960" w:type="dxa"/>
            <w:vAlign w:val="bottom"/>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94361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09"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59" w:right="239" w:bottom="1440" w:gutter="0" w:footer="0" w:header="0"/>
        </w:sectPr>
      </w:pPr>
    </w:p>
    <w:bookmarkStart w:id="162" w:name="page163"/>
    <w:bookmarkEnd w:id="162"/>
    <w:p>
      <w:pPr>
        <w:ind w:left="10600"/>
        <w:spacing w:after="0"/>
        <w:rPr>
          <w:sz w:val="20"/>
          <w:szCs w:val="20"/>
          <w:color w:val="auto"/>
        </w:rPr>
      </w:pPr>
      <w:r>
        <w:rPr>
          <w:rFonts w:ascii="Arial" w:cs="Arial" w:eastAsia="Arial" w:hAnsi="Arial"/>
          <w:sz w:val="16"/>
          <w:szCs w:val="16"/>
          <w:b w:val="1"/>
          <w:bCs w:val="1"/>
          <w:color w:val="auto"/>
        </w:rPr>
        <w:t>Exhibit 4.6</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Officers’ Certificates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delivered pursuant to Section 301 of the Indenture dated September 10, 1997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 Waste Management, Inc. and The Bank of New York Mellon Trust Company, N.A., 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Trustee, establishing the terms and form of Waste Management, Inc.’s Outstanding Senior Notes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gridSpan w:val="2"/>
          </w:tcPr>
          <w:p>
            <w:pPr>
              <w:jc w:val="center"/>
              <w:ind w:right="952"/>
              <w:spacing w:after="0"/>
              <w:rPr>
                <w:sz w:val="20"/>
                <w:szCs w:val="20"/>
                <w:color w:val="auto"/>
              </w:rPr>
            </w:pPr>
            <w:r>
              <w:rPr>
                <w:rFonts w:ascii="Arial" w:cs="Arial" w:eastAsia="Arial" w:hAnsi="Arial"/>
                <w:sz w:val="14"/>
                <w:szCs w:val="14"/>
                <w:b w:val="1"/>
                <w:bCs w:val="1"/>
                <w:color w:val="auto"/>
                <w:w w:val="91"/>
              </w:rPr>
              <w:t>Principal</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49"/>
        </w:trPr>
        <w:tc>
          <w:tcPr>
            <w:tcW w:w="2020" w:type="dxa"/>
            <w:vAlign w:val="bottom"/>
            <w:gridSpan w:val="2"/>
          </w:tcPr>
          <w:p>
            <w:pPr>
              <w:jc w:val="center"/>
              <w:ind w:right="932"/>
              <w:spacing w:after="0" w:line="149" w:lineRule="exact"/>
              <w:rPr>
                <w:sz w:val="20"/>
                <w:szCs w:val="20"/>
                <w:color w:val="auto"/>
              </w:rPr>
            </w:pPr>
            <w:r>
              <w:rPr>
                <w:rFonts w:ascii="Arial" w:cs="Arial" w:eastAsia="Arial" w:hAnsi="Arial"/>
                <w:sz w:val="14"/>
                <w:szCs w:val="14"/>
                <w:b w:val="1"/>
                <w:bCs w:val="1"/>
                <w:color w:val="auto"/>
                <w:w w:val="90"/>
              </w:rPr>
              <w:t>Amount</w:t>
            </w:r>
          </w:p>
        </w:tc>
        <w:tc>
          <w:tcPr>
            <w:tcW w:w="1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Interest Rate</w:t>
            </w: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61"/>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Issued</w:t>
            </w:r>
          </w:p>
        </w:tc>
        <w:tc>
          <w:tcPr>
            <w:tcW w:w="10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1"/>
              </w:rPr>
              <w:t>(per annum)</w:t>
            </w:r>
          </w:p>
        </w:tc>
        <w:tc>
          <w:tcPr>
            <w:tcW w:w="1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w w:val="99"/>
              </w:rPr>
              <w:t>Issue Date</w:t>
            </w:r>
          </w:p>
        </w:tc>
        <w:tc>
          <w:tcPr>
            <w:tcW w:w="9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Maturity Date</w:t>
            </w:r>
          </w:p>
        </w:tc>
        <w:tc>
          <w:tcPr>
            <w:tcW w:w="9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CUSIP</w:t>
            </w:r>
          </w:p>
        </w:tc>
        <w:tc>
          <w:tcPr>
            <w:tcW w:w="9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center"/>
              <w:ind w:left="154"/>
              <w:spacing w:after="0"/>
              <w:rPr>
                <w:sz w:val="20"/>
                <w:szCs w:val="20"/>
                <w:color w:val="auto"/>
              </w:rPr>
            </w:pPr>
            <w:r>
              <w:rPr>
                <w:rFonts w:ascii="Arial" w:cs="Arial" w:eastAsia="Arial" w:hAnsi="Arial"/>
                <w:sz w:val="14"/>
                <w:szCs w:val="14"/>
                <w:b w:val="1"/>
                <w:bCs w:val="1"/>
                <w:color w:val="auto"/>
                <w:w w:val="87"/>
              </w:rPr>
              <w:t>Interest Payment Dates</w:t>
            </w:r>
          </w:p>
        </w:tc>
        <w:tc>
          <w:tcPr>
            <w:tcW w:w="240" w:type="dxa"/>
            <w:vAlign w:val="bottom"/>
            <w:tcBorders>
              <w:bottom w:val="single" w:sz="8" w:color="auto"/>
            </w:tcBorders>
          </w:tcPr>
          <w:p>
            <w:pPr>
              <w:spacing w:after="0"/>
              <w:rPr>
                <w:sz w:val="14"/>
                <w:szCs w:val="14"/>
                <w:color w:val="auto"/>
              </w:rPr>
            </w:pPr>
          </w:p>
        </w:tc>
      </w:tr>
      <w:tr>
        <w:trPr>
          <w:trHeight w:val="210"/>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w w:val="94"/>
              </w:rPr>
              <w:t>$ 150 million</w:t>
            </w:r>
          </w:p>
        </w:tc>
        <w:tc>
          <w:tcPr>
            <w:tcW w:w="1040" w:type="dxa"/>
            <w:vAlign w:val="bottom"/>
            <w:shd w:val="clear" w:color="auto" w:fill="CCEEFF"/>
          </w:tcPr>
          <w:p>
            <w:pPr>
              <w:jc w:val="right"/>
              <w:ind w:right="872"/>
              <w:spacing w:after="0" w:line="202" w:lineRule="exact"/>
              <w:rPr>
                <w:sz w:val="20"/>
                <w:szCs w:val="20"/>
                <w:color w:val="auto"/>
              </w:rPr>
            </w:pPr>
            <w:r>
              <w:rPr>
                <w:rFonts w:ascii="Arial" w:cs="Arial" w:eastAsia="Arial" w:hAnsi="Arial"/>
                <w:sz w:val="18"/>
                <w:szCs w:val="18"/>
                <w:color w:val="auto"/>
                <w:w w:val="84"/>
              </w:rPr>
              <w:t>*</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7.125%</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12/17/1997</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12/15/2017</w:t>
            </w: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902917AF0</w:t>
            </w:r>
          </w:p>
        </w:tc>
        <w:tc>
          <w:tcPr>
            <w:tcW w:w="9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December 15; June 15</w:t>
            </w: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$ 600 million*</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7.00%</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7/17/1998</w:t>
            </w:r>
          </w:p>
        </w:tc>
        <w:tc>
          <w:tcPr>
            <w:tcW w:w="9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7/15/2028</w:t>
            </w:r>
          </w:p>
        </w:tc>
        <w:tc>
          <w:tcPr>
            <w:tcW w:w="920" w:type="dxa"/>
            <w:vAlign w:val="bottom"/>
          </w:tcPr>
          <w:p>
            <w:pPr>
              <w:spacing w:after="0"/>
              <w:rPr>
                <w:sz w:val="18"/>
                <w:szCs w:val="18"/>
                <w:color w:val="auto"/>
              </w:rPr>
            </w:pPr>
          </w:p>
        </w:tc>
        <w:tc>
          <w:tcPr>
            <w:tcW w:w="1880" w:type="dxa"/>
            <w:vAlign w:val="bottom"/>
            <w:gridSpan w:val="2"/>
          </w:tcPr>
          <w:p>
            <w:pPr>
              <w:jc w:val="center"/>
              <w:ind w:right="900"/>
              <w:spacing w:after="0"/>
              <w:rPr>
                <w:sz w:val="20"/>
                <w:szCs w:val="20"/>
                <w:color w:val="auto"/>
              </w:rPr>
            </w:pPr>
            <w:r>
              <w:rPr>
                <w:rFonts w:ascii="Arial" w:cs="Arial" w:eastAsia="Arial" w:hAnsi="Arial"/>
                <w:sz w:val="18"/>
                <w:szCs w:val="18"/>
                <w:color w:val="auto"/>
                <w:w w:val="90"/>
              </w:rPr>
              <w:t>902917AH6</w:t>
            </w:r>
          </w:p>
        </w:tc>
        <w:tc>
          <w:tcPr>
            <w:tcW w:w="1640" w:type="dxa"/>
            <w:vAlign w:val="bottom"/>
          </w:tcPr>
          <w:p>
            <w:pPr>
              <w:jc w:val="center"/>
              <w:ind w:left="154"/>
              <w:spacing w:after="0"/>
              <w:rPr>
                <w:sz w:val="20"/>
                <w:szCs w:val="20"/>
                <w:color w:val="auto"/>
              </w:rPr>
            </w:pPr>
            <w:r>
              <w:rPr>
                <w:rFonts w:ascii="Arial" w:cs="Arial" w:eastAsia="Arial" w:hAnsi="Arial"/>
                <w:sz w:val="18"/>
                <w:szCs w:val="18"/>
                <w:color w:val="auto"/>
                <w:w w:val="87"/>
              </w:rPr>
              <w:t>January 15; July 15</w:t>
            </w:r>
          </w:p>
        </w:tc>
        <w:tc>
          <w:tcPr>
            <w:tcW w:w="240" w:type="dxa"/>
            <w:vAlign w:val="bottom"/>
          </w:tcPr>
          <w:p>
            <w:pPr>
              <w:spacing w:after="0"/>
              <w:rPr>
                <w:sz w:val="18"/>
                <w:szCs w:val="18"/>
                <w:color w:val="auto"/>
              </w:rPr>
            </w:pP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$ 250 million*</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7.375%</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12/21/1999</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5/15/2029</w:t>
            </w:r>
          </w:p>
        </w:tc>
        <w:tc>
          <w:tcPr>
            <w:tcW w:w="9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920"/>
              <w:spacing w:after="0"/>
              <w:rPr>
                <w:sz w:val="20"/>
                <w:szCs w:val="20"/>
                <w:color w:val="auto"/>
              </w:rPr>
            </w:pPr>
            <w:r>
              <w:rPr>
                <w:rFonts w:ascii="Arial" w:cs="Arial" w:eastAsia="Arial" w:hAnsi="Arial"/>
                <w:sz w:val="18"/>
                <w:szCs w:val="18"/>
                <w:color w:val="auto"/>
                <w:w w:val="91"/>
              </w:rPr>
              <w:t>94106LAG4</w:t>
            </w:r>
          </w:p>
        </w:tc>
        <w:tc>
          <w:tcPr>
            <w:tcW w:w="1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May 15; November 15</w:t>
            </w: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$ 500 million*</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7.75%</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5/21/2002</w:t>
            </w:r>
          </w:p>
        </w:tc>
        <w:tc>
          <w:tcPr>
            <w:tcW w:w="9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5/15/2032</w:t>
            </w:r>
          </w:p>
        </w:tc>
        <w:tc>
          <w:tcPr>
            <w:tcW w:w="920" w:type="dxa"/>
            <w:vAlign w:val="bottom"/>
          </w:tcPr>
          <w:p>
            <w:pPr>
              <w:spacing w:after="0"/>
              <w:rPr>
                <w:sz w:val="18"/>
                <w:szCs w:val="18"/>
                <w:color w:val="auto"/>
              </w:rPr>
            </w:pPr>
          </w:p>
        </w:tc>
        <w:tc>
          <w:tcPr>
            <w:tcW w:w="1880" w:type="dxa"/>
            <w:vAlign w:val="bottom"/>
            <w:gridSpan w:val="2"/>
          </w:tcPr>
          <w:p>
            <w:pPr>
              <w:jc w:val="center"/>
              <w:ind w:right="920"/>
              <w:spacing w:after="0"/>
              <w:rPr>
                <w:sz w:val="20"/>
                <w:szCs w:val="20"/>
                <w:color w:val="auto"/>
              </w:rPr>
            </w:pPr>
            <w:r>
              <w:rPr>
                <w:rFonts w:ascii="Arial" w:cs="Arial" w:eastAsia="Arial" w:hAnsi="Arial"/>
                <w:sz w:val="18"/>
                <w:szCs w:val="18"/>
                <w:color w:val="auto"/>
                <w:w w:val="92"/>
              </w:rPr>
              <w:t>94106LAN9</w:t>
            </w:r>
          </w:p>
        </w:tc>
        <w:tc>
          <w:tcPr>
            <w:tcW w:w="1880" w:type="dxa"/>
            <w:vAlign w:val="bottom"/>
            <w:gridSpan w:val="2"/>
          </w:tcPr>
          <w:p>
            <w:pPr>
              <w:jc w:val="center"/>
              <w:spacing w:after="0"/>
              <w:rPr>
                <w:sz w:val="20"/>
                <w:szCs w:val="20"/>
                <w:color w:val="auto"/>
              </w:rPr>
            </w:pPr>
            <w:r>
              <w:rPr>
                <w:rFonts w:ascii="Arial" w:cs="Arial" w:eastAsia="Arial" w:hAnsi="Arial"/>
                <w:sz w:val="18"/>
                <w:szCs w:val="18"/>
                <w:color w:val="auto"/>
                <w:w w:val="90"/>
              </w:rPr>
              <w:t>May 15; November 15</w:t>
            </w: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$ 350 million</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5.00%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3/5/2004</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3/15/2014</w:t>
            </w:r>
          </w:p>
        </w:tc>
        <w:tc>
          <w:tcPr>
            <w:tcW w:w="9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920"/>
              <w:spacing w:after="0"/>
              <w:rPr>
                <w:sz w:val="20"/>
                <w:szCs w:val="20"/>
                <w:color w:val="auto"/>
              </w:rPr>
            </w:pPr>
            <w:r>
              <w:rPr>
                <w:rFonts w:ascii="Arial" w:cs="Arial" w:eastAsia="Arial" w:hAnsi="Arial"/>
                <w:sz w:val="18"/>
                <w:szCs w:val="18"/>
                <w:color w:val="auto"/>
                <w:w w:val="92"/>
              </w:rPr>
              <w:t>94106LAR0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March 15; September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$ 600 million</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6.10%</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3/6/2008</w:t>
            </w:r>
          </w:p>
        </w:tc>
        <w:tc>
          <w:tcPr>
            <w:tcW w:w="9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3/15/2018**</w:t>
            </w:r>
          </w:p>
        </w:tc>
        <w:tc>
          <w:tcPr>
            <w:tcW w:w="920" w:type="dxa"/>
            <w:vAlign w:val="bottom"/>
          </w:tcPr>
          <w:p>
            <w:pPr>
              <w:spacing w:after="0"/>
              <w:rPr>
                <w:sz w:val="18"/>
                <w:szCs w:val="18"/>
                <w:color w:val="auto"/>
              </w:rPr>
            </w:pPr>
          </w:p>
        </w:tc>
        <w:tc>
          <w:tcPr>
            <w:tcW w:w="1880" w:type="dxa"/>
            <w:vAlign w:val="bottom"/>
            <w:gridSpan w:val="2"/>
          </w:tcPr>
          <w:p>
            <w:pPr>
              <w:jc w:val="center"/>
              <w:ind w:right="900"/>
              <w:spacing w:after="0"/>
              <w:rPr>
                <w:sz w:val="20"/>
                <w:szCs w:val="20"/>
                <w:color w:val="auto"/>
              </w:rPr>
            </w:pPr>
            <w:r>
              <w:rPr>
                <w:rFonts w:ascii="Arial" w:cs="Arial" w:eastAsia="Arial" w:hAnsi="Arial"/>
                <w:sz w:val="18"/>
                <w:szCs w:val="18"/>
                <w:color w:val="auto"/>
                <w:w w:val="91"/>
              </w:rPr>
              <w:t>94106LAS8</w:t>
            </w:r>
          </w:p>
        </w:tc>
        <w:tc>
          <w:tcPr>
            <w:tcW w:w="1640" w:type="dxa"/>
            <w:vAlign w:val="bottom"/>
          </w:tcPr>
          <w:p>
            <w:pPr>
              <w:jc w:val="right"/>
              <w:spacing w:after="0"/>
              <w:rPr>
                <w:sz w:val="20"/>
                <w:szCs w:val="20"/>
                <w:color w:val="auto"/>
              </w:rPr>
            </w:pPr>
            <w:r>
              <w:rPr>
                <w:rFonts w:ascii="Arial" w:cs="Arial" w:eastAsia="Arial" w:hAnsi="Arial"/>
                <w:sz w:val="18"/>
                <w:szCs w:val="18"/>
                <w:color w:val="auto"/>
                <w:w w:val="91"/>
              </w:rPr>
              <w:t>March 15; September</w:t>
            </w:r>
          </w:p>
        </w:tc>
        <w:tc>
          <w:tcPr>
            <w:tcW w:w="240" w:type="dxa"/>
            <w:vAlign w:val="bottom"/>
          </w:tcPr>
          <w:p>
            <w:pPr>
              <w:spacing w:after="0"/>
              <w:rPr>
                <w:sz w:val="20"/>
                <w:szCs w:val="20"/>
                <w:color w:val="auto"/>
              </w:rPr>
            </w:pPr>
            <w:r>
              <w:rPr>
                <w:rFonts w:ascii="Arial" w:cs="Arial" w:eastAsia="Arial" w:hAnsi="Arial"/>
                <w:sz w:val="18"/>
                <w:szCs w:val="18"/>
                <w:color w:val="auto"/>
              </w:rPr>
              <w:t>15</w:t>
            </w: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$ 350 million</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6.375%</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2/26/2009</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3/11/2015**</w:t>
            </w:r>
          </w:p>
        </w:tc>
        <w:tc>
          <w:tcPr>
            <w:tcW w:w="9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920"/>
              <w:spacing w:after="0"/>
              <w:rPr>
                <w:sz w:val="20"/>
                <w:szCs w:val="20"/>
                <w:color w:val="auto"/>
              </w:rPr>
            </w:pPr>
            <w:r>
              <w:rPr>
                <w:rFonts w:ascii="Arial" w:cs="Arial" w:eastAsia="Arial" w:hAnsi="Arial"/>
                <w:sz w:val="18"/>
                <w:szCs w:val="18"/>
                <w:color w:val="auto"/>
                <w:w w:val="90"/>
              </w:rPr>
              <w:t>94106LAT6</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March 11; September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$ 450 million</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7.375%</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2/26/2009</w:t>
            </w:r>
          </w:p>
        </w:tc>
        <w:tc>
          <w:tcPr>
            <w:tcW w:w="9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3/11/2019**</w:t>
            </w:r>
          </w:p>
        </w:tc>
        <w:tc>
          <w:tcPr>
            <w:tcW w:w="920" w:type="dxa"/>
            <w:vAlign w:val="bottom"/>
          </w:tcPr>
          <w:p>
            <w:pPr>
              <w:spacing w:after="0"/>
              <w:rPr>
                <w:sz w:val="18"/>
                <w:szCs w:val="18"/>
                <w:color w:val="auto"/>
              </w:rPr>
            </w:pPr>
          </w:p>
        </w:tc>
        <w:tc>
          <w:tcPr>
            <w:tcW w:w="1880" w:type="dxa"/>
            <w:vAlign w:val="bottom"/>
            <w:gridSpan w:val="2"/>
          </w:tcPr>
          <w:p>
            <w:pPr>
              <w:jc w:val="center"/>
              <w:ind w:right="920"/>
              <w:spacing w:after="0"/>
              <w:rPr>
                <w:sz w:val="20"/>
                <w:szCs w:val="20"/>
                <w:color w:val="auto"/>
              </w:rPr>
            </w:pPr>
            <w:r>
              <w:rPr>
                <w:rFonts w:ascii="Arial" w:cs="Arial" w:eastAsia="Arial" w:hAnsi="Arial"/>
                <w:sz w:val="18"/>
                <w:szCs w:val="18"/>
                <w:color w:val="auto"/>
                <w:w w:val="92"/>
              </w:rPr>
              <w:t>94106LAU3</w:t>
            </w:r>
          </w:p>
        </w:tc>
        <w:tc>
          <w:tcPr>
            <w:tcW w:w="1640" w:type="dxa"/>
            <w:vAlign w:val="bottom"/>
          </w:tcPr>
          <w:p>
            <w:pPr>
              <w:jc w:val="right"/>
              <w:spacing w:after="0"/>
              <w:rPr>
                <w:sz w:val="20"/>
                <w:szCs w:val="20"/>
                <w:color w:val="auto"/>
              </w:rPr>
            </w:pPr>
            <w:r>
              <w:rPr>
                <w:rFonts w:ascii="Arial" w:cs="Arial" w:eastAsia="Arial" w:hAnsi="Arial"/>
                <w:sz w:val="18"/>
                <w:szCs w:val="18"/>
                <w:color w:val="auto"/>
                <w:w w:val="91"/>
              </w:rPr>
              <w:t>March 11; September</w:t>
            </w:r>
          </w:p>
        </w:tc>
        <w:tc>
          <w:tcPr>
            <w:tcW w:w="240" w:type="dxa"/>
            <w:vAlign w:val="bottom"/>
          </w:tcPr>
          <w:p>
            <w:pPr>
              <w:spacing w:after="0"/>
              <w:rPr>
                <w:sz w:val="20"/>
                <w:szCs w:val="20"/>
                <w:color w:val="auto"/>
              </w:rPr>
            </w:pPr>
            <w:r>
              <w:rPr>
                <w:rFonts w:ascii="Arial" w:cs="Arial" w:eastAsia="Arial" w:hAnsi="Arial"/>
                <w:sz w:val="18"/>
                <w:szCs w:val="18"/>
                <w:color w:val="auto"/>
              </w:rPr>
              <w:t>11</w:t>
            </w: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$ 600 million</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6.125%</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11/12/2009</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11/30/2039**</w:t>
            </w:r>
          </w:p>
        </w:tc>
        <w:tc>
          <w:tcPr>
            <w:tcW w:w="9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900"/>
              <w:spacing w:after="0"/>
              <w:rPr>
                <w:sz w:val="20"/>
                <w:szCs w:val="20"/>
                <w:color w:val="auto"/>
              </w:rPr>
            </w:pPr>
            <w:r>
              <w:rPr>
                <w:rFonts w:ascii="Arial" w:cs="Arial" w:eastAsia="Arial" w:hAnsi="Arial"/>
                <w:sz w:val="18"/>
                <w:szCs w:val="18"/>
                <w:color w:val="auto"/>
                <w:w w:val="91"/>
              </w:rPr>
              <w:t>94106LAV1</w:t>
            </w:r>
          </w:p>
        </w:tc>
        <w:tc>
          <w:tcPr>
            <w:tcW w:w="1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May 30; November 30</w:t>
            </w: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$ 600 million</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4.75%</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6/8/2010</w:t>
            </w:r>
          </w:p>
        </w:tc>
        <w:tc>
          <w:tcPr>
            <w:tcW w:w="9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6/30/2020**</w:t>
            </w:r>
          </w:p>
        </w:tc>
        <w:tc>
          <w:tcPr>
            <w:tcW w:w="920" w:type="dxa"/>
            <w:vAlign w:val="bottom"/>
          </w:tcPr>
          <w:p>
            <w:pPr>
              <w:spacing w:after="0"/>
              <w:rPr>
                <w:sz w:val="18"/>
                <w:szCs w:val="18"/>
                <w:color w:val="auto"/>
              </w:rPr>
            </w:pPr>
          </w:p>
        </w:tc>
        <w:tc>
          <w:tcPr>
            <w:tcW w:w="1880" w:type="dxa"/>
            <w:vAlign w:val="bottom"/>
            <w:gridSpan w:val="2"/>
          </w:tcPr>
          <w:p>
            <w:pPr>
              <w:jc w:val="center"/>
              <w:ind w:right="920"/>
              <w:spacing w:after="0"/>
              <w:rPr>
                <w:sz w:val="20"/>
                <w:szCs w:val="20"/>
                <w:color w:val="auto"/>
              </w:rPr>
            </w:pPr>
            <w:r>
              <w:rPr>
                <w:rFonts w:ascii="Arial" w:cs="Arial" w:eastAsia="Arial" w:hAnsi="Arial"/>
                <w:sz w:val="18"/>
                <w:szCs w:val="18"/>
                <w:color w:val="auto"/>
                <w:w w:val="92"/>
              </w:rPr>
              <w:t>94106LAW9</w:t>
            </w:r>
          </w:p>
        </w:tc>
        <w:tc>
          <w:tcPr>
            <w:tcW w:w="1880" w:type="dxa"/>
            <w:vAlign w:val="bottom"/>
            <w:gridSpan w:val="2"/>
          </w:tcPr>
          <w:p>
            <w:pPr>
              <w:jc w:val="center"/>
              <w:spacing w:after="0"/>
              <w:rPr>
                <w:sz w:val="20"/>
                <w:szCs w:val="20"/>
                <w:color w:val="auto"/>
              </w:rPr>
            </w:pPr>
            <w:r>
              <w:rPr>
                <w:rFonts w:ascii="Arial" w:cs="Arial" w:eastAsia="Arial" w:hAnsi="Arial"/>
                <w:sz w:val="18"/>
                <w:szCs w:val="18"/>
                <w:color w:val="auto"/>
                <w:w w:val="85"/>
              </w:rPr>
              <w:t>June 30; December 30</w:t>
            </w: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$ 400 million</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4.60%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2/28/2011</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3/1/2021**</w:t>
            </w:r>
          </w:p>
        </w:tc>
        <w:tc>
          <w:tcPr>
            <w:tcW w:w="9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900"/>
              <w:spacing w:after="0"/>
              <w:rPr>
                <w:sz w:val="20"/>
                <w:szCs w:val="20"/>
                <w:color w:val="auto"/>
              </w:rPr>
            </w:pPr>
            <w:r>
              <w:rPr>
                <w:rFonts w:ascii="Arial" w:cs="Arial" w:eastAsia="Arial" w:hAnsi="Arial"/>
                <w:sz w:val="18"/>
                <w:szCs w:val="18"/>
                <w:color w:val="auto"/>
                <w:w w:val="89"/>
              </w:rPr>
              <w:t>941063AQ2</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March 1; September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$ 500 million</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2.60%</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8/29/2011</w:t>
            </w:r>
          </w:p>
        </w:tc>
        <w:tc>
          <w:tcPr>
            <w:tcW w:w="9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9/1/2016**</w:t>
            </w:r>
          </w:p>
        </w:tc>
        <w:tc>
          <w:tcPr>
            <w:tcW w:w="920" w:type="dxa"/>
            <w:vAlign w:val="bottom"/>
          </w:tcPr>
          <w:p>
            <w:pPr>
              <w:spacing w:after="0"/>
              <w:rPr>
                <w:sz w:val="18"/>
                <w:szCs w:val="18"/>
                <w:color w:val="auto"/>
              </w:rPr>
            </w:pPr>
          </w:p>
        </w:tc>
        <w:tc>
          <w:tcPr>
            <w:tcW w:w="1880" w:type="dxa"/>
            <w:vAlign w:val="bottom"/>
            <w:gridSpan w:val="2"/>
          </w:tcPr>
          <w:p>
            <w:pPr>
              <w:jc w:val="center"/>
              <w:ind w:right="920"/>
              <w:spacing w:after="0"/>
              <w:rPr>
                <w:sz w:val="20"/>
                <w:szCs w:val="20"/>
                <w:color w:val="auto"/>
              </w:rPr>
            </w:pPr>
            <w:r>
              <w:rPr>
                <w:rFonts w:ascii="Arial" w:cs="Arial" w:eastAsia="Arial" w:hAnsi="Arial"/>
                <w:sz w:val="18"/>
                <w:szCs w:val="18"/>
                <w:color w:val="auto"/>
                <w:w w:val="93"/>
              </w:rPr>
              <w:t>94106LAX7</w:t>
            </w:r>
          </w:p>
        </w:tc>
        <w:tc>
          <w:tcPr>
            <w:tcW w:w="1640" w:type="dxa"/>
            <w:vAlign w:val="bottom"/>
          </w:tcPr>
          <w:p>
            <w:pPr>
              <w:jc w:val="right"/>
              <w:spacing w:after="0"/>
              <w:rPr>
                <w:sz w:val="20"/>
                <w:szCs w:val="20"/>
                <w:color w:val="auto"/>
              </w:rPr>
            </w:pPr>
            <w:r>
              <w:rPr>
                <w:rFonts w:ascii="Arial" w:cs="Arial" w:eastAsia="Arial" w:hAnsi="Arial"/>
                <w:sz w:val="18"/>
                <w:szCs w:val="18"/>
                <w:color w:val="auto"/>
                <w:w w:val="96"/>
              </w:rPr>
              <w:t>March 1; September</w:t>
            </w:r>
          </w:p>
        </w:tc>
        <w:tc>
          <w:tcPr>
            <w:tcW w:w="240" w:type="dxa"/>
            <w:vAlign w:val="bottom"/>
          </w:tcPr>
          <w:p>
            <w:pPr>
              <w:spacing w:after="0"/>
              <w:rPr>
                <w:sz w:val="20"/>
                <w:szCs w:val="20"/>
                <w:color w:val="auto"/>
              </w:rPr>
            </w:pPr>
            <w:r>
              <w:rPr>
                <w:rFonts w:ascii="Arial" w:cs="Arial" w:eastAsia="Arial" w:hAnsi="Arial"/>
                <w:sz w:val="18"/>
                <w:szCs w:val="18"/>
                <w:color w:val="auto"/>
              </w:rPr>
              <w:t>1</w:t>
            </w: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$ 500 million</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2.90%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9/12/2012</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9/15/2022**</w:t>
            </w:r>
          </w:p>
        </w:tc>
        <w:tc>
          <w:tcPr>
            <w:tcW w:w="9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920"/>
              <w:spacing w:after="0"/>
              <w:rPr>
                <w:sz w:val="20"/>
                <w:szCs w:val="20"/>
                <w:color w:val="auto"/>
              </w:rPr>
            </w:pPr>
            <w:r>
              <w:rPr>
                <w:rFonts w:ascii="Arial" w:cs="Arial" w:eastAsia="Arial" w:hAnsi="Arial"/>
                <w:sz w:val="18"/>
                <w:szCs w:val="18"/>
                <w:color w:val="auto"/>
                <w:w w:val="93"/>
              </w:rPr>
              <w:t>94106LAY5</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March 15; September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700" w:hanging="452"/>
        <w:spacing w:after="0" w:line="254"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Each of these series of Senior Notes has been partially redeemed, such that the remaining outstanding principal amount of such Senior Notes as of December 31, 2013 was $146.8 million, $577.2 million, $222.9 million and $496.0 million, respectively.</w:t>
      </w:r>
    </w:p>
    <w:p>
      <w:pPr>
        <w:ind w:left="460" w:hanging="452"/>
        <w:spacing w:after="0" w:line="255" w:lineRule="auto"/>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Each of these series of Senior Notes contain a Change of Control Offer covenant that provides, if a change of control triggering event occurs, each holder of the notes may require us to purchase all or a portion of such holder’s notes at a price equal to 101% of the principal amount, plus accrued interest, if any, to the date of purchase.</w:t>
      </w:r>
    </w:p>
    <w:p>
      <w:pPr>
        <w:spacing w:after="0" w:line="144"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This schedule is provided in accordance with Instruction 2 to Regulation S-K Item 601, as each of the series of Series Notes is governed by an instrument that differs only in the material respects set forth in the schedule above from the Officers’ Certificate identified as Exhibit 4.4. Each of the series of Senior Notes identified above is also guaranteed by Waste Management Holdings, Inc. in favor of The Bank of New York Mellon Trust Company, N.A., as Trustee for the holders of Waste Management, Inc.’s Senior Notes.</w:t>
      </w:r>
    </w:p>
    <w:p>
      <w:pPr>
        <w:sectPr>
          <w:pgSz w:w="11900" w:h="16838" w:orient="portrait"/>
          <w:cols w:equalWidth="0" w:num="1">
            <w:col w:w="11420"/>
          </w:cols>
          <w:pgMar w:left="240" w:top="125" w:right="239" w:bottom="1440" w:gutter="0" w:footer="0" w:header="0"/>
        </w:sectPr>
      </w:pPr>
    </w:p>
    <w:bookmarkStart w:id="163" w:name="page164"/>
    <w:bookmarkEnd w:id="163"/>
    <w:p>
      <w:pPr>
        <w:ind w:left="10480"/>
        <w:spacing w:after="0"/>
        <w:rPr>
          <w:sz w:val="20"/>
          <w:szCs w:val="20"/>
          <w:color w:val="auto"/>
        </w:rPr>
      </w:pPr>
      <w:r>
        <w:rPr>
          <w:rFonts w:ascii="Arial" w:cs="Arial" w:eastAsia="Arial" w:hAnsi="Arial"/>
          <w:sz w:val="16"/>
          <w:szCs w:val="16"/>
          <w:b w:val="1"/>
          <w:bCs w:val="1"/>
          <w:color w:val="auto"/>
        </w:rPr>
        <w:t>Exhibit 12.1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Ratios)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9"/>
          </w:tcPr>
          <w:p>
            <w:pPr>
              <w:ind w:left="14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494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2013</w:t>
            </w: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2012</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2010</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 and losses in equity investments(a)</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1,350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1,656</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gridSpan w:val="3"/>
          </w:tcPr>
          <w:p>
            <w:pPr>
              <w:spacing w:after="0"/>
              <w:rPr>
                <w:sz w:val="20"/>
                <w:szCs w:val="20"/>
                <w:color w:val="auto"/>
              </w:rPr>
            </w:pPr>
            <w:r>
              <w:rPr>
                <w:rFonts w:ascii="Arial" w:cs="Arial" w:eastAsia="Arial" w:hAnsi="Arial"/>
                <w:sz w:val="18"/>
                <w:szCs w:val="18"/>
                <w:color w:val="auto"/>
              </w:rPr>
              <w:t>Fixed charges deducted from income:</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481</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ind w:left="340"/>
              <w:spacing w:after="0"/>
              <w:rPr>
                <w:sz w:val="20"/>
                <w:szCs w:val="20"/>
                <w:color w:val="auto"/>
              </w:rPr>
            </w:pPr>
            <w:r>
              <w:rPr>
                <w:rFonts w:ascii="Arial" w:cs="Arial" w:eastAsia="Arial" w:hAnsi="Arial"/>
                <w:sz w:val="18"/>
                <w:szCs w:val="18"/>
                <w:color w:val="auto"/>
              </w:rPr>
              <w:t>Implicit interest in rents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537</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Arial" w:cs="Arial" w:eastAsia="Arial" w:hAnsi="Arial"/>
                <w:sz w:val="18"/>
                <w:szCs w:val="18"/>
                <w:color w:val="auto"/>
              </w:rPr>
              <w:t>Earnings available for fixed charges(b)</w:t>
            </w:r>
          </w:p>
        </w:tc>
        <w:tc>
          <w:tcPr>
            <w:tcW w:w="1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1,072</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1,897</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2,083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2,169</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1,939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Implicit interest in rents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Arial" w:cs="Arial" w:eastAsia="Arial" w:hAnsi="Arial"/>
                <w:sz w:val="18"/>
                <w:szCs w:val="18"/>
                <w:color w:val="auto"/>
              </w:rPr>
              <w:t>Total fixed charges(b)</w:t>
            </w:r>
          </w:p>
        </w:tc>
        <w:tc>
          <w:tcPr>
            <w:tcW w:w="1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Ratio of earnings to fixed charges(a)</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1.9x</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3.3x</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3.8x</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4.1x</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9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80" w:right="140" w:hanging="572"/>
        <w:spacing w:after="0" w:line="254" w:lineRule="auto"/>
        <w:tabs>
          <w:tab w:leader="none" w:pos="5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Our “Income before income taxes and losses in equity investments” for the periods presented has been significantly affected by restructurings, asset impairments, divestitures and other items that management believes are not representative of our results. The effect of these items on our “Income before income taxes and losses in equity investments” should be considered when comparing the “Ratio of earnings to fixed charges” for the periods presented.</w:t>
      </w:r>
    </w:p>
    <w:p>
      <w:pPr>
        <w:spacing w:after="0" w:line="2" w:lineRule="exact"/>
        <w:rPr>
          <w:rFonts w:ascii="Arial" w:cs="Arial" w:eastAsia="Arial" w:hAnsi="Arial"/>
          <w:sz w:val="18"/>
          <w:szCs w:val="18"/>
          <w:color w:val="auto"/>
        </w:rPr>
      </w:pPr>
    </w:p>
    <w:p>
      <w:pPr>
        <w:ind w:left="580" w:right="40" w:hanging="572"/>
        <w:spacing w:after="0" w:line="254" w:lineRule="auto"/>
        <w:tabs>
          <w:tab w:leader="none" w:pos="5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the extent interest may be assessed by taxing authorities on any underpayment of income tax, such amounts are classified as a component of income tax expense in our Consolidated Statements of Operations. For purposes of this disclosure, we have elected to exclude interest expense related to income tax matters from our measurements of “Earnings available for fixed charges” and “Total fixed charges” for all periods presented, as amounts are immaterial.</w:t>
      </w:r>
    </w:p>
    <w:p>
      <w:pPr>
        <w:sectPr>
          <w:pgSz w:w="11900" w:h="16838" w:orient="portrait"/>
          <w:cols w:equalWidth="0" w:num="1">
            <w:col w:w="11420"/>
          </w:cols>
          <w:pgMar w:left="240" w:top="121"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21.1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500" w:type="dxa"/>
            <w:vAlign w:val="bottom"/>
          </w:tcPr>
          <w:p>
            <w:pPr>
              <w:spacing w:after="0"/>
              <w:rPr>
                <w:sz w:val="20"/>
                <w:szCs w:val="20"/>
                <w:color w:val="auto"/>
              </w:rPr>
            </w:pPr>
            <w:r>
              <w:rPr>
                <w:rFonts w:ascii="Arial" w:cs="Arial" w:eastAsia="Arial" w:hAnsi="Arial"/>
                <w:sz w:val="14"/>
                <w:szCs w:val="14"/>
                <w:b w:val="1"/>
                <w:bCs w:val="1"/>
                <w:i w:val="1"/>
                <w:iCs w:val="1"/>
                <w:color w:val="auto"/>
              </w:rPr>
              <w:t>Jurisdiction of</w:t>
            </w:r>
          </w:p>
        </w:tc>
        <w:tc>
          <w:tcPr>
            <w:tcW w:w="0" w:type="dxa"/>
            <w:vAlign w:val="bottom"/>
          </w:tcPr>
          <w:p>
            <w:pPr>
              <w:spacing w:after="0"/>
              <w:rPr>
                <w:sz w:val="1"/>
                <w:szCs w:val="1"/>
                <w:color w:val="auto"/>
              </w:rPr>
            </w:pPr>
          </w:p>
        </w:tc>
      </w:tr>
      <w:tr>
        <w:trPr>
          <w:trHeight w:val="167"/>
        </w:trPr>
        <w:tc>
          <w:tcPr>
            <w:tcW w:w="8700" w:type="dxa"/>
            <w:vAlign w:val="bottom"/>
            <w:gridSpan w:val="2"/>
          </w:tcPr>
          <w:p>
            <w:pPr>
              <w:spacing w:after="0" w:line="147" w:lineRule="exact"/>
              <w:rPr>
                <w:sz w:val="20"/>
                <w:szCs w:val="20"/>
                <w:color w:val="auto"/>
              </w:rPr>
            </w:pPr>
            <w:r>
              <w:rPr>
                <w:rFonts w:ascii="Arial" w:cs="Arial" w:eastAsia="Arial" w:hAnsi="Arial"/>
                <w:sz w:val="14"/>
                <w:szCs w:val="14"/>
                <w:b w:val="1"/>
                <w:bCs w:val="1"/>
                <w:i w:val="1"/>
                <w:iCs w:val="1"/>
                <w:color w:val="auto"/>
              </w:rPr>
              <w:t>Name</w:t>
            </w:r>
          </w:p>
        </w:tc>
        <w:tc>
          <w:tcPr>
            <w:tcW w:w="1500" w:type="dxa"/>
            <w:vAlign w:val="bottom"/>
            <w:tcBorders>
              <w:bottom w:val="single" w:sz="8" w:color="auto"/>
            </w:tcBorders>
          </w:tcPr>
          <w:p>
            <w:pPr>
              <w:spacing w:after="0" w:line="147" w:lineRule="exact"/>
              <w:rPr>
                <w:sz w:val="20"/>
                <w:szCs w:val="20"/>
                <w:color w:val="auto"/>
              </w:rPr>
            </w:pPr>
            <w:r>
              <w:rPr>
                <w:rFonts w:ascii="Arial" w:cs="Arial" w:eastAsia="Arial" w:hAnsi="Arial"/>
                <w:sz w:val="14"/>
                <w:szCs w:val="14"/>
                <w:b w:val="1"/>
                <w:bCs w:val="1"/>
                <w:i w:val="1"/>
                <w:iCs w:val="1"/>
                <w:color w:val="auto"/>
                <w:w w:val="91"/>
              </w:rPr>
              <w:t>Incorporation/Formation</w:t>
            </w: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500" w:type="dxa"/>
            <w:vAlign w:val="bottom"/>
            <w:vMerge w:val="restart"/>
          </w:tcPr>
          <w:p>
            <w:pPr>
              <w:spacing w:after="0"/>
              <w:rPr>
                <w:sz w:val="20"/>
                <w:szCs w:val="20"/>
                <w:color w:val="auto"/>
              </w:rPr>
            </w:pPr>
            <w:r>
              <w:rPr>
                <w:rFonts w:ascii="Arial" w:cs="Arial" w:eastAsia="Arial" w:hAnsi="Arial"/>
                <w:sz w:val="18"/>
                <w:szCs w:val="18"/>
                <w:color w:val="auto"/>
              </w:rPr>
              <w:t>British Columbia</w:t>
            </w:r>
          </w:p>
        </w:tc>
        <w:tc>
          <w:tcPr>
            <w:tcW w:w="0" w:type="dxa"/>
            <w:vAlign w:val="bottom"/>
          </w:tcPr>
          <w:p>
            <w:pPr>
              <w:spacing w:after="0" w:line="20" w:lineRule="exact"/>
              <w:rPr>
                <w:sz w:val="1"/>
                <w:szCs w:val="1"/>
                <w:color w:val="auto"/>
              </w:rPr>
            </w:pPr>
          </w:p>
        </w:tc>
      </w:tr>
      <w:tr>
        <w:trPr>
          <w:trHeight w:val="182"/>
        </w:trPr>
        <w:tc>
          <w:tcPr>
            <w:tcW w:w="8700" w:type="dxa"/>
            <w:vAlign w:val="bottom"/>
            <w:gridSpan w:val="2"/>
          </w:tcPr>
          <w:p>
            <w:pPr>
              <w:spacing w:after="0" w:line="182" w:lineRule="exact"/>
              <w:rPr>
                <w:sz w:val="20"/>
                <w:szCs w:val="20"/>
                <w:color w:val="auto"/>
              </w:rPr>
            </w:pPr>
            <w:r>
              <w:rPr>
                <w:rFonts w:ascii="Arial" w:cs="Arial" w:eastAsia="Arial" w:hAnsi="Arial"/>
                <w:sz w:val="18"/>
                <w:szCs w:val="18"/>
                <w:color w:val="auto"/>
              </w:rPr>
              <w:t>0842463 B.C. Ltd.</w:t>
            </w: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1-800-Pack-Rat,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3368084 Canada Inc.</w:t>
            </w:r>
          </w:p>
        </w:tc>
        <w:tc>
          <w:tcPr>
            <w:tcW w:w="1500" w:type="dxa"/>
            <w:vAlign w:val="bottom"/>
          </w:tcPr>
          <w:p>
            <w:pPr>
              <w:spacing w:after="0"/>
              <w:rPr>
                <w:sz w:val="20"/>
                <w:szCs w:val="20"/>
                <w:color w:val="auto"/>
              </w:rPr>
            </w:pPr>
            <w:r>
              <w:rPr>
                <w:rFonts w:ascii="Arial" w:cs="Arial" w:eastAsia="Arial" w:hAnsi="Arial"/>
                <w:sz w:val="18"/>
                <w:szCs w:val="18"/>
                <w:color w:val="auto"/>
                <w:w w:val="93"/>
              </w:rPr>
              <w:t>Federally Chartered</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635952 Ontario Inc.</w:t>
            </w:r>
          </w:p>
        </w:tc>
        <w:tc>
          <w:tcPr>
            <w:tcW w:w="1500" w:type="dxa"/>
            <w:vAlign w:val="bottom"/>
          </w:tcPr>
          <w:p>
            <w:pPr>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8242348 Canada Inc.</w:t>
            </w:r>
          </w:p>
        </w:tc>
        <w:tc>
          <w:tcPr>
            <w:tcW w:w="1500" w:type="dxa"/>
            <w:vAlign w:val="bottom"/>
          </w:tcPr>
          <w:p>
            <w:pPr>
              <w:spacing w:after="0"/>
              <w:rPr>
                <w:sz w:val="20"/>
                <w:szCs w:val="20"/>
                <w:color w:val="auto"/>
              </w:rPr>
            </w:pPr>
            <w:r>
              <w:rPr>
                <w:rFonts w:ascii="Arial" w:cs="Arial" w:eastAsia="Arial" w:hAnsi="Arial"/>
                <w:sz w:val="18"/>
                <w:szCs w:val="18"/>
                <w:color w:val="auto"/>
                <w:w w:val="93"/>
              </w:rPr>
              <w:t>Federally Chartered</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Acaverde S.A. de C.V.</w:t>
            </w:r>
          </w:p>
        </w:tc>
        <w:tc>
          <w:tcPr>
            <w:tcW w:w="1500" w:type="dxa"/>
            <w:vAlign w:val="bottom"/>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Acaverde Servicios, S.A. de C.V.</w:t>
            </w:r>
          </w:p>
        </w:tc>
        <w:tc>
          <w:tcPr>
            <w:tcW w:w="1500" w:type="dxa"/>
            <w:vAlign w:val="bottom"/>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Advanced Environmental Technical Services,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Akron Regional Landfill,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Alabama Waste Disposal Solutions, L.L.C.</w:t>
            </w:r>
          </w:p>
        </w:tc>
        <w:tc>
          <w:tcPr>
            <w:tcW w:w="1500" w:type="dxa"/>
            <w:vAlign w:val="bottom"/>
          </w:tcPr>
          <w:p>
            <w:pPr>
              <w:spacing w:after="0"/>
              <w:rPr>
                <w:sz w:val="20"/>
                <w:szCs w:val="20"/>
                <w:color w:val="auto"/>
              </w:rPr>
            </w:pPr>
            <w:r>
              <w:rPr>
                <w:rFonts w:ascii="Arial" w:cs="Arial" w:eastAsia="Arial" w:hAnsi="Arial"/>
                <w:sz w:val="18"/>
                <w:szCs w:val="18"/>
                <w:color w:val="auto"/>
              </w:rPr>
              <w:t>Alabama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Alliance Sanitary Landfill, Inc.</w:t>
            </w:r>
          </w:p>
        </w:tc>
        <w:tc>
          <w:tcPr>
            <w:tcW w:w="1500" w:type="dxa"/>
            <w:vAlign w:val="bottom"/>
          </w:tcPr>
          <w:p>
            <w:pPr>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Alpharetta Transfer Station, LLC</w:t>
            </w:r>
          </w:p>
        </w:tc>
        <w:tc>
          <w:tcPr>
            <w:tcW w:w="1500" w:type="dxa"/>
            <w:vAlign w:val="bottom"/>
          </w:tcPr>
          <w:p>
            <w:pPr>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American Landfill, Inc.</w:t>
            </w:r>
          </w:p>
        </w:tc>
        <w:tc>
          <w:tcPr>
            <w:tcW w:w="1500" w:type="dxa"/>
            <w:vAlign w:val="bottom"/>
          </w:tcPr>
          <w:p>
            <w:pPr>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Anderson Landfill,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Antelope Valley Recycling and Disposal Facility, Inc.</w:t>
            </w:r>
          </w:p>
        </w:tc>
        <w:tc>
          <w:tcPr>
            <w:tcW w:w="1500" w:type="dxa"/>
            <w:vAlign w:val="bottom"/>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Arden Landfill, Inc.</w:t>
            </w:r>
          </w:p>
        </w:tc>
        <w:tc>
          <w:tcPr>
            <w:tcW w:w="1500" w:type="dxa"/>
            <w:vAlign w:val="bottom"/>
          </w:tcPr>
          <w:p>
            <w:pPr>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Articulus spolka z ograniczona odpowiedzialnoscia</w:t>
            </w:r>
          </w:p>
        </w:tc>
        <w:tc>
          <w:tcPr>
            <w:tcW w:w="1500" w:type="dxa"/>
            <w:vAlign w:val="bottom"/>
          </w:tcPr>
          <w:p>
            <w:pPr>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Atlantic Waste Disposal,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Automated Salvage Transport Co.,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Auxiwaste Services SA</w:t>
            </w:r>
          </w:p>
        </w:tc>
        <w:tc>
          <w:tcPr>
            <w:tcW w:w="1500" w:type="dxa"/>
            <w:vAlign w:val="bottom"/>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Avalon South,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Avalon Southwest,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Azusa Land Reclamation, Inc.</w:t>
            </w:r>
          </w:p>
        </w:tc>
        <w:tc>
          <w:tcPr>
            <w:tcW w:w="1500" w:type="dxa"/>
            <w:vAlign w:val="bottom"/>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B&amp;B Landfill,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Barre Landfill Gas Associates, L.P.</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Big Dipper Enterprises, Inc.</w:t>
            </w:r>
          </w:p>
        </w:tc>
        <w:tc>
          <w:tcPr>
            <w:tcW w:w="1500" w:type="dxa"/>
            <w:vAlign w:val="bottom"/>
          </w:tcPr>
          <w:p>
            <w:pPr>
              <w:spacing w:after="0"/>
              <w:rPr>
                <w:sz w:val="20"/>
                <w:szCs w:val="20"/>
                <w:color w:val="auto"/>
              </w:rPr>
            </w:pPr>
            <w:r>
              <w:rPr>
                <w:rFonts w:ascii="Arial" w:cs="Arial" w:eastAsia="Arial" w:hAnsi="Arial"/>
                <w:sz w:val="18"/>
                <w:szCs w:val="18"/>
                <w:color w:val="auto"/>
              </w:rPr>
              <w:t>North Dakota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Bluegrass Containment,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Burnsville Sanitary Landfill, Inc.</w:t>
            </w:r>
          </w:p>
        </w:tc>
        <w:tc>
          <w:tcPr>
            <w:tcW w:w="1500" w:type="dxa"/>
            <w:vAlign w:val="bottom"/>
          </w:tcPr>
          <w:p>
            <w:pPr>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CA Newco,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Cal Sierra Disposal</w:t>
            </w:r>
          </w:p>
        </w:tc>
        <w:tc>
          <w:tcPr>
            <w:tcW w:w="1500" w:type="dxa"/>
            <w:vAlign w:val="bottom"/>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California Asbestos Monofill, Inc.</w:t>
            </w:r>
          </w:p>
        </w:tc>
        <w:tc>
          <w:tcPr>
            <w:tcW w:w="1500" w:type="dxa"/>
            <w:vAlign w:val="bottom"/>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Canadian Waste Services Holdings Inc.</w:t>
            </w:r>
          </w:p>
        </w:tc>
        <w:tc>
          <w:tcPr>
            <w:tcW w:w="1500" w:type="dxa"/>
            <w:vAlign w:val="bottom"/>
          </w:tcPr>
          <w:p>
            <w:pPr>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Capital Sanitation Company</w:t>
            </w:r>
          </w:p>
        </w:tc>
        <w:tc>
          <w:tcPr>
            <w:tcW w:w="1500" w:type="dxa"/>
            <w:vAlign w:val="bottom"/>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Capitol Disposal, Inc.</w:t>
            </w:r>
          </w:p>
        </w:tc>
        <w:tc>
          <w:tcPr>
            <w:tcW w:w="1500" w:type="dxa"/>
            <w:vAlign w:val="bottom"/>
          </w:tcPr>
          <w:p>
            <w:pPr>
              <w:spacing w:after="0"/>
              <w:rPr>
                <w:sz w:val="20"/>
                <w:szCs w:val="20"/>
                <w:color w:val="auto"/>
              </w:rPr>
            </w:pPr>
            <w:r>
              <w:rPr>
                <w:rFonts w:ascii="Arial" w:cs="Arial" w:eastAsia="Arial" w:hAnsi="Arial"/>
                <w:sz w:val="18"/>
                <w:szCs w:val="18"/>
                <w:color w:val="auto"/>
              </w:rPr>
              <w:t>Alaska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Carolina Grading, Inc.</w:t>
            </w:r>
          </w:p>
        </w:tc>
        <w:tc>
          <w:tcPr>
            <w:tcW w:w="1500" w:type="dxa"/>
            <w:vAlign w:val="bottom"/>
          </w:tcPr>
          <w:p>
            <w:pPr>
              <w:spacing w:after="0"/>
              <w:rPr>
                <w:sz w:val="20"/>
                <w:szCs w:val="20"/>
                <w:color w:val="auto"/>
              </w:rPr>
            </w:pPr>
            <w:r>
              <w:rPr>
                <w:rFonts w:ascii="Arial" w:cs="Arial" w:eastAsia="Arial" w:hAnsi="Arial"/>
                <w:sz w:val="18"/>
                <w:szCs w:val="18"/>
                <w:color w:val="auto"/>
              </w:rPr>
              <w:t>South Carolina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Cedar Ridge Landfill,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Central Disposal Systems, Inc.</w:t>
            </w:r>
          </w:p>
        </w:tc>
        <w:tc>
          <w:tcPr>
            <w:tcW w:w="1500" w:type="dxa"/>
            <w:vAlign w:val="bottom"/>
          </w:tcPr>
          <w:p>
            <w:pPr>
              <w:spacing w:after="0"/>
              <w:rPr>
                <w:sz w:val="20"/>
                <w:szCs w:val="20"/>
                <w:color w:val="auto"/>
              </w:rPr>
            </w:pPr>
            <w:r>
              <w:rPr>
                <w:rFonts w:ascii="Arial" w:cs="Arial" w:eastAsia="Arial" w:hAnsi="Arial"/>
                <w:sz w:val="18"/>
                <w:szCs w:val="18"/>
                <w:color w:val="auto"/>
              </w:rPr>
              <w:t>Iowa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Chadwick Road Landfill, Inc.</w:t>
            </w:r>
          </w:p>
        </w:tc>
        <w:tc>
          <w:tcPr>
            <w:tcW w:w="1500" w:type="dxa"/>
            <w:vAlign w:val="bottom"/>
          </w:tcPr>
          <w:p>
            <w:pPr>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Chambers Clearview Environmental Landfill, Inc.</w:t>
            </w:r>
          </w:p>
        </w:tc>
        <w:tc>
          <w:tcPr>
            <w:tcW w:w="1500" w:type="dxa"/>
            <w:vAlign w:val="bottom"/>
          </w:tcPr>
          <w:p>
            <w:pPr>
              <w:spacing w:after="0"/>
              <w:rPr>
                <w:sz w:val="20"/>
                <w:szCs w:val="20"/>
                <w:color w:val="auto"/>
              </w:rPr>
            </w:pPr>
            <w:r>
              <w:rPr>
                <w:rFonts w:ascii="Arial" w:cs="Arial" w:eastAsia="Arial" w:hAnsi="Arial"/>
                <w:sz w:val="18"/>
                <w:szCs w:val="18"/>
                <w:color w:val="auto"/>
              </w:rPr>
              <w:t>Mississippi</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Chambers Development Company,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Chambers Development of Ohio, Inc.</w:t>
            </w:r>
          </w:p>
        </w:tc>
        <w:tc>
          <w:tcPr>
            <w:tcW w:w="1500" w:type="dxa"/>
            <w:vAlign w:val="bottom"/>
          </w:tcPr>
          <w:p>
            <w:pPr>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Chambers of Georgia,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Chambers of Mississippi, Inc.</w:t>
            </w:r>
          </w:p>
        </w:tc>
        <w:tc>
          <w:tcPr>
            <w:tcW w:w="1500" w:type="dxa"/>
            <w:vAlign w:val="bottom"/>
          </w:tcPr>
          <w:p>
            <w:pPr>
              <w:spacing w:after="0"/>
              <w:rPr>
                <w:sz w:val="20"/>
                <w:szCs w:val="20"/>
                <w:color w:val="auto"/>
              </w:rPr>
            </w:pPr>
            <w:r>
              <w:rPr>
                <w:rFonts w:ascii="Arial" w:cs="Arial" w:eastAsia="Arial" w:hAnsi="Arial"/>
                <w:sz w:val="18"/>
                <w:szCs w:val="18"/>
                <w:color w:val="auto"/>
              </w:rPr>
              <w:t>Mississippi</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65" w:name="page166"/>
    <w:bookmarkEnd w:id="16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500" w:type="dxa"/>
            <w:vAlign w:val="bottom"/>
          </w:tcPr>
          <w:p>
            <w:pPr>
              <w:spacing w:after="0"/>
              <w:rPr>
                <w:sz w:val="20"/>
                <w:szCs w:val="20"/>
                <w:color w:val="auto"/>
              </w:rPr>
            </w:pPr>
            <w:r>
              <w:rPr>
                <w:rFonts w:ascii="Arial" w:cs="Arial" w:eastAsia="Arial" w:hAnsi="Arial"/>
                <w:sz w:val="14"/>
                <w:szCs w:val="14"/>
                <w:b w:val="1"/>
                <w:bCs w:val="1"/>
                <w:i w:val="1"/>
                <w:iCs w:val="1"/>
                <w:color w:val="auto"/>
              </w:rPr>
              <w:t>Jurisdiction of</w:t>
            </w:r>
          </w:p>
        </w:tc>
        <w:tc>
          <w:tcPr>
            <w:tcW w:w="0" w:type="dxa"/>
            <w:vAlign w:val="bottom"/>
          </w:tcPr>
          <w:p>
            <w:pPr>
              <w:spacing w:after="0"/>
              <w:rPr>
                <w:sz w:val="1"/>
                <w:szCs w:val="1"/>
                <w:color w:val="auto"/>
              </w:rPr>
            </w:pPr>
          </w:p>
        </w:tc>
      </w:tr>
      <w:tr>
        <w:trPr>
          <w:trHeight w:val="167"/>
        </w:trPr>
        <w:tc>
          <w:tcPr>
            <w:tcW w:w="8700" w:type="dxa"/>
            <w:vAlign w:val="bottom"/>
            <w:gridSpan w:val="2"/>
          </w:tcPr>
          <w:p>
            <w:pPr>
              <w:spacing w:after="0" w:line="147" w:lineRule="exact"/>
              <w:rPr>
                <w:sz w:val="20"/>
                <w:szCs w:val="20"/>
                <w:color w:val="auto"/>
              </w:rPr>
            </w:pPr>
            <w:r>
              <w:rPr>
                <w:rFonts w:ascii="Arial" w:cs="Arial" w:eastAsia="Arial" w:hAnsi="Arial"/>
                <w:sz w:val="14"/>
                <w:szCs w:val="14"/>
                <w:b w:val="1"/>
                <w:bCs w:val="1"/>
                <w:i w:val="1"/>
                <w:iCs w:val="1"/>
                <w:color w:val="auto"/>
              </w:rPr>
              <w:t>Name</w:t>
            </w:r>
          </w:p>
        </w:tc>
        <w:tc>
          <w:tcPr>
            <w:tcW w:w="1500" w:type="dxa"/>
            <w:vAlign w:val="bottom"/>
            <w:tcBorders>
              <w:bottom w:val="single" w:sz="8" w:color="auto"/>
            </w:tcBorders>
          </w:tcPr>
          <w:p>
            <w:pPr>
              <w:spacing w:after="0" w:line="147" w:lineRule="exact"/>
              <w:rPr>
                <w:sz w:val="20"/>
                <w:szCs w:val="20"/>
                <w:color w:val="auto"/>
              </w:rPr>
            </w:pPr>
            <w:r>
              <w:rPr>
                <w:rFonts w:ascii="Arial" w:cs="Arial" w:eastAsia="Arial" w:hAnsi="Arial"/>
                <w:sz w:val="14"/>
                <w:szCs w:val="14"/>
                <w:b w:val="1"/>
                <w:bCs w:val="1"/>
                <w:i w:val="1"/>
                <w:iCs w:val="1"/>
                <w:color w:val="auto"/>
                <w:w w:val="91"/>
              </w:rPr>
              <w:t>Incorporation/Formation</w:t>
            </w: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500" w:type="dxa"/>
            <w:vAlign w:val="bottom"/>
            <w:vMerge w:val="restart"/>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line="20" w:lineRule="exact"/>
              <w:rPr>
                <w:sz w:val="1"/>
                <w:szCs w:val="1"/>
                <w:color w:val="auto"/>
              </w:rPr>
            </w:pPr>
          </w:p>
        </w:tc>
      </w:tr>
      <w:tr>
        <w:trPr>
          <w:trHeight w:val="182"/>
        </w:trPr>
        <w:tc>
          <w:tcPr>
            <w:tcW w:w="8700" w:type="dxa"/>
            <w:vAlign w:val="bottom"/>
            <w:gridSpan w:val="2"/>
          </w:tcPr>
          <w:p>
            <w:pPr>
              <w:spacing w:after="0" w:line="182" w:lineRule="exact"/>
              <w:rPr>
                <w:sz w:val="20"/>
                <w:szCs w:val="20"/>
                <w:color w:val="auto"/>
              </w:rPr>
            </w:pPr>
            <w:r>
              <w:rPr>
                <w:rFonts w:ascii="Arial" w:cs="Arial" w:eastAsia="Arial" w:hAnsi="Arial"/>
                <w:sz w:val="18"/>
                <w:szCs w:val="18"/>
                <w:color w:val="auto"/>
              </w:rPr>
              <w:t>Chemical Waste Management of Indiana, L.L.C.</w:t>
            </w: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Chemical Waste Management of the Northwest, Inc.</w:t>
            </w:r>
          </w:p>
        </w:tc>
        <w:tc>
          <w:tcPr>
            <w:tcW w:w="1500" w:type="dxa"/>
            <w:vAlign w:val="bottom"/>
          </w:tcPr>
          <w:p>
            <w:pPr>
              <w:spacing w:after="0"/>
              <w:rPr>
                <w:sz w:val="20"/>
                <w:szCs w:val="20"/>
                <w:color w:val="auto"/>
              </w:rPr>
            </w:pPr>
            <w:r>
              <w:rPr>
                <w:rFonts w:ascii="Arial" w:cs="Arial" w:eastAsia="Arial" w:hAnsi="Arial"/>
                <w:sz w:val="18"/>
                <w:szCs w:val="18"/>
                <w:color w:val="auto"/>
              </w:rPr>
              <w:t>Washington</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Chemical Waste Management,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Chesser Island Road Landfill, Inc.</w:t>
            </w:r>
          </w:p>
        </w:tc>
        <w:tc>
          <w:tcPr>
            <w:tcW w:w="1500" w:type="dxa"/>
            <w:vAlign w:val="bottom"/>
          </w:tcPr>
          <w:p>
            <w:pPr>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City Environmental Services, Inc. of Waters</w:t>
            </w:r>
          </w:p>
        </w:tc>
        <w:tc>
          <w:tcPr>
            <w:tcW w:w="1500" w:type="dxa"/>
            <w:vAlign w:val="bottom"/>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Cleburne Landfill Company Corp.</w:t>
            </w:r>
          </w:p>
        </w:tc>
        <w:tc>
          <w:tcPr>
            <w:tcW w:w="1500" w:type="dxa"/>
            <w:vAlign w:val="bottom"/>
          </w:tcPr>
          <w:p>
            <w:pPr>
              <w:spacing w:after="0"/>
              <w:rPr>
                <w:sz w:val="20"/>
                <w:szCs w:val="20"/>
                <w:color w:val="auto"/>
              </w:rPr>
            </w:pPr>
            <w:r>
              <w:rPr>
                <w:rFonts w:ascii="Arial" w:cs="Arial" w:eastAsia="Arial" w:hAnsi="Arial"/>
                <w:sz w:val="18"/>
                <w:szCs w:val="18"/>
                <w:color w:val="auto"/>
              </w:rPr>
              <w:t>Alabama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Coast Waste Management, Inc.</w:t>
            </w:r>
          </w:p>
        </w:tc>
        <w:tc>
          <w:tcPr>
            <w:tcW w:w="1500" w:type="dxa"/>
            <w:vAlign w:val="bottom"/>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Connecticut Valley Sanitary Waste Disposal, Inc.</w:t>
            </w:r>
          </w:p>
        </w:tc>
        <w:tc>
          <w:tcPr>
            <w:tcW w:w="1500" w:type="dxa"/>
            <w:vAlign w:val="bottom"/>
          </w:tcPr>
          <w:p>
            <w:pPr>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Conservation Services, Inc.</w:t>
            </w:r>
          </w:p>
        </w:tc>
        <w:tc>
          <w:tcPr>
            <w:tcW w:w="1500" w:type="dxa"/>
            <w:vAlign w:val="bottom"/>
          </w:tcPr>
          <w:p>
            <w:pPr>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Coshocton Landfill, Inc.</w:t>
            </w:r>
          </w:p>
        </w:tc>
        <w:tc>
          <w:tcPr>
            <w:tcW w:w="1500" w:type="dxa"/>
            <w:vAlign w:val="bottom"/>
          </w:tcPr>
          <w:p>
            <w:pPr>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Cougar Landfill, Inc.</w:t>
            </w:r>
          </w:p>
        </w:tc>
        <w:tc>
          <w:tcPr>
            <w:tcW w:w="1500" w:type="dxa"/>
            <w:vAlign w:val="bottom"/>
          </w:tcPr>
          <w:p>
            <w:pPr>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Countryside Landfill, Inc.</w:t>
            </w:r>
          </w:p>
        </w:tc>
        <w:tc>
          <w:tcPr>
            <w:tcW w:w="1500" w:type="dxa"/>
            <w:vAlign w:val="bottom"/>
          </w:tcPr>
          <w:p>
            <w:pPr>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CR Group, LLC</w:t>
            </w:r>
          </w:p>
        </w:tc>
        <w:tc>
          <w:tcPr>
            <w:tcW w:w="1500" w:type="dxa"/>
            <w:vAlign w:val="bottom"/>
          </w:tcPr>
          <w:p>
            <w:pPr>
              <w:spacing w:after="0"/>
              <w:rPr>
                <w:sz w:val="20"/>
                <w:szCs w:val="20"/>
                <w:color w:val="auto"/>
              </w:rPr>
            </w:pPr>
            <w:r>
              <w:rPr>
                <w:rFonts w:ascii="Arial" w:cs="Arial" w:eastAsia="Arial" w:hAnsi="Arial"/>
                <w:sz w:val="18"/>
                <w:szCs w:val="18"/>
                <w:color w:val="auto"/>
              </w:rPr>
              <w:t>Utah</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Cuyahoga Landfill,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CWM Chemical Services,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Dafter Sanitary Landfill, Inc.</w:t>
            </w:r>
          </w:p>
        </w:tc>
        <w:tc>
          <w:tcPr>
            <w:tcW w:w="1500" w:type="dxa"/>
            <w:vAlign w:val="bottom"/>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Dauphin Meadows, Inc.</w:t>
            </w:r>
          </w:p>
        </w:tc>
        <w:tc>
          <w:tcPr>
            <w:tcW w:w="1500" w:type="dxa"/>
            <w:vAlign w:val="bottom"/>
          </w:tcPr>
          <w:p>
            <w:pPr>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Deep Valley Landfill,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Deer Track Park Landfill,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Del Almo Landfill,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Delaware Recyclable Products,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Dickinson Landfill,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Disposal Service, Incorporated</w:t>
            </w:r>
          </w:p>
        </w:tc>
        <w:tc>
          <w:tcPr>
            <w:tcW w:w="1500" w:type="dxa"/>
            <w:vAlign w:val="bottom"/>
          </w:tcPr>
          <w:p>
            <w:pPr>
              <w:spacing w:after="0"/>
              <w:rPr>
                <w:sz w:val="20"/>
                <w:szCs w:val="20"/>
                <w:color w:val="auto"/>
              </w:rPr>
            </w:pPr>
            <w:r>
              <w:rPr>
                <w:rFonts w:ascii="Arial" w:cs="Arial" w:eastAsia="Arial" w:hAnsi="Arial"/>
                <w:sz w:val="18"/>
                <w:szCs w:val="18"/>
                <w:color w:val="auto"/>
              </w:rPr>
              <w:t>West Virginia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Doctor Bramblett Road, LLC</w:t>
            </w:r>
          </w:p>
        </w:tc>
        <w:tc>
          <w:tcPr>
            <w:tcW w:w="1500" w:type="dxa"/>
            <w:vAlign w:val="bottom"/>
          </w:tcPr>
          <w:p>
            <w:pPr>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E.C. Waste, Inc.</w:t>
            </w:r>
          </w:p>
        </w:tc>
        <w:tc>
          <w:tcPr>
            <w:tcW w:w="1500" w:type="dxa"/>
            <w:vAlign w:val="bottom"/>
          </w:tcPr>
          <w:p>
            <w:pPr>
              <w:spacing w:after="0"/>
              <w:rPr>
                <w:sz w:val="20"/>
                <w:szCs w:val="20"/>
                <w:color w:val="auto"/>
              </w:rPr>
            </w:pPr>
            <w:r>
              <w:rPr>
                <w:rFonts w:ascii="Arial" w:cs="Arial" w:eastAsia="Arial" w:hAnsi="Arial"/>
                <w:sz w:val="18"/>
                <w:szCs w:val="18"/>
                <w:color w:val="auto"/>
              </w:rPr>
              <w:t>Puerto Rico</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Earthmovers Landfill,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East Liverpool Landfill, Inc.</w:t>
            </w:r>
          </w:p>
        </w:tc>
        <w:tc>
          <w:tcPr>
            <w:tcW w:w="1500" w:type="dxa"/>
            <w:vAlign w:val="bottom"/>
          </w:tcPr>
          <w:p>
            <w:pPr>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Eastern One Land Corporation</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Eco-Vista, LLC</w:t>
            </w:r>
          </w:p>
        </w:tc>
        <w:tc>
          <w:tcPr>
            <w:tcW w:w="1500" w:type="dxa"/>
            <w:vAlign w:val="bottom"/>
          </w:tcPr>
          <w:p>
            <w:pPr>
              <w:spacing w:after="0"/>
              <w:rPr>
                <w:sz w:val="20"/>
                <w:szCs w:val="20"/>
                <w:color w:val="auto"/>
              </w:rPr>
            </w:pPr>
            <w:r>
              <w:rPr>
                <w:rFonts w:ascii="Arial" w:cs="Arial" w:eastAsia="Arial" w:hAnsi="Arial"/>
                <w:sz w:val="18"/>
                <w:szCs w:val="18"/>
                <w:color w:val="auto"/>
              </w:rPr>
              <w:t>Arkansas</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eCycling Services,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El Coqui Landfill Company, Inc.</w:t>
            </w:r>
          </w:p>
        </w:tc>
        <w:tc>
          <w:tcPr>
            <w:tcW w:w="1500" w:type="dxa"/>
            <w:vAlign w:val="bottom"/>
          </w:tcPr>
          <w:p>
            <w:pPr>
              <w:spacing w:after="0"/>
              <w:rPr>
                <w:sz w:val="20"/>
                <w:szCs w:val="20"/>
                <w:color w:val="auto"/>
              </w:rPr>
            </w:pPr>
            <w:r>
              <w:rPr>
                <w:rFonts w:ascii="Arial" w:cs="Arial" w:eastAsia="Arial" w:hAnsi="Arial"/>
                <w:sz w:val="18"/>
                <w:szCs w:val="18"/>
                <w:color w:val="auto"/>
              </w:rPr>
              <w:t>Puerto Rico</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El Coqui Waste Disposal,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ELDA Landfill,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Elk River Landfill, Inc.</w:t>
            </w:r>
          </w:p>
        </w:tc>
        <w:tc>
          <w:tcPr>
            <w:tcW w:w="1500" w:type="dxa"/>
            <w:vAlign w:val="bottom"/>
          </w:tcPr>
          <w:p>
            <w:pPr>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Envirofil of Illinois, Inc.</w:t>
            </w:r>
          </w:p>
        </w:tc>
        <w:tc>
          <w:tcPr>
            <w:tcW w:w="1500" w:type="dxa"/>
            <w:vAlign w:val="bottom"/>
          </w:tcPr>
          <w:p>
            <w:pPr>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Evergreen Landfill,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Evergreen Recycling and Disposal Facility,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Ferrybridge MFE Limited</w:t>
            </w:r>
          </w:p>
        </w:tc>
        <w:tc>
          <w:tcPr>
            <w:tcW w:w="1500" w:type="dxa"/>
            <w:vAlign w:val="bottom"/>
          </w:tcPr>
          <w:p>
            <w:pPr>
              <w:spacing w:after="0"/>
              <w:rPr>
                <w:sz w:val="20"/>
                <w:szCs w:val="20"/>
                <w:color w:val="auto"/>
              </w:rPr>
            </w:pPr>
            <w:r>
              <w:rPr>
                <w:rFonts w:ascii="Arial" w:cs="Arial" w:eastAsia="Arial" w:hAnsi="Arial"/>
                <w:sz w:val="18"/>
                <w:szCs w:val="18"/>
                <w:color w:val="auto"/>
                <w:w w:val="94"/>
              </w:rPr>
              <w:t>England and Wales</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G.I. Industries</w:t>
            </w:r>
          </w:p>
        </w:tc>
        <w:tc>
          <w:tcPr>
            <w:tcW w:w="1500" w:type="dxa"/>
            <w:vAlign w:val="bottom"/>
          </w:tcPr>
          <w:p>
            <w:pPr>
              <w:spacing w:after="0"/>
              <w:rPr>
                <w:sz w:val="20"/>
                <w:szCs w:val="20"/>
                <w:color w:val="auto"/>
              </w:rPr>
            </w:pPr>
            <w:r>
              <w:rPr>
                <w:rFonts w:ascii="Arial" w:cs="Arial" w:eastAsia="Arial" w:hAnsi="Arial"/>
                <w:sz w:val="18"/>
                <w:szCs w:val="18"/>
                <w:color w:val="auto"/>
              </w:rPr>
              <w:t>Utah</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GA Landfills,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Gallia Landfill,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Garick,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Garnet of Maryland, Inc.</w:t>
            </w:r>
          </w:p>
        </w:tc>
        <w:tc>
          <w:tcPr>
            <w:tcW w:w="1500" w:type="dxa"/>
            <w:vAlign w:val="bottom"/>
          </w:tcPr>
          <w:p>
            <w:pPr>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Gartran, L.L.C.</w:t>
            </w:r>
          </w:p>
        </w:tc>
        <w:tc>
          <w:tcPr>
            <w:tcW w:w="1500" w:type="dxa"/>
            <w:vAlign w:val="bottom"/>
          </w:tcPr>
          <w:p>
            <w:pPr>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bl>
    <w:p>
      <w:pPr>
        <w:sectPr>
          <w:pgSz w:w="11900" w:h="16838" w:orient="portrait"/>
          <w:cols w:equalWidth="0" w:num="1">
            <w:col w:w="10219"/>
          </w:cols>
          <w:pgMar w:left="240" w:top="257" w:right="1440" w:bottom="1440" w:gutter="0" w:footer="0" w:header="0"/>
        </w:sectPr>
      </w:pPr>
    </w:p>
    <w:bookmarkStart w:id="166" w:name="page167"/>
    <w:bookmarkEnd w:id="16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500" w:type="dxa"/>
            <w:vAlign w:val="bottom"/>
          </w:tcPr>
          <w:p>
            <w:pPr>
              <w:spacing w:after="0"/>
              <w:rPr>
                <w:sz w:val="20"/>
                <w:szCs w:val="20"/>
                <w:color w:val="auto"/>
              </w:rPr>
            </w:pPr>
            <w:r>
              <w:rPr>
                <w:rFonts w:ascii="Arial" w:cs="Arial" w:eastAsia="Arial" w:hAnsi="Arial"/>
                <w:sz w:val="14"/>
                <w:szCs w:val="14"/>
                <w:b w:val="1"/>
                <w:bCs w:val="1"/>
                <w:i w:val="1"/>
                <w:iCs w:val="1"/>
                <w:color w:val="auto"/>
              </w:rPr>
              <w:t>Jurisdiction of</w:t>
            </w:r>
          </w:p>
        </w:tc>
        <w:tc>
          <w:tcPr>
            <w:tcW w:w="0" w:type="dxa"/>
            <w:vAlign w:val="bottom"/>
          </w:tcPr>
          <w:p>
            <w:pPr>
              <w:spacing w:after="0"/>
              <w:rPr>
                <w:sz w:val="1"/>
                <w:szCs w:val="1"/>
                <w:color w:val="auto"/>
              </w:rPr>
            </w:pPr>
          </w:p>
        </w:tc>
      </w:tr>
      <w:tr>
        <w:trPr>
          <w:trHeight w:val="167"/>
        </w:trPr>
        <w:tc>
          <w:tcPr>
            <w:tcW w:w="8700" w:type="dxa"/>
            <w:vAlign w:val="bottom"/>
            <w:gridSpan w:val="2"/>
          </w:tcPr>
          <w:p>
            <w:pPr>
              <w:spacing w:after="0" w:line="147" w:lineRule="exact"/>
              <w:rPr>
                <w:sz w:val="20"/>
                <w:szCs w:val="20"/>
                <w:color w:val="auto"/>
              </w:rPr>
            </w:pPr>
            <w:r>
              <w:rPr>
                <w:rFonts w:ascii="Arial" w:cs="Arial" w:eastAsia="Arial" w:hAnsi="Arial"/>
                <w:sz w:val="14"/>
                <w:szCs w:val="14"/>
                <w:b w:val="1"/>
                <w:bCs w:val="1"/>
                <w:i w:val="1"/>
                <w:iCs w:val="1"/>
                <w:color w:val="auto"/>
              </w:rPr>
              <w:t>Name</w:t>
            </w:r>
          </w:p>
        </w:tc>
        <w:tc>
          <w:tcPr>
            <w:tcW w:w="1500" w:type="dxa"/>
            <w:vAlign w:val="bottom"/>
            <w:tcBorders>
              <w:bottom w:val="single" w:sz="8" w:color="auto"/>
            </w:tcBorders>
          </w:tcPr>
          <w:p>
            <w:pPr>
              <w:spacing w:after="0" w:line="147" w:lineRule="exact"/>
              <w:rPr>
                <w:sz w:val="20"/>
                <w:szCs w:val="20"/>
                <w:color w:val="auto"/>
              </w:rPr>
            </w:pPr>
            <w:r>
              <w:rPr>
                <w:rFonts w:ascii="Arial" w:cs="Arial" w:eastAsia="Arial" w:hAnsi="Arial"/>
                <w:sz w:val="14"/>
                <w:szCs w:val="14"/>
                <w:b w:val="1"/>
                <w:bCs w:val="1"/>
                <w:i w:val="1"/>
                <w:iCs w:val="1"/>
                <w:color w:val="auto"/>
                <w:w w:val="91"/>
              </w:rPr>
              <w:t>Incorporation/Formation</w:t>
            </w: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500" w:type="dxa"/>
            <w:vAlign w:val="bottom"/>
            <w:vMerge w:val="restart"/>
          </w:tcPr>
          <w:p>
            <w:pPr>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line="20" w:lineRule="exact"/>
              <w:rPr>
                <w:sz w:val="1"/>
                <w:szCs w:val="1"/>
                <w:color w:val="auto"/>
              </w:rPr>
            </w:pPr>
          </w:p>
        </w:tc>
      </w:tr>
      <w:tr>
        <w:trPr>
          <w:trHeight w:val="182"/>
        </w:trPr>
        <w:tc>
          <w:tcPr>
            <w:tcW w:w="8700" w:type="dxa"/>
            <w:vAlign w:val="bottom"/>
            <w:gridSpan w:val="2"/>
          </w:tcPr>
          <w:p>
            <w:pPr>
              <w:spacing w:after="0" w:line="182" w:lineRule="exact"/>
              <w:rPr>
                <w:sz w:val="20"/>
                <w:szCs w:val="20"/>
                <w:color w:val="auto"/>
              </w:rPr>
            </w:pPr>
            <w:r>
              <w:rPr>
                <w:rFonts w:ascii="Arial" w:cs="Arial" w:eastAsia="Arial" w:hAnsi="Arial"/>
                <w:sz w:val="18"/>
                <w:szCs w:val="18"/>
                <w:color w:val="auto"/>
              </w:rPr>
              <w:t>Gateway Transfer Station, LLC</w:t>
            </w: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Georgia Waste Systems, Inc.</w:t>
            </w:r>
          </w:p>
        </w:tc>
        <w:tc>
          <w:tcPr>
            <w:tcW w:w="1500" w:type="dxa"/>
            <w:vAlign w:val="bottom"/>
          </w:tcPr>
          <w:p>
            <w:pPr>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Giordano Recycling,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Glades Landfill, LLC</w:t>
            </w:r>
          </w:p>
        </w:tc>
        <w:tc>
          <w:tcPr>
            <w:tcW w:w="1500" w:type="dxa"/>
            <w:vAlign w:val="bottom"/>
          </w:tcPr>
          <w:p>
            <w:pPr>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Glen’s Sanitary Landfill, Inc.</w:t>
            </w:r>
          </w:p>
        </w:tc>
        <w:tc>
          <w:tcPr>
            <w:tcW w:w="1500" w:type="dxa"/>
            <w:vAlign w:val="bottom"/>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Grand Central Sanitary Landfill, Inc.</w:t>
            </w:r>
          </w:p>
        </w:tc>
        <w:tc>
          <w:tcPr>
            <w:tcW w:w="1500" w:type="dxa"/>
            <w:vAlign w:val="bottom"/>
          </w:tcPr>
          <w:p>
            <w:pPr>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Greenbow, LLC</w:t>
            </w:r>
          </w:p>
        </w:tc>
        <w:tc>
          <w:tcPr>
            <w:tcW w:w="1500" w:type="dxa"/>
            <w:vAlign w:val="bottom"/>
          </w:tcPr>
          <w:p>
            <w:pPr>
              <w:spacing w:after="0"/>
              <w:rPr>
                <w:sz w:val="20"/>
                <w:szCs w:val="20"/>
                <w:color w:val="auto"/>
              </w:rPr>
            </w:pPr>
            <w:r>
              <w:rPr>
                <w:rFonts w:ascii="Arial" w:cs="Arial" w:eastAsia="Arial" w:hAnsi="Arial"/>
                <w:sz w:val="18"/>
                <w:szCs w:val="18"/>
                <w:color w:val="auto"/>
              </w:rPr>
              <w:t>Alabama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Greenleaf Compaction, Inc.</w:t>
            </w:r>
          </w:p>
        </w:tc>
        <w:tc>
          <w:tcPr>
            <w:tcW w:w="1500" w:type="dxa"/>
            <w:vAlign w:val="bottom"/>
          </w:tcPr>
          <w:p>
            <w:pPr>
              <w:spacing w:after="0"/>
              <w:rPr>
                <w:sz w:val="20"/>
                <w:szCs w:val="20"/>
                <w:color w:val="auto"/>
              </w:rPr>
            </w:pPr>
            <w:r>
              <w:rPr>
                <w:rFonts w:ascii="Arial" w:cs="Arial" w:eastAsia="Arial" w:hAnsi="Arial"/>
                <w:sz w:val="18"/>
                <w:szCs w:val="18"/>
                <w:color w:val="auto"/>
              </w:rPr>
              <w:t>Arizona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Greenstar Allentown,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Greenstar Georgia,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Greenstar Managed Services - Connecticut,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Greenstar Managed Services - RLWM, LLC</w:t>
            </w:r>
          </w:p>
        </w:tc>
        <w:tc>
          <w:tcPr>
            <w:tcW w:w="1500" w:type="dxa"/>
            <w:vAlign w:val="bottom"/>
          </w:tcPr>
          <w:p>
            <w:pPr>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Greenstar Mid-America,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Greenstar New Jersey,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Greenstar Ohio,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Greenstar Paterson,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Greenstar Pittsburgh,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Greenstar Recycled Holdings,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Greenstar,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Grupo WMX, S.A. De C.V.</w:t>
            </w:r>
          </w:p>
        </w:tc>
        <w:tc>
          <w:tcPr>
            <w:tcW w:w="1500" w:type="dxa"/>
            <w:vAlign w:val="bottom"/>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Guadalupe Mines Mutual Water Company</w:t>
            </w:r>
          </w:p>
        </w:tc>
        <w:tc>
          <w:tcPr>
            <w:tcW w:w="1500" w:type="dxa"/>
            <w:vAlign w:val="bottom"/>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Guadalupe Rubbish Disposal Co., Inc.</w:t>
            </w:r>
          </w:p>
        </w:tc>
        <w:tc>
          <w:tcPr>
            <w:tcW w:w="1500" w:type="dxa"/>
            <w:vAlign w:val="bottom"/>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Guam Resource Recovery Partners, L.P.</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Harris Sanitation, Inc.</w:t>
            </w:r>
          </w:p>
        </w:tc>
        <w:tc>
          <w:tcPr>
            <w:tcW w:w="1500" w:type="dxa"/>
            <w:vAlign w:val="bottom"/>
          </w:tcPr>
          <w:p>
            <w:pPr>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Harwood Landfill, Inc.</w:t>
            </w:r>
          </w:p>
        </w:tc>
        <w:tc>
          <w:tcPr>
            <w:tcW w:w="1500" w:type="dxa"/>
            <w:vAlign w:val="bottom"/>
          </w:tcPr>
          <w:p>
            <w:pPr>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Hedco Landfill Limited</w:t>
            </w:r>
          </w:p>
        </w:tc>
        <w:tc>
          <w:tcPr>
            <w:tcW w:w="1500" w:type="dxa"/>
            <w:vAlign w:val="bottom"/>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High Mountain Fuels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Hillsboro Landfill Inc.</w:t>
            </w:r>
          </w:p>
        </w:tc>
        <w:tc>
          <w:tcPr>
            <w:tcW w:w="1500" w:type="dxa"/>
            <w:vAlign w:val="bottom"/>
          </w:tcPr>
          <w:p>
            <w:pPr>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Holyoke Sanitary Landfill, Inc.</w:t>
            </w:r>
          </w:p>
        </w:tc>
        <w:tc>
          <w:tcPr>
            <w:tcW w:w="1500" w:type="dxa"/>
            <w:vAlign w:val="bottom"/>
          </w:tcPr>
          <w:p>
            <w:pPr>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IN Landfills,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International Environmental Management, Inc.</w:t>
            </w:r>
          </w:p>
        </w:tc>
        <w:tc>
          <w:tcPr>
            <w:tcW w:w="1500" w:type="dxa"/>
            <w:vAlign w:val="bottom"/>
          </w:tcPr>
          <w:p>
            <w:pPr>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Jahner Sanitation, Inc.</w:t>
            </w:r>
          </w:p>
        </w:tc>
        <w:tc>
          <w:tcPr>
            <w:tcW w:w="1500" w:type="dxa"/>
            <w:vAlign w:val="bottom"/>
          </w:tcPr>
          <w:p>
            <w:pPr>
              <w:spacing w:after="0"/>
              <w:rPr>
                <w:sz w:val="20"/>
                <w:szCs w:val="20"/>
                <w:color w:val="auto"/>
              </w:rPr>
            </w:pPr>
            <w:r>
              <w:rPr>
                <w:rFonts w:ascii="Arial" w:cs="Arial" w:eastAsia="Arial" w:hAnsi="Arial"/>
                <w:sz w:val="18"/>
                <w:szCs w:val="18"/>
                <w:color w:val="auto"/>
              </w:rPr>
              <w:t>North Dakota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Jay County Landfill,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JFS (UK) Limited</w:t>
            </w:r>
          </w:p>
        </w:tc>
        <w:tc>
          <w:tcPr>
            <w:tcW w:w="1500" w:type="dxa"/>
            <w:vAlign w:val="bottom"/>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K and W Landfill Inc.</w:t>
            </w:r>
          </w:p>
        </w:tc>
        <w:tc>
          <w:tcPr>
            <w:tcW w:w="1500" w:type="dxa"/>
            <w:vAlign w:val="bottom"/>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Keene Road Landfill, Inc.</w:t>
            </w:r>
          </w:p>
        </w:tc>
        <w:tc>
          <w:tcPr>
            <w:tcW w:w="1500" w:type="dxa"/>
            <w:vAlign w:val="bottom"/>
          </w:tcPr>
          <w:p>
            <w:pPr>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Kelly Run Sanitation, Inc.</w:t>
            </w:r>
          </w:p>
        </w:tc>
        <w:tc>
          <w:tcPr>
            <w:tcW w:w="1500" w:type="dxa"/>
            <w:vAlign w:val="bottom"/>
          </w:tcPr>
          <w:p>
            <w:pPr>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King George Landfill Properties, LLC</w:t>
            </w:r>
          </w:p>
        </w:tc>
        <w:tc>
          <w:tcPr>
            <w:tcW w:w="1500" w:type="dxa"/>
            <w:vAlign w:val="bottom"/>
          </w:tcPr>
          <w:p>
            <w:pPr>
              <w:spacing w:after="0"/>
              <w:rPr>
                <w:sz w:val="20"/>
                <w:szCs w:val="20"/>
                <w:color w:val="auto"/>
              </w:rPr>
            </w:pPr>
            <w:r>
              <w:rPr>
                <w:rFonts w:ascii="Arial" w:cs="Arial" w:eastAsia="Arial" w:hAnsi="Arial"/>
                <w:sz w:val="18"/>
                <w:szCs w:val="18"/>
                <w:color w:val="auto"/>
              </w:rPr>
              <w:t>Virginia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King George Landfill, Inc.</w:t>
            </w:r>
          </w:p>
        </w:tc>
        <w:tc>
          <w:tcPr>
            <w:tcW w:w="1500" w:type="dxa"/>
            <w:vAlign w:val="bottom"/>
          </w:tcPr>
          <w:p>
            <w:pPr>
              <w:spacing w:after="0"/>
              <w:rPr>
                <w:sz w:val="20"/>
                <w:szCs w:val="20"/>
                <w:color w:val="auto"/>
              </w:rPr>
            </w:pPr>
            <w:r>
              <w:rPr>
                <w:rFonts w:ascii="Arial" w:cs="Arial" w:eastAsia="Arial" w:hAnsi="Arial"/>
                <w:sz w:val="18"/>
                <w:szCs w:val="18"/>
                <w:color w:val="auto"/>
              </w:rPr>
              <w:t>Virginia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Kirby Canyon Holdings, LLC</w:t>
            </w:r>
          </w:p>
        </w:tc>
        <w:tc>
          <w:tcPr>
            <w:tcW w:w="1500" w:type="dxa"/>
            <w:vAlign w:val="bottom"/>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Lakeville Recycling, L.P.</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Land Reclamation Company,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Land South Holdings,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Landfill Services of Charleston, Inc.</w:t>
            </w:r>
          </w:p>
        </w:tc>
        <w:tc>
          <w:tcPr>
            <w:tcW w:w="1500" w:type="dxa"/>
            <w:vAlign w:val="bottom"/>
          </w:tcPr>
          <w:p>
            <w:pPr>
              <w:spacing w:after="0"/>
              <w:rPr>
                <w:sz w:val="20"/>
                <w:szCs w:val="20"/>
                <w:color w:val="auto"/>
              </w:rPr>
            </w:pPr>
            <w:r>
              <w:rPr>
                <w:rFonts w:ascii="Arial" w:cs="Arial" w:eastAsia="Arial" w:hAnsi="Arial"/>
                <w:sz w:val="18"/>
                <w:szCs w:val="18"/>
                <w:color w:val="auto"/>
              </w:rPr>
              <w:t>West Virginia</w:t>
            </w:r>
          </w:p>
        </w:tc>
        <w:tc>
          <w:tcPr>
            <w:tcW w:w="0" w:type="dxa"/>
            <w:vAlign w:val="bottom"/>
          </w:tcPr>
          <w:p>
            <w:pPr>
              <w:spacing w:after="0"/>
              <w:rPr>
                <w:sz w:val="1"/>
                <w:szCs w:val="1"/>
                <w:color w:val="auto"/>
              </w:rPr>
            </w:pPr>
          </w:p>
        </w:tc>
      </w:tr>
    </w:tbl>
    <w:p>
      <w:pPr>
        <w:sectPr>
          <w:pgSz w:w="11900" w:h="16838" w:orient="portrait"/>
          <w:cols w:equalWidth="0" w:num="1">
            <w:col w:w="10219"/>
          </w:cols>
          <w:pgMar w:left="240" w:top="257" w:right="1440" w:bottom="1440" w:gutter="0" w:footer="0" w:header="0"/>
        </w:sectPr>
      </w:pPr>
    </w:p>
    <w:bookmarkStart w:id="167" w:name="page168"/>
    <w:bookmarkEnd w:id="16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500" w:type="dxa"/>
            <w:vAlign w:val="bottom"/>
          </w:tcPr>
          <w:p>
            <w:pPr>
              <w:spacing w:after="0"/>
              <w:rPr>
                <w:sz w:val="20"/>
                <w:szCs w:val="20"/>
                <w:color w:val="auto"/>
              </w:rPr>
            </w:pPr>
            <w:r>
              <w:rPr>
                <w:rFonts w:ascii="Arial" w:cs="Arial" w:eastAsia="Arial" w:hAnsi="Arial"/>
                <w:sz w:val="14"/>
                <w:szCs w:val="14"/>
                <w:b w:val="1"/>
                <w:bCs w:val="1"/>
                <w:i w:val="1"/>
                <w:iCs w:val="1"/>
                <w:color w:val="auto"/>
              </w:rPr>
              <w:t>Jurisdiction of</w:t>
            </w:r>
          </w:p>
        </w:tc>
        <w:tc>
          <w:tcPr>
            <w:tcW w:w="0" w:type="dxa"/>
            <w:vAlign w:val="bottom"/>
          </w:tcPr>
          <w:p>
            <w:pPr>
              <w:spacing w:after="0"/>
              <w:rPr>
                <w:sz w:val="1"/>
                <w:szCs w:val="1"/>
                <w:color w:val="auto"/>
              </w:rPr>
            </w:pPr>
          </w:p>
        </w:tc>
      </w:tr>
      <w:tr>
        <w:trPr>
          <w:trHeight w:val="167"/>
        </w:trPr>
        <w:tc>
          <w:tcPr>
            <w:tcW w:w="8700" w:type="dxa"/>
            <w:vAlign w:val="bottom"/>
            <w:gridSpan w:val="2"/>
          </w:tcPr>
          <w:p>
            <w:pPr>
              <w:spacing w:after="0" w:line="147" w:lineRule="exact"/>
              <w:rPr>
                <w:sz w:val="20"/>
                <w:szCs w:val="20"/>
                <w:color w:val="auto"/>
              </w:rPr>
            </w:pPr>
            <w:r>
              <w:rPr>
                <w:rFonts w:ascii="Arial" w:cs="Arial" w:eastAsia="Arial" w:hAnsi="Arial"/>
                <w:sz w:val="14"/>
                <w:szCs w:val="14"/>
                <w:b w:val="1"/>
                <w:bCs w:val="1"/>
                <w:i w:val="1"/>
                <w:iCs w:val="1"/>
                <w:color w:val="auto"/>
              </w:rPr>
              <w:t>Name</w:t>
            </w:r>
          </w:p>
        </w:tc>
        <w:tc>
          <w:tcPr>
            <w:tcW w:w="1500" w:type="dxa"/>
            <w:vAlign w:val="bottom"/>
            <w:tcBorders>
              <w:bottom w:val="single" w:sz="8" w:color="auto"/>
            </w:tcBorders>
          </w:tcPr>
          <w:p>
            <w:pPr>
              <w:spacing w:after="0" w:line="147" w:lineRule="exact"/>
              <w:rPr>
                <w:sz w:val="20"/>
                <w:szCs w:val="20"/>
                <w:color w:val="auto"/>
              </w:rPr>
            </w:pPr>
            <w:r>
              <w:rPr>
                <w:rFonts w:ascii="Arial" w:cs="Arial" w:eastAsia="Arial" w:hAnsi="Arial"/>
                <w:sz w:val="14"/>
                <w:szCs w:val="14"/>
                <w:b w:val="1"/>
                <w:bCs w:val="1"/>
                <w:i w:val="1"/>
                <w:iCs w:val="1"/>
                <w:color w:val="auto"/>
                <w:w w:val="91"/>
              </w:rPr>
              <w:t>Incorporation/Formation</w:t>
            </w: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500" w:type="dxa"/>
            <w:vAlign w:val="bottom"/>
            <w:vMerge w:val="restart"/>
          </w:tcPr>
          <w:p>
            <w:pPr>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line="20" w:lineRule="exact"/>
              <w:rPr>
                <w:sz w:val="1"/>
                <w:szCs w:val="1"/>
                <w:color w:val="auto"/>
              </w:rPr>
            </w:pPr>
          </w:p>
        </w:tc>
      </w:tr>
      <w:tr>
        <w:trPr>
          <w:trHeight w:val="182"/>
        </w:trPr>
        <w:tc>
          <w:tcPr>
            <w:tcW w:w="8700" w:type="dxa"/>
            <w:vAlign w:val="bottom"/>
            <w:gridSpan w:val="2"/>
          </w:tcPr>
          <w:p>
            <w:pPr>
              <w:spacing w:after="0" w:line="182" w:lineRule="exact"/>
              <w:rPr>
                <w:sz w:val="20"/>
                <w:szCs w:val="20"/>
                <w:color w:val="auto"/>
              </w:rPr>
            </w:pPr>
            <w:r>
              <w:rPr>
                <w:rFonts w:ascii="Arial" w:cs="Arial" w:eastAsia="Arial" w:hAnsi="Arial"/>
                <w:sz w:val="18"/>
                <w:szCs w:val="18"/>
                <w:color w:val="auto"/>
              </w:rPr>
              <w:t>Laurel Highlands Landfill, Inc.</w:t>
            </w: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LCS Services, Inc.</w:t>
            </w:r>
          </w:p>
        </w:tc>
        <w:tc>
          <w:tcPr>
            <w:tcW w:w="1500" w:type="dxa"/>
            <w:vAlign w:val="bottom"/>
          </w:tcPr>
          <w:p>
            <w:pPr>
              <w:spacing w:after="0"/>
              <w:rPr>
                <w:sz w:val="20"/>
                <w:szCs w:val="20"/>
                <w:color w:val="auto"/>
              </w:rPr>
            </w:pPr>
            <w:r>
              <w:rPr>
                <w:rFonts w:ascii="Arial" w:cs="Arial" w:eastAsia="Arial" w:hAnsi="Arial"/>
                <w:sz w:val="18"/>
                <w:szCs w:val="18"/>
                <w:color w:val="auto"/>
              </w:rPr>
              <w:t>West Virginia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Liberty Landfill,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Liberty Lane West Owners’ Association</w:t>
            </w:r>
          </w:p>
        </w:tc>
        <w:tc>
          <w:tcPr>
            <w:tcW w:w="1500" w:type="dxa"/>
            <w:vAlign w:val="bottom"/>
          </w:tcPr>
          <w:p>
            <w:pPr>
              <w:spacing w:after="0"/>
              <w:rPr>
                <w:sz w:val="20"/>
                <w:szCs w:val="20"/>
                <w:color w:val="auto"/>
              </w:rPr>
            </w:pPr>
            <w:r>
              <w:rPr>
                <w:rFonts w:ascii="Arial" w:cs="Arial" w:eastAsia="Arial" w:hAnsi="Arial"/>
                <w:sz w:val="18"/>
                <w:szCs w:val="18"/>
                <w:color w:val="auto"/>
              </w:rPr>
              <w:t>New Hampshire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Liquid Waste Management, Inc.</w:t>
            </w:r>
          </w:p>
        </w:tc>
        <w:tc>
          <w:tcPr>
            <w:tcW w:w="1500" w:type="dxa"/>
            <w:vAlign w:val="bottom"/>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Longleaf C&amp;D Disposal Facility, Inc.</w:t>
            </w:r>
          </w:p>
        </w:tc>
        <w:tc>
          <w:tcPr>
            <w:tcW w:w="1500" w:type="dxa"/>
            <w:vAlign w:val="bottom"/>
          </w:tcPr>
          <w:p>
            <w:pPr>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Looney Bins, Inc.</w:t>
            </w:r>
          </w:p>
        </w:tc>
        <w:tc>
          <w:tcPr>
            <w:tcW w:w="1500" w:type="dxa"/>
            <w:vAlign w:val="bottom"/>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Mahoning Landfill, Inc.</w:t>
            </w:r>
          </w:p>
        </w:tc>
        <w:tc>
          <w:tcPr>
            <w:tcW w:w="1500" w:type="dxa"/>
            <w:vAlign w:val="bottom"/>
          </w:tcPr>
          <w:p>
            <w:pPr>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Mass Gravel Inc.</w:t>
            </w:r>
          </w:p>
        </w:tc>
        <w:tc>
          <w:tcPr>
            <w:tcW w:w="1500" w:type="dxa"/>
            <w:vAlign w:val="bottom"/>
          </w:tcPr>
          <w:p>
            <w:pPr>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Mc Ginnes Industrial Maintenance Corporation</w:t>
            </w:r>
          </w:p>
        </w:tc>
        <w:tc>
          <w:tcPr>
            <w:tcW w:w="1500" w:type="dxa"/>
            <w:vAlign w:val="bottom"/>
          </w:tcPr>
          <w:p>
            <w:pPr>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McDaniel Landfill, Inc.</w:t>
            </w:r>
          </w:p>
        </w:tc>
        <w:tc>
          <w:tcPr>
            <w:tcW w:w="1500" w:type="dxa"/>
            <w:vAlign w:val="bottom"/>
          </w:tcPr>
          <w:p>
            <w:pPr>
              <w:spacing w:after="0"/>
              <w:rPr>
                <w:sz w:val="20"/>
                <w:szCs w:val="20"/>
                <w:color w:val="auto"/>
              </w:rPr>
            </w:pPr>
            <w:r>
              <w:rPr>
                <w:rFonts w:ascii="Arial" w:cs="Arial" w:eastAsia="Arial" w:hAnsi="Arial"/>
                <w:sz w:val="18"/>
                <w:szCs w:val="18"/>
                <w:color w:val="auto"/>
              </w:rPr>
              <w:t>North Dakota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McGill Landfill, Inc.</w:t>
            </w:r>
          </w:p>
        </w:tc>
        <w:tc>
          <w:tcPr>
            <w:tcW w:w="1500" w:type="dxa"/>
            <w:vAlign w:val="bottom"/>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Meadowfill Landfill,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Michigan Environs, Inc.</w:t>
            </w:r>
          </w:p>
        </w:tc>
        <w:tc>
          <w:tcPr>
            <w:tcW w:w="1500" w:type="dxa"/>
            <w:vAlign w:val="bottom"/>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Midwest One Land Corporation</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Modern-Mallard Energy,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Modesto Garbage Co., Inc.</w:t>
            </w:r>
          </w:p>
        </w:tc>
        <w:tc>
          <w:tcPr>
            <w:tcW w:w="1500" w:type="dxa"/>
            <w:vAlign w:val="bottom"/>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Moor Refuse, Inc.</w:t>
            </w:r>
          </w:p>
        </w:tc>
        <w:tc>
          <w:tcPr>
            <w:tcW w:w="1500" w:type="dxa"/>
            <w:vAlign w:val="bottom"/>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Mountain Indemnity Insurance Company</w:t>
            </w:r>
          </w:p>
        </w:tc>
        <w:tc>
          <w:tcPr>
            <w:tcW w:w="1500" w:type="dxa"/>
            <w:vAlign w:val="bottom"/>
          </w:tcPr>
          <w:p>
            <w:pPr>
              <w:spacing w:after="0"/>
              <w:rPr>
                <w:sz w:val="20"/>
                <w:szCs w:val="20"/>
                <w:color w:val="auto"/>
              </w:rPr>
            </w:pPr>
            <w:r>
              <w:rPr>
                <w:rFonts w:ascii="Arial" w:cs="Arial" w:eastAsia="Arial" w:hAnsi="Arial"/>
                <w:sz w:val="18"/>
                <w:szCs w:val="18"/>
                <w:color w:val="auto"/>
              </w:rPr>
              <w:t>Vermont</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Mountainview Landfill, Inc.</w:t>
            </w:r>
          </w:p>
        </w:tc>
        <w:tc>
          <w:tcPr>
            <w:tcW w:w="1500" w:type="dxa"/>
            <w:vAlign w:val="bottom"/>
          </w:tcPr>
          <w:p>
            <w:pPr>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Mountainview Landfill, Inc.</w:t>
            </w:r>
          </w:p>
        </w:tc>
        <w:tc>
          <w:tcPr>
            <w:tcW w:w="1500" w:type="dxa"/>
            <w:vAlign w:val="bottom"/>
          </w:tcPr>
          <w:p>
            <w:pPr>
              <w:spacing w:after="0"/>
              <w:rPr>
                <w:sz w:val="20"/>
                <w:szCs w:val="20"/>
                <w:color w:val="auto"/>
              </w:rPr>
            </w:pPr>
            <w:r>
              <w:rPr>
                <w:rFonts w:ascii="Arial" w:cs="Arial" w:eastAsia="Arial" w:hAnsi="Arial"/>
                <w:sz w:val="18"/>
                <w:szCs w:val="18"/>
                <w:color w:val="auto"/>
              </w:rPr>
              <w:t>Utah</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Multifuel Energy Limited</w:t>
            </w:r>
          </w:p>
        </w:tc>
        <w:tc>
          <w:tcPr>
            <w:tcW w:w="1500" w:type="dxa"/>
            <w:vAlign w:val="bottom"/>
          </w:tcPr>
          <w:p>
            <w:pPr>
              <w:spacing w:after="0"/>
              <w:rPr>
                <w:sz w:val="20"/>
                <w:szCs w:val="20"/>
                <w:color w:val="auto"/>
              </w:rPr>
            </w:pPr>
            <w:r>
              <w:rPr>
                <w:rFonts w:ascii="Arial" w:cs="Arial" w:eastAsia="Arial" w:hAnsi="Arial"/>
                <w:sz w:val="18"/>
                <w:szCs w:val="18"/>
                <w:color w:val="auto"/>
              </w:rPr>
              <w:t>Scotland</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Nassau Landfill,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National Guaranty Insurance Company of Vermont</w:t>
            </w:r>
          </w:p>
        </w:tc>
        <w:tc>
          <w:tcPr>
            <w:tcW w:w="1500" w:type="dxa"/>
            <w:vAlign w:val="bottom"/>
          </w:tcPr>
          <w:p>
            <w:pPr>
              <w:spacing w:after="0"/>
              <w:rPr>
                <w:sz w:val="20"/>
                <w:szCs w:val="20"/>
                <w:color w:val="auto"/>
              </w:rPr>
            </w:pPr>
            <w:r>
              <w:rPr>
                <w:rFonts w:ascii="Arial" w:cs="Arial" w:eastAsia="Arial" w:hAnsi="Arial"/>
                <w:sz w:val="18"/>
                <w:szCs w:val="18"/>
                <w:color w:val="auto"/>
              </w:rPr>
              <w:t>Vermont</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New England CR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New Milford Connecticut Farms,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New Milford Landfill,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New Orleans Landfill,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NH/VT Energy Recovery Corporation</w:t>
            </w:r>
          </w:p>
        </w:tc>
        <w:tc>
          <w:tcPr>
            <w:tcW w:w="1500" w:type="dxa"/>
            <w:vAlign w:val="bottom"/>
          </w:tcPr>
          <w:p>
            <w:pPr>
              <w:spacing w:after="0"/>
              <w:rPr>
                <w:sz w:val="20"/>
                <w:szCs w:val="20"/>
                <w:color w:val="auto"/>
              </w:rPr>
            </w:pPr>
            <w:r>
              <w:rPr>
                <w:rFonts w:ascii="Arial" w:cs="Arial" w:eastAsia="Arial" w:hAnsi="Arial"/>
                <w:sz w:val="18"/>
                <w:szCs w:val="18"/>
                <w:color w:val="auto"/>
              </w:rPr>
              <w:t>New Hampshire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North Manatee Recycling and Disposal Facility, L.L.C.</w:t>
            </w:r>
          </w:p>
        </w:tc>
        <w:tc>
          <w:tcPr>
            <w:tcW w:w="1500" w:type="dxa"/>
            <w:vAlign w:val="bottom"/>
          </w:tcPr>
          <w:p>
            <w:pPr>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Northwestern Landfill,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Nu-Way Live Oak Reclamation,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Oak Grove Disposal Co., Inc.</w:t>
            </w:r>
          </w:p>
        </w:tc>
        <w:tc>
          <w:tcPr>
            <w:tcW w:w="1500" w:type="dxa"/>
            <w:vAlign w:val="bottom"/>
          </w:tcPr>
          <w:p>
            <w:pPr>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Oakleaf Global Holdings,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Oakleaf Waste Management Ltd.</w:t>
            </w:r>
          </w:p>
        </w:tc>
        <w:tc>
          <w:tcPr>
            <w:tcW w:w="1500" w:type="dxa"/>
            <w:vAlign w:val="bottom"/>
          </w:tcPr>
          <w:p>
            <w:pPr>
              <w:spacing w:after="0"/>
              <w:rPr>
                <w:sz w:val="20"/>
                <w:szCs w:val="20"/>
                <w:color w:val="auto"/>
              </w:rPr>
            </w:pPr>
            <w:r>
              <w:rPr>
                <w:rFonts w:ascii="Arial" w:cs="Arial" w:eastAsia="Arial" w:hAnsi="Arial"/>
                <w:sz w:val="18"/>
                <w:szCs w:val="18"/>
                <w:color w:val="auto"/>
                <w:w w:val="93"/>
              </w:rPr>
              <w:t>Federally Chartered</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Oakleaf Waste Management,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Oakleaf Waste Management, LLC</w:t>
            </w:r>
          </w:p>
        </w:tc>
        <w:tc>
          <w:tcPr>
            <w:tcW w:w="1500" w:type="dxa"/>
            <w:vAlign w:val="bottom"/>
          </w:tcPr>
          <w:p>
            <w:pPr>
              <w:spacing w:after="0"/>
              <w:rPr>
                <w:sz w:val="20"/>
                <w:szCs w:val="20"/>
                <w:color w:val="auto"/>
              </w:rPr>
            </w:pPr>
            <w:r>
              <w:rPr>
                <w:rFonts w:ascii="Arial" w:cs="Arial" w:eastAsia="Arial" w:hAnsi="Arial"/>
                <w:sz w:val="18"/>
                <w:szCs w:val="18"/>
                <w:color w:val="auto"/>
              </w:rPr>
              <w:t>Connecticut</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Oakridge Landfill, Inc.</w:t>
            </w:r>
          </w:p>
        </w:tc>
        <w:tc>
          <w:tcPr>
            <w:tcW w:w="1500" w:type="dxa"/>
            <w:vAlign w:val="bottom"/>
          </w:tcPr>
          <w:p>
            <w:pPr>
              <w:spacing w:after="0"/>
              <w:rPr>
                <w:sz w:val="20"/>
                <w:szCs w:val="20"/>
                <w:color w:val="auto"/>
              </w:rPr>
            </w:pPr>
            <w:r>
              <w:rPr>
                <w:rFonts w:ascii="Arial" w:cs="Arial" w:eastAsia="Arial" w:hAnsi="Arial"/>
                <w:sz w:val="18"/>
                <w:szCs w:val="18"/>
                <w:color w:val="auto"/>
              </w:rPr>
              <w:t>South Carolina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Oakwood Landfill, Inc.</w:t>
            </w:r>
          </w:p>
        </w:tc>
        <w:tc>
          <w:tcPr>
            <w:tcW w:w="1500" w:type="dxa"/>
            <w:vAlign w:val="bottom"/>
          </w:tcPr>
          <w:p>
            <w:pPr>
              <w:spacing w:after="0"/>
              <w:rPr>
                <w:sz w:val="20"/>
                <w:szCs w:val="20"/>
                <w:color w:val="auto"/>
              </w:rPr>
            </w:pPr>
            <w:r>
              <w:rPr>
                <w:rFonts w:ascii="Arial" w:cs="Arial" w:eastAsia="Arial" w:hAnsi="Arial"/>
                <w:sz w:val="18"/>
                <w:szCs w:val="18"/>
                <w:color w:val="auto"/>
              </w:rPr>
              <w:t>South Carolina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OGH Acquisition Corporation</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Okeechobee Landfill, Inc.</w:t>
            </w:r>
          </w:p>
        </w:tc>
        <w:tc>
          <w:tcPr>
            <w:tcW w:w="1500" w:type="dxa"/>
            <w:vAlign w:val="bottom"/>
          </w:tcPr>
          <w:p>
            <w:pPr>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Ozark Ridge Landfill, Inc.</w:t>
            </w:r>
          </w:p>
        </w:tc>
        <w:tc>
          <w:tcPr>
            <w:tcW w:w="1500" w:type="dxa"/>
            <w:vAlign w:val="bottom"/>
          </w:tcPr>
          <w:p>
            <w:pPr>
              <w:spacing w:after="0"/>
              <w:rPr>
                <w:sz w:val="20"/>
                <w:szCs w:val="20"/>
                <w:color w:val="auto"/>
              </w:rPr>
            </w:pPr>
            <w:r>
              <w:rPr>
                <w:rFonts w:ascii="Arial" w:cs="Arial" w:eastAsia="Arial" w:hAnsi="Arial"/>
                <w:sz w:val="18"/>
                <w:szCs w:val="18"/>
                <w:color w:val="auto"/>
              </w:rPr>
              <w:t>Arkansas</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P &amp; R Environmental Industries, L.L.C.</w:t>
            </w:r>
          </w:p>
        </w:tc>
        <w:tc>
          <w:tcPr>
            <w:tcW w:w="1500" w:type="dxa"/>
            <w:vAlign w:val="bottom"/>
          </w:tcPr>
          <w:p>
            <w:pPr>
              <w:spacing w:after="0"/>
              <w:rPr>
                <w:sz w:val="20"/>
                <w:szCs w:val="20"/>
                <w:color w:val="auto"/>
              </w:rPr>
            </w:pPr>
            <w:r>
              <w:rPr>
                <w:rFonts w:ascii="Arial" w:cs="Arial" w:eastAsia="Arial" w:hAnsi="Arial"/>
                <w:sz w:val="18"/>
                <w:szCs w:val="18"/>
                <w:color w:val="auto"/>
              </w:rPr>
              <w:t>North Carolina</w:t>
            </w: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Pacific Waste Management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219"/>
          </w:cols>
          <w:pgMar w:left="240" w:top="257" w:right="1440" w:bottom="1440" w:gutter="0" w:footer="0" w:header="0"/>
        </w:sectPr>
      </w:pPr>
    </w:p>
    <w:bookmarkStart w:id="168" w:name="page169"/>
    <w:bookmarkEnd w:id="16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500" w:type="dxa"/>
            <w:vAlign w:val="bottom"/>
          </w:tcPr>
          <w:p>
            <w:pPr>
              <w:spacing w:after="0"/>
              <w:rPr>
                <w:sz w:val="20"/>
                <w:szCs w:val="20"/>
                <w:color w:val="auto"/>
              </w:rPr>
            </w:pPr>
            <w:r>
              <w:rPr>
                <w:rFonts w:ascii="Arial" w:cs="Arial" w:eastAsia="Arial" w:hAnsi="Arial"/>
                <w:sz w:val="14"/>
                <w:szCs w:val="14"/>
                <w:b w:val="1"/>
                <w:bCs w:val="1"/>
                <w:i w:val="1"/>
                <w:iCs w:val="1"/>
                <w:color w:val="auto"/>
              </w:rPr>
              <w:t>Jurisdiction of</w:t>
            </w:r>
          </w:p>
        </w:tc>
        <w:tc>
          <w:tcPr>
            <w:tcW w:w="0" w:type="dxa"/>
            <w:vAlign w:val="bottom"/>
          </w:tcPr>
          <w:p>
            <w:pPr>
              <w:spacing w:after="0"/>
              <w:rPr>
                <w:sz w:val="1"/>
                <w:szCs w:val="1"/>
                <w:color w:val="auto"/>
              </w:rPr>
            </w:pPr>
          </w:p>
        </w:tc>
      </w:tr>
      <w:tr>
        <w:trPr>
          <w:trHeight w:val="167"/>
        </w:trPr>
        <w:tc>
          <w:tcPr>
            <w:tcW w:w="8700" w:type="dxa"/>
            <w:vAlign w:val="bottom"/>
            <w:gridSpan w:val="2"/>
          </w:tcPr>
          <w:p>
            <w:pPr>
              <w:spacing w:after="0" w:line="147" w:lineRule="exact"/>
              <w:rPr>
                <w:sz w:val="20"/>
                <w:szCs w:val="20"/>
                <w:color w:val="auto"/>
              </w:rPr>
            </w:pPr>
            <w:r>
              <w:rPr>
                <w:rFonts w:ascii="Arial" w:cs="Arial" w:eastAsia="Arial" w:hAnsi="Arial"/>
                <w:sz w:val="14"/>
                <w:szCs w:val="14"/>
                <w:b w:val="1"/>
                <w:bCs w:val="1"/>
                <w:i w:val="1"/>
                <w:iCs w:val="1"/>
                <w:color w:val="auto"/>
              </w:rPr>
              <w:t>Name</w:t>
            </w:r>
          </w:p>
        </w:tc>
        <w:tc>
          <w:tcPr>
            <w:tcW w:w="1500" w:type="dxa"/>
            <w:vAlign w:val="bottom"/>
            <w:tcBorders>
              <w:bottom w:val="single" w:sz="8" w:color="auto"/>
            </w:tcBorders>
          </w:tcPr>
          <w:p>
            <w:pPr>
              <w:spacing w:after="0" w:line="147" w:lineRule="exact"/>
              <w:rPr>
                <w:sz w:val="20"/>
                <w:szCs w:val="20"/>
                <w:color w:val="auto"/>
              </w:rPr>
            </w:pPr>
            <w:r>
              <w:rPr>
                <w:rFonts w:ascii="Arial" w:cs="Arial" w:eastAsia="Arial" w:hAnsi="Arial"/>
                <w:sz w:val="14"/>
                <w:szCs w:val="14"/>
                <w:b w:val="1"/>
                <w:bCs w:val="1"/>
                <w:i w:val="1"/>
                <w:iCs w:val="1"/>
                <w:color w:val="auto"/>
                <w:w w:val="91"/>
              </w:rPr>
              <w:t>Incorporation/Formation</w:t>
            </w: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500" w:type="dxa"/>
            <w:vAlign w:val="bottom"/>
            <w:vMerge w:val="restart"/>
          </w:tcPr>
          <w:p>
            <w:pPr>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line="20" w:lineRule="exact"/>
              <w:rPr>
                <w:sz w:val="1"/>
                <w:szCs w:val="1"/>
                <w:color w:val="auto"/>
              </w:rPr>
            </w:pPr>
          </w:p>
        </w:tc>
      </w:tr>
      <w:tr>
        <w:trPr>
          <w:trHeight w:val="182"/>
        </w:trPr>
        <w:tc>
          <w:tcPr>
            <w:tcW w:w="8700" w:type="dxa"/>
            <w:vAlign w:val="bottom"/>
            <w:gridSpan w:val="2"/>
          </w:tcPr>
          <w:p>
            <w:pPr>
              <w:spacing w:after="0" w:line="182" w:lineRule="exact"/>
              <w:rPr>
                <w:sz w:val="20"/>
                <w:szCs w:val="20"/>
                <w:color w:val="auto"/>
              </w:rPr>
            </w:pPr>
            <w:r>
              <w:rPr>
                <w:rFonts w:ascii="Arial" w:cs="Arial" w:eastAsia="Arial" w:hAnsi="Arial"/>
                <w:sz w:val="18"/>
                <w:szCs w:val="18"/>
                <w:color w:val="auto"/>
              </w:rPr>
              <w:t>Pappy, Inc.</w:t>
            </w: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Peltz H.C., LLC</w:t>
            </w:r>
          </w:p>
        </w:tc>
        <w:tc>
          <w:tcPr>
            <w:tcW w:w="1500" w:type="dxa"/>
            <w:vAlign w:val="bottom"/>
          </w:tcPr>
          <w:p>
            <w:pPr>
              <w:spacing w:after="0"/>
              <w:rPr>
                <w:sz w:val="20"/>
                <w:szCs w:val="20"/>
                <w:color w:val="auto"/>
              </w:rPr>
            </w:pPr>
            <w:r>
              <w:rPr>
                <w:rFonts w:ascii="Arial" w:cs="Arial" w:eastAsia="Arial" w:hAnsi="Arial"/>
                <w:sz w:val="18"/>
                <w:szCs w:val="18"/>
                <w:color w:val="auto"/>
              </w:rPr>
              <w:t>Wisconsin</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Pen-Rob, Inc.</w:t>
            </w:r>
          </w:p>
        </w:tc>
        <w:tc>
          <w:tcPr>
            <w:tcW w:w="1500" w:type="dxa"/>
            <w:vAlign w:val="bottom"/>
          </w:tcPr>
          <w:p>
            <w:pPr>
              <w:spacing w:after="0"/>
              <w:rPr>
                <w:sz w:val="20"/>
                <w:szCs w:val="20"/>
                <w:color w:val="auto"/>
              </w:rPr>
            </w:pPr>
            <w:r>
              <w:rPr>
                <w:rFonts w:ascii="Arial" w:cs="Arial" w:eastAsia="Arial" w:hAnsi="Arial"/>
                <w:sz w:val="18"/>
                <w:szCs w:val="18"/>
                <w:color w:val="auto"/>
              </w:rPr>
              <w:t>Arizona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Penuelas Valley Landfill, Inc.</w:t>
            </w:r>
          </w:p>
        </w:tc>
        <w:tc>
          <w:tcPr>
            <w:tcW w:w="1500" w:type="dxa"/>
            <w:vAlign w:val="bottom"/>
          </w:tcPr>
          <w:p>
            <w:pPr>
              <w:spacing w:after="0"/>
              <w:rPr>
                <w:sz w:val="20"/>
                <w:szCs w:val="20"/>
                <w:color w:val="auto"/>
              </w:rPr>
            </w:pPr>
            <w:r>
              <w:rPr>
                <w:rFonts w:ascii="Arial" w:cs="Arial" w:eastAsia="Arial" w:hAnsi="Arial"/>
                <w:sz w:val="18"/>
                <w:szCs w:val="18"/>
                <w:color w:val="auto"/>
              </w:rPr>
              <w:t>Puerto Rico</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People’s Landfill,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Peterson Demolition, Inc.</w:t>
            </w:r>
          </w:p>
        </w:tc>
        <w:tc>
          <w:tcPr>
            <w:tcW w:w="1500" w:type="dxa"/>
            <w:vAlign w:val="bottom"/>
          </w:tcPr>
          <w:p>
            <w:pPr>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Phoenix Resources, Inc.</w:t>
            </w:r>
          </w:p>
        </w:tc>
        <w:tc>
          <w:tcPr>
            <w:tcW w:w="1500" w:type="dxa"/>
            <w:vAlign w:val="bottom"/>
          </w:tcPr>
          <w:p>
            <w:pPr>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Pine Grove Landfill, Inc.</w:t>
            </w:r>
          </w:p>
        </w:tc>
        <w:tc>
          <w:tcPr>
            <w:tcW w:w="1500" w:type="dxa"/>
            <w:vAlign w:val="bottom"/>
          </w:tcPr>
          <w:p>
            <w:pPr>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Pine Tree Acres, Inc.</w:t>
            </w:r>
          </w:p>
        </w:tc>
        <w:tc>
          <w:tcPr>
            <w:tcW w:w="1500" w:type="dxa"/>
            <w:vAlign w:val="bottom"/>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Quail Hollow Landfill,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Questquill Limited</w:t>
            </w:r>
          </w:p>
        </w:tc>
        <w:tc>
          <w:tcPr>
            <w:tcW w:w="1500" w:type="dxa"/>
            <w:vAlign w:val="bottom"/>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R &amp; B Landfill, Inc.</w:t>
            </w:r>
          </w:p>
        </w:tc>
        <w:tc>
          <w:tcPr>
            <w:tcW w:w="1500" w:type="dxa"/>
            <w:vAlign w:val="bottom"/>
          </w:tcPr>
          <w:p>
            <w:pPr>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RAA Colorado, L.L.C.</w:t>
            </w:r>
          </w:p>
        </w:tc>
        <w:tc>
          <w:tcPr>
            <w:tcW w:w="1500" w:type="dxa"/>
            <w:vAlign w:val="bottom"/>
          </w:tcPr>
          <w:p>
            <w:pPr>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RAA Trucking, LLC</w:t>
            </w:r>
          </w:p>
        </w:tc>
        <w:tc>
          <w:tcPr>
            <w:tcW w:w="1500" w:type="dxa"/>
            <w:vAlign w:val="bottom"/>
          </w:tcPr>
          <w:p>
            <w:pPr>
              <w:spacing w:after="0"/>
              <w:rPr>
                <w:sz w:val="20"/>
                <w:szCs w:val="20"/>
                <w:color w:val="auto"/>
              </w:rPr>
            </w:pPr>
            <w:r>
              <w:rPr>
                <w:rFonts w:ascii="Arial" w:cs="Arial" w:eastAsia="Arial" w:hAnsi="Arial"/>
                <w:sz w:val="18"/>
                <w:szCs w:val="18"/>
                <w:color w:val="auto"/>
              </w:rPr>
              <w:t>Wisconsin</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RCI Hudson, Inc.</w:t>
            </w:r>
          </w:p>
        </w:tc>
        <w:tc>
          <w:tcPr>
            <w:tcW w:w="1500" w:type="dxa"/>
            <w:vAlign w:val="bottom"/>
          </w:tcPr>
          <w:p>
            <w:pPr>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Recycle America Co.,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Recycle America Holdings,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Redwood Landfill,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Refuse Services, Inc.</w:t>
            </w:r>
          </w:p>
        </w:tc>
        <w:tc>
          <w:tcPr>
            <w:tcW w:w="1500" w:type="dxa"/>
            <w:vAlign w:val="bottom"/>
          </w:tcPr>
          <w:p>
            <w:pPr>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Refuse, Inc.</w:t>
            </w:r>
          </w:p>
        </w:tc>
        <w:tc>
          <w:tcPr>
            <w:tcW w:w="1500" w:type="dxa"/>
            <w:vAlign w:val="bottom"/>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Reliable Landfill,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Remote Landfill Services, Inc.</w:t>
            </w:r>
          </w:p>
        </w:tc>
        <w:tc>
          <w:tcPr>
            <w:tcW w:w="1500" w:type="dxa"/>
            <w:vAlign w:val="bottom"/>
          </w:tcPr>
          <w:p>
            <w:pPr>
              <w:spacing w:after="0"/>
              <w:rPr>
                <w:sz w:val="20"/>
                <w:szCs w:val="20"/>
                <w:color w:val="auto"/>
              </w:rPr>
            </w:pPr>
            <w:r>
              <w:rPr>
                <w:rFonts w:ascii="Arial" w:cs="Arial" w:eastAsia="Arial" w:hAnsi="Arial"/>
                <w:sz w:val="18"/>
                <w:szCs w:val="18"/>
                <w:color w:val="auto"/>
              </w:rPr>
              <w:t>Tennessee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Reno Disposal Co.</w:t>
            </w:r>
          </w:p>
        </w:tc>
        <w:tc>
          <w:tcPr>
            <w:tcW w:w="1500" w:type="dxa"/>
            <w:vAlign w:val="bottom"/>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Resco Holdings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Resource Control Composting, Inc.</w:t>
            </w:r>
          </w:p>
        </w:tc>
        <w:tc>
          <w:tcPr>
            <w:tcW w:w="1500" w:type="dxa"/>
            <w:vAlign w:val="bottom"/>
          </w:tcPr>
          <w:p>
            <w:pPr>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Resource Control, Inc.</w:t>
            </w:r>
          </w:p>
        </w:tc>
        <w:tc>
          <w:tcPr>
            <w:tcW w:w="1500" w:type="dxa"/>
            <w:vAlign w:val="bottom"/>
          </w:tcPr>
          <w:p>
            <w:pPr>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Richland County Landfill, Inc.</w:t>
            </w:r>
          </w:p>
        </w:tc>
        <w:tc>
          <w:tcPr>
            <w:tcW w:w="1500" w:type="dxa"/>
            <w:vAlign w:val="bottom"/>
          </w:tcPr>
          <w:p>
            <w:pPr>
              <w:spacing w:after="0"/>
              <w:rPr>
                <w:sz w:val="20"/>
                <w:szCs w:val="20"/>
                <w:color w:val="auto"/>
              </w:rPr>
            </w:pPr>
            <w:r>
              <w:rPr>
                <w:rFonts w:ascii="Arial" w:cs="Arial" w:eastAsia="Arial" w:hAnsi="Arial"/>
                <w:sz w:val="18"/>
                <w:szCs w:val="18"/>
                <w:color w:val="auto"/>
              </w:rPr>
              <w:t>South Carolina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Riverbend Landfill Co.</w:t>
            </w:r>
          </w:p>
        </w:tc>
        <w:tc>
          <w:tcPr>
            <w:tcW w:w="1500" w:type="dxa"/>
            <w:vAlign w:val="bottom"/>
          </w:tcPr>
          <w:p>
            <w:pPr>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RTS Landfill,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Rust Engineering &amp; Construction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Rust Engineering (Thailand) Ltd</w:t>
            </w:r>
          </w:p>
        </w:tc>
        <w:tc>
          <w:tcPr>
            <w:tcW w:w="1500" w:type="dxa"/>
            <w:vAlign w:val="bottom"/>
          </w:tcPr>
          <w:p>
            <w:pPr>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Rust International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S &amp; J Landfill Limited Partnership</w:t>
            </w:r>
          </w:p>
        </w:tc>
        <w:tc>
          <w:tcPr>
            <w:tcW w:w="1500" w:type="dxa"/>
            <w:vAlign w:val="bottom"/>
          </w:tcPr>
          <w:p>
            <w:pPr>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S &amp; S Grading, Inc.</w:t>
            </w:r>
          </w:p>
        </w:tc>
        <w:tc>
          <w:tcPr>
            <w:tcW w:w="1500" w:type="dxa"/>
            <w:vAlign w:val="bottom"/>
          </w:tcPr>
          <w:p>
            <w:pPr>
              <w:spacing w:after="0"/>
              <w:rPr>
                <w:sz w:val="20"/>
                <w:szCs w:val="20"/>
                <w:color w:val="auto"/>
              </w:rPr>
            </w:pPr>
            <w:r>
              <w:rPr>
                <w:rFonts w:ascii="Arial" w:cs="Arial" w:eastAsia="Arial" w:hAnsi="Arial"/>
                <w:sz w:val="18"/>
                <w:szCs w:val="18"/>
                <w:color w:val="auto"/>
              </w:rPr>
              <w:t>West Virginia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S&amp;T Materials, LLC</w:t>
            </w:r>
          </w:p>
        </w:tc>
        <w:tc>
          <w:tcPr>
            <w:tcW w:w="1500" w:type="dxa"/>
            <w:vAlign w:val="bottom"/>
          </w:tcPr>
          <w:p>
            <w:pPr>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Sanifill de Mexico (US),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Sanifill de Mexico, S.A. de C.V.</w:t>
            </w:r>
          </w:p>
        </w:tc>
        <w:tc>
          <w:tcPr>
            <w:tcW w:w="1500" w:type="dxa"/>
            <w:vAlign w:val="bottom"/>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SC Holdings, Inc.</w:t>
            </w:r>
          </w:p>
        </w:tc>
        <w:tc>
          <w:tcPr>
            <w:tcW w:w="1500" w:type="dxa"/>
            <w:vAlign w:val="bottom"/>
          </w:tcPr>
          <w:p>
            <w:pPr>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Serubam Servicos Urbanos E Ambientais Ltda</w:t>
            </w:r>
          </w:p>
        </w:tc>
        <w:tc>
          <w:tcPr>
            <w:tcW w:w="1500" w:type="dxa"/>
            <w:vAlign w:val="bottom"/>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SES Bridgeport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Shade Landfill,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Sierra Estrella Landfill, Inc.</w:t>
            </w:r>
          </w:p>
        </w:tc>
        <w:tc>
          <w:tcPr>
            <w:tcW w:w="1500" w:type="dxa"/>
            <w:vAlign w:val="bottom"/>
          </w:tcPr>
          <w:p>
            <w:pPr>
              <w:spacing w:after="0"/>
              <w:rPr>
                <w:sz w:val="20"/>
                <w:szCs w:val="20"/>
                <w:color w:val="auto"/>
              </w:rPr>
            </w:pPr>
            <w:r>
              <w:rPr>
                <w:rFonts w:ascii="Arial" w:cs="Arial" w:eastAsia="Arial" w:hAnsi="Arial"/>
                <w:sz w:val="18"/>
                <w:szCs w:val="18"/>
                <w:color w:val="auto"/>
              </w:rPr>
              <w:t>Arizona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Southern Alleghenies Landfill, Inc.</w:t>
            </w:r>
          </w:p>
        </w:tc>
        <w:tc>
          <w:tcPr>
            <w:tcW w:w="1500" w:type="dxa"/>
            <w:vAlign w:val="bottom"/>
          </w:tcPr>
          <w:p>
            <w:pPr>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Southern One Land Corporation</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219"/>
          </w:cols>
          <w:pgMar w:left="240" w:top="257" w:right="1440" w:bottom="1440" w:gutter="0" w:footer="0" w:header="0"/>
        </w:sectPr>
      </w:pPr>
    </w:p>
    <w:bookmarkStart w:id="169" w:name="page170"/>
    <w:bookmarkEnd w:id="16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500" w:type="dxa"/>
            <w:vAlign w:val="bottom"/>
          </w:tcPr>
          <w:p>
            <w:pPr>
              <w:spacing w:after="0"/>
              <w:rPr>
                <w:sz w:val="20"/>
                <w:szCs w:val="20"/>
                <w:color w:val="auto"/>
              </w:rPr>
            </w:pPr>
            <w:r>
              <w:rPr>
                <w:rFonts w:ascii="Arial" w:cs="Arial" w:eastAsia="Arial" w:hAnsi="Arial"/>
                <w:sz w:val="14"/>
                <w:szCs w:val="14"/>
                <w:b w:val="1"/>
                <w:bCs w:val="1"/>
                <w:i w:val="1"/>
                <w:iCs w:val="1"/>
                <w:color w:val="auto"/>
              </w:rPr>
              <w:t>Jurisdiction of</w:t>
            </w:r>
          </w:p>
        </w:tc>
        <w:tc>
          <w:tcPr>
            <w:tcW w:w="0" w:type="dxa"/>
            <w:vAlign w:val="bottom"/>
          </w:tcPr>
          <w:p>
            <w:pPr>
              <w:spacing w:after="0"/>
              <w:rPr>
                <w:sz w:val="1"/>
                <w:szCs w:val="1"/>
                <w:color w:val="auto"/>
              </w:rPr>
            </w:pPr>
          </w:p>
        </w:tc>
      </w:tr>
      <w:tr>
        <w:trPr>
          <w:trHeight w:val="167"/>
        </w:trPr>
        <w:tc>
          <w:tcPr>
            <w:tcW w:w="8700" w:type="dxa"/>
            <w:vAlign w:val="bottom"/>
            <w:gridSpan w:val="2"/>
          </w:tcPr>
          <w:p>
            <w:pPr>
              <w:spacing w:after="0" w:line="147" w:lineRule="exact"/>
              <w:rPr>
                <w:sz w:val="20"/>
                <w:szCs w:val="20"/>
                <w:color w:val="auto"/>
              </w:rPr>
            </w:pPr>
            <w:r>
              <w:rPr>
                <w:rFonts w:ascii="Arial" w:cs="Arial" w:eastAsia="Arial" w:hAnsi="Arial"/>
                <w:sz w:val="14"/>
                <w:szCs w:val="14"/>
                <w:b w:val="1"/>
                <w:bCs w:val="1"/>
                <w:i w:val="1"/>
                <w:iCs w:val="1"/>
                <w:color w:val="auto"/>
              </w:rPr>
              <w:t>Name</w:t>
            </w:r>
          </w:p>
        </w:tc>
        <w:tc>
          <w:tcPr>
            <w:tcW w:w="1500" w:type="dxa"/>
            <w:vAlign w:val="bottom"/>
            <w:tcBorders>
              <w:bottom w:val="single" w:sz="8" w:color="auto"/>
            </w:tcBorders>
          </w:tcPr>
          <w:p>
            <w:pPr>
              <w:spacing w:after="0" w:line="147" w:lineRule="exact"/>
              <w:rPr>
                <w:sz w:val="20"/>
                <w:szCs w:val="20"/>
                <w:color w:val="auto"/>
              </w:rPr>
            </w:pPr>
            <w:r>
              <w:rPr>
                <w:rFonts w:ascii="Arial" w:cs="Arial" w:eastAsia="Arial" w:hAnsi="Arial"/>
                <w:sz w:val="14"/>
                <w:szCs w:val="14"/>
                <w:b w:val="1"/>
                <w:bCs w:val="1"/>
                <w:i w:val="1"/>
                <w:iCs w:val="1"/>
                <w:color w:val="auto"/>
                <w:w w:val="91"/>
              </w:rPr>
              <w:t>Incorporation/Formation</w:t>
            </w: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500" w:type="dxa"/>
            <w:vAlign w:val="bottom"/>
            <w:vMerge w:val="restart"/>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line="20" w:lineRule="exact"/>
              <w:rPr>
                <w:sz w:val="1"/>
                <w:szCs w:val="1"/>
                <w:color w:val="auto"/>
              </w:rPr>
            </w:pPr>
          </w:p>
        </w:tc>
      </w:tr>
      <w:tr>
        <w:trPr>
          <w:trHeight w:val="182"/>
        </w:trPr>
        <w:tc>
          <w:tcPr>
            <w:tcW w:w="8700" w:type="dxa"/>
            <w:vAlign w:val="bottom"/>
            <w:gridSpan w:val="2"/>
          </w:tcPr>
          <w:p>
            <w:pPr>
              <w:spacing w:after="0" w:line="182" w:lineRule="exact"/>
              <w:rPr>
                <w:sz w:val="20"/>
                <w:szCs w:val="20"/>
                <w:color w:val="auto"/>
              </w:rPr>
            </w:pPr>
            <w:r>
              <w:rPr>
                <w:rFonts w:ascii="Arial" w:cs="Arial" w:eastAsia="Arial" w:hAnsi="Arial"/>
                <w:sz w:val="18"/>
                <w:szCs w:val="18"/>
                <w:color w:val="auto"/>
              </w:rPr>
              <w:t>Southern Waste Services, L.L.C.</w:t>
            </w: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Spruce Ridge, Inc.</w:t>
            </w:r>
          </w:p>
        </w:tc>
        <w:tc>
          <w:tcPr>
            <w:tcW w:w="1500" w:type="dxa"/>
            <w:vAlign w:val="bottom"/>
          </w:tcPr>
          <w:p>
            <w:pPr>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Stony Hollow Landfill,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Suburban Landfill,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Swire Waste Management Limited</w:t>
            </w:r>
          </w:p>
        </w:tc>
        <w:tc>
          <w:tcPr>
            <w:tcW w:w="1500" w:type="dxa"/>
            <w:vAlign w:val="bottom"/>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Texarkana Landfill,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Texas Pack Rat - Austin #1 LLC</w:t>
            </w:r>
          </w:p>
        </w:tc>
        <w:tc>
          <w:tcPr>
            <w:tcW w:w="1500" w:type="dxa"/>
            <w:vAlign w:val="bottom"/>
          </w:tcPr>
          <w:p>
            <w:pPr>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Texas Pack Rat - Dallas #1 LLC</w:t>
            </w:r>
          </w:p>
        </w:tc>
        <w:tc>
          <w:tcPr>
            <w:tcW w:w="1500" w:type="dxa"/>
            <w:vAlign w:val="bottom"/>
          </w:tcPr>
          <w:p>
            <w:pPr>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Texas Pack Rat - Houston #1 LLC</w:t>
            </w:r>
          </w:p>
        </w:tc>
        <w:tc>
          <w:tcPr>
            <w:tcW w:w="1500" w:type="dxa"/>
            <w:vAlign w:val="bottom"/>
          </w:tcPr>
          <w:p>
            <w:pPr>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Texas Pack Rat - Houston #2 LLC</w:t>
            </w:r>
          </w:p>
        </w:tc>
        <w:tc>
          <w:tcPr>
            <w:tcW w:w="1500" w:type="dxa"/>
            <w:vAlign w:val="bottom"/>
          </w:tcPr>
          <w:p>
            <w:pPr>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Texas Pack Rat - Houston #3 LLC</w:t>
            </w:r>
          </w:p>
        </w:tc>
        <w:tc>
          <w:tcPr>
            <w:tcW w:w="1500" w:type="dxa"/>
            <w:vAlign w:val="bottom"/>
          </w:tcPr>
          <w:p>
            <w:pPr>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Texas Pack Rat - San Antonio #1 LLC</w:t>
            </w:r>
          </w:p>
        </w:tc>
        <w:tc>
          <w:tcPr>
            <w:tcW w:w="1500" w:type="dxa"/>
            <w:vAlign w:val="bottom"/>
          </w:tcPr>
          <w:p>
            <w:pPr>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Texas Pack Rat Service Company LLC</w:t>
            </w:r>
          </w:p>
        </w:tc>
        <w:tc>
          <w:tcPr>
            <w:tcW w:w="1500" w:type="dxa"/>
            <w:vAlign w:val="bottom"/>
          </w:tcPr>
          <w:p>
            <w:pPr>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The Peltz Group, LLC</w:t>
            </w:r>
          </w:p>
        </w:tc>
        <w:tc>
          <w:tcPr>
            <w:tcW w:w="1500" w:type="dxa"/>
            <w:vAlign w:val="bottom"/>
          </w:tcPr>
          <w:p>
            <w:pPr>
              <w:spacing w:after="0"/>
              <w:rPr>
                <w:sz w:val="20"/>
                <w:szCs w:val="20"/>
                <w:color w:val="auto"/>
              </w:rPr>
            </w:pPr>
            <w:r>
              <w:rPr>
                <w:rFonts w:ascii="Arial" w:cs="Arial" w:eastAsia="Arial" w:hAnsi="Arial"/>
                <w:sz w:val="18"/>
                <w:szCs w:val="18"/>
                <w:color w:val="auto"/>
              </w:rPr>
              <w:t>Wisconsin</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The Waste Management Charitable Foundation</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The Woodlands of Van Buren,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Thermal Remediation Solutions, L.L.C.</w:t>
            </w:r>
          </w:p>
        </w:tc>
        <w:tc>
          <w:tcPr>
            <w:tcW w:w="1500" w:type="dxa"/>
            <w:vAlign w:val="bottom"/>
          </w:tcPr>
          <w:p>
            <w:pPr>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TN’T Sands, Inc.</w:t>
            </w:r>
          </w:p>
        </w:tc>
        <w:tc>
          <w:tcPr>
            <w:tcW w:w="1500" w:type="dxa"/>
            <w:vAlign w:val="bottom"/>
          </w:tcPr>
          <w:p>
            <w:pPr>
              <w:spacing w:after="0"/>
              <w:rPr>
                <w:sz w:val="20"/>
                <w:szCs w:val="20"/>
                <w:color w:val="auto"/>
              </w:rPr>
            </w:pPr>
            <w:r>
              <w:rPr>
                <w:rFonts w:ascii="Arial" w:cs="Arial" w:eastAsia="Arial" w:hAnsi="Arial"/>
                <w:sz w:val="18"/>
                <w:szCs w:val="18"/>
                <w:color w:val="auto"/>
              </w:rPr>
              <w:t>South Carolina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Trail Ridge Landfill,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Transamerican Waste Central Landfill,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Trash Hunters, Inc.</w:t>
            </w:r>
          </w:p>
        </w:tc>
        <w:tc>
          <w:tcPr>
            <w:tcW w:w="1500" w:type="dxa"/>
            <w:vAlign w:val="bottom"/>
          </w:tcPr>
          <w:p>
            <w:pPr>
              <w:spacing w:after="0"/>
              <w:rPr>
                <w:sz w:val="20"/>
                <w:szCs w:val="20"/>
                <w:color w:val="auto"/>
              </w:rPr>
            </w:pPr>
            <w:r>
              <w:rPr>
                <w:rFonts w:ascii="Arial" w:cs="Arial" w:eastAsia="Arial" w:hAnsi="Arial"/>
                <w:sz w:val="18"/>
                <w:szCs w:val="18"/>
                <w:color w:val="auto"/>
              </w:rPr>
              <w:t>Mississippi</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TrashCo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TX Newco,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United Waste Systems Leasing, Inc.</w:t>
            </w:r>
          </w:p>
        </w:tc>
        <w:tc>
          <w:tcPr>
            <w:tcW w:w="1500" w:type="dxa"/>
            <w:vAlign w:val="bottom"/>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USA South Hills Landfill, Inc.</w:t>
            </w:r>
          </w:p>
        </w:tc>
        <w:tc>
          <w:tcPr>
            <w:tcW w:w="1500" w:type="dxa"/>
            <w:vAlign w:val="bottom"/>
          </w:tcPr>
          <w:p>
            <w:pPr>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USA Valley Facility,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USA Waste Geneva Landfill,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USA Waste Landfill Operations and Transfer, Inc.</w:t>
            </w:r>
          </w:p>
        </w:tc>
        <w:tc>
          <w:tcPr>
            <w:tcW w:w="1500" w:type="dxa"/>
            <w:vAlign w:val="bottom"/>
          </w:tcPr>
          <w:p>
            <w:pPr>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USA Waste of California,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USA Waste of Texas Landfills,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USA Waste of Virginia Landfills,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USA Waste Services of NYC,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USA Waste-Management Resources, LLC</w:t>
            </w:r>
          </w:p>
        </w:tc>
        <w:tc>
          <w:tcPr>
            <w:tcW w:w="1500" w:type="dxa"/>
            <w:vAlign w:val="bottom"/>
          </w:tcPr>
          <w:p>
            <w:pPr>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USA-Crinc,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UWS Barre, Inc.</w:t>
            </w:r>
          </w:p>
        </w:tc>
        <w:tc>
          <w:tcPr>
            <w:tcW w:w="1500" w:type="dxa"/>
            <w:vAlign w:val="bottom"/>
          </w:tcPr>
          <w:p>
            <w:pPr>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Valley Garbage and Rubbish Company, Inc.</w:t>
            </w:r>
          </w:p>
        </w:tc>
        <w:tc>
          <w:tcPr>
            <w:tcW w:w="1500" w:type="dxa"/>
            <w:vAlign w:val="bottom"/>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Vern’s Refuse Service, Inc.</w:t>
            </w:r>
          </w:p>
        </w:tc>
        <w:tc>
          <w:tcPr>
            <w:tcW w:w="1500" w:type="dxa"/>
            <w:vAlign w:val="bottom"/>
          </w:tcPr>
          <w:p>
            <w:pPr>
              <w:spacing w:after="0"/>
              <w:rPr>
                <w:sz w:val="20"/>
                <w:szCs w:val="20"/>
                <w:color w:val="auto"/>
              </w:rPr>
            </w:pPr>
            <w:r>
              <w:rPr>
                <w:rFonts w:ascii="Arial" w:cs="Arial" w:eastAsia="Arial" w:hAnsi="Arial"/>
                <w:sz w:val="18"/>
                <w:szCs w:val="18"/>
                <w:color w:val="auto"/>
              </w:rPr>
              <w:t>North Dakota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Vickery Environmental, Inc.</w:t>
            </w:r>
          </w:p>
        </w:tc>
        <w:tc>
          <w:tcPr>
            <w:tcW w:w="1500" w:type="dxa"/>
            <w:vAlign w:val="bottom"/>
          </w:tcPr>
          <w:p>
            <w:pPr>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Vista Landfill, LLC</w:t>
            </w:r>
          </w:p>
        </w:tc>
        <w:tc>
          <w:tcPr>
            <w:tcW w:w="1500" w:type="dxa"/>
            <w:vAlign w:val="bottom"/>
          </w:tcPr>
          <w:p>
            <w:pPr>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Voyageur Disposal Processing, Inc.</w:t>
            </w:r>
          </w:p>
        </w:tc>
        <w:tc>
          <w:tcPr>
            <w:tcW w:w="1500" w:type="dxa"/>
            <w:vAlign w:val="bottom"/>
          </w:tcPr>
          <w:p>
            <w:pPr>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Warner Company</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Away Group, Inc.</w:t>
            </w:r>
          </w:p>
        </w:tc>
        <w:tc>
          <w:tcPr>
            <w:tcW w:w="1500" w:type="dxa"/>
            <w:vAlign w:val="bottom"/>
          </w:tcPr>
          <w:p>
            <w:pPr>
              <w:spacing w:after="0"/>
              <w:rPr>
                <w:sz w:val="20"/>
                <w:szCs w:val="20"/>
                <w:color w:val="auto"/>
              </w:rPr>
            </w:pPr>
            <w:r>
              <w:rPr>
                <w:rFonts w:ascii="Arial" w:cs="Arial" w:eastAsia="Arial" w:hAnsi="Arial"/>
                <w:sz w:val="18"/>
                <w:szCs w:val="18"/>
                <w:color w:val="auto"/>
              </w:rPr>
              <w:t>Alabama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Arizona Landfills,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Buckeye,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219"/>
          </w:cols>
          <w:pgMar w:left="240" w:top="257" w:right="1440" w:bottom="1440" w:gutter="0" w:footer="0" w:header="0"/>
        </w:sectPr>
      </w:pPr>
    </w:p>
    <w:bookmarkStart w:id="170" w:name="page171"/>
    <w:bookmarkEnd w:id="17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500" w:type="dxa"/>
            <w:vAlign w:val="bottom"/>
          </w:tcPr>
          <w:p>
            <w:pPr>
              <w:spacing w:after="0"/>
              <w:rPr>
                <w:sz w:val="20"/>
                <w:szCs w:val="20"/>
                <w:color w:val="auto"/>
              </w:rPr>
            </w:pPr>
            <w:r>
              <w:rPr>
                <w:rFonts w:ascii="Arial" w:cs="Arial" w:eastAsia="Arial" w:hAnsi="Arial"/>
                <w:sz w:val="14"/>
                <w:szCs w:val="14"/>
                <w:b w:val="1"/>
                <w:bCs w:val="1"/>
                <w:i w:val="1"/>
                <w:iCs w:val="1"/>
                <w:color w:val="auto"/>
              </w:rPr>
              <w:t>Jurisdiction of</w:t>
            </w:r>
          </w:p>
        </w:tc>
        <w:tc>
          <w:tcPr>
            <w:tcW w:w="0" w:type="dxa"/>
            <w:vAlign w:val="bottom"/>
          </w:tcPr>
          <w:p>
            <w:pPr>
              <w:spacing w:after="0"/>
              <w:rPr>
                <w:sz w:val="1"/>
                <w:szCs w:val="1"/>
                <w:color w:val="auto"/>
              </w:rPr>
            </w:pPr>
          </w:p>
        </w:tc>
      </w:tr>
      <w:tr>
        <w:trPr>
          <w:trHeight w:val="167"/>
        </w:trPr>
        <w:tc>
          <w:tcPr>
            <w:tcW w:w="8700" w:type="dxa"/>
            <w:vAlign w:val="bottom"/>
            <w:gridSpan w:val="2"/>
          </w:tcPr>
          <w:p>
            <w:pPr>
              <w:spacing w:after="0" w:line="147" w:lineRule="exact"/>
              <w:rPr>
                <w:sz w:val="20"/>
                <w:szCs w:val="20"/>
                <w:color w:val="auto"/>
              </w:rPr>
            </w:pPr>
            <w:r>
              <w:rPr>
                <w:rFonts w:ascii="Arial" w:cs="Arial" w:eastAsia="Arial" w:hAnsi="Arial"/>
                <w:sz w:val="14"/>
                <w:szCs w:val="14"/>
                <w:b w:val="1"/>
                <w:bCs w:val="1"/>
                <w:i w:val="1"/>
                <w:iCs w:val="1"/>
                <w:color w:val="auto"/>
              </w:rPr>
              <w:t>Name</w:t>
            </w:r>
          </w:p>
        </w:tc>
        <w:tc>
          <w:tcPr>
            <w:tcW w:w="1500" w:type="dxa"/>
            <w:vAlign w:val="bottom"/>
            <w:tcBorders>
              <w:bottom w:val="single" w:sz="8" w:color="auto"/>
            </w:tcBorders>
          </w:tcPr>
          <w:p>
            <w:pPr>
              <w:spacing w:after="0" w:line="147" w:lineRule="exact"/>
              <w:rPr>
                <w:sz w:val="20"/>
                <w:szCs w:val="20"/>
                <w:color w:val="auto"/>
              </w:rPr>
            </w:pPr>
            <w:r>
              <w:rPr>
                <w:rFonts w:ascii="Arial" w:cs="Arial" w:eastAsia="Arial" w:hAnsi="Arial"/>
                <w:sz w:val="14"/>
                <w:szCs w:val="14"/>
                <w:b w:val="1"/>
                <w:bCs w:val="1"/>
                <w:i w:val="1"/>
                <w:iCs w:val="1"/>
                <w:color w:val="auto"/>
                <w:w w:val="91"/>
              </w:rPr>
              <w:t>Incorporation/Formation</w:t>
            </w: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340" w:type="dxa"/>
            <w:vAlign w:val="bottom"/>
            <w:vMerge w:val="restart"/>
          </w:tcPr>
          <w:p>
            <w:pPr>
              <w:ind w:left="120"/>
              <w:spacing w:after="0"/>
              <w:rPr>
                <w:sz w:val="20"/>
                <w:szCs w:val="20"/>
                <w:color w:val="auto"/>
              </w:rPr>
            </w:pPr>
            <w:r>
              <w:rPr>
                <w:rFonts w:ascii="Arial" w:cs="Arial" w:eastAsia="Arial" w:hAnsi="Arial"/>
                <w:sz w:val="18"/>
                <w:szCs w:val="18"/>
                <w:color w:val="auto"/>
              </w:rPr>
              <w:t>Management Collection and Recycling, Inc.</w:t>
            </w:r>
          </w:p>
        </w:tc>
        <w:tc>
          <w:tcPr>
            <w:tcW w:w="1500" w:type="dxa"/>
            <w:vAlign w:val="bottom"/>
            <w:vMerge w:val="restart"/>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line="20" w:lineRule="exact"/>
              <w:rPr>
                <w:sz w:val="1"/>
                <w:szCs w:val="1"/>
                <w:color w:val="auto"/>
              </w:rPr>
            </w:pPr>
          </w:p>
        </w:tc>
      </w:tr>
      <w:tr>
        <w:trPr>
          <w:trHeight w:val="182"/>
        </w:trPr>
        <w:tc>
          <w:tcPr>
            <w:tcW w:w="360" w:type="dxa"/>
            <w:vAlign w:val="bottom"/>
          </w:tcPr>
          <w:p>
            <w:pPr>
              <w:spacing w:after="0" w:line="182" w:lineRule="exact"/>
              <w:rPr>
                <w:sz w:val="20"/>
                <w:szCs w:val="20"/>
                <w:color w:val="auto"/>
              </w:rPr>
            </w:pPr>
            <w:r>
              <w:rPr>
                <w:rFonts w:ascii="Arial" w:cs="Arial" w:eastAsia="Arial" w:hAnsi="Arial"/>
                <w:sz w:val="17"/>
                <w:szCs w:val="17"/>
                <w:color w:val="auto"/>
                <w:w w:val="70"/>
              </w:rPr>
              <w:t>Waste</w:t>
            </w:r>
          </w:p>
        </w:tc>
        <w:tc>
          <w:tcPr>
            <w:tcW w:w="834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Disposal Services of Colorado, Inc.</w:t>
            </w:r>
          </w:p>
        </w:tc>
        <w:tc>
          <w:tcPr>
            <w:tcW w:w="1500" w:type="dxa"/>
            <w:vAlign w:val="bottom"/>
          </w:tcPr>
          <w:p>
            <w:pPr>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Disposal Services of Maine, Inc.</w:t>
            </w:r>
          </w:p>
        </w:tc>
        <w:tc>
          <w:tcPr>
            <w:tcW w:w="1500" w:type="dxa"/>
            <w:vAlign w:val="bottom"/>
          </w:tcPr>
          <w:p>
            <w:pPr>
              <w:spacing w:after="0"/>
              <w:rPr>
                <w:sz w:val="20"/>
                <w:szCs w:val="20"/>
                <w:color w:val="auto"/>
              </w:rPr>
            </w:pPr>
            <w:r>
              <w:rPr>
                <w:rFonts w:ascii="Arial" w:cs="Arial" w:eastAsia="Arial" w:hAnsi="Arial"/>
                <w:sz w:val="18"/>
                <w:szCs w:val="18"/>
                <w:color w:val="auto"/>
              </w:rPr>
              <w:t>Maine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Disposal Services of Maryland, Inc.</w:t>
            </w:r>
          </w:p>
        </w:tc>
        <w:tc>
          <w:tcPr>
            <w:tcW w:w="1500" w:type="dxa"/>
            <w:vAlign w:val="bottom"/>
          </w:tcPr>
          <w:p>
            <w:pPr>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Disposal Services of Massachusetts, Inc.</w:t>
            </w:r>
          </w:p>
        </w:tc>
        <w:tc>
          <w:tcPr>
            <w:tcW w:w="1500" w:type="dxa"/>
            <w:vAlign w:val="bottom"/>
          </w:tcPr>
          <w:p>
            <w:pPr>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Disposal Services of Oregon,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Disposal Services of Pennsylvania, Inc.</w:t>
            </w:r>
          </w:p>
        </w:tc>
        <w:tc>
          <w:tcPr>
            <w:tcW w:w="1500" w:type="dxa"/>
            <w:vAlign w:val="bottom"/>
          </w:tcPr>
          <w:p>
            <w:pPr>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Disposal Services of Virginia,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Holdings,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Inc. of Florida</w:t>
            </w:r>
          </w:p>
        </w:tc>
        <w:tc>
          <w:tcPr>
            <w:tcW w:w="1500" w:type="dxa"/>
            <w:vAlign w:val="bottom"/>
          </w:tcPr>
          <w:p>
            <w:pPr>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Indycoke,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International,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National Services,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Alameda County, Inc.</w:t>
            </w:r>
          </w:p>
        </w:tc>
        <w:tc>
          <w:tcPr>
            <w:tcW w:w="1500" w:type="dxa"/>
            <w:vAlign w:val="bottom"/>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Alaska,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Arizona, Inc.</w:t>
            </w:r>
          </w:p>
        </w:tc>
        <w:tc>
          <w:tcPr>
            <w:tcW w:w="1500" w:type="dxa"/>
            <w:vAlign w:val="bottom"/>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Arkansas,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California, Inc.</w:t>
            </w:r>
          </w:p>
        </w:tc>
        <w:tc>
          <w:tcPr>
            <w:tcW w:w="1500" w:type="dxa"/>
            <w:vAlign w:val="bottom"/>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Canada Corporation</w:t>
            </w:r>
          </w:p>
        </w:tc>
        <w:tc>
          <w:tcPr>
            <w:tcW w:w="1500" w:type="dxa"/>
            <w:vAlign w:val="bottom"/>
          </w:tcPr>
          <w:p>
            <w:pPr>
              <w:spacing w:after="0"/>
              <w:rPr>
                <w:sz w:val="20"/>
                <w:szCs w:val="20"/>
                <w:color w:val="auto"/>
              </w:rPr>
            </w:pPr>
            <w:r>
              <w:rPr>
                <w:rFonts w:ascii="Arial" w:cs="Arial" w:eastAsia="Arial" w:hAnsi="Arial"/>
                <w:sz w:val="18"/>
                <w:szCs w:val="18"/>
                <w:color w:val="auto"/>
              </w:rPr>
              <w:t>Nova Scotia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Carolinas, Inc.</w:t>
            </w:r>
          </w:p>
        </w:tc>
        <w:tc>
          <w:tcPr>
            <w:tcW w:w="1500" w:type="dxa"/>
            <w:vAlign w:val="bottom"/>
          </w:tcPr>
          <w:p>
            <w:pPr>
              <w:spacing w:after="0"/>
              <w:rPr>
                <w:sz w:val="20"/>
                <w:szCs w:val="20"/>
                <w:color w:val="auto"/>
              </w:rPr>
            </w:pPr>
            <w:r>
              <w:rPr>
                <w:rFonts w:ascii="Arial" w:cs="Arial" w:eastAsia="Arial" w:hAnsi="Arial"/>
                <w:sz w:val="18"/>
                <w:szCs w:val="18"/>
                <w:color w:val="auto"/>
              </w:rPr>
              <w:t>North Carolina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Colorado, Inc.</w:t>
            </w:r>
          </w:p>
        </w:tc>
        <w:tc>
          <w:tcPr>
            <w:tcW w:w="1500" w:type="dxa"/>
            <w:vAlign w:val="bottom"/>
          </w:tcPr>
          <w:p>
            <w:pPr>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Connecticut,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Delaware,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Fairless,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Five Oaks Recycling and Disposal Facility,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Georgia, Inc.</w:t>
            </w:r>
          </w:p>
        </w:tc>
        <w:tc>
          <w:tcPr>
            <w:tcW w:w="1500" w:type="dxa"/>
            <w:vAlign w:val="bottom"/>
          </w:tcPr>
          <w:p>
            <w:pPr>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Hawaii,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Idaho, Inc.</w:t>
            </w:r>
          </w:p>
        </w:tc>
        <w:tc>
          <w:tcPr>
            <w:tcW w:w="1500" w:type="dxa"/>
            <w:vAlign w:val="bottom"/>
          </w:tcPr>
          <w:p>
            <w:pPr>
              <w:spacing w:after="0"/>
              <w:rPr>
                <w:sz w:val="20"/>
                <w:szCs w:val="20"/>
                <w:color w:val="auto"/>
              </w:rPr>
            </w:pPr>
            <w:r>
              <w:rPr>
                <w:rFonts w:ascii="Arial" w:cs="Arial" w:eastAsia="Arial" w:hAnsi="Arial"/>
                <w:sz w:val="18"/>
                <w:szCs w:val="18"/>
                <w:color w:val="auto"/>
              </w:rPr>
              <w:t>Idaho</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Illinois,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Indiana Holdings One,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Indiana Holdings Two,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Indiana,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Iowa, Inc.</w:t>
            </w:r>
          </w:p>
        </w:tc>
        <w:tc>
          <w:tcPr>
            <w:tcW w:w="1500" w:type="dxa"/>
            <w:vAlign w:val="bottom"/>
          </w:tcPr>
          <w:p>
            <w:pPr>
              <w:spacing w:after="0"/>
              <w:rPr>
                <w:sz w:val="20"/>
                <w:szCs w:val="20"/>
                <w:color w:val="auto"/>
              </w:rPr>
            </w:pPr>
            <w:r>
              <w:rPr>
                <w:rFonts w:ascii="Arial" w:cs="Arial" w:eastAsia="Arial" w:hAnsi="Arial"/>
                <w:sz w:val="18"/>
                <w:szCs w:val="18"/>
                <w:color w:val="auto"/>
              </w:rPr>
              <w:t>Iowa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Kansas, Inc.</w:t>
            </w:r>
          </w:p>
        </w:tc>
        <w:tc>
          <w:tcPr>
            <w:tcW w:w="1500" w:type="dxa"/>
            <w:vAlign w:val="bottom"/>
          </w:tcPr>
          <w:p>
            <w:pPr>
              <w:spacing w:after="0"/>
              <w:rPr>
                <w:sz w:val="20"/>
                <w:szCs w:val="20"/>
                <w:color w:val="auto"/>
              </w:rPr>
            </w:pPr>
            <w:r>
              <w:rPr>
                <w:rFonts w:ascii="Arial" w:cs="Arial" w:eastAsia="Arial" w:hAnsi="Arial"/>
                <w:sz w:val="18"/>
                <w:szCs w:val="18"/>
                <w:color w:val="auto"/>
              </w:rPr>
              <w:t>Kansas</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Kentucky Holdings,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Kentucky,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Leon County, Inc.</w:t>
            </w:r>
          </w:p>
        </w:tc>
        <w:tc>
          <w:tcPr>
            <w:tcW w:w="1500" w:type="dxa"/>
            <w:vAlign w:val="bottom"/>
          </w:tcPr>
          <w:p>
            <w:pPr>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Londonderry,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Louisiana Holdings One,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Louisiana,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Maine, Inc.</w:t>
            </w:r>
          </w:p>
        </w:tc>
        <w:tc>
          <w:tcPr>
            <w:tcW w:w="1500" w:type="dxa"/>
            <w:vAlign w:val="bottom"/>
          </w:tcPr>
          <w:p>
            <w:pPr>
              <w:spacing w:after="0"/>
              <w:rPr>
                <w:sz w:val="20"/>
                <w:szCs w:val="20"/>
                <w:color w:val="auto"/>
              </w:rPr>
            </w:pPr>
            <w:r>
              <w:rPr>
                <w:rFonts w:ascii="Arial" w:cs="Arial" w:eastAsia="Arial" w:hAnsi="Arial"/>
                <w:sz w:val="18"/>
                <w:szCs w:val="18"/>
                <w:color w:val="auto"/>
              </w:rPr>
              <w:t>Maine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Maryland, Inc.</w:t>
            </w:r>
          </w:p>
        </w:tc>
        <w:tc>
          <w:tcPr>
            <w:tcW w:w="1500" w:type="dxa"/>
            <w:vAlign w:val="bottom"/>
          </w:tcPr>
          <w:p>
            <w:pPr>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Massachusetts, Inc.</w:t>
            </w:r>
          </w:p>
        </w:tc>
        <w:tc>
          <w:tcPr>
            <w:tcW w:w="1500" w:type="dxa"/>
            <w:vAlign w:val="bottom"/>
          </w:tcPr>
          <w:p>
            <w:pPr>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Metro Atlanta, Inc.</w:t>
            </w:r>
          </w:p>
        </w:tc>
        <w:tc>
          <w:tcPr>
            <w:tcW w:w="1500" w:type="dxa"/>
            <w:vAlign w:val="bottom"/>
          </w:tcPr>
          <w:p>
            <w:pPr>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bl>
    <w:p>
      <w:pPr>
        <w:sectPr>
          <w:pgSz w:w="11900" w:h="16838" w:orient="portrait"/>
          <w:cols w:equalWidth="0" w:num="1">
            <w:col w:w="10219"/>
          </w:cols>
          <w:pgMar w:left="240" w:top="257" w:right="1440" w:bottom="1440" w:gutter="0" w:footer="0" w:header="0"/>
        </w:sectPr>
      </w:pPr>
    </w:p>
    <w:bookmarkStart w:id="171" w:name="page172"/>
    <w:bookmarkEnd w:id="17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500" w:type="dxa"/>
            <w:vAlign w:val="bottom"/>
          </w:tcPr>
          <w:p>
            <w:pPr>
              <w:spacing w:after="0"/>
              <w:rPr>
                <w:sz w:val="20"/>
                <w:szCs w:val="20"/>
                <w:color w:val="auto"/>
              </w:rPr>
            </w:pPr>
            <w:r>
              <w:rPr>
                <w:rFonts w:ascii="Arial" w:cs="Arial" w:eastAsia="Arial" w:hAnsi="Arial"/>
                <w:sz w:val="14"/>
                <w:szCs w:val="14"/>
                <w:b w:val="1"/>
                <w:bCs w:val="1"/>
                <w:i w:val="1"/>
                <w:iCs w:val="1"/>
                <w:color w:val="auto"/>
              </w:rPr>
              <w:t>Jurisdiction of</w:t>
            </w:r>
          </w:p>
        </w:tc>
        <w:tc>
          <w:tcPr>
            <w:tcW w:w="0" w:type="dxa"/>
            <w:vAlign w:val="bottom"/>
          </w:tcPr>
          <w:p>
            <w:pPr>
              <w:spacing w:after="0"/>
              <w:rPr>
                <w:sz w:val="1"/>
                <w:szCs w:val="1"/>
                <w:color w:val="auto"/>
              </w:rPr>
            </w:pPr>
          </w:p>
        </w:tc>
      </w:tr>
      <w:tr>
        <w:trPr>
          <w:trHeight w:val="167"/>
        </w:trPr>
        <w:tc>
          <w:tcPr>
            <w:tcW w:w="8700" w:type="dxa"/>
            <w:vAlign w:val="bottom"/>
            <w:gridSpan w:val="2"/>
          </w:tcPr>
          <w:p>
            <w:pPr>
              <w:spacing w:after="0" w:line="147" w:lineRule="exact"/>
              <w:rPr>
                <w:sz w:val="20"/>
                <w:szCs w:val="20"/>
                <w:color w:val="auto"/>
              </w:rPr>
            </w:pPr>
            <w:r>
              <w:rPr>
                <w:rFonts w:ascii="Arial" w:cs="Arial" w:eastAsia="Arial" w:hAnsi="Arial"/>
                <w:sz w:val="14"/>
                <w:szCs w:val="14"/>
                <w:b w:val="1"/>
                <w:bCs w:val="1"/>
                <w:i w:val="1"/>
                <w:iCs w:val="1"/>
                <w:color w:val="auto"/>
              </w:rPr>
              <w:t>Name</w:t>
            </w:r>
          </w:p>
        </w:tc>
        <w:tc>
          <w:tcPr>
            <w:tcW w:w="1500" w:type="dxa"/>
            <w:vAlign w:val="bottom"/>
            <w:tcBorders>
              <w:bottom w:val="single" w:sz="8" w:color="auto"/>
            </w:tcBorders>
          </w:tcPr>
          <w:p>
            <w:pPr>
              <w:spacing w:after="0" w:line="147" w:lineRule="exact"/>
              <w:rPr>
                <w:sz w:val="20"/>
                <w:szCs w:val="20"/>
                <w:color w:val="auto"/>
              </w:rPr>
            </w:pPr>
            <w:r>
              <w:rPr>
                <w:rFonts w:ascii="Arial" w:cs="Arial" w:eastAsia="Arial" w:hAnsi="Arial"/>
                <w:sz w:val="14"/>
                <w:szCs w:val="14"/>
                <w:b w:val="1"/>
                <w:bCs w:val="1"/>
                <w:i w:val="1"/>
                <w:iCs w:val="1"/>
                <w:color w:val="auto"/>
                <w:w w:val="91"/>
              </w:rPr>
              <w:t>Incorporation/Formation</w:t>
            </w: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340" w:type="dxa"/>
            <w:vAlign w:val="bottom"/>
            <w:vMerge w:val="restart"/>
          </w:tcPr>
          <w:p>
            <w:pPr>
              <w:ind w:left="120"/>
              <w:spacing w:after="0"/>
              <w:rPr>
                <w:sz w:val="20"/>
                <w:szCs w:val="20"/>
                <w:color w:val="auto"/>
              </w:rPr>
            </w:pPr>
            <w:r>
              <w:rPr>
                <w:rFonts w:ascii="Arial" w:cs="Arial" w:eastAsia="Arial" w:hAnsi="Arial"/>
                <w:sz w:val="18"/>
                <w:szCs w:val="18"/>
                <w:color w:val="auto"/>
              </w:rPr>
              <w:t>Management of Michigan, Inc.</w:t>
            </w:r>
          </w:p>
        </w:tc>
        <w:tc>
          <w:tcPr>
            <w:tcW w:w="1500" w:type="dxa"/>
            <w:vAlign w:val="bottom"/>
            <w:vMerge w:val="restart"/>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line="20" w:lineRule="exact"/>
              <w:rPr>
                <w:sz w:val="1"/>
                <w:szCs w:val="1"/>
                <w:color w:val="auto"/>
              </w:rPr>
            </w:pPr>
          </w:p>
        </w:tc>
      </w:tr>
      <w:tr>
        <w:trPr>
          <w:trHeight w:val="182"/>
        </w:trPr>
        <w:tc>
          <w:tcPr>
            <w:tcW w:w="360" w:type="dxa"/>
            <w:vAlign w:val="bottom"/>
          </w:tcPr>
          <w:p>
            <w:pPr>
              <w:spacing w:after="0" w:line="182" w:lineRule="exact"/>
              <w:rPr>
                <w:sz w:val="20"/>
                <w:szCs w:val="20"/>
                <w:color w:val="auto"/>
              </w:rPr>
            </w:pPr>
            <w:r>
              <w:rPr>
                <w:rFonts w:ascii="Arial" w:cs="Arial" w:eastAsia="Arial" w:hAnsi="Arial"/>
                <w:sz w:val="17"/>
                <w:szCs w:val="17"/>
                <w:color w:val="auto"/>
                <w:w w:val="70"/>
              </w:rPr>
              <w:t>Waste</w:t>
            </w:r>
          </w:p>
        </w:tc>
        <w:tc>
          <w:tcPr>
            <w:tcW w:w="834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Minnesota, Inc.</w:t>
            </w:r>
          </w:p>
        </w:tc>
        <w:tc>
          <w:tcPr>
            <w:tcW w:w="1500" w:type="dxa"/>
            <w:vAlign w:val="bottom"/>
          </w:tcPr>
          <w:p>
            <w:pPr>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Mississippi, Inc.</w:t>
            </w:r>
          </w:p>
        </w:tc>
        <w:tc>
          <w:tcPr>
            <w:tcW w:w="1500" w:type="dxa"/>
            <w:vAlign w:val="bottom"/>
          </w:tcPr>
          <w:p>
            <w:pPr>
              <w:spacing w:after="0"/>
              <w:rPr>
                <w:sz w:val="20"/>
                <w:szCs w:val="20"/>
                <w:color w:val="auto"/>
              </w:rPr>
            </w:pPr>
            <w:r>
              <w:rPr>
                <w:rFonts w:ascii="Arial" w:cs="Arial" w:eastAsia="Arial" w:hAnsi="Arial"/>
                <w:sz w:val="18"/>
                <w:szCs w:val="18"/>
                <w:color w:val="auto"/>
              </w:rPr>
              <w:t>Mississippi</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Missouri,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Montana,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Nebraska,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Nevada, Inc.</w:t>
            </w:r>
          </w:p>
        </w:tc>
        <w:tc>
          <w:tcPr>
            <w:tcW w:w="1500" w:type="dxa"/>
            <w:vAlign w:val="bottom"/>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New Hampshire, Inc.</w:t>
            </w:r>
          </w:p>
        </w:tc>
        <w:tc>
          <w:tcPr>
            <w:tcW w:w="1500" w:type="dxa"/>
            <w:vAlign w:val="bottom"/>
          </w:tcPr>
          <w:p>
            <w:pPr>
              <w:spacing w:after="0"/>
              <w:rPr>
                <w:sz w:val="20"/>
                <w:szCs w:val="20"/>
                <w:color w:val="auto"/>
              </w:rPr>
            </w:pPr>
            <w:r>
              <w:rPr>
                <w:rFonts w:ascii="Arial" w:cs="Arial" w:eastAsia="Arial" w:hAnsi="Arial"/>
                <w:sz w:val="18"/>
                <w:szCs w:val="18"/>
                <w:color w:val="auto"/>
              </w:rPr>
              <w:t>Connecticut</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New Jersey,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New Mexico, Inc.</w:t>
            </w:r>
          </w:p>
        </w:tc>
        <w:tc>
          <w:tcPr>
            <w:tcW w:w="1500" w:type="dxa"/>
            <w:vAlign w:val="bottom"/>
          </w:tcPr>
          <w:p>
            <w:pPr>
              <w:spacing w:after="0"/>
              <w:rPr>
                <w:sz w:val="20"/>
                <w:szCs w:val="20"/>
                <w:color w:val="auto"/>
              </w:rPr>
            </w:pPr>
            <w:r>
              <w:rPr>
                <w:rFonts w:ascii="Arial" w:cs="Arial" w:eastAsia="Arial" w:hAnsi="Arial"/>
                <w:sz w:val="18"/>
                <w:szCs w:val="18"/>
                <w:color w:val="auto"/>
              </w:rPr>
              <w:t>New Mexico</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New York,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North Dakota,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Ohio, Inc.</w:t>
            </w:r>
          </w:p>
        </w:tc>
        <w:tc>
          <w:tcPr>
            <w:tcW w:w="1500" w:type="dxa"/>
            <w:vAlign w:val="bottom"/>
          </w:tcPr>
          <w:p>
            <w:pPr>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Oklahoma, Inc.</w:t>
            </w:r>
          </w:p>
        </w:tc>
        <w:tc>
          <w:tcPr>
            <w:tcW w:w="1500" w:type="dxa"/>
            <w:vAlign w:val="bottom"/>
          </w:tcPr>
          <w:p>
            <w:pPr>
              <w:spacing w:after="0"/>
              <w:rPr>
                <w:sz w:val="20"/>
                <w:szCs w:val="20"/>
                <w:color w:val="auto"/>
              </w:rPr>
            </w:pPr>
            <w:r>
              <w:rPr>
                <w:rFonts w:ascii="Arial" w:cs="Arial" w:eastAsia="Arial" w:hAnsi="Arial"/>
                <w:sz w:val="18"/>
                <w:szCs w:val="18"/>
                <w:color w:val="auto"/>
              </w:rPr>
              <w:t>Oklahoma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Oregon, Inc.</w:t>
            </w:r>
          </w:p>
        </w:tc>
        <w:tc>
          <w:tcPr>
            <w:tcW w:w="1500" w:type="dxa"/>
            <w:vAlign w:val="bottom"/>
          </w:tcPr>
          <w:p>
            <w:pPr>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Pennsylvania Gas Recovery,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Pennsylvania, Inc.</w:t>
            </w:r>
          </w:p>
        </w:tc>
        <w:tc>
          <w:tcPr>
            <w:tcW w:w="1500" w:type="dxa"/>
            <w:vAlign w:val="bottom"/>
          </w:tcPr>
          <w:p>
            <w:pPr>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Rhode Island,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South Carolina, Inc.</w:t>
            </w:r>
          </w:p>
        </w:tc>
        <w:tc>
          <w:tcPr>
            <w:tcW w:w="1500" w:type="dxa"/>
            <w:vAlign w:val="bottom"/>
          </w:tcPr>
          <w:p>
            <w:pPr>
              <w:spacing w:after="0"/>
              <w:rPr>
                <w:sz w:val="20"/>
                <w:szCs w:val="20"/>
                <w:color w:val="auto"/>
              </w:rPr>
            </w:pPr>
            <w:r>
              <w:rPr>
                <w:rFonts w:ascii="Arial" w:cs="Arial" w:eastAsia="Arial" w:hAnsi="Arial"/>
                <w:sz w:val="18"/>
                <w:szCs w:val="18"/>
                <w:color w:val="auto"/>
              </w:rPr>
              <w:t>South Carolina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South Dakota, Inc.</w:t>
            </w:r>
          </w:p>
        </w:tc>
        <w:tc>
          <w:tcPr>
            <w:tcW w:w="1500" w:type="dxa"/>
            <w:vAlign w:val="bottom"/>
          </w:tcPr>
          <w:p>
            <w:pPr>
              <w:spacing w:after="0"/>
              <w:rPr>
                <w:sz w:val="20"/>
                <w:szCs w:val="20"/>
                <w:color w:val="auto"/>
              </w:rPr>
            </w:pPr>
            <w:r>
              <w:rPr>
                <w:rFonts w:ascii="Arial" w:cs="Arial" w:eastAsia="Arial" w:hAnsi="Arial"/>
                <w:sz w:val="18"/>
                <w:szCs w:val="18"/>
                <w:color w:val="auto"/>
              </w:rPr>
              <w:t>South Dakota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Texas Holdings,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Texas, Inc.</w:t>
            </w:r>
          </w:p>
        </w:tc>
        <w:tc>
          <w:tcPr>
            <w:tcW w:w="1500" w:type="dxa"/>
            <w:vAlign w:val="bottom"/>
          </w:tcPr>
          <w:p>
            <w:pPr>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Tunica Landfill, Inc.</w:t>
            </w:r>
          </w:p>
        </w:tc>
        <w:tc>
          <w:tcPr>
            <w:tcW w:w="1500" w:type="dxa"/>
            <w:vAlign w:val="bottom"/>
          </w:tcPr>
          <w:p>
            <w:pPr>
              <w:spacing w:after="0"/>
              <w:rPr>
                <w:sz w:val="20"/>
                <w:szCs w:val="20"/>
                <w:color w:val="auto"/>
              </w:rPr>
            </w:pPr>
            <w:r>
              <w:rPr>
                <w:rFonts w:ascii="Arial" w:cs="Arial" w:eastAsia="Arial" w:hAnsi="Arial"/>
                <w:sz w:val="18"/>
                <w:szCs w:val="18"/>
                <w:color w:val="auto"/>
              </w:rPr>
              <w:t>Mississippi</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Utah, Inc.</w:t>
            </w:r>
          </w:p>
        </w:tc>
        <w:tc>
          <w:tcPr>
            <w:tcW w:w="1500" w:type="dxa"/>
            <w:vAlign w:val="bottom"/>
          </w:tcPr>
          <w:p>
            <w:pPr>
              <w:spacing w:after="0"/>
              <w:rPr>
                <w:sz w:val="20"/>
                <w:szCs w:val="20"/>
                <w:color w:val="auto"/>
              </w:rPr>
            </w:pPr>
            <w:r>
              <w:rPr>
                <w:rFonts w:ascii="Arial" w:cs="Arial" w:eastAsia="Arial" w:hAnsi="Arial"/>
                <w:sz w:val="18"/>
                <w:szCs w:val="18"/>
                <w:color w:val="auto"/>
              </w:rPr>
              <w:t>Utah</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Virginia, Inc.</w:t>
            </w:r>
          </w:p>
        </w:tc>
        <w:tc>
          <w:tcPr>
            <w:tcW w:w="1500" w:type="dxa"/>
            <w:vAlign w:val="bottom"/>
          </w:tcPr>
          <w:p>
            <w:pPr>
              <w:spacing w:after="0"/>
              <w:rPr>
                <w:sz w:val="20"/>
                <w:szCs w:val="20"/>
                <w:color w:val="auto"/>
              </w:rPr>
            </w:pPr>
            <w:r>
              <w:rPr>
                <w:rFonts w:ascii="Arial" w:cs="Arial" w:eastAsia="Arial" w:hAnsi="Arial"/>
                <w:sz w:val="18"/>
                <w:szCs w:val="18"/>
                <w:color w:val="auto"/>
              </w:rPr>
              <w:t>Virginia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Washington,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West Virginia,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Wisconsin, Inc.</w:t>
            </w:r>
          </w:p>
        </w:tc>
        <w:tc>
          <w:tcPr>
            <w:tcW w:w="1500" w:type="dxa"/>
            <w:vAlign w:val="bottom"/>
          </w:tcPr>
          <w:p>
            <w:pPr>
              <w:spacing w:after="0"/>
              <w:rPr>
                <w:sz w:val="20"/>
                <w:szCs w:val="20"/>
                <w:color w:val="auto"/>
              </w:rPr>
            </w:pPr>
            <w:r>
              <w:rPr>
                <w:rFonts w:ascii="Arial" w:cs="Arial" w:eastAsia="Arial" w:hAnsi="Arial"/>
                <w:sz w:val="18"/>
                <w:szCs w:val="18"/>
                <w:color w:val="auto"/>
              </w:rPr>
              <w:t>Wisconsin</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of Wyoming,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Partners,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Recycling and Disposal Services of California, Inc.</w:t>
            </w:r>
          </w:p>
        </w:tc>
        <w:tc>
          <w:tcPr>
            <w:tcW w:w="1500" w:type="dxa"/>
            <w:vAlign w:val="bottom"/>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Recycling of New Jersey,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Service Center,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Management, Inc. of Tennessee</w:t>
            </w:r>
          </w:p>
        </w:tc>
        <w:tc>
          <w:tcPr>
            <w:tcW w:w="1500" w:type="dxa"/>
            <w:vAlign w:val="bottom"/>
          </w:tcPr>
          <w:p>
            <w:pPr>
              <w:spacing w:after="0"/>
              <w:rPr>
                <w:sz w:val="20"/>
                <w:szCs w:val="20"/>
                <w:color w:val="auto"/>
              </w:rPr>
            </w:pPr>
            <w:r>
              <w:rPr>
                <w:rFonts w:ascii="Arial" w:cs="Arial" w:eastAsia="Arial" w:hAnsi="Arial"/>
                <w:sz w:val="18"/>
                <w:szCs w:val="18"/>
                <w:color w:val="auto"/>
              </w:rPr>
              <w:t>Tennessee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Waste to Energy Holdings,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WESI Baltimore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WESI Capital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WESI Peekskill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WESI Westchester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Westchester Resco Associates, L.P.</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Western One Land Corporation</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Western Waste Industries</w:t>
            </w:r>
          </w:p>
        </w:tc>
        <w:tc>
          <w:tcPr>
            <w:tcW w:w="1500" w:type="dxa"/>
            <w:vAlign w:val="bottom"/>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Western Waste of Texas,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Baltimore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219"/>
          </w:cols>
          <w:pgMar w:left="240" w:top="257" w:right="1440" w:bottom="1440" w:gutter="0" w:footer="0" w:header="0"/>
        </w:sectPr>
      </w:pPr>
    </w:p>
    <w:bookmarkStart w:id="172" w:name="page173"/>
    <w:bookmarkEnd w:id="17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Jurisdiction of</w:t>
            </w:r>
          </w:p>
        </w:tc>
        <w:tc>
          <w:tcPr>
            <w:tcW w:w="0" w:type="dxa"/>
            <w:vAlign w:val="bottom"/>
          </w:tcPr>
          <w:p>
            <w:pPr>
              <w:spacing w:after="0"/>
              <w:rPr>
                <w:sz w:val="1"/>
                <w:szCs w:val="1"/>
                <w:color w:val="auto"/>
              </w:rPr>
            </w:pPr>
          </w:p>
        </w:tc>
      </w:tr>
      <w:tr>
        <w:trPr>
          <w:trHeight w:val="167"/>
        </w:trPr>
        <w:tc>
          <w:tcPr>
            <w:tcW w:w="8700" w:type="dxa"/>
            <w:vAlign w:val="bottom"/>
            <w:gridSpan w:val="2"/>
          </w:tcPr>
          <w:p>
            <w:pPr>
              <w:spacing w:after="0" w:line="147" w:lineRule="exact"/>
              <w:rPr>
                <w:sz w:val="20"/>
                <w:szCs w:val="20"/>
                <w:color w:val="auto"/>
              </w:rPr>
            </w:pPr>
            <w:r>
              <w:rPr>
                <w:rFonts w:ascii="Arial" w:cs="Arial" w:eastAsia="Arial" w:hAnsi="Arial"/>
                <w:sz w:val="14"/>
                <w:szCs w:val="14"/>
                <w:b w:val="1"/>
                <w:bCs w:val="1"/>
                <w:i w:val="1"/>
                <w:iCs w:val="1"/>
                <w:color w:val="auto"/>
              </w:rPr>
              <w:t>Name</w:t>
            </w:r>
          </w:p>
        </w:tc>
        <w:tc>
          <w:tcPr>
            <w:tcW w:w="2000" w:type="dxa"/>
            <w:vAlign w:val="bottom"/>
            <w:gridSpan w:val="2"/>
          </w:tcPr>
          <w:p>
            <w:pPr>
              <w:spacing w:after="0" w:line="147" w:lineRule="exact"/>
              <w:rPr>
                <w:sz w:val="20"/>
                <w:szCs w:val="20"/>
                <w:color w:val="auto"/>
              </w:rPr>
            </w:pPr>
            <w:r>
              <w:rPr>
                <w:rFonts w:ascii="Arial" w:cs="Arial" w:eastAsia="Arial" w:hAnsi="Arial"/>
                <w:sz w:val="14"/>
                <w:szCs w:val="14"/>
                <w:b w:val="1"/>
                <w:bCs w:val="1"/>
                <w:i w:val="1"/>
                <w:iCs w:val="1"/>
                <w:color w:val="auto"/>
              </w:rPr>
              <w:t>Incorporation/Formation</w:t>
            </w: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Maryland</w:t>
            </w:r>
          </w:p>
        </w:tc>
        <w:tc>
          <w:tcPr>
            <w:tcW w:w="5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700" w:type="dxa"/>
            <w:vAlign w:val="bottom"/>
            <w:gridSpan w:val="2"/>
          </w:tcPr>
          <w:p>
            <w:pPr>
              <w:spacing w:after="0" w:line="182" w:lineRule="exact"/>
              <w:rPr>
                <w:sz w:val="20"/>
                <w:szCs w:val="20"/>
                <w:color w:val="auto"/>
              </w:rPr>
            </w:pPr>
            <w:r>
              <w:rPr>
                <w:rFonts w:ascii="Arial" w:cs="Arial" w:eastAsia="Arial" w:hAnsi="Arial"/>
                <w:sz w:val="18"/>
                <w:szCs w:val="18"/>
                <w:color w:val="auto"/>
              </w:rPr>
              <w:t>Wheelabrator Baltimore, L.P.</w:t>
            </w:r>
          </w:p>
        </w:tc>
        <w:tc>
          <w:tcPr>
            <w:tcW w:w="15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Bridgeport, L.P.</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Cedar Creek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Chambers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China Holdings, Limited</w:t>
            </w:r>
          </w:p>
        </w:tc>
        <w:tc>
          <w:tcPr>
            <w:tcW w:w="2000" w:type="dxa"/>
            <w:vAlign w:val="bottom"/>
            <w:gridSpan w:val="2"/>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Claremont Company, L.P.</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Claremont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Concord Company, L.P.</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Concord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Connecticut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Culm Services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Environmental Systems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Environmental Technologies Consulting (Shanghai) Co., Ltd.</w:t>
            </w:r>
          </w:p>
        </w:tc>
        <w:tc>
          <w:tcPr>
            <w:tcW w:w="2000" w:type="dxa"/>
            <w:vAlign w:val="bottom"/>
            <w:gridSpan w:val="2"/>
          </w:tcPr>
          <w:p>
            <w:pPr>
              <w:spacing w:after="0"/>
              <w:rPr>
                <w:sz w:val="20"/>
                <w:szCs w:val="20"/>
                <w:color w:val="auto"/>
              </w:rPr>
            </w:pPr>
            <w:r>
              <w:rPr>
                <w:rFonts w:ascii="Arial" w:cs="Arial" w:eastAsia="Arial" w:hAnsi="Arial"/>
                <w:sz w:val="18"/>
                <w:szCs w:val="18"/>
                <w:color w:val="auto"/>
                <w:w w:val="89"/>
              </w:rPr>
              <w:t>People’s Republic Of China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Falls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Frackville Energy Company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Frackville Properties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Frederick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Fuel Services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Gloucester Company, L.P.</w:t>
            </w:r>
          </w:p>
        </w:tc>
        <w:tc>
          <w:tcPr>
            <w:tcW w:w="2000" w:type="dxa"/>
            <w:vAlign w:val="bottom"/>
            <w:gridSpan w:val="2"/>
          </w:tcPr>
          <w:p>
            <w:pPr>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Gloucester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Guam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Hudson Falls L.L.C.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Lassen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Lisbon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McKay Bay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Millbury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New Hampshire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New Jersey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NHC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North Andover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North Broward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Norwalk Energy Company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Penacook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Pinellas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Portsmouth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Putnam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Ridge Energy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Saugus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Shasta Energy Company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Sherman Energy Company, G.P.</w:t>
            </w:r>
          </w:p>
        </w:tc>
        <w:tc>
          <w:tcPr>
            <w:tcW w:w="2000" w:type="dxa"/>
            <w:vAlign w:val="bottom"/>
            <w:gridSpan w:val="2"/>
          </w:tcPr>
          <w:p>
            <w:pPr>
              <w:spacing w:after="0"/>
              <w:rPr>
                <w:sz w:val="20"/>
                <w:szCs w:val="20"/>
                <w:color w:val="auto"/>
              </w:rPr>
            </w:pPr>
            <w:r>
              <w:rPr>
                <w:rFonts w:ascii="Arial" w:cs="Arial" w:eastAsia="Arial" w:hAnsi="Arial"/>
                <w:sz w:val="18"/>
                <w:szCs w:val="18"/>
                <w:color w:val="auto"/>
              </w:rPr>
              <w:t>Maine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Sherman Station L.L.C.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Sherman Station One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South Broward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Spokane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700"/>
          </w:cols>
          <w:pgMar w:left="240" w:top="257" w:right="959" w:bottom="1440" w:gutter="0" w:footer="0" w:header="0"/>
        </w:sectPr>
      </w:pPr>
    </w:p>
    <w:bookmarkStart w:id="173" w:name="page174"/>
    <w:bookmarkEnd w:id="17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500" w:type="dxa"/>
            <w:vAlign w:val="bottom"/>
          </w:tcPr>
          <w:p>
            <w:pPr>
              <w:spacing w:after="0"/>
              <w:rPr>
                <w:sz w:val="20"/>
                <w:szCs w:val="20"/>
                <w:color w:val="auto"/>
              </w:rPr>
            </w:pPr>
            <w:r>
              <w:rPr>
                <w:rFonts w:ascii="Arial" w:cs="Arial" w:eastAsia="Arial" w:hAnsi="Arial"/>
                <w:sz w:val="14"/>
                <w:szCs w:val="14"/>
                <w:b w:val="1"/>
                <w:bCs w:val="1"/>
                <w:i w:val="1"/>
                <w:iCs w:val="1"/>
                <w:color w:val="auto"/>
              </w:rPr>
              <w:t>Jurisdiction of</w:t>
            </w:r>
          </w:p>
        </w:tc>
        <w:tc>
          <w:tcPr>
            <w:tcW w:w="0" w:type="dxa"/>
            <w:vAlign w:val="bottom"/>
          </w:tcPr>
          <w:p>
            <w:pPr>
              <w:spacing w:after="0"/>
              <w:rPr>
                <w:sz w:val="1"/>
                <w:szCs w:val="1"/>
                <w:color w:val="auto"/>
              </w:rPr>
            </w:pPr>
          </w:p>
        </w:tc>
      </w:tr>
      <w:tr>
        <w:trPr>
          <w:trHeight w:val="167"/>
        </w:trPr>
        <w:tc>
          <w:tcPr>
            <w:tcW w:w="8700" w:type="dxa"/>
            <w:vAlign w:val="bottom"/>
            <w:gridSpan w:val="2"/>
          </w:tcPr>
          <w:p>
            <w:pPr>
              <w:spacing w:after="0" w:line="147" w:lineRule="exact"/>
              <w:rPr>
                <w:sz w:val="20"/>
                <w:szCs w:val="20"/>
                <w:color w:val="auto"/>
              </w:rPr>
            </w:pPr>
            <w:r>
              <w:rPr>
                <w:rFonts w:ascii="Arial" w:cs="Arial" w:eastAsia="Arial" w:hAnsi="Arial"/>
                <w:sz w:val="14"/>
                <w:szCs w:val="14"/>
                <w:b w:val="1"/>
                <w:bCs w:val="1"/>
                <w:i w:val="1"/>
                <w:iCs w:val="1"/>
                <w:color w:val="auto"/>
              </w:rPr>
              <w:t>Name</w:t>
            </w:r>
          </w:p>
        </w:tc>
        <w:tc>
          <w:tcPr>
            <w:tcW w:w="1500" w:type="dxa"/>
            <w:vAlign w:val="bottom"/>
            <w:tcBorders>
              <w:bottom w:val="single" w:sz="8" w:color="auto"/>
            </w:tcBorders>
          </w:tcPr>
          <w:p>
            <w:pPr>
              <w:spacing w:after="0" w:line="147" w:lineRule="exact"/>
              <w:rPr>
                <w:sz w:val="20"/>
                <w:szCs w:val="20"/>
                <w:color w:val="auto"/>
              </w:rPr>
            </w:pPr>
            <w:r>
              <w:rPr>
                <w:rFonts w:ascii="Arial" w:cs="Arial" w:eastAsia="Arial" w:hAnsi="Arial"/>
                <w:sz w:val="14"/>
                <w:szCs w:val="14"/>
                <w:b w:val="1"/>
                <w:bCs w:val="1"/>
                <w:i w:val="1"/>
                <w:iCs w:val="1"/>
                <w:color w:val="auto"/>
                <w:w w:val="91"/>
              </w:rPr>
              <w:t>Incorporation/Formation</w:t>
            </w: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500" w:type="dxa"/>
            <w:vAlign w:val="bottom"/>
            <w:vMerge w:val="restart"/>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line="20" w:lineRule="exact"/>
              <w:rPr>
                <w:sz w:val="1"/>
                <w:szCs w:val="1"/>
                <w:color w:val="auto"/>
              </w:rPr>
            </w:pPr>
          </w:p>
        </w:tc>
      </w:tr>
      <w:tr>
        <w:trPr>
          <w:trHeight w:val="182"/>
        </w:trPr>
        <w:tc>
          <w:tcPr>
            <w:tcW w:w="8700" w:type="dxa"/>
            <w:vAlign w:val="bottom"/>
            <w:gridSpan w:val="2"/>
          </w:tcPr>
          <w:p>
            <w:pPr>
              <w:spacing w:after="0" w:line="182" w:lineRule="exact"/>
              <w:rPr>
                <w:sz w:val="20"/>
                <w:szCs w:val="20"/>
                <w:color w:val="auto"/>
              </w:rPr>
            </w:pPr>
            <w:r>
              <w:rPr>
                <w:rFonts w:ascii="Arial" w:cs="Arial" w:eastAsia="Arial" w:hAnsi="Arial"/>
                <w:sz w:val="18"/>
                <w:szCs w:val="18"/>
                <w:color w:val="auto"/>
              </w:rPr>
              <w:t>Wheelabrator Technologies Inc.</w:t>
            </w: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Technologies International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Wheelabrator Westchester, L.P.</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White Lake Landfill, Inc.</w:t>
            </w:r>
          </w:p>
        </w:tc>
        <w:tc>
          <w:tcPr>
            <w:tcW w:w="1500" w:type="dxa"/>
            <w:vAlign w:val="bottom"/>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Willow Oak Landfill, LLC</w:t>
            </w:r>
          </w:p>
        </w:tc>
        <w:tc>
          <w:tcPr>
            <w:tcW w:w="1500" w:type="dxa"/>
            <w:vAlign w:val="bottom"/>
          </w:tcPr>
          <w:p>
            <w:pPr>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Willows Power and Recycling Holdings Limited</w:t>
            </w:r>
          </w:p>
        </w:tc>
        <w:tc>
          <w:tcPr>
            <w:tcW w:w="1500" w:type="dxa"/>
            <w:vAlign w:val="bottom"/>
          </w:tcPr>
          <w:p>
            <w:pPr>
              <w:spacing w:after="0"/>
              <w:rPr>
                <w:sz w:val="20"/>
                <w:szCs w:val="20"/>
                <w:color w:val="auto"/>
              </w:rPr>
            </w:pPr>
            <w:r>
              <w:rPr>
                <w:rFonts w:ascii="Arial" w:cs="Arial" w:eastAsia="Arial" w:hAnsi="Arial"/>
                <w:sz w:val="18"/>
                <w:szCs w:val="18"/>
                <w:color w:val="auto"/>
                <w:w w:val="94"/>
              </w:rPr>
              <w:t>England and Wales</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Willows Power and Recycling Limited</w:t>
            </w:r>
          </w:p>
        </w:tc>
        <w:tc>
          <w:tcPr>
            <w:tcW w:w="1500" w:type="dxa"/>
            <w:vAlign w:val="bottom"/>
          </w:tcPr>
          <w:p>
            <w:pPr>
              <w:spacing w:after="0"/>
              <w:rPr>
                <w:sz w:val="20"/>
                <w:szCs w:val="20"/>
                <w:color w:val="auto"/>
              </w:rPr>
            </w:pPr>
            <w:r>
              <w:rPr>
                <w:rFonts w:ascii="Arial" w:cs="Arial" w:eastAsia="Arial" w:hAnsi="Arial"/>
                <w:sz w:val="18"/>
                <w:szCs w:val="18"/>
                <w:color w:val="auto"/>
                <w:w w:val="94"/>
              </w:rPr>
              <w:t>England and Wales</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Willows Power and Recycling Operations Limited</w:t>
            </w:r>
          </w:p>
        </w:tc>
        <w:tc>
          <w:tcPr>
            <w:tcW w:w="1500" w:type="dxa"/>
            <w:vAlign w:val="bottom"/>
          </w:tcPr>
          <w:p>
            <w:pPr>
              <w:spacing w:after="0"/>
              <w:rPr>
                <w:sz w:val="20"/>
                <w:szCs w:val="20"/>
                <w:color w:val="auto"/>
              </w:rPr>
            </w:pPr>
            <w:r>
              <w:rPr>
                <w:rFonts w:ascii="Arial" w:cs="Arial" w:eastAsia="Arial" w:hAnsi="Arial"/>
                <w:sz w:val="18"/>
                <w:szCs w:val="18"/>
                <w:color w:val="auto"/>
                <w:w w:val="94"/>
              </w:rPr>
              <w:t>England and Wales</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Willows Power and Recycling Trading Limited</w:t>
            </w:r>
          </w:p>
        </w:tc>
        <w:tc>
          <w:tcPr>
            <w:tcW w:w="1500" w:type="dxa"/>
            <w:vAlign w:val="bottom"/>
          </w:tcPr>
          <w:p>
            <w:pPr>
              <w:spacing w:after="0"/>
              <w:rPr>
                <w:sz w:val="20"/>
                <w:szCs w:val="20"/>
                <w:color w:val="auto"/>
              </w:rPr>
            </w:pPr>
            <w:r>
              <w:rPr>
                <w:rFonts w:ascii="Arial" w:cs="Arial" w:eastAsia="Arial" w:hAnsi="Arial"/>
                <w:sz w:val="18"/>
                <w:szCs w:val="18"/>
                <w:color w:val="auto"/>
                <w:w w:val="94"/>
              </w:rPr>
              <w:t>England and Wales</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Bagco,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CCP Solutions,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Conversion Fund,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Corporate Services,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Curbside,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Emergency Employee Support Fund,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Energy Resources,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Energy Solutions,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Green Squad,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GreenOps,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GTL,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GTL,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Healthcare Solutions,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Illinois Renewable Energy,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International Holdings,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KS Energy Resources,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LampTracker,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Landfills of Ohio,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Landfills of Tennessee,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Leasing of Arizona,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Leasing of Texas, L.P.</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LNG,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Logistics India Private Limited</w:t>
            </w:r>
          </w:p>
        </w:tc>
        <w:tc>
          <w:tcPr>
            <w:tcW w:w="1500" w:type="dxa"/>
            <w:vAlign w:val="bottom"/>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Logistics,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Mercury Waste,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Middle Tennessee Environmental Center,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Mobile Bay Environmental Center,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ND Energy Resources II,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ND Energy Resources,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Nevada Renewable Energy,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of Texas,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Organic Growth,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PA Holdings,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Pack-Rat of California,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WM Pack-Rat of Illinois,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219"/>
          </w:cols>
          <w:pgMar w:left="240" w:top="257" w:right="1440" w:bottom="1440" w:gutter="0" w:footer="0" w:header="0"/>
        </w:sectPr>
      </w:pPr>
    </w:p>
    <w:bookmarkStart w:id="174" w:name="page175"/>
    <w:bookmarkEnd w:id="17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500" w:type="dxa"/>
            <w:vAlign w:val="bottom"/>
          </w:tcPr>
          <w:p>
            <w:pPr>
              <w:spacing w:after="0"/>
              <w:rPr>
                <w:sz w:val="20"/>
                <w:szCs w:val="20"/>
                <w:color w:val="auto"/>
              </w:rPr>
            </w:pPr>
            <w:r>
              <w:rPr>
                <w:rFonts w:ascii="Arial" w:cs="Arial" w:eastAsia="Arial" w:hAnsi="Arial"/>
                <w:sz w:val="14"/>
                <w:szCs w:val="14"/>
                <w:b w:val="1"/>
                <w:bCs w:val="1"/>
                <w:i w:val="1"/>
                <w:iCs w:val="1"/>
                <w:color w:val="auto"/>
              </w:rPr>
              <w:t>Jurisdiction of</w:t>
            </w:r>
          </w:p>
        </w:tc>
        <w:tc>
          <w:tcPr>
            <w:tcW w:w="0" w:type="dxa"/>
            <w:vAlign w:val="bottom"/>
          </w:tcPr>
          <w:p>
            <w:pPr>
              <w:spacing w:after="0"/>
              <w:rPr>
                <w:sz w:val="1"/>
                <w:szCs w:val="1"/>
                <w:color w:val="auto"/>
              </w:rPr>
            </w:pPr>
          </w:p>
        </w:tc>
      </w:tr>
      <w:tr>
        <w:trPr>
          <w:trHeight w:val="167"/>
        </w:trPr>
        <w:tc>
          <w:tcPr>
            <w:tcW w:w="8700" w:type="dxa"/>
            <w:vAlign w:val="bottom"/>
            <w:gridSpan w:val="2"/>
          </w:tcPr>
          <w:p>
            <w:pPr>
              <w:spacing w:after="0" w:line="147" w:lineRule="exact"/>
              <w:rPr>
                <w:sz w:val="20"/>
                <w:szCs w:val="20"/>
                <w:color w:val="auto"/>
              </w:rPr>
            </w:pPr>
            <w:r>
              <w:rPr>
                <w:rFonts w:ascii="Arial" w:cs="Arial" w:eastAsia="Arial" w:hAnsi="Arial"/>
                <w:sz w:val="14"/>
                <w:szCs w:val="14"/>
                <w:b w:val="1"/>
                <w:bCs w:val="1"/>
                <w:i w:val="1"/>
                <w:iCs w:val="1"/>
                <w:color w:val="auto"/>
              </w:rPr>
              <w:t>Name</w:t>
            </w:r>
          </w:p>
        </w:tc>
        <w:tc>
          <w:tcPr>
            <w:tcW w:w="1500" w:type="dxa"/>
            <w:vAlign w:val="bottom"/>
            <w:tcBorders>
              <w:bottom w:val="single" w:sz="8" w:color="auto"/>
            </w:tcBorders>
          </w:tcPr>
          <w:p>
            <w:pPr>
              <w:spacing w:after="0" w:line="147" w:lineRule="exact"/>
              <w:rPr>
                <w:sz w:val="20"/>
                <w:szCs w:val="20"/>
                <w:color w:val="auto"/>
              </w:rPr>
            </w:pPr>
            <w:r>
              <w:rPr>
                <w:rFonts w:ascii="Arial" w:cs="Arial" w:eastAsia="Arial" w:hAnsi="Arial"/>
                <w:sz w:val="14"/>
                <w:szCs w:val="14"/>
                <w:b w:val="1"/>
                <w:bCs w:val="1"/>
                <w:i w:val="1"/>
                <w:iCs w:val="1"/>
                <w:color w:val="auto"/>
                <w:w w:val="91"/>
              </w:rPr>
              <w:t>Incorporation/Formation</w:t>
            </w: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340" w:type="dxa"/>
            <w:vAlign w:val="bottom"/>
            <w:vMerge w:val="restart"/>
          </w:tcPr>
          <w:p>
            <w:pPr>
              <w:ind w:left="20"/>
              <w:spacing w:after="0"/>
              <w:rPr>
                <w:sz w:val="20"/>
                <w:szCs w:val="20"/>
                <w:color w:val="auto"/>
              </w:rPr>
            </w:pPr>
            <w:r>
              <w:rPr>
                <w:rFonts w:ascii="Arial" w:cs="Arial" w:eastAsia="Arial" w:hAnsi="Arial"/>
                <w:sz w:val="18"/>
                <w:szCs w:val="18"/>
                <w:color w:val="auto"/>
              </w:rPr>
              <w:t>Pack-Rat of Kentucky, LLC</w:t>
            </w:r>
          </w:p>
        </w:tc>
        <w:tc>
          <w:tcPr>
            <w:tcW w:w="1500" w:type="dxa"/>
            <w:vAlign w:val="bottom"/>
            <w:vMerge w:val="restart"/>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line="20" w:lineRule="exact"/>
              <w:rPr>
                <w:sz w:val="1"/>
                <w:szCs w:val="1"/>
                <w:color w:val="auto"/>
              </w:rPr>
            </w:pPr>
          </w:p>
        </w:tc>
      </w:tr>
      <w:tr>
        <w:trPr>
          <w:trHeight w:val="182"/>
        </w:trPr>
        <w:tc>
          <w:tcPr>
            <w:tcW w:w="360" w:type="dxa"/>
            <w:vAlign w:val="bottom"/>
          </w:tcPr>
          <w:p>
            <w:pPr>
              <w:spacing w:after="0" w:line="182" w:lineRule="exact"/>
              <w:rPr>
                <w:sz w:val="20"/>
                <w:szCs w:val="20"/>
                <w:color w:val="auto"/>
              </w:rPr>
            </w:pPr>
            <w:r>
              <w:rPr>
                <w:rFonts w:ascii="Arial" w:cs="Arial" w:eastAsia="Arial" w:hAnsi="Arial"/>
                <w:sz w:val="18"/>
                <w:szCs w:val="18"/>
                <w:color w:val="auto"/>
              </w:rPr>
              <w:t>WM</w:t>
            </w:r>
          </w:p>
        </w:tc>
        <w:tc>
          <w:tcPr>
            <w:tcW w:w="834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Pack-Rat of Maryland,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Pack-Rat of Massachusetts,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Pack-Rat of Michigan,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Pack-Rat of Nevada,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Pack-Rat of Ohio,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Pack-Rat of Rhode Island,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Pack-Rat,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Partnership Holdings,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Phoenix Energy Resources,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Product Recovery Centers,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Product Recovery Services, L.L.C.</w:t>
            </w:r>
          </w:p>
        </w:tc>
        <w:tc>
          <w:tcPr>
            <w:tcW w:w="1500" w:type="dxa"/>
            <w:vAlign w:val="bottom"/>
          </w:tcPr>
          <w:p>
            <w:pPr>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Quebec Inc.</w:t>
            </w:r>
          </w:p>
        </w:tc>
        <w:tc>
          <w:tcPr>
            <w:tcW w:w="1500" w:type="dxa"/>
            <w:vAlign w:val="bottom"/>
          </w:tcPr>
          <w:p>
            <w:pPr>
              <w:spacing w:after="0"/>
              <w:rPr>
                <w:sz w:val="20"/>
                <w:szCs w:val="20"/>
                <w:color w:val="auto"/>
              </w:rPr>
            </w:pPr>
            <w:r>
              <w:rPr>
                <w:rFonts w:ascii="Arial" w:cs="Arial" w:eastAsia="Arial" w:hAnsi="Arial"/>
                <w:sz w:val="18"/>
                <w:szCs w:val="18"/>
                <w:color w:val="auto"/>
                <w:w w:val="93"/>
              </w:rPr>
              <w:t>Federally Chartered</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RA Canada Inc.</w:t>
            </w:r>
          </w:p>
        </w:tc>
        <w:tc>
          <w:tcPr>
            <w:tcW w:w="1500" w:type="dxa"/>
            <w:vAlign w:val="bottom"/>
          </w:tcPr>
          <w:p>
            <w:pPr>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Recycle America,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Recycle Europe,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Recycling Latin America,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Refined Coal,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Renewable Energy,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Resource Recovery &amp; Recycling Center,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Resources, Inc.</w:t>
            </w:r>
          </w:p>
        </w:tc>
        <w:tc>
          <w:tcPr>
            <w:tcW w:w="1500" w:type="dxa"/>
            <w:vAlign w:val="bottom"/>
          </w:tcPr>
          <w:p>
            <w:pPr>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Safety Services,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Security Services,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Services SA</w:t>
            </w:r>
          </w:p>
        </w:tc>
        <w:tc>
          <w:tcPr>
            <w:tcW w:w="1500" w:type="dxa"/>
            <w:vAlign w:val="bottom"/>
          </w:tcPr>
          <w:p>
            <w:pPr>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Storage II,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Storage,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Texas Pack Rat,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Trash Monitor Plus,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TX Energy Resources II,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TX Energy Resources,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WY Energy Resources II,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WY Energy Resources III,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 WY Energy Resources,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WMI Mexico Holdings,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WMNA Container Recycling,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WMRE of Kentucky,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WMRE of Michigan,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WMRE of Ohio,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WMRE of Ohio-American, LLC</w:t>
            </w:r>
          </w:p>
        </w:tc>
        <w:tc>
          <w:tcPr>
            <w:tcW w:w="1500" w:type="dxa"/>
            <w:vAlign w:val="bottom"/>
          </w:tcPr>
          <w:p>
            <w:pPr>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WMSALSA, Inc.</w:t>
            </w:r>
          </w:p>
        </w:tc>
        <w:tc>
          <w:tcPr>
            <w:tcW w:w="1500" w:type="dxa"/>
            <w:vAlign w:val="bottom"/>
          </w:tcPr>
          <w:p>
            <w:pPr>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WTI Air Pollution Control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WTI Financial L.L.C.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WTI International Holdings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WTI Rust Holdings Inc.</w:t>
            </w:r>
          </w:p>
        </w:tc>
        <w:tc>
          <w:tcPr>
            <w:tcW w:w="15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219"/>
          </w:cols>
          <w:pgMar w:left="240" w:top="257" w:right="1440" w:bottom="1440" w:gutter="0" w:footer="0" w:header="0"/>
        </w:sectPr>
      </w:pPr>
    </w:p>
    <w:bookmarkStart w:id="175" w:name="page176"/>
    <w:bookmarkEnd w:id="17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500" w:type="dxa"/>
            <w:vAlign w:val="bottom"/>
          </w:tcPr>
          <w:p>
            <w:pPr>
              <w:spacing w:after="0"/>
              <w:rPr>
                <w:sz w:val="20"/>
                <w:szCs w:val="20"/>
                <w:color w:val="auto"/>
              </w:rPr>
            </w:pPr>
            <w:r>
              <w:rPr>
                <w:rFonts w:ascii="Arial" w:cs="Arial" w:eastAsia="Arial" w:hAnsi="Arial"/>
                <w:sz w:val="14"/>
                <w:szCs w:val="14"/>
                <w:b w:val="1"/>
                <w:bCs w:val="1"/>
                <w:i w:val="1"/>
                <w:iCs w:val="1"/>
                <w:color w:val="auto"/>
              </w:rPr>
              <w:t>Jurisdiction of</w:t>
            </w:r>
          </w:p>
        </w:tc>
        <w:tc>
          <w:tcPr>
            <w:tcW w:w="0" w:type="dxa"/>
            <w:vAlign w:val="bottom"/>
          </w:tcPr>
          <w:p>
            <w:pPr>
              <w:spacing w:after="0"/>
              <w:rPr>
                <w:sz w:val="1"/>
                <w:szCs w:val="1"/>
                <w:color w:val="auto"/>
              </w:rPr>
            </w:pPr>
          </w:p>
        </w:tc>
      </w:tr>
      <w:tr>
        <w:trPr>
          <w:trHeight w:val="167"/>
        </w:trPr>
        <w:tc>
          <w:tcPr>
            <w:tcW w:w="8700" w:type="dxa"/>
            <w:vAlign w:val="bottom"/>
            <w:gridSpan w:val="2"/>
          </w:tcPr>
          <w:p>
            <w:pPr>
              <w:spacing w:after="0" w:line="147" w:lineRule="exact"/>
              <w:rPr>
                <w:sz w:val="20"/>
                <w:szCs w:val="20"/>
                <w:color w:val="auto"/>
              </w:rPr>
            </w:pPr>
            <w:r>
              <w:rPr>
                <w:rFonts w:ascii="Arial" w:cs="Arial" w:eastAsia="Arial" w:hAnsi="Arial"/>
                <w:sz w:val="14"/>
                <w:szCs w:val="14"/>
                <w:b w:val="1"/>
                <w:bCs w:val="1"/>
                <w:i w:val="1"/>
                <w:iCs w:val="1"/>
                <w:color w:val="auto"/>
              </w:rPr>
              <w:t>Name</w:t>
            </w:r>
          </w:p>
        </w:tc>
        <w:tc>
          <w:tcPr>
            <w:tcW w:w="1500" w:type="dxa"/>
            <w:vAlign w:val="bottom"/>
            <w:tcBorders>
              <w:bottom w:val="single" w:sz="8" w:color="auto"/>
            </w:tcBorders>
          </w:tcPr>
          <w:p>
            <w:pPr>
              <w:spacing w:after="0" w:line="147" w:lineRule="exact"/>
              <w:rPr>
                <w:sz w:val="20"/>
                <w:szCs w:val="20"/>
                <w:color w:val="auto"/>
              </w:rPr>
            </w:pPr>
            <w:r>
              <w:rPr>
                <w:rFonts w:ascii="Arial" w:cs="Arial" w:eastAsia="Arial" w:hAnsi="Arial"/>
                <w:sz w:val="14"/>
                <w:szCs w:val="14"/>
                <w:b w:val="1"/>
                <w:bCs w:val="1"/>
                <w:i w:val="1"/>
                <w:iCs w:val="1"/>
                <w:color w:val="auto"/>
                <w:w w:val="91"/>
              </w:rPr>
              <w:t>Incorporation/Formation</w:t>
            </w: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UK Fin Co Ltd</w:t>
            </w:r>
          </w:p>
        </w:tc>
        <w:tc>
          <w:tcPr>
            <w:tcW w:w="1500" w:type="dxa"/>
            <w:vAlign w:val="bottom"/>
            <w:vMerge w:val="restart"/>
          </w:tcPr>
          <w:p>
            <w:pPr>
              <w:spacing w:after="0"/>
              <w:rPr>
                <w:sz w:val="20"/>
                <w:szCs w:val="20"/>
                <w:color w:val="auto"/>
              </w:rPr>
            </w:pPr>
            <w:r>
              <w:rPr>
                <w:rFonts w:ascii="Arial" w:cs="Arial" w:eastAsia="Arial" w:hAnsi="Arial"/>
                <w:sz w:val="18"/>
                <w:szCs w:val="18"/>
                <w:color w:val="auto"/>
                <w:w w:val="94"/>
              </w:rPr>
              <w:t>England and Wales</w:t>
            </w:r>
          </w:p>
        </w:tc>
        <w:tc>
          <w:tcPr>
            <w:tcW w:w="0" w:type="dxa"/>
            <w:vAlign w:val="bottom"/>
          </w:tcPr>
          <w:p>
            <w:pPr>
              <w:spacing w:after="0" w:line="20" w:lineRule="exact"/>
              <w:rPr>
                <w:sz w:val="1"/>
                <w:szCs w:val="1"/>
                <w:color w:val="auto"/>
              </w:rPr>
            </w:pPr>
          </w:p>
        </w:tc>
      </w:tr>
      <w:tr>
        <w:trPr>
          <w:trHeight w:val="182"/>
        </w:trPr>
        <w:tc>
          <w:tcPr>
            <w:tcW w:w="360" w:type="dxa"/>
            <w:vAlign w:val="bottom"/>
          </w:tcPr>
          <w:p>
            <w:pPr>
              <w:spacing w:after="0" w:line="182" w:lineRule="exact"/>
              <w:rPr>
                <w:sz w:val="20"/>
                <w:szCs w:val="20"/>
                <w:color w:val="auto"/>
              </w:rPr>
            </w:pPr>
            <w:r>
              <w:rPr>
                <w:rFonts w:ascii="Arial" w:cs="Arial" w:eastAsia="Arial" w:hAnsi="Arial"/>
                <w:sz w:val="18"/>
                <w:szCs w:val="18"/>
                <w:color w:val="auto"/>
              </w:rPr>
              <w:t>WTI</w:t>
            </w:r>
          </w:p>
        </w:tc>
        <w:tc>
          <w:tcPr>
            <w:tcW w:w="834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WTI UK Ltd</w:t>
            </w:r>
          </w:p>
        </w:tc>
        <w:tc>
          <w:tcPr>
            <w:tcW w:w="1500" w:type="dxa"/>
            <w:vAlign w:val="bottom"/>
          </w:tcPr>
          <w:p>
            <w:pPr>
              <w:spacing w:after="0"/>
              <w:rPr>
                <w:sz w:val="20"/>
                <w:szCs w:val="20"/>
                <w:color w:val="auto"/>
              </w:rPr>
            </w:pPr>
            <w:r>
              <w:rPr>
                <w:rFonts w:ascii="Arial" w:cs="Arial" w:eastAsia="Arial" w:hAnsi="Arial"/>
                <w:sz w:val="18"/>
                <w:szCs w:val="18"/>
                <w:color w:val="auto"/>
                <w:w w:val="94"/>
              </w:rPr>
              <w:t>England and Wales</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WTI/EFW Holdings Ltd</w:t>
            </w:r>
          </w:p>
        </w:tc>
        <w:tc>
          <w:tcPr>
            <w:tcW w:w="1500" w:type="dxa"/>
            <w:vAlign w:val="bottom"/>
          </w:tcPr>
          <w:p>
            <w:pPr>
              <w:spacing w:after="0"/>
              <w:rPr>
                <w:sz w:val="20"/>
                <w:szCs w:val="20"/>
                <w:color w:val="auto"/>
              </w:rPr>
            </w:pPr>
            <w:r>
              <w:rPr>
                <w:rFonts w:ascii="Arial" w:cs="Arial" w:eastAsia="Arial" w:hAnsi="Arial"/>
                <w:sz w:val="18"/>
                <w:szCs w:val="18"/>
                <w:color w:val="auto"/>
                <w:w w:val="94"/>
              </w:rPr>
              <w:t>England and Wales</w:t>
            </w: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WTI/Willows Construction Ltd</w:t>
            </w:r>
          </w:p>
        </w:tc>
        <w:tc>
          <w:tcPr>
            <w:tcW w:w="1500" w:type="dxa"/>
            <w:vAlign w:val="bottom"/>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bl>
    <w:p>
      <w:pPr>
        <w:sectPr>
          <w:pgSz w:w="11900" w:h="16838" w:orient="portrait"/>
          <w:cols w:equalWidth="0" w:num="1">
            <w:col w:w="10219"/>
          </w:cols>
          <w:pgMar w:left="240" w:top="257" w:right="1440"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17" w:lineRule="exact"/>
        <w:rPr>
          <w:sz w:val="20"/>
          <w:szCs w:val="20"/>
          <w:color w:val="auto"/>
        </w:rPr>
      </w:pPr>
    </w:p>
    <w:p>
      <w:pPr>
        <w:ind w:left="460" w:right="240" w:firstLine="4"/>
        <w:spacing w:after="0" w:line="277" w:lineRule="auto"/>
        <w:tabs>
          <w:tab w:leader="none" w:pos="71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Registration Statement (Form S-8 No. 333-181335) of Waste Management, Inc. pertaining to the issuance of shares of common stock pursuant to the Waste Management, Inc. Employee Stock Purchase Plan,</w:t>
      </w:r>
    </w:p>
    <w:p>
      <w:pPr>
        <w:spacing w:after="0" w:line="62" w:lineRule="exact"/>
        <w:rPr>
          <w:rFonts w:ascii="Arial" w:cs="Arial" w:eastAsia="Arial" w:hAnsi="Arial"/>
          <w:sz w:val="18"/>
          <w:szCs w:val="18"/>
          <w:color w:val="auto"/>
        </w:rPr>
      </w:pPr>
    </w:p>
    <w:p>
      <w:pPr>
        <w:ind w:left="460" w:right="240" w:firstLine="4"/>
        <w:spacing w:after="0" w:line="277" w:lineRule="auto"/>
        <w:tabs>
          <w:tab w:leader="none" w:pos="71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Registration Statement (Form S-8 No. 333-159476) of Waste Management, Inc. pertaining to the issuance of shares of common stock pursuant to the 2009 Stock Incentive Plan,</w:t>
      </w:r>
    </w:p>
    <w:p>
      <w:pPr>
        <w:spacing w:after="0" w:line="62" w:lineRule="exact"/>
        <w:rPr>
          <w:rFonts w:ascii="Arial" w:cs="Arial" w:eastAsia="Arial" w:hAnsi="Arial"/>
          <w:sz w:val="18"/>
          <w:szCs w:val="18"/>
          <w:color w:val="auto"/>
        </w:rPr>
      </w:pPr>
    </w:p>
    <w:p>
      <w:pPr>
        <w:ind w:left="460" w:right="240" w:firstLine="4"/>
        <w:spacing w:after="0" w:line="342" w:lineRule="auto"/>
        <w:tabs>
          <w:tab w:leader="none" w:pos="71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Registration Statement (Form S-8 No. 333-184156) of Waste Management, Inc. pertaining to the issuance of shares of common stock pursuant to the Waste Management Retirement Savings Plan and the Waste Management Retirement Savings Plan for Bargaining Unit Employees,</w:t>
      </w:r>
    </w:p>
    <w:p>
      <w:pPr>
        <w:spacing w:after="0" w:line="15" w:lineRule="exact"/>
        <w:rPr>
          <w:rFonts w:ascii="Arial" w:cs="Arial" w:eastAsia="Arial" w:hAnsi="Arial"/>
          <w:sz w:val="16"/>
          <w:szCs w:val="16"/>
          <w:color w:val="auto"/>
        </w:rPr>
      </w:pPr>
    </w:p>
    <w:p>
      <w:pPr>
        <w:ind w:left="720" w:hanging="256"/>
        <w:spacing w:after="0"/>
        <w:tabs>
          <w:tab w:leader="none" w:pos="7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Registration Statement (Form S-3 Automatic Shelf Registration No. 333-184157) of Waste Management, Inc.,</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Registration Statement (Form S-4 No. 333-32805 and Post-Effective Amendment No. 1 thereto) of Waste Management, Inc.,</w:t>
      </w:r>
    </w:p>
    <w:p>
      <w:pPr>
        <w:spacing w:after="0" w:line="117" w:lineRule="exact"/>
        <w:rPr>
          <w:rFonts w:ascii="Arial" w:cs="Arial" w:eastAsia="Arial" w:hAnsi="Arial"/>
          <w:sz w:val="18"/>
          <w:szCs w:val="18"/>
          <w:color w:val="auto"/>
        </w:rPr>
      </w:pPr>
    </w:p>
    <w:p>
      <w:pPr>
        <w:ind w:left="460" w:right="240" w:firstLine="4"/>
        <w:spacing w:after="0" w:line="277" w:lineRule="auto"/>
        <w:tabs>
          <w:tab w:leader="none" w:pos="71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Registration Statement (Form S-8 No. 333-115932) of Waste Management, Inc. pertaining to the issuance of shares of common stock pursuant to the 2004 Stock Incentive Plan, and</w:t>
      </w:r>
    </w:p>
    <w:p>
      <w:pPr>
        <w:spacing w:after="0" w:line="62" w:lineRule="exact"/>
        <w:rPr>
          <w:rFonts w:ascii="Arial" w:cs="Arial" w:eastAsia="Arial" w:hAnsi="Arial"/>
          <w:sz w:val="18"/>
          <w:szCs w:val="18"/>
          <w:color w:val="auto"/>
        </w:rPr>
      </w:pPr>
    </w:p>
    <w:p>
      <w:pPr>
        <w:ind w:left="460" w:right="60" w:firstLine="4"/>
        <w:spacing w:after="0" w:line="277" w:lineRule="auto"/>
        <w:tabs>
          <w:tab w:leader="none" w:pos="71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Registration Statement (Form S-8 No. 333-45066) of Waste Management, Inc. pertaining to the issuance of shares of common stock pursuant to the 2000 Stock Incentive Plan and 1996 Stock Option Plan for Non-Employee Directors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of our reports dated February 18, 2014, with respect to the consolidated financial statements and schedule of Waste Management, Inc. and the effectiveness of internal control over financial reporting of Waste Management, Inc. included in this Annual Report (Form 10-K) of Waste Management, Inc. for the year ended December 31, 2013.</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2014</w:t>
      </w:r>
    </w:p>
    <w:p>
      <w:pPr>
        <w:sectPr>
          <w:pgSz w:w="11900" w:h="16838" w:orient="portrait"/>
          <w:cols w:equalWidth="0" w:num="1">
            <w:col w:w="11420"/>
          </w:cols>
          <w:pgMar w:left="240" w:top="121"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David P. Steiner, certify that: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10-K of Waste Management, Inc.;</w:t>
      </w:r>
    </w:p>
    <w:p>
      <w:pPr>
        <w:spacing w:after="0" w:line="225" w:lineRule="exact"/>
        <w:rPr>
          <w:sz w:val="20"/>
          <w:szCs w:val="20"/>
          <w:color w:val="auto"/>
        </w:rPr>
      </w:pPr>
    </w:p>
    <w:p>
      <w:pPr>
        <w:ind w:right="300" w:firstLine="464"/>
        <w:spacing w:after="0" w:line="342" w:lineRule="auto"/>
        <w:tabs>
          <w:tab w:leader="none" w:pos="64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464"/>
        <w:spacing w:after="0" w:line="277" w:lineRule="auto"/>
        <w:tabs>
          <w:tab w:leader="none" w:pos="69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464"/>
        <w:spacing w:after="0" w:line="264" w:lineRule="auto"/>
        <w:tabs>
          <w:tab w:leader="none" w:pos="67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73" w:lineRule="exact"/>
        <w:rPr>
          <w:rFonts w:ascii="Arial" w:cs="Arial" w:eastAsia="Arial" w:hAnsi="Arial"/>
          <w:sz w:val="18"/>
          <w:szCs w:val="18"/>
          <w:color w:val="auto"/>
        </w:rPr>
      </w:pPr>
    </w:p>
    <w:p>
      <w:pPr>
        <w:ind w:left="460" w:right="80" w:firstLine="443"/>
        <w:spacing w:after="0" w:line="264" w:lineRule="auto"/>
        <w:tabs>
          <w:tab w:leader="none" w:pos="111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0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0" w:firstLine="443"/>
        <w:spacing w:after="0" w:line="342" w:lineRule="auto"/>
        <w:tabs>
          <w:tab w:leader="none" w:pos="1108" w:val="left"/>
        </w:tabs>
        <w:numPr>
          <w:ilvl w:val="1"/>
          <w:numId w:val="1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60" w:right="80" w:firstLine="443"/>
        <w:spacing w:after="0" w:line="264" w:lineRule="auto"/>
        <w:tabs>
          <w:tab w:leader="none" w:pos="111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464"/>
        <w:spacing w:after="0" w:line="277" w:lineRule="auto"/>
        <w:tabs>
          <w:tab w:leader="none" w:pos="62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2" w:lineRule="exact"/>
        <w:rPr>
          <w:rFonts w:ascii="Arial" w:cs="Arial" w:eastAsia="Arial" w:hAnsi="Arial"/>
          <w:sz w:val="18"/>
          <w:szCs w:val="18"/>
          <w:color w:val="auto"/>
        </w:rPr>
      </w:pPr>
    </w:p>
    <w:p>
      <w:pPr>
        <w:ind w:left="460" w:right="760" w:firstLine="443"/>
        <w:spacing w:after="0" w:line="308" w:lineRule="auto"/>
        <w:tabs>
          <w:tab w:leader="none" w:pos="1108" w:val="left"/>
        </w:tabs>
        <w:numPr>
          <w:ilvl w:val="1"/>
          <w:numId w:val="1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520" w:firstLine="443"/>
        <w:spacing w:after="0" w:line="277" w:lineRule="auto"/>
        <w:tabs>
          <w:tab w:leader="none" w:pos="109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tabs>
          <w:tab w:leader="none" w:pos="8200" w:val="left"/>
          <w:tab w:leader="none" w:pos="8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David P. Steiner</w:t>
      </w:r>
    </w:p>
    <w:p>
      <w:pPr>
        <w:spacing w:after="0" w:line="23"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2014</w:t>
      </w:r>
    </w:p>
    <w:p>
      <w:pPr>
        <w:sectPr>
          <w:pgSz w:w="11900" w:h="16838" w:orient="portrait"/>
          <w:cols w:equalWidth="0" w:num="1">
            <w:col w:w="11420"/>
          </w:cols>
          <w:pgMar w:left="240" w:top="121"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James C. Fish, Jr., certify that: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10-K of Waste Management, Inc.;</w:t>
      </w:r>
    </w:p>
    <w:p>
      <w:pPr>
        <w:spacing w:after="0" w:line="225" w:lineRule="exact"/>
        <w:rPr>
          <w:sz w:val="20"/>
          <w:szCs w:val="20"/>
          <w:color w:val="auto"/>
        </w:rPr>
      </w:pPr>
    </w:p>
    <w:p>
      <w:pPr>
        <w:ind w:right="300" w:firstLine="464"/>
        <w:spacing w:after="0" w:line="342" w:lineRule="auto"/>
        <w:tabs>
          <w:tab w:leader="none" w:pos="64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464"/>
        <w:spacing w:after="0" w:line="277" w:lineRule="auto"/>
        <w:tabs>
          <w:tab w:leader="none" w:pos="69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464"/>
        <w:spacing w:after="0" w:line="264" w:lineRule="auto"/>
        <w:tabs>
          <w:tab w:leader="none" w:pos="67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73" w:lineRule="exact"/>
        <w:rPr>
          <w:rFonts w:ascii="Arial" w:cs="Arial" w:eastAsia="Arial" w:hAnsi="Arial"/>
          <w:sz w:val="18"/>
          <w:szCs w:val="18"/>
          <w:color w:val="auto"/>
        </w:rPr>
      </w:pPr>
    </w:p>
    <w:p>
      <w:pPr>
        <w:ind w:left="460" w:right="80" w:firstLine="443"/>
        <w:spacing w:after="0" w:line="264" w:lineRule="auto"/>
        <w:tabs>
          <w:tab w:leader="none" w:pos="111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0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0" w:firstLine="443"/>
        <w:spacing w:after="0" w:line="342" w:lineRule="auto"/>
        <w:tabs>
          <w:tab w:leader="none" w:pos="1108" w:val="left"/>
        </w:tabs>
        <w:numPr>
          <w:ilvl w:val="1"/>
          <w:numId w:val="1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60" w:right="80" w:firstLine="443"/>
        <w:spacing w:after="0" w:line="264" w:lineRule="auto"/>
        <w:tabs>
          <w:tab w:leader="none" w:pos="111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464"/>
        <w:spacing w:after="0" w:line="277" w:lineRule="auto"/>
        <w:tabs>
          <w:tab w:leader="none" w:pos="62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2" w:lineRule="exact"/>
        <w:rPr>
          <w:rFonts w:ascii="Arial" w:cs="Arial" w:eastAsia="Arial" w:hAnsi="Arial"/>
          <w:sz w:val="18"/>
          <w:szCs w:val="18"/>
          <w:color w:val="auto"/>
        </w:rPr>
      </w:pPr>
    </w:p>
    <w:p>
      <w:pPr>
        <w:ind w:left="460" w:right="760" w:firstLine="443"/>
        <w:spacing w:after="0" w:line="308" w:lineRule="auto"/>
        <w:tabs>
          <w:tab w:leader="none" w:pos="1108" w:val="left"/>
        </w:tabs>
        <w:numPr>
          <w:ilvl w:val="1"/>
          <w:numId w:val="1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520" w:firstLine="443"/>
        <w:spacing w:after="0" w:line="277" w:lineRule="auto"/>
        <w:tabs>
          <w:tab w:leader="none" w:pos="109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tabs>
          <w:tab w:leader="none" w:pos="8180" w:val="left"/>
          <w:tab w:leader="none" w:pos="8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James C. Fish, Jr.</w:t>
      </w:r>
    </w:p>
    <w:p>
      <w:pPr>
        <w:spacing w:after="0" w:line="23"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2014</w:t>
      </w:r>
    </w:p>
    <w:p>
      <w:pPr>
        <w:sectPr>
          <w:pgSz w:w="11900" w:h="16838" w:orient="portrait"/>
          <w:cols w:equalWidth="0" w:num="1">
            <w:col w:w="11420"/>
          </w:cols>
          <w:pgMar w:left="240" w:top="121"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In connection with the Annual Report of Waste Management, Inc. (the “Company”) on Form 10-K for the period ended December 31, 2013 as filed with the Securities and Exchange Commission on the date hereof (the “Report”), I, David P. Steiner, Chief Executive Officer of the Company, certify, pursuant to 18 U.S.C. § 1350, as adopted pursuant to § 906 of the Sarbanes-Oxley Act of 2002, that:</w:t>
      </w:r>
    </w:p>
    <w:p>
      <w:pPr>
        <w:spacing w:after="0" w:line="73" w:lineRule="exact"/>
        <w:rPr>
          <w:sz w:val="20"/>
          <w:szCs w:val="20"/>
          <w:color w:val="auto"/>
        </w:rPr>
      </w:pPr>
    </w:p>
    <w:p>
      <w:pPr>
        <w:ind w:left="1160" w:hanging="257"/>
        <w:spacing w:after="0"/>
        <w:tabs>
          <w:tab w:leader="none" w:pos="11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00" w:firstLine="443"/>
        <w:spacing w:after="0" w:line="277" w:lineRule="auto"/>
        <w:tabs>
          <w:tab w:leader="none" w:pos="115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860"/>
        <w:spacing w:after="0"/>
        <w:tabs>
          <w:tab w:leader="none" w:pos="8200" w:val="left"/>
          <w:tab w:leader="none" w:pos="8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David P. Steiner</w:t>
      </w:r>
    </w:p>
    <w:p>
      <w:pPr>
        <w:spacing w:after="0" w:line="23"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2014</w:t>
      </w:r>
    </w:p>
    <w:p>
      <w:pPr>
        <w:sectPr>
          <w:pgSz w:w="11900" w:h="16838" w:orient="portrait"/>
          <w:cols w:equalWidth="0" w:num="1">
            <w:col w:w="11420"/>
          </w:cols>
          <w:pgMar w:left="240" w:top="121"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In connection with the Annual Report of Waste Management, Inc. (the “Company”) on Form 10-K for the period ended December 31, 2013 as filed with the Securities and Exchange Commission on the date hereof (the “Report”), I, James C. Fish, Jr., Chief Financial Officer of the Company, certify, pursuant to 18 U.S.C. § 1350, as adopted pursuant to § 906 of the Sarbanes-Oxley Act of 2002, that:</w:t>
      </w:r>
    </w:p>
    <w:p>
      <w:pPr>
        <w:spacing w:after="0" w:line="73" w:lineRule="exact"/>
        <w:rPr>
          <w:sz w:val="20"/>
          <w:szCs w:val="20"/>
          <w:color w:val="auto"/>
        </w:rPr>
      </w:pPr>
    </w:p>
    <w:p>
      <w:pPr>
        <w:ind w:left="1160" w:hanging="257"/>
        <w:spacing w:after="0"/>
        <w:tabs>
          <w:tab w:leader="none" w:pos="11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00" w:firstLine="443"/>
        <w:spacing w:after="0" w:line="277" w:lineRule="auto"/>
        <w:tabs>
          <w:tab w:leader="none" w:pos="1153"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860"/>
        <w:spacing w:after="0"/>
        <w:tabs>
          <w:tab w:leader="none" w:pos="8180" w:val="left"/>
          <w:tab w:leader="none" w:pos="8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James C. Fish, Jr.</w:t>
      </w:r>
    </w:p>
    <w:p>
      <w:pPr>
        <w:spacing w:after="0" w:line="23"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2014</w:t>
      </w:r>
    </w:p>
    <w:p>
      <w:pPr>
        <w:sectPr>
          <w:pgSz w:w="11900" w:h="16838" w:orient="portrait"/>
          <w:cols w:equalWidth="0" w:num="1">
            <w:col w:w="11420"/>
          </w:cols>
          <w:pgMar w:left="240" w:top="121"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29"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8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During the year ended December 31, 2013,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78"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In addition, during the year ended December 31, 2013,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Ÿ"/>
      <w:numFmt w:val="bullet"/>
      <w:start w:val="1"/>
    </w:lvl>
  </w:abstractNum>
  <w:abstractNum w:abstractNumId="3">
    <w:nsid w:val="25A70BF7"/>
    <w:multiLevelType w:val="hybridMultilevel"/>
    <w:lvl w:ilvl="0">
      <w:lvlJc w:val="left"/>
      <w:lvlText w:val="Ÿ"/>
      <w:numFmt w:val="bullet"/>
      <w:start w:val="1"/>
    </w:lvl>
  </w:abstractNum>
  <w:abstractNum w:abstractNumId="4">
    <w:nsid w:val="1DBABF00"/>
    <w:multiLevelType w:val="hybridMultilevel"/>
    <w:lvl w:ilvl="0">
      <w:lvlJc w:val="left"/>
      <w:lvlText w:val="(%1)"/>
      <w:numFmt w:val="lowerLetter"/>
      <w:start w:val="1"/>
    </w:lvl>
  </w:abstractNum>
  <w:abstractNum w:abstractNumId="5">
    <w:nsid w:val="4AD084E9"/>
    <w:multiLevelType w:val="hybridMultilevel"/>
    <w:lvl w:ilvl="0">
      <w:lvlJc w:val="left"/>
      <w:lvlText w:val="(%1)"/>
      <w:numFmt w:val="lowerLetter"/>
      <w:start w:val="2"/>
    </w:lvl>
  </w:abstractNum>
  <w:abstractNum w:abstractNumId="6">
    <w:nsid w:val="1F48EAA1"/>
    <w:multiLevelType w:val="hybridMultilevel"/>
    <w:lvl w:ilvl="0">
      <w:lvlJc w:val="left"/>
      <w:lvlText w:val="Ÿ"/>
      <w:numFmt w:val="bullet"/>
      <w:start w:val="1"/>
    </w:lvl>
  </w:abstractNum>
  <w:abstractNum w:abstractNumId="7">
    <w:nsid w:val="1381823A"/>
    <w:multiLevelType w:val="hybridMultilevel"/>
    <w:lvl w:ilvl="0">
      <w:lvlJc w:val="left"/>
      <w:lvlText w:val="Ÿ"/>
      <w:numFmt w:val="bullet"/>
      <w:start w:val="1"/>
    </w:lvl>
  </w:abstractNum>
  <w:abstractNum w:abstractNumId="8">
    <w:nsid w:val="5DB70AE5"/>
    <w:multiLevelType w:val="hybridMultilevel"/>
    <w:lvl w:ilvl="0">
      <w:lvlJc w:val="left"/>
      <w:lvlText w:val="Ÿ"/>
      <w:numFmt w:val="bullet"/>
      <w:start w:val="1"/>
    </w:lvl>
  </w:abstractNum>
  <w:abstractNum w:abstractNumId="9">
    <w:nsid w:val="100F8FCA"/>
    <w:multiLevelType w:val="hybridMultilevel"/>
    <w:lvl w:ilvl="0">
      <w:lvlJc w:val="left"/>
      <w:lvlText w:val="Ÿ"/>
      <w:numFmt w:val="bullet"/>
      <w:start w:val="1"/>
    </w:lvl>
  </w:abstractNum>
  <w:abstractNum w:abstractNumId="10">
    <w:nsid w:val="6590700B"/>
    <w:multiLevelType w:val="hybridMultilevel"/>
    <w:lvl w:ilvl="0">
      <w:lvlJc w:val="left"/>
      <w:lvlText w:val="Ÿ"/>
      <w:numFmt w:val="bullet"/>
      <w:start w:val="1"/>
    </w:lvl>
  </w:abstractNum>
  <w:abstractNum w:abstractNumId="11">
    <w:nsid w:val="15014ACB"/>
    <w:multiLevelType w:val="hybridMultilevel"/>
    <w:lvl w:ilvl="0">
      <w:lvlJc w:val="left"/>
      <w:lvlText w:val="Ÿ"/>
      <w:numFmt w:val="bullet"/>
      <w:start w:val="1"/>
    </w:lvl>
  </w:abstractNum>
  <w:abstractNum w:abstractNumId="12">
    <w:nsid w:val="5F5E7FD0"/>
    <w:multiLevelType w:val="hybridMultilevel"/>
    <w:lvl w:ilvl="0">
      <w:lvlJc w:val="left"/>
      <w:lvlText w:val="Ÿ"/>
      <w:numFmt w:val="bullet"/>
      <w:start w:val="1"/>
    </w:lvl>
  </w:abstractNum>
  <w:abstractNum w:abstractNumId="13">
    <w:nsid w:val="98A3148"/>
    <w:multiLevelType w:val="hybridMultilevel"/>
    <w:lvl w:ilvl="0">
      <w:lvlJc w:val="left"/>
      <w:lvlText w:val="Ÿ"/>
      <w:numFmt w:val="bullet"/>
      <w:start w:val="1"/>
    </w:lvl>
  </w:abstractNum>
  <w:abstractNum w:abstractNumId="14">
    <w:nsid w:val="799D0247"/>
    <w:multiLevelType w:val="hybridMultilevel"/>
    <w:lvl w:ilvl="0">
      <w:lvlJc w:val="left"/>
      <w:lvlText w:val="Ÿ"/>
      <w:numFmt w:val="bullet"/>
      <w:start w:val="1"/>
    </w:lvl>
  </w:abstractNum>
  <w:abstractNum w:abstractNumId="15">
    <w:nsid w:val="6B94764"/>
    <w:multiLevelType w:val="hybridMultilevel"/>
    <w:lvl w:ilvl="0">
      <w:lvlJc w:val="left"/>
      <w:lvlText w:val="(%1)"/>
      <w:numFmt w:val="lowerLetter"/>
      <w:start w:val="1"/>
    </w:lvl>
  </w:abstractNum>
  <w:abstractNum w:abstractNumId="16">
    <w:nsid w:val="42C296BD"/>
    <w:multiLevelType w:val="hybridMultilevel"/>
    <w:lvl w:ilvl="0">
      <w:lvlJc w:val="left"/>
      <w:lvlText w:val="(%1)"/>
      <w:numFmt w:val="lowerLetter"/>
      <w:start w:val="1"/>
    </w:lvl>
  </w:abstractNum>
  <w:abstractNum w:abstractNumId="17">
    <w:nsid w:val="168E121F"/>
    <w:multiLevelType w:val="hybridMultilevel"/>
    <w:lvl w:ilvl="0">
      <w:lvlJc w:val="left"/>
      <w:lvlText w:val="(%1)"/>
      <w:numFmt w:val="lowerLetter"/>
      <w:start w:val="1"/>
    </w:lvl>
  </w:abstractNum>
  <w:abstractNum w:abstractNumId="18">
    <w:nsid w:val="1EBA5D23"/>
    <w:multiLevelType w:val="hybridMultilevel"/>
    <w:lvl w:ilvl="0">
      <w:lvlJc w:val="left"/>
      <w:lvlText w:val="Ÿ"/>
      <w:numFmt w:val="bullet"/>
      <w:start w:val="1"/>
    </w:lvl>
  </w:abstractNum>
  <w:abstractNum w:abstractNumId="19">
    <w:nsid w:val="661E3F1E"/>
    <w:multiLevelType w:val="hybridMultilevel"/>
    <w:lvl w:ilvl="0">
      <w:lvlJc w:val="left"/>
      <w:lvlText w:val="Ÿ"/>
      <w:numFmt w:val="bullet"/>
      <w:start w:val="1"/>
    </w:lvl>
  </w:abstractNum>
  <w:abstractNum w:abstractNumId="20">
    <w:nsid w:val="5DC79EA8"/>
    <w:multiLevelType w:val="hybridMultilevel"/>
    <w:lvl w:ilvl="0">
      <w:lvlJc w:val="left"/>
      <w:lvlText w:val="Ÿ"/>
      <w:numFmt w:val="bullet"/>
      <w:start w:val="1"/>
    </w:lvl>
  </w:abstractNum>
  <w:abstractNum w:abstractNumId="21">
    <w:nsid w:val="540A471C"/>
    <w:multiLevelType w:val="hybridMultilevel"/>
    <w:lvl w:ilvl="0">
      <w:lvlJc w:val="left"/>
      <w:lvlText w:val="Ÿ"/>
      <w:numFmt w:val="bullet"/>
      <w:start w:val="1"/>
    </w:lvl>
  </w:abstractNum>
  <w:abstractNum w:abstractNumId="22">
    <w:nsid w:val="7BD3EE7B"/>
    <w:multiLevelType w:val="hybridMultilevel"/>
    <w:lvl w:ilvl="0">
      <w:lvlJc w:val="left"/>
      <w:lvlText w:val="Ÿ"/>
      <w:numFmt w:val="bullet"/>
      <w:start w:val="1"/>
    </w:lvl>
  </w:abstractNum>
  <w:abstractNum w:abstractNumId="23">
    <w:nsid w:val="51D9C564"/>
    <w:multiLevelType w:val="hybridMultilevel"/>
    <w:lvl w:ilvl="0">
      <w:lvlJc w:val="left"/>
      <w:lvlText w:val="Ÿ"/>
      <w:numFmt w:val="bullet"/>
      <w:start w:val="1"/>
    </w:lvl>
  </w:abstractNum>
  <w:abstractNum w:abstractNumId="24">
    <w:nsid w:val="613EFDC5"/>
    <w:multiLevelType w:val="hybridMultilevel"/>
    <w:lvl w:ilvl="0">
      <w:lvlJc w:val="left"/>
      <w:lvlText w:val="Ÿ"/>
      <w:numFmt w:val="bullet"/>
      <w:start w:val="1"/>
    </w:lvl>
  </w:abstractNum>
  <w:abstractNum w:abstractNumId="25">
    <w:nsid w:val="BF72B14"/>
    <w:multiLevelType w:val="hybridMultilevel"/>
    <w:lvl w:ilvl="0">
      <w:lvlJc w:val="left"/>
      <w:lvlText w:val="(%1)"/>
      <w:numFmt w:val="lowerLetter"/>
      <w:start w:val="1"/>
    </w:lvl>
  </w:abstractNum>
  <w:abstractNum w:abstractNumId="26">
    <w:nsid w:val="11447B73"/>
    <w:multiLevelType w:val="hybridMultilevel"/>
    <w:lvl w:ilvl="0">
      <w:lvlJc w:val="left"/>
      <w:lvlText w:val="(%1)"/>
      <w:numFmt w:val="lowerRoman"/>
      <w:start w:val="2"/>
    </w:lvl>
  </w:abstractNum>
  <w:abstractNum w:abstractNumId="27">
    <w:nsid w:val="42963E5A"/>
    <w:multiLevelType w:val="hybridMultilevel"/>
    <w:lvl w:ilvl="0">
      <w:lvlJc w:val="left"/>
      <w:lvlText w:val="Ÿ"/>
      <w:numFmt w:val="bullet"/>
      <w:start w:val="1"/>
    </w:lvl>
  </w:abstractNum>
  <w:abstractNum w:abstractNumId="28">
    <w:nsid w:val="A0382C5"/>
    <w:multiLevelType w:val="hybridMultilevel"/>
    <w:lvl w:ilvl="0">
      <w:lvlJc w:val="left"/>
      <w:lvlText w:val="Ÿ"/>
      <w:numFmt w:val="bullet"/>
      <w:start w:val="1"/>
    </w:lvl>
  </w:abstractNum>
  <w:abstractNum w:abstractNumId="29">
    <w:nsid w:val="8F2B15E"/>
    <w:multiLevelType w:val="hybridMultilevel"/>
    <w:lvl w:ilvl="0">
      <w:lvlJc w:val="left"/>
      <w:lvlText w:val="(%1)"/>
      <w:numFmt w:val="lowerLetter"/>
      <w:start w:val="1"/>
    </w:lvl>
  </w:abstractNum>
  <w:abstractNum w:abstractNumId="30">
    <w:nsid w:val="1A32234B"/>
    <w:multiLevelType w:val="hybridMultilevel"/>
    <w:lvl w:ilvl="0">
      <w:lvlJc w:val="left"/>
      <w:lvlText w:val="(%1)"/>
      <w:numFmt w:val="lowerLetter"/>
      <w:start w:val="2"/>
    </w:lvl>
  </w:abstractNum>
  <w:abstractNum w:abstractNumId="31">
    <w:nsid w:val="3B0FD379"/>
    <w:multiLevelType w:val="hybridMultilevel"/>
    <w:lvl w:ilvl="0">
      <w:lvlJc w:val="left"/>
      <w:lvlText w:val="(%1)"/>
      <w:numFmt w:val="lowerRoman"/>
      <w:start w:val="1"/>
    </w:lvl>
  </w:abstractNum>
  <w:abstractNum w:abstractNumId="32">
    <w:nsid w:val="68EB2F63"/>
    <w:multiLevelType w:val="hybridMultilevel"/>
    <w:lvl w:ilvl="0">
      <w:lvlJc w:val="left"/>
      <w:lvlText w:val="(%1)"/>
      <w:numFmt w:val="lowerRoman"/>
      <w:start w:val="2"/>
    </w:lvl>
  </w:abstractNum>
  <w:abstractNum w:abstractNumId="33">
    <w:nsid w:val="4962813B"/>
    <w:multiLevelType w:val="hybridMultilevel"/>
    <w:lvl w:ilvl="0">
      <w:lvlJc w:val="left"/>
      <w:lvlText w:val="(%1)"/>
      <w:numFmt w:val="lowerRoman"/>
      <w:start w:val="5"/>
    </w:lvl>
  </w:abstractNum>
  <w:abstractNum w:abstractNumId="34">
    <w:nsid w:val="60B6DF70"/>
    <w:multiLevelType w:val="hybridMultilevel"/>
    <w:lvl w:ilvl="0">
      <w:lvlJc w:val="left"/>
      <w:lvlText w:val="Ÿ"/>
      <w:numFmt w:val="bullet"/>
      <w:start w:val="1"/>
    </w:lvl>
  </w:abstractNum>
  <w:abstractNum w:abstractNumId="35">
    <w:nsid w:val="6A5EE64"/>
    <w:multiLevelType w:val="hybridMultilevel"/>
    <w:lvl w:ilvl="0">
      <w:lvlJc w:val="left"/>
      <w:lvlText w:val="(%1)"/>
      <w:numFmt w:val="lowerRoman"/>
      <w:start w:val="8"/>
    </w:lvl>
  </w:abstractNum>
  <w:abstractNum w:abstractNumId="36">
    <w:nsid w:val="14330624"/>
    <w:multiLevelType w:val="hybridMultilevel"/>
    <w:lvl w:ilvl="0">
      <w:lvlJc w:val="left"/>
      <w:lvlText w:val="Ÿ"/>
      <w:numFmt w:val="bullet"/>
      <w:start w:val="1"/>
    </w:lvl>
    <w:lvl w:ilvl="1">
      <w:lvlJc w:val="left"/>
      <w:lvlText w:val="Ÿ"/>
      <w:numFmt w:val="bullet"/>
      <w:start w:val="1"/>
    </w:lvl>
  </w:abstractNum>
  <w:abstractNum w:abstractNumId="37">
    <w:nsid w:val="7FFFCA11"/>
    <w:multiLevelType w:val="hybridMultilevel"/>
    <w:lvl w:ilvl="0">
      <w:lvlJc w:val="left"/>
      <w:lvlText w:val="Ÿ"/>
      <w:numFmt w:val="bullet"/>
      <w:start w:val="1"/>
    </w:lvl>
    <w:lvl w:ilvl="1">
      <w:lvlJc w:val="left"/>
      <w:lvlText w:val="Ÿ"/>
      <w:numFmt w:val="bullet"/>
      <w:start w:val="1"/>
    </w:lvl>
  </w:abstractNum>
  <w:abstractNum w:abstractNumId="38">
    <w:nsid w:val="1A27709E"/>
    <w:multiLevelType w:val="hybridMultilevel"/>
    <w:lvl w:ilvl="0">
      <w:lvlJc w:val="left"/>
      <w:lvlText w:val="(%1)"/>
      <w:numFmt w:val="lowerRoman"/>
      <w:start w:val="3"/>
    </w:lvl>
  </w:abstractNum>
  <w:abstractNum w:abstractNumId="39">
    <w:nsid w:val="71EA1109"/>
    <w:multiLevelType w:val="hybridMultilevel"/>
    <w:lvl w:ilvl="0">
      <w:lvlJc w:val="left"/>
      <w:lvlText w:val="Ÿ"/>
      <w:numFmt w:val="bullet"/>
      <w:start w:val="1"/>
    </w:lvl>
  </w:abstractNum>
  <w:abstractNum w:abstractNumId="40">
    <w:nsid w:val="100F59DC"/>
    <w:multiLevelType w:val="hybridMultilevel"/>
    <w:lvl w:ilvl="0">
      <w:lvlJc w:val="left"/>
      <w:lvlText w:val="(%1)"/>
      <w:numFmt w:val="lowerRoman"/>
      <w:start w:val="3"/>
    </w:lvl>
  </w:abstractNum>
  <w:abstractNum w:abstractNumId="41">
    <w:nsid w:val="7FB7E0AA"/>
    <w:multiLevelType w:val="hybridMultilevel"/>
    <w:lvl w:ilvl="0">
      <w:lvlJc w:val="left"/>
      <w:lvlText w:val="Ÿ"/>
      <w:numFmt w:val="bullet"/>
      <w:start w:val="1"/>
    </w:lvl>
  </w:abstractNum>
  <w:abstractNum w:abstractNumId="42">
    <w:nsid w:val="6EB5BD4"/>
    <w:multiLevelType w:val="hybridMultilevel"/>
    <w:lvl w:ilvl="0">
      <w:lvlJc w:val="left"/>
      <w:lvlText w:val="\emdash "/>
      <w:numFmt w:val="bullet"/>
      <w:start w:val="1"/>
    </w:lvl>
  </w:abstractNum>
  <w:abstractNum w:abstractNumId="43">
    <w:nsid w:val="6F6DD9AC"/>
    <w:multiLevelType w:val="hybridMultilevel"/>
    <w:lvl w:ilvl="0">
      <w:lvlJc w:val="left"/>
      <w:lvlText w:val="*"/>
      <w:numFmt w:val="bullet"/>
      <w:start w:val="1"/>
    </w:lvl>
  </w:abstractNum>
  <w:abstractNum w:abstractNumId="44">
    <w:nsid w:val="94211F2"/>
    <w:multiLevelType w:val="hybridMultilevel"/>
    <w:lvl w:ilvl="0">
      <w:lvlJc w:val="left"/>
      <w:lvlText w:val="Ÿ"/>
      <w:numFmt w:val="bullet"/>
      <w:start w:val="1"/>
    </w:lvl>
  </w:abstractNum>
  <w:abstractNum w:abstractNumId="45">
    <w:nsid w:val="885E1B"/>
    <w:multiLevelType w:val="hybridMultilevel"/>
    <w:lvl w:ilvl="0">
      <w:lvlJc w:val="left"/>
      <w:lvlText w:val="(%1)"/>
      <w:numFmt w:val="lowerRoman"/>
      <w:start w:val="2"/>
    </w:lvl>
    <w:lvl w:ilvl="1">
      <w:lvlJc w:val="left"/>
      <w:lvlText w:val="Ÿ"/>
      <w:numFmt w:val="bullet"/>
      <w:start w:val="1"/>
    </w:lvl>
  </w:abstractNum>
  <w:abstractNum w:abstractNumId="46">
    <w:nsid w:val="76272110"/>
    <w:multiLevelType w:val="hybridMultilevel"/>
    <w:lvl w:ilvl="0">
      <w:lvlJc w:val="left"/>
      <w:lvlText w:val="Ÿ"/>
      <w:numFmt w:val="bullet"/>
      <w:start w:val="1"/>
    </w:lvl>
  </w:abstractNum>
  <w:abstractNum w:abstractNumId="47">
    <w:nsid w:val="4C04A8AF"/>
    <w:multiLevelType w:val="hybridMultilevel"/>
    <w:lvl w:ilvl="0">
      <w:lvlJc w:val="left"/>
      <w:lvlText w:val="(%1)"/>
      <w:numFmt w:val="lowerRoman"/>
      <w:start w:val="3"/>
    </w:lvl>
  </w:abstractNum>
  <w:abstractNum w:abstractNumId="48">
    <w:nsid w:val="1716703B"/>
    <w:multiLevelType w:val="hybridMultilevel"/>
    <w:lvl w:ilvl="0">
      <w:lvlJc w:val="left"/>
      <w:lvlText w:val="Ÿ"/>
      <w:numFmt w:val="bullet"/>
      <w:start w:val="1"/>
    </w:lvl>
  </w:abstractNum>
  <w:abstractNum w:abstractNumId="49">
    <w:nsid w:val="14E17E33"/>
    <w:multiLevelType w:val="hybridMultilevel"/>
    <w:lvl w:ilvl="0">
      <w:lvlJc w:val="left"/>
      <w:lvlText w:val="Ÿ"/>
      <w:numFmt w:val="bullet"/>
      <w:start w:val="1"/>
    </w:lvl>
  </w:abstractNum>
  <w:abstractNum w:abstractNumId="50">
    <w:nsid w:val="3222E7CD"/>
    <w:multiLevelType w:val="hybridMultilevel"/>
    <w:lvl w:ilvl="0">
      <w:lvlJc w:val="left"/>
      <w:lvlText w:val="(%1)"/>
      <w:numFmt w:val="lowerLetter"/>
      <w:start w:val="1"/>
    </w:lvl>
  </w:abstractNum>
  <w:abstractNum w:abstractNumId="51">
    <w:nsid w:val="74DE0EE3"/>
    <w:multiLevelType w:val="hybridMultilevel"/>
    <w:lvl w:ilvl="0">
      <w:lvlJc w:val="left"/>
      <w:lvlText w:val="(%1)"/>
      <w:numFmt w:val="lowerLetter"/>
      <w:start w:val="1"/>
    </w:lvl>
  </w:abstractNum>
  <w:abstractNum w:abstractNumId="52">
    <w:nsid w:val="68EBC550"/>
    <w:multiLevelType w:val="hybridMultilevel"/>
    <w:lvl w:ilvl="0">
      <w:lvlJc w:val="left"/>
      <w:lvlText w:val="(%1)"/>
      <w:numFmt w:val="lowerLetter"/>
      <w:start w:val="1"/>
    </w:lvl>
  </w:abstractNum>
  <w:abstractNum w:abstractNumId="53">
    <w:nsid w:val="2DF6D648"/>
    <w:multiLevelType w:val="hybridMultilevel"/>
    <w:lvl w:ilvl="0">
      <w:lvlJc w:val="left"/>
      <w:lvlText w:val="(%1)"/>
      <w:numFmt w:val="lowerLetter"/>
      <w:start w:val="2"/>
    </w:lvl>
  </w:abstractNum>
  <w:abstractNum w:abstractNumId="54">
    <w:nsid w:val="46B7D447"/>
    <w:multiLevelType w:val="hybridMultilevel"/>
    <w:lvl w:ilvl="0">
      <w:lvlJc w:val="left"/>
      <w:lvlText w:val="Ÿ"/>
      <w:numFmt w:val="bullet"/>
      <w:start w:val="1"/>
    </w:lvl>
  </w:abstractNum>
  <w:abstractNum w:abstractNumId="55">
    <w:nsid w:val="4A2AC315"/>
    <w:multiLevelType w:val="hybridMultilevel"/>
    <w:lvl w:ilvl="0">
      <w:lvlJc w:val="left"/>
      <w:lvlText w:val="(%1)"/>
      <w:numFmt w:val="lowerRoman"/>
      <w:start w:val="2"/>
    </w:lvl>
  </w:abstractNum>
  <w:abstractNum w:abstractNumId="56">
    <w:nsid w:val="39EE015C"/>
    <w:multiLevelType w:val="hybridMultilevel"/>
    <w:lvl w:ilvl="0">
      <w:lvlJc w:val="left"/>
      <w:lvlText w:val="(%1)"/>
      <w:numFmt w:val="lowerRoman"/>
      <w:start w:val="6"/>
    </w:lvl>
  </w:abstractNum>
  <w:abstractNum w:abstractNumId="57">
    <w:nsid w:val="57FC4FBB"/>
    <w:multiLevelType w:val="hybridMultilevel"/>
    <w:lvl w:ilvl="0">
      <w:lvlJc w:val="left"/>
      <w:lvlText w:val="(%1)"/>
      <w:numFmt w:val="lowerRoman"/>
      <w:start w:val="3"/>
    </w:lvl>
  </w:abstractNum>
  <w:abstractNum w:abstractNumId="58">
    <w:nsid w:val="CC1016F"/>
    <w:multiLevelType w:val="hybridMultilevel"/>
    <w:lvl w:ilvl="0">
      <w:lvlJc w:val="left"/>
      <w:lvlText w:val="(%1)"/>
      <w:numFmt w:val="lowerLetter"/>
      <w:start w:val="1"/>
    </w:lvl>
  </w:abstractNum>
  <w:abstractNum w:abstractNumId="59">
    <w:nsid w:val="43F18422"/>
    <w:multiLevelType w:val="hybridMultilevel"/>
    <w:lvl w:ilvl="0">
      <w:lvlJc w:val="left"/>
      <w:lvlText w:val="Ÿ"/>
      <w:numFmt w:val="bullet"/>
      <w:start w:val="1"/>
    </w:lvl>
  </w:abstractNum>
  <w:abstractNum w:abstractNumId="60">
    <w:nsid w:val="60EF0119"/>
    <w:multiLevelType w:val="hybridMultilevel"/>
    <w:lvl w:ilvl="0">
      <w:lvlJc w:val="left"/>
      <w:lvlText w:val="Ÿ"/>
      <w:numFmt w:val="bullet"/>
      <w:start w:val="1"/>
    </w:lvl>
    <w:lvl w:ilvl="1">
      <w:lvlJc w:val="left"/>
      <w:lvlText w:val="Ÿ"/>
      <w:numFmt w:val="bullet"/>
      <w:start w:val="1"/>
    </w:lvl>
  </w:abstractNum>
  <w:abstractNum w:abstractNumId="61">
    <w:nsid w:val="26F324BA"/>
    <w:multiLevelType w:val="hybridMultilevel"/>
    <w:lvl w:ilvl="0">
      <w:lvlJc w:val="left"/>
      <w:lvlText w:val="Ÿ"/>
      <w:numFmt w:val="bullet"/>
      <w:start w:val="1"/>
    </w:lvl>
    <w:lvl w:ilvl="1">
      <w:lvlJc w:val="left"/>
      <w:lvlText w:val="Ÿ"/>
      <w:numFmt w:val="bullet"/>
      <w:start w:val="1"/>
    </w:lvl>
  </w:abstractNum>
  <w:abstractNum w:abstractNumId="62">
    <w:nsid w:val="7F01579B"/>
    <w:multiLevelType w:val="hybridMultilevel"/>
    <w:lvl w:ilvl="0">
      <w:lvlJc w:val="left"/>
      <w:lvlText w:val="Ÿ"/>
      <w:numFmt w:val="bullet"/>
      <w:start w:val="1"/>
    </w:lvl>
  </w:abstractNum>
  <w:abstractNum w:abstractNumId="63">
    <w:nsid w:val="49DA307D"/>
    <w:multiLevelType w:val="hybridMultilevel"/>
    <w:lvl w:ilvl="0">
      <w:lvlJc w:val="left"/>
      <w:lvlText w:val="Ÿ"/>
      <w:numFmt w:val="bullet"/>
      <w:start w:val="1"/>
    </w:lvl>
  </w:abstractNum>
  <w:abstractNum w:abstractNumId="64">
    <w:nsid w:val="7055A5F5"/>
    <w:multiLevelType w:val="hybridMultilevel"/>
    <w:lvl w:ilvl="0">
      <w:lvlJc w:val="left"/>
      <w:lvlText w:val="Ÿ"/>
      <w:numFmt w:val="bullet"/>
      <w:start w:val="1"/>
    </w:lvl>
  </w:abstractNum>
  <w:abstractNum w:abstractNumId="65">
    <w:nsid w:val="5FB8370B"/>
    <w:multiLevelType w:val="hybridMultilevel"/>
    <w:lvl w:ilvl="0">
      <w:lvlJc w:val="left"/>
      <w:lvlText w:val="Ÿ"/>
      <w:numFmt w:val="bullet"/>
      <w:start w:val="1"/>
    </w:lvl>
  </w:abstractNum>
  <w:abstractNum w:abstractNumId="66">
    <w:nsid w:val="50801EE1"/>
    <w:multiLevelType w:val="hybridMultilevel"/>
    <w:lvl w:ilvl="0">
      <w:lvlJc w:val="left"/>
      <w:lvlText w:val="(%1)"/>
      <w:numFmt w:val="lowerLetter"/>
      <w:start w:val="1"/>
    </w:lvl>
    <w:lvl w:ilvl="1">
      <w:lvlJc w:val="left"/>
      <w:lvlText w:val="Ÿ"/>
      <w:numFmt w:val="bullet"/>
      <w:start w:val="1"/>
    </w:lvl>
  </w:abstractNum>
  <w:abstractNum w:abstractNumId="67">
    <w:nsid w:val="488AC1A"/>
    <w:multiLevelType w:val="hybridMultilevel"/>
    <w:lvl w:ilvl="0">
      <w:lvlJc w:val="left"/>
      <w:lvlText w:val="(%1)"/>
      <w:numFmt w:val="lowerLetter"/>
      <w:start w:val="1"/>
    </w:lvl>
  </w:abstractNum>
  <w:abstractNum w:abstractNumId="68">
    <w:nsid w:val="5FB8011C"/>
    <w:multiLevelType w:val="hybridMultilevel"/>
    <w:lvl w:ilvl="0">
      <w:lvlJc w:val="left"/>
      <w:lvlText w:val="%1."/>
      <w:numFmt w:val="lowerRoman"/>
      <w:start w:val="1"/>
    </w:lvl>
  </w:abstractNum>
  <w:abstractNum w:abstractNumId="69">
    <w:nsid w:val="6AA78F7F"/>
    <w:multiLevelType w:val="hybridMultilevel"/>
    <w:lvl w:ilvl="0">
      <w:lvlJc w:val="left"/>
      <w:lvlText w:val="%1."/>
      <w:numFmt w:val="decimal"/>
      <w:start w:val="2"/>
    </w:lvl>
  </w:abstractNum>
  <w:abstractNum w:abstractNumId="70">
    <w:nsid w:val="7672BD23"/>
    <w:multiLevelType w:val="hybridMultilevel"/>
    <w:lvl w:ilvl="0">
      <w:lvlJc w:val="left"/>
      <w:lvlText w:val="%1."/>
      <w:numFmt w:val="decimal"/>
      <w:start w:val="3"/>
    </w:lvl>
  </w:abstractNum>
  <w:abstractNum w:abstractNumId="71">
    <w:nsid w:val="6FC75AF8"/>
    <w:multiLevelType w:val="hybridMultilevel"/>
    <w:lvl w:ilvl="0">
      <w:lvlJc w:val="left"/>
      <w:lvlText w:val="Ÿ"/>
      <w:numFmt w:val="bullet"/>
      <w:start w:val="1"/>
    </w:lvl>
  </w:abstractNum>
  <w:abstractNum w:abstractNumId="72">
    <w:nsid w:val="6A5F7029"/>
    <w:multiLevelType w:val="hybridMultilevel"/>
    <w:lvl w:ilvl="0">
      <w:lvlJc w:val="left"/>
      <w:lvlText w:val="Ÿ"/>
      <w:numFmt w:val="bullet"/>
      <w:start w:val="1"/>
    </w:lvl>
    <w:lvl w:ilvl="1">
      <w:lvlJc w:val="left"/>
      <w:lvlText w:val="Ÿ"/>
      <w:numFmt w:val="bullet"/>
      <w:start w:val="1"/>
    </w:lvl>
  </w:abstractNum>
  <w:abstractNum w:abstractNumId="73">
    <w:nsid w:val="7D5E18F8"/>
    <w:multiLevelType w:val="hybridMultilevel"/>
    <w:lvl w:ilvl="0">
      <w:lvlJc w:val="left"/>
      <w:lvlText w:val="Ÿ"/>
      <w:numFmt w:val="bullet"/>
      <w:start w:val="1"/>
    </w:lvl>
  </w:abstractNum>
  <w:abstractNum w:abstractNumId="74">
    <w:nsid w:val="5F3534A4"/>
    <w:multiLevelType w:val="hybridMultilevel"/>
    <w:lvl w:ilvl="0">
      <w:lvlJc w:val="left"/>
      <w:lvlText w:val="Ÿ"/>
      <w:numFmt w:val="bullet"/>
      <w:start w:val="1"/>
    </w:lvl>
  </w:abstractNum>
  <w:abstractNum w:abstractNumId="75">
    <w:nsid w:val="73A1821B"/>
    <w:multiLevelType w:val="hybridMultilevel"/>
    <w:lvl w:ilvl="0">
      <w:lvlJc w:val="left"/>
      <w:lvlText w:val="(%1)"/>
      <w:numFmt w:val="lowerLetter"/>
      <w:start w:val="1"/>
    </w:lvl>
  </w:abstractNum>
  <w:abstractNum w:abstractNumId="76">
    <w:nsid w:val="7DE67713"/>
    <w:multiLevelType w:val="hybridMultilevel"/>
    <w:lvl w:ilvl="0">
      <w:lvlJc w:val="left"/>
      <w:lvlText w:val="Ÿ"/>
      <w:numFmt w:val="bullet"/>
      <w:start w:val="1"/>
    </w:lvl>
  </w:abstractNum>
  <w:abstractNum w:abstractNumId="77">
    <w:nsid w:val="555C55B5"/>
    <w:multiLevelType w:val="hybridMultilevel"/>
    <w:lvl w:ilvl="0">
      <w:lvlJc w:val="left"/>
      <w:lvlText w:val="(%1)"/>
      <w:numFmt w:val="lowerLetter"/>
      <w:start w:val="1"/>
    </w:lvl>
  </w:abstractNum>
  <w:abstractNum w:abstractNumId="78">
    <w:nsid w:val="3FA62ACA"/>
    <w:multiLevelType w:val="hybridMultilevel"/>
    <w:lvl w:ilvl="0">
      <w:lvlJc w:val="left"/>
      <w:lvlText w:val="(%1)"/>
      <w:numFmt w:val="lowerLetter"/>
      <w:start w:val="1"/>
    </w:lvl>
  </w:abstractNum>
  <w:abstractNum w:abstractNumId="79">
    <w:nsid w:val="14FCE74E"/>
    <w:multiLevelType w:val="hybridMultilevel"/>
    <w:lvl w:ilvl="0">
      <w:lvlJc w:val="left"/>
      <w:lvlText w:val="(%1)"/>
      <w:numFmt w:val="lowerLetter"/>
      <w:start w:val="1"/>
    </w:lvl>
  </w:abstractNum>
  <w:abstractNum w:abstractNumId="80">
    <w:nsid w:val="6A3DD3E8"/>
    <w:multiLevelType w:val="hybridMultilevel"/>
    <w:lvl w:ilvl="0">
      <w:lvlJc w:val="left"/>
      <w:lvlText w:val="(%1)"/>
      <w:numFmt w:val="lowerLetter"/>
      <w:start w:val="1"/>
    </w:lvl>
  </w:abstractNum>
  <w:abstractNum w:abstractNumId="81">
    <w:nsid w:val="71C91298"/>
    <w:multiLevelType w:val="hybridMultilevel"/>
    <w:lvl w:ilvl="0">
      <w:lvlJc w:val="left"/>
      <w:lvlText w:val="(%1)"/>
      <w:numFmt w:val="lowerLetter"/>
      <w:start w:val="3"/>
    </w:lvl>
  </w:abstractNum>
  <w:abstractNum w:abstractNumId="82">
    <w:nsid w:val="9DAF632"/>
    <w:multiLevelType w:val="hybridMultilevel"/>
    <w:lvl w:ilvl="0">
      <w:lvlJc w:val="left"/>
      <w:lvlText w:val="(%1)"/>
      <w:numFmt w:val="lowerLetter"/>
      <w:start w:val="5"/>
    </w:lvl>
  </w:abstractNum>
  <w:abstractNum w:abstractNumId="83">
    <w:nsid w:val="53299938"/>
    <w:multiLevelType w:val="hybridMultilevel"/>
    <w:lvl w:ilvl="0">
      <w:lvlJc w:val="left"/>
      <w:lvlText w:val="%1."/>
      <w:numFmt w:val="decimal"/>
      <w:start w:val="11"/>
    </w:lvl>
  </w:abstractNum>
  <w:abstractNum w:abstractNumId="84">
    <w:nsid w:val="1FBFE8E0"/>
    <w:multiLevelType w:val="hybridMultilevel"/>
    <w:lvl w:ilvl="0">
      <w:lvlJc w:val="left"/>
      <w:lvlText w:val="(%1)"/>
      <w:numFmt w:val="lowerLetter"/>
      <w:start w:val="1"/>
    </w:lvl>
  </w:abstractNum>
  <w:abstractNum w:abstractNumId="85">
    <w:nsid w:val="5092CA79"/>
    <w:multiLevelType w:val="hybridMultilevel"/>
    <w:lvl w:ilvl="0">
      <w:lvlJc w:val="left"/>
      <w:lvlText w:val="Ÿ"/>
      <w:numFmt w:val="bullet"/>
      <w:start w:val="1"/>
    </w:lvl>
  </w:abstractNum>
  <w:abstractNum w:abstractNumId="86">
    <w:nsid w:val="1D545C4D"/>
    <w:multiLevelType w:val="hybridMultilevel"/>
    <w:lvl w:ilvl="0">
      <w:lvlJc w:val="left"/>
      <w:lvlText w:val="Ÿ"/>
      <w:numFmt w:val="bullet"/>
      <w:start w:val="1"/>
    </w:lvl>
  </w:abstractNum>
  <w:abstractNum w:abstractNumId="87">
    <w:nsid w:val="59ADEA3D"/>
    <w:multiLevelType w:val="hybridMultilevel"/>
    <w:lvl w:ilvl="0">
      <w:lvlJc w:val="left"/>
      <w:lvlText w:val="Ÿ"/>
      <w:numFmt w:val="bullet"/>
      <w:start w:val="1"/>
    </w:lvl>
  </w:abstractNum>
  <w:abstractNum w:abstractNumId="88">
    <w:nsid w:val="288F1A34"/>
    <w:multiLevelType w:val="hybridMultilevel"/>
    <w:lvl w:ilvl="0">
      <w:lvlJc w:val="left"/>
      <w:lvlText w:val="%1."/>
      <w:numFmt w:val="decimal"/>
      <w:start w:val="12"/>
    </w:lvl>
  </w:abstractNum>
  <w:abstractNum w:abstractNumId="89">
    <w:nsid w:val="2A155DBC"/>
    <w:multiLevelType w:val="hybridMultilevel"/>
    <w:lvl w:ilvl="0">
      <w:lvlJc w:val="left"/>
      <w:lvlText w:val="%1."/>
      <w:numFmt w:val="decimal"/>
      <w:start w:val="13"/>
    </w:lvl>
  </w:abstractNum>
  <w:abstractNum w:abstractNumId="90">
    <w:nsid w:val="1D9F6E5F"/>
    <w:multiLevelType w:val="hybridMultilevel"/>
    <w:lvl w:ilvl="0">
      <w:lvlJc w:val="left"/>
      <w:lvlText w:val="Ÿ"/>
      <w:numFmt w:val="bullet"/>
      <w:start w:val="1"/>
    </w:lvl>
  </w:abstractNum>
  <w:abstractNum w:abstractNumId="91">
    <w:nsid w:val="97E1B4E"/>
    <w:multiLevelType w:val="hybridMultilevel"/>
    <w:lvl w:ilvl="0">
      <w:lvlJc w:val="left"/>
      <w:lvlText w:val="Ÿ"/>
      <w:numFmt w:val="bullet"/>
      <w:start w:val="1"/>
    </w:lvl>
  </w:abstractNum>
  <w:abstractNum w:abstractNumId="92">
    <w:nsid w:val="51088277"/>
    <w:multiLevelType w:val="hybridMultilevel"/>
    <w:lvl w:ilvl="0">
      <w:lvlJc w:val="left"/>
      <w:lvlText w:val="(%1)"/>
      <w:numFmt w:val="lowerLetter"/>
      <w:start w:val="1"/>
    </w:lvl>
  </w:abstractNum>
  <w:abstractNum w:abstractNumId="93">
    <w:nsid w:val="1CA0C5FA"/>
    <w:multiLevelType w:val="hybridMultilevel"/>
    <w:lvl w:ilvl="0">
      <w:lvlJc w:val="left"/>
      <w:lvlText w:val="%1."/>
      <w:numFmt w:val="decimal"/>
      <w:start w:val="15"/>
    </w:lvl>
  </w:abstractNum>
  <w:abstractNum w:abstractNumId="94">
    <w:nsid w:val="53584BCB"/>
    <w:multiLevelType w:val="hybridMultilevel"/>
    <w:lvl w:ilvl="0">
      <w:lvlJc w:val="left"/>
      <w:lvlText w:val="%1."/>
      <w:numFmt w:val="decimal"/>
      <w:start w:val="16"/>
    </w:lvl>
  </w:abstractNum>
  <w:abstractNum w:abstractNumId="95">
    <w:nsid w:val="415E286C"/>
    <w:multiLevelType w:val="hybridMultilevel"/>
    <w:lvl w:ilvl="0">
      <w:lvlJc w:val="left"/>
      <w:lvlText w:val="(%1)"/>
      <w:numFmt w:val="lowerLetter"/>
      <w:start w:val="1"/>
    </w:lvl>
  </w:abstractNum>
  <w:abstractNum w:abstractNumId="96">
    <w:nsid w:val="7C58FD05"/>
    <w:multiLevelType w:val="hybridMultilevel"/>
    <w:lvl w:ilvl="0">
      <w:lvlJc w:val="left"/>
      <w:lvlText w:val="%1."/>
      <w:numFmt w:val="decimal"/>
      <w:start w:val="19"/>
    </w:lvl>
  </w:abstractNum>
  <w:abstractNum w:abstractNumId="97">
    <w:nsid w:val="23D86AAC"/>
    <w:multiLevelType w:val="hybridMultilevel"/>
    <w:lvl w:ilvl="0">
      <w:lvlJc w:val="left"/>
      <w:lvlText w:val="(%1)"/>
      <w:numFmt w:val="lowerLetter"/>
      <w:start w:val="1"/>
    </w:lvl>
  </w:abstractNum>
  <w:abstractNum w:abstractNumId="98">
    <w:nsid w:val="45E6D486"/>
    <w:multiLevelType w:val="hybridMultilevel"/>
    <w:lvl w:ilvl="0">
      <w:lvlJc w:val="left"/>
      <w:lvlText w:val="(%1)"/>
      <w:numFmt w:val="lowerLetter"/>
      <w:start w:val="2"/>
    </w:lvl>
  </w:abstractNum>
  <w:abstractNum w:abstractNumId="99">
    <w:nsid w:val="5C10FE21"/>
    <w:multiLevelType w:val="hybridMultilevel"/>
    <w:lvl w:ilvl="0">
      <w:lvlJc w:val="left"/>
      <w:lvlText w:val="(%1)"/>
      <w:numFmt w:val="lowerLetter"/>
      <w:start w:val="8"/>
    </w:lvl>
  </w:abstractNum>
  <w:abstractNum w:abstractNumId="100">
    <w:nsid w:val="E7FFA2B"/>
    <w:multiLevelType w:val="hybridMultilevel"/>
    <w:lvl w:ilvl="0">
      <w:lvlJc w:val="left"/>
      <w:lvlText w:val="(%1)"/>
      <w:numFmt w:val="lowerLetter"/>
      <w:start w:val="1"/>
    </w:lvl>
  </w:abstractNum>
  <w:abstractNum w:abstractNumId="101">
    <w:nsid w:val="3C5991AA"/>
    <w:multiLevelType w:val="hybridMultilevel"/>
    <w:lvl w:ilvl="0">
      <w:lvlJc w:val="left"/>
      <w:lvlText w:val="(%1)"/>
      <w:numFmt w:val="lowerLetter"/>
      <w:start w:val="2"/>
    </w:lvl>
  </w:abstractNum>
  <w:abstractNum w:abstractNumId="102">
    <w:nsid w:val="4BD8591A"/>
    <w:multiLevelType w:val="hybridMultilevel"/>
    <w:lvl w:ilvl="0">
      <w:lvlJc w:val="left"/>
      <w:lvlText w:val="Ÿ"/>
      <w:numFmt w:val="bullet"/>
      <w:start w:val="1"/>
    </w:lvl>
  </w:abstractNum>
  <w:abstractNum w:abstractNumId="103">
    <w:nsid w:val="78DF6A55"/>
    <w:multiLevelType w:val="hybridMultilevel"/>
    <w:lvl w:ilvl="0">
      <w:lvlJc w:val="left"/>
      <w:lvlText w:val="Ÿ"/>
      <w:numFmt w:val="bullet"/>
      <w:start w:val="1"/>
    </w:lvl>
  </w:abstractNum>
  <w:abstractNum w:abstractNumId="104">
    <w:nsid w:val="39B7AAA2"/>
    <w:multiLevelType w:val="hybridMultilevel"/>
    <w:lvl w:ilvl="0">
      <w:lvlJc w:val="left"/>
      <w:lvlText w:val="Ÿ"/>
      <w:numFmt w:val="bullet"/>
      <w:start w:val="1"/>
    </w:lvl>
  </w:abstractNum>
  <w:abstractNum w:abstractNumId="105">
    <w:nsid w:val="2B0D8DBE"/>
    <w:multiLevelType w:val="hybridMultilevel"/>
    <w:lvl w:ilvl="0">
      <w:lvlJc w:val="left"/>
      <w:lvlText w:val="Ÿ"/>
      <w:numFmt w:val="bullet"/>
      <w:start w:val="1"/>
    </w:lvl>
  </w:abstractNum>
  <w:abstractNum w:abstractNumId="106">
    <w:nsid w:val="6C80EC70"/>
    <w:multiLevelType w:val="hybridMultilevel"/>
    <w:lvl w:ilvl="0">
      <w:lvlJc w:val="left"/>
      <w:lvlText w:val="Ÿ"/>
      <w:numFmt w:val="bullet"/>
      <w:start w:val="1"/>
    </w:lvl>
  </w:abstractNum>
  <w:abstractNum w:abstractNumId="107">
    <w:nsid w:val="379E21B5"/>
    <w:multiLevelType w:val="hybridMultilevel"/>
    <w:lvl w:ilvl="0">
      <w:lvlJc w:val="left"/>
      <w:lvlText w:val="Ÿ"/>
      <w:numFmt w:val="bullet"/>
      <w:start w:val="1"/>
    </w:lvl>
  </w:abstractNum>
  <w:abstractNum w:abstractNumId="108">
    <w:nsid w:val="69E373"/>
    <w:multiLevelType w:val="hybridMultilevel"/>
    <w:lvl w:ilvl="0">
      <w:lvlJc w:val="left"/>
      <w:lvlText w:val="Ÿ"/>
      <w:numFmt w:val="bullet"/>
      <w:start w:val="1"/>
    </w:lvl>
  </w:abstractNum>
  <w:abstractNum w:abstractNumId="109">
    <w:nsid w:val="2C27173B"/>
    <w:multiLevelType w:val="hybridMultilevel"/>
    <w:lvl w:ilvl="0">
      <w:lvlJc w:val="left"/>
      <w:lvlText w:val="Ÿ"/>
      <w:numFmt w:val="bullet"/>
      <w:start w:val="1"/>
    </w:lvl>
  </w:abstractNum>
  <w:abstractNum w:abstractNumId="110">
    <w:nsid w:val="4C9B0904"/>
    <w:multiLevelType w:val="hybridMultilevel"/>
    <w:lvl w:ilvl="0">
      <w:lvlJc w:val="left"/>
      <w:lvlText w:val="Ÿ"/>
      <w:numFmt w:val="bullet"/>
      <w:start w:val="1"/>
    </w:lvl>
  </w:abstractNum>
  <w:abstractNum w:abstractNumId="111">
    <w:nsid w:val="6AA7B75C"/>
    <w:multiLevelType w:val="hybridMultilevel"/>
    <w:lvl w:ilvl="0">
      <w:lvlJc w:val="left"/>
      <w:lvlText w:val="%1."/>
      <w:numFmt w:val="decimal"/>
      <w:start w:val="22"/>
    </w:lvl>
    <w:lvl w:ilvl="1">
      <w:lvlJc w:val="left"/>
      <w:lvlText w:val="Ÿ"/>
      <w:numFmt w:val="bullet"/>
      <w:start w:val="1"/>
    </w:lvl>
  </w:abstractNum>
  <w:abstractNum w:abstractNumId="112">
    <w:nsid w:val="1DF029D3"/>
    <w:multiLevelType w:val="hybridMultilevel"/>
    <w:lvl w:ilvl="0">
      <w:lvlJc w:val="left"/>
      <w:lvlText w:val="(%1)"/>
      <w:numFmt w:val="lowerLetter"/>
      <w:start w:val="1"/>
    </w:lvl>
  </w:abstractNum>
  <w:abstractNum w:abstractNumId="113">
    <w:nsid w:val="5675FF36"/>
    <w:multiLevelType w:val="hybridMultilevel"/>
    <w:lvl w:ilvl="0">
      <w:lvlJc w:val="left"/>
      <w:lvlText w:val="(%1)"/>
      <w:numFmt w:val="lowerLetter"/>
      <w:start w:val="2"/>
    </w:lvl>
  </w:abstractNum>
  <w:abstractNum w:abstractNumId="114">
    <w:nsid w:val="3DD15094"/>
    <w:multiLevelType w:val="hybridMultilevel"/>
    <w:lvl w:ilvl="0">
      <w:lvlJc w:val="left"/>
      <w:lvlText w:val="(%1)"/>
      <w:numFmt w:val="lowerLetter"/>
      <w:start w:val="1"/>
    </w:lvl>
  </w:abstractNum>
  <w:abstractNum w:abstractNumId="115">
    <w:nsid w:val="3DB012B3"/>
    <w:multiLevelType w:val="hybridMultilevel"/>
    <w:lvl w:ilvl="0">
      <w:lvlJc w:val="left"/>
      <w:lvlText w:val="(%1)"/>
      <w:numFmt w:val="lowerLetter"/>
      <w:start w:val="2"/>
    </w:lvl>
  </w:abstractNum>
  <w:abstractNum w:abstractNumId="116">
    <w:nsid w:val="2708C9AF"/>
    <w:multiLevelType w:val="hybridMultilevel"/>
    <w:lvl w:ilvl="0">
      <w:lvlJc w:val="left"/>
      <w:lvlText w:val="(%1)"/>
      <w:numFmt w:val="lowerLetter"/>
      <w:start w:val="1"/>
    </w:lvl>
  </w:abstractNum>
  <w:abstractNum w:abstractNumId="117">
    <w:nsid w:val="5B25ACE2"/>
    <w:multiLevelType w:val="hybridMultilevel"/>
    <w:lvl w:ilvl="0">
      <w:lvlJc w:val="left"/>
      <w:lvlText w:val="*"/>
      <w:numFmt w:val="bullet"/>
      <w:start w:val="1"/>
    </w:lvl>
  </w:abstractNum>
  <w:abstractNum w:abstractNumId="118">
    <w:nsid w:val="175DFCF0"/>
    <w:multiLevelType w:val="hybridMultilevel"/>
    <w:lvl w:ilvl="0">
      <w:lvlJc w:val="left"/>
      <w:lvlText w:val="†"/>
      <w:numFmt w:val="bullet"/>
      <w:start w:val="1"/>
    </w:lvl>
  </w:abstractNum>
  <w:abstractNum w:abstractNumId="119">
    <w:nsid w:val="4F97E3E4"/>
    <w:multiLevelType w:val="hybridMultilevel"/>
    <w:lvl w:ilvl="0">
      <w:lvlJc w:val="left"/>
      <w:lvlText w:val="*"/>
      <w:numFmt w:val="bullet"/>
      <w:start w:val="1"/>
    </w:lvl>
  </w:abstractNum>
  <w:abstractNum w:abstractNumId="120">
    <w:nsid w:val="53B0A9E"/>
    <w:multiLevelType w:val="hybridMultilevel"/>
    <w:lvl w:ilvl="0">
      <w:lvlJc w:val="left"/>
      <w:lvlText w:val="**"/>
      <w:numFmt w:val="bullet"/>
      <w:start w:val="1"/>
    </w:lvl>
  </w:abstractNum>
  <w:abstractNum w:abstractNumId="121">
    <w:nsid w:val="34FD6B4F"/>
    <w:multiLevelType w:val="hybridMultilevel"/>
    <w:lvl w:ilvl="0">
      <w:lvlJc w:val="left"/>
      <w:lvlText w:val="(%1)"/>
      <w:numFmt w:val="lowerLetter"/>
      <w:start w:val="1"/>
    </w:lvl>
  </w:abstractNum>
  <w:abstractNum w:abstractNumId="122">
    <w:nsid w:val="5915FF32"/>
    <w:multiLevelType w:val="hybridMultilevel"/>
    <w:lvl w:ilvl="0">
      <w:lvlJc w:val="left"/>
      <w:lvlText w:val="(%1)"/>
      <w:numFmt w:val="decimal"/>
      <w:start w:val="1"/>
    </w:lvl>
  </w:abstractNum>
  <w:abstractNum w:abstractNumId="123">
    <w:nsid w:val="56438D15"/>
    <w:multiLevelType w:val="hybridMultilevel"/>
    <w:lvl w:ilvl="0">
      <w:lvlJc w:val="left"/>
      <w:lvlText w:val="%1."/>
      <w:numFmt w:val="lowerRoman"/>
      <w:start w:val="2"/>
    </w:lvl>
    <w:lvl w:ilvl="1">
      <w:lvlJc w:val="left"/>
      <w:lvlText w:val="%2."/>
      <w:numFmt w:val="upperLetter"/>
      <w:start w:val="1"/>
    </w:lvl>
  </w:abstractNum>
  <w:abstractNum w:abstractNumId="124">
    <w:nsid w:val="519E3149"/>
    <w:multiLevelType w:val="hybridMultilevel"/>
    <w:lvl w:ilvl="0">
      <w:lvlJc w:val="left"/>
      <w:lvlText w:val="%1."/>
      <w:numFmt w:val="lowerRoman"/>
      <w:start w:val="2"/>
    </w:lvl>
    <w:lvl w:ilvl="1">
      <w:lvlJc w:val="left"/>
      <w:lvlText w:val="%2."/>
      <w:numFmt w:val="upperLetter"/>
      <w:start w:val="1"/>
    </w:lvl>
  </w:abstractNum>
  <w:abstractNum w:abstractNumId="125">
    <w:nsid w:val="2C6E4AFD"/>
    <w:multiLevelType w:val="hybridMultilevel"/>
    <w:lvl w:ilvl="0">
      <w:lvlJc w:val="left"/>
      <w:lvlText w:val="(%1)"/>
      <w:numFmt w:val="decimal"/>
      <w:start w:val="1"/>
    </w:lvl>
  </w:abstractNum>
  <w:abstractNum w:abstractNumId="126">
    <w:nsid w:val="17A1B5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2019-12-06T01:32:07Z</dcterms:created>
  <dcterms:modified xsi:type="dcterms:W3CDTF">2019-12-06T01:32:07Z</dcterms:modified>
</cp:coreProperties>
</file>