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Item 8.01 of this Current Report on Form 8-K under the heading “Issuance and Sale of Notes” is incorporated into this Item 1.01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30, 2024, Waste Management, Inc. (the “Company”) commenced and priced an underwritten public offering of $1,000,000,000 aggregate principal amount of its 4.500% Senior Notes due 2028, $700,000,000 aggregate principal amount of its 4.650% Senior Notes due 2030, $750,000,000 aggregate principal amount of its 4.800% Senior Notes due 2032, $1,500,000,000 aggregate principal amount of its 4.950% Senior Notes due 2035 and $1,250,000,000 aggregate principal amount of its 5.350% Senior Notes due 2054 (collectively, the “Notes”) under the Company’s Registration Statement on Form S-3 (No. 333-264493). The Notes, which will be fully and unconditionally guaranteed by the Company’s wholly-owned subsidiary Waste Management Holdings, Inc. (“WM Holdings”), will be sold pursuant to an underwriting agreement (the “Underwriting Agreement”) entered into on October 30, 2024 among the Company, WM Holdings and J.P. Morgan Securities LLC, Barclays Capital Inc., Deutsche Bank Securities Inc., Goldman Sachs &amp; Co. LLC, Mizuho Securities USA LLC and Scotia Capital (USA) Inc., as representatives of the several underwriters named therein.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their respective affiliates in the offering are lenders under the Company’s delayed draw term credit agreement and may receive 5% or more of the net proceeds of the offering by reason of the repayment of amounts outstanding under such term credit agreement. Additionally, certain of the underwriters or their respective affiliates in the offering are dealers under the Company’s commercial paper program and may receive 5% or more of the net proceeds of the offering by reason of the repayment of amounts outstanding under the Company’s commercial paper program, which is fully supported by the Company’s $3.5 billion revolving credit facility. Certain of the underwriters or one of their respective affiliates are lenders under the Company’s $3.5 billion revolving credit facility and term credit agreement, and have in the past performed, and/or may in the future perform, investment banking, financial advisory, lending and/or commercial banking services for the Company and its subsidiaries, for which they have received, and/or may in the future receive, customary fees and expense reimbursements.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Underwriting Agreement is being filed as Exhibit 1.1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Notes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November 4, 2024,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 and guarantee agreements (each, a “Guarantee Agreement”) by WM Holdings delivered on the closing date.</w:t>
      </w:r>
    </w:p>
    <w:p>
      <w:pPr>
        <w:spacing w:after="0" w:line="200" w:lineRule="exact"/>
        <w:rPr>
          <w:sz w:val="20"/>
          <w:szCs w:val="20"/>
          <w:color w:val="auto"/>
        </w:rPr>
      </w:pPr>
    </w:p>
    <w:p>
      <w:pPr>
        <w:spacing w:after="0" w:line="20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Copies of the Indenture and the forms of the Officers’ Certificates and the Guarantee Agreements are being filed as Exhibits 4.1, 4.2, 4.3, 4.4, 4.5, 4.6, 4.12, 4.13, 4.14, 4.15 and 4.16,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40" w:type="dxa"/>
            <w:vAlign w:val="bottom"/>
            <w:gridSpan w:val="10"/>
          </w:tcPr>
          <w:p>
            <w:pPr>
              <w:ind w:left="1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6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140" w:type="dxa"/>
            <w:vAlign w:val="bottom"/>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1</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80" w:type="dxa"/>
            <w:vAlign w:val="bottom"/>
            <w:tcBorders>
              <w:top w:val="single" w:sz="8" w:color="auto"/>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Underwriting Agreement dated October 30, 2024 by and among the Company, WM Holdings and J.P. Morgan Securities LLC,</w:t>
            </w:r>
          </w:p>
        </w:tc>
        <w:tc>
          <w:tcPr>
            <w:tcW w:w="20" w:type="dxa"/>
            <w:vAlign w:val="bottom"/>
            <w:tcBorders>
              <w:top w:val="single" w:sz="8" w:color="auto"/>
            </w:tcBorders>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Barclays Capital Inc., Deutsche Bank Securities Inc., Goldman Sachs &amp; Co. LLC, Mizuho Securities USA LLC and Scotia Capital</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(USA) Inc., as representatives of the several underwriters named therein.</w:t>
            </w:r>
          </w:p>
        </w:tc>
        <w:tc>
          <w:tcPr>
            <w:tcW w:w="4460" w:type="dxa"/>
            <w:vAlign w:val="bottom"/>
            <w:gridSpan w:val="6"/>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r:id="rId1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Indenture dated September 10, 1997 by and between the Company and The Bank of New York Mellon Trust Company, N.A. (the</w:t>
              </w:r>
            </w:hyperlink>
          </w:p>
        </w:tc>
        <w:tc>
          <w:tcPr>
            <w:tcW w:w="40" w:type="dxa"/>
            <w:vAlign w:val="bottom"/>
            <w:gridSpan w:val="2"/>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current successor to Texas Commerce Bank National Association), as trustee, relating to senior debt securities of the Company</w:t>
              </w:r>
            </w:hyperlink>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(incorporated by reference to Exhibit 4.1 to Current Report on Form 8-K filed September 24, 1997).</w:t>
              </w:r>
            </w:hyperlink>
          </w:p>
        </w:tc>
        <w:tc>
          <w:tcPr>
            <w:tcW w:w="2500" w:type="dxa"/>
            <w:vAlign w:val="bottom"/>
            <w:gridSpan w:val="5"/>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4.500%</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Senior Notes due 2028.</w:t>
            </w:r>
          </w:p>
        </w:tc>
      </w:tr>
      <w:tr>
        <w:trPr>
          <w:trHeight w:val="20"/>
        </w:trPr>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4.650%</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Senior Notes due 2030.</w:t>
            </w:r>
          </w:p>
        </w:tc>
      </w:tr>
      <w:tr>
        <w:trPr>
          <w:trHeight w:val="20"/>
        </w:trPr>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4.800%</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Senior Notes due 2032.</w:t>
            </w:r>
          </w:p>
        </w:tc>
      </w:tr>
      <w:tr>
        <w:trPr>
          <w:trHeight w:val="20"/>
        </w:trPr>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4.950%</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Senior Notes due 2035.</w:t>
            </w:r>
          </w:p>
        </w:tc>
      </w:tr>
      <w:tr>
        <w:trPr>
          <w:trHeight w:val="20"/>
        </w:trPr>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5.350%</w:t>
            </w:r>
          </w:p>
        </w:tc>
        <w:tc>
          <w:tcPr>
            <w:tcW w:w="6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Senior Notes due 2054.</w:t>
            </w:r>
          </w:p>
        </w:tc>
      </w:tr>
      <w:tr>
        <w:trPr>
          <w:trHeight w:val="20"/>
        </w:trPr>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Form of 4.500% Senior Notes due 2028 (included in Exhibit 4.2 above).</w:t>
            </w: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Form of 4.650% Senior Notes due 2030 (included in Exhibit 4.3 above).</w:t>
            </w: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Form of 4.800% Senior Notes due 2032 (included in Exhibit 4.4 above).</w:t>
            </w: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10</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Form of 4.950% Senior Notes due 2035 (included in Exhibit 4.5 above).</w:t>
            </w:r>
          </w:p>
        </w:tc>
      </w:tr>
      <w:tr>
        <w:trPr>
          <w:trHeight w:val="20"/>
        </w:trPr>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Form of 5.350% Senior Notes due 2054 (included in Exhibit 4.6 above).</w:t>
            </w:r>
          </w:p>
        </w:tc>
      </w:tr>
      <w:tr>
        <w:trPr>
          <w:trHeight w:val="20"/>
        </w:trPr>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4.500% Senior Notes due 2028.</w:t>
            </w:r>
          </w:p>
        </w:tc>
        <w:tc>
          <w:tcPr>
            <w:tcW w:w="8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13</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4.650% Senior Notes due 2030.</w:t>
            </w:r>
          </w:p>
        </w:tc>
        <w:tc>
          <w:tcPr>
            <w:tcW w:w="8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14</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4.800% Senior Notes due 2032.</w:t>
            </w:r>
          </w:p>
        </w:tc>
        <w:tc>
          <w:tcPr>
            <w:tcW w:w="8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15</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4.950% Senior Notes due 2035.</w:t>
            </w:r>
          </w:p>
        </w:tc>
        <w:tc>
          <w:tcPr>
            <w:tcW w:w="8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16</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5.350% Senior Notes due 2054.</w:t>
            </w:r>
          </w:p>
        </w:tc>
        <w:tc>
          <w:tcPr>
            <w:tcW w:w="8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Opinion of Baker Botts L.L.P.</w:t>
            </w:r>
          </w:p>
        </w:tc>
        <w:tc>
          <w:tcPr>
            <w:tcW w:w="7540" w:type="dxa"/>
            <w:vAlign w:val="bottom"/>
            <w:gridSpan w:val="10"/>
          </w:tcPr>
          <w:p>
            <w:pPr>
              <w:spacing w:after="0"/>
              <w:rPr>
                <w:sz w:val="17"/>
                <w:szCs w:val="17"/>
                <w:color w:val="auto"/>
              </w:rPr>
            </w:pPr>
          </w:p>
        </w:tc>
      </w:tr>
      <w:tr>
        <w:trPr>
          <w:trHeight w:val="237"/>
        </w:trPr>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Charles C. Boettcher</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5"/>
          <w:szCs w:val="25"/>
          <w:b w:val="1"/>
          <w:bCs w:val="1"/>
          <w:color w:val="auto"/>
        </w:rPr>
        <w:t>W</w:t>
      </w:r>
      <w:r>
        <w:rPr>
          <w:rFonts w:ascii="Times New Roman" w:cs="Times New Roman" w:eastAsia="Times New Roman" w:hAnsi="Times New Roman"/>
          <w:sz w:val="17"/>
          <w:szCs w:val="17"/>
          <w:b w:val="1"/>
          <w:bCs w:val="1"/>
          <w:color w:val="auto"/>
        </w:rPr>
        <w:t>aste</w:t>
      </w:r>
      <w:r>
        <w:rPr>
          <w:rFonts w:ascii="Times New Roman" w:cs="Times New Roman" w:eastAsia="Times New Roman" w:hAnsi="Times New Roman"/>
          <w:sz w:val="25"/>
          <w:szCs w:val="25"/>
          <w:b w:val="1"/>
          <w:bCs w:val="1"/>
          <w:color w:val="auto"/>
        </w:rPr>
        <w:t xml:space="preserve"> M</w:t>
      </w:r>
      <w:r>
        <w:rPr>
          <w:rFonts w:ascii="Times New Roman" w:cs="Times New Roman" w:eastAsia="Times New Roman" w:hAnsi="Times New Roman"/>
          <w:sz w:val="17"/>
          <w:szCs w:val="17"/>
          <w:b w:val="1"/>
          <w:bCs w:val="1"/>
          <w:color w:val="auto"/>
        </w:rPr>
        <w:t>anagement</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$1,000,000,000 4.500% Senior Notes due 2028</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$700,000,000 4.650% Senior Notes due 2030</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$750,000,000 4.800% Senior Notes due 2032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$1,500,000,000 4.950% Senior Notes due 2035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$1,250,000,000 5.350% Senior Notes due 2054</w:t>
      </w: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4837430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30, 2024</w:t>
      </w:r>
    </w:p>
    <w:p>
      <w:pPr>
        <w:sectPr>
          <w:pgSz w:w="11900" w:h="16838" w:orient="portrait"/>
          <w:cols w:equalWidth="0" w:num="3">
            <w:col w:w="3120" w:space="720"/>
            <w:col w:w="5120" w:space="720"/>
            <w:col w:w="156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$1,000,000,000 aggregate principal amount of 4.500%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$700,000,000 aggregate principal amount of 4.650% Senior Notes due 2030 (the “</w:t>
      </w:r>
      <w:r>
        <w:rPr>
          <w:rFonts w:ascii="Times New Roman" w:cs="Times New Roman" w:eastAsia="Times New Roman" w:hAnsi="Times New Roman"/>
          <w:sz w:val="18"/>
          <w:szCs w:val="18"/>
          <w:u w:val="single" w:color="auto"/>
          <w:color w:val="auto"/>
        </w:rPr>
        <w:t>2030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$750,000,000 aggregate principal amount of 4.800% Senior Notes due 2032 (the “</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$1,500,000,000 aggregate principal amount of 4.950% Senior Notes due 2035 (the “</w:t>
      </w:r>
      <w:r>
        <w:rPr>
          <w:rFonts w:ascii="Times New Roman" w:cs="Times New Roman" w:eastAsia="Times New Roman" w:hAnsi="Times New Roman"/>
          <w:sz w:val="18"/>
          <w:szCs w:val="18"/>
          <w:u w:val="single" w:color="auto"/>
          <w:color w:val="auto"/>
        </w:rPr>
        <w:t>2035 Notes</w:t>
      </w:r>
      <w:r>
        <w:rPr>
          <w:rFonts w:ascii="Times New Roman" w:cs="Times New Roman" w:eastAsia="Times New Roman" w:hAnsi="Times New Roman"/>
          <w:sz w:val="18"/>
          <w:szCs w:val="18"/>
          <w:color w:val="auto"/>
        </w:rPr>
        <w:t>”) and $1,250,000,000 aggregate principal amount of 5.350% Senior Notes due 2054 (the “</w:t>
      </w:r>
      <w:r>
        <w:rPr>
          <w:rFonts w:ascii="Times New Roman" w:cs="Times New Roman" w:eastAsia="Times New Roman" w:hAnsi="Times New Roman"/>
          <w:sz w:val="18"/>
          <w:szCs w:val="18"/>
          <w:u w:val="single" w:color="auto"/>
          <w:color w:val="auto"/>
        </w:rPr>
        <w:t>2054 Notes</w:t>
      </w:r>
      <w:r>
        <w:rPr>
          <w:rFonts w:ascii="Times New Roman" w:cs="Times New Roman" w:eastAsia="Times New Roman" w:hAnsi="Times New Roman"/>
          <w:sz w:val="18"/>
          <w:szCs w:val="18"/>
          <w:color w:val="auto"/>
        </w:rPr>
        <w:t>” and, collectively with the 2028 Notes, the 2030 Notes, the 2032 Notes and the 2035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guarantees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Guarantees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The Company meets the requirements for use of Form S-3 under the Act and has prepared and filed with the Commission a registration statement (File Number 333-264493)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(i) that part of the Registration Statement which shall constitute the Statement of Eligibility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19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other than (i) any document not constituting a prospectus pursuant to Section 2(a)(10)(a) of the Act or Rule 134 under the Act,</w:t>
      </w:r>
    </w:p>
    <w:p>
      <w:pPr>
        <w:spacing w:after="0" w:line="3" w:lineRule="exact"/>
        <w:rPr>
          <w:sz w:val="20"/>
          <w:szCs w:val="20"/>
          <w:color w:val="auto"/>
        </w:rPr>
      </w:pPr>
    </w:p>
    <w:p>
      <w:pPr>
        <w:jc w:val="both"/>
        <w:ind w:left="4" w:hanging="4"/>
        <w:spacing w:after="0" w:line="251"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2023,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          This Agreement has been duly and validly authorized, executed and delivered by the Company and Holdings.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            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           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           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          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(x)           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           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(z)           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80" w:lineRule="exact"/>
        <w:rPr>
          <w:sz w:val="20"/>
          <w:szCs w:val="20"/>
          <w:color w:val="auto"/>
        </w:rPr>
      </w:pPr>
    </w:p>
    <w:p>
      <w:pPr>
        <w:jc w:val="both"/>
        <w:ind w:left="4" w:firstLine="644"/>
        <w:spacing w:after="0" w:line="255"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left="4" w:firstLine="644"/>
        <w:spacing w:after="0" w:line="255" w:lineRule="auto"/>
        <w:tabs>
          <w:tab w:leader="none" w:pos="10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0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4" w:firstLine="644"/>
        <w:spacing w:after="0" w:line="254" w:lineRule="auto"/>
        <w:tabs>
          <w:tab w:leader="none" w:pos="10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9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(ii)           No holders of securities of the Company or Holdings have rights to the registration of such securities under the Registration Statement.</w:t>
      </w:r>
    </w:p>
    <w:p>
      <w:pPr>
        <w:spacing w:after="0" w:line="162" w:lineRule="exact"/>
        <w:rPr>
          <w:sz w:val="20"/>
          <w:szCs w:val="20"/>
          <w:color w:val="auto"/>
        </w:rPr>
      </w:pPr>
    </w:p>
    <w:p>
      <w:pPr>
        <w:jc w:val="both"/>
        <w:ind w:left="4" w:firstLine="644"/>
        <w:spacing w:after="0" w:line="258" w:lineRule="auto"/>
        <w:tabs>
          <w:tab w:leader="none" w:pos="9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0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covered by the Company’s Annual Report on Form 10-K for the year ended December 31, 2023 and the Company’s Quarterly Reports on Form 10-Q for the quarterly periods ended March 31, 2024, June 30, 2024 and September 30, 2024; (ii) have been evaluated for effectiveness as of the end of the periods covered by the Company’s Annual Report on Form 10-K for the year ended December 31, 2023 and the Company’s Quarterly Reports on Form 10-Q for the quarterly periods ended March 31, 2024, June 30, 2024 and September 30, 2024 pursuant to Rule 13a-15 of the Exchange Act; and (iii) are effective to ensure that the Company is able to collect, process and disclose the information required to be disclosed in reports filed with the Commission within required time periods.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the evaluation of its disclosure controls and procedures as of the end of the periods covered by the Company’s Annual Report on Form 10-K for the year ended December 31, 2023 and the Company’s Quarterly Reports on Form 10-Q for the quarterly periods ended March 31, 2024, June 30, 2024 and September 30, 2024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w:t>
      </w:r>
    </w:p>
    <w:p>
      <w:pPr>
        <w:spacing w:after="0" w:line="3" w:lineRule="exact"/>
        <w:rPr>
          <w:rFonts w:ascii="Times New Roman" w:cs="Times New Roman" w:eastAsia="Times New Roman" w:hAnsi="Times New Roman"/>
          <w:sz w:val="18"/>
          <w:szCs w:val="18"/>
          <w:color w:val="auto"/>
        </w:rPr>
      </w:pPr>
    </w:p>
    <w:p>
      <w:pPr>
        <w:ind w:left="4" w:right="20" w:hanging="4"/>
        <w:spacing w:after="0" w:line="260" w:lineRule="auto"/>
        <w:tabs>
          <w:tab w:leader="none" w:pos="2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controls of the Company.</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firstLine="644"/>
        <w:spacing w:after="0" w:line="256" w:lineRule="auto"/>
        <w:tabs>
          <w:tab w:leader="none" w:pos="10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87" w:lineRule="exact"/>
        <w:rPr>
          <w:rFonts w:ascii="Times New Roman" w:cs="Times New Roman" w:eastAsia="Times New Roman" w:hAnsi="Times New Roman"/>
          <w:sz w:val="18"/>
          <w:szCs w:val="18"/>
          <w:color w:val="auto"/>
        </w:rPr>
      </w:pPr>
    </w:p>
    <w:p>
      <w:pPr>
        <w:ind w:firstLine="644"/>
        <w:spacing w:after="0" w:line="282" w:lineRule="auto"/>
        <w:tabs>
          <w:tab w:leader="none" w:pos="10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Since September 30, 2024, there have been no significant changes in internal controls or in other factors that could significantly affect the Company’s internal controls over financial reporting.</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(oo)        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guarantees made in the ordinary course of business.</w:t>
      </w:r>
    </w:p>
    <w:p>
      <w:pPr>
        <w:spacing w:after="0" w:line="162" w:lineRule="exact"/>
        <w:rPr>
          <w:sz w:val="20"/>
          <w:szCs w:val="20"/>
          <w:color w:val="auto"/>
        </w:rPr>
      </w:pPr>
    </w:p>
    <w:p>
      <w:pPr>
        <w:ind w:firstLine="644"/>
        <w:spacing w:after="0" w:line="282" w:lineRule="auto"/>
        <w:tabs>
          <w:tab w:leader="none" w:pos="9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is not an ineligible issuer and is a well-known seasoned issuer, in each case as defined under the Act, in each case at the times specified in the Act in connection with the offering of the Securities.</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10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4"/>
        <w:spacing w:after="0" w:line="253" w:lineRule="auto"/>
        <w:tabs>
          <w:tab w:leader="none" w:pos="9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so-called Donetsk People’s Republic and the so-called Luhansk People’s Republic of Ukraine, the Crimea region of Ukraine, the non-government controlled areas of the Kherson and the Zaporizhzhia regions of Ukraine, Russia, Cuba, Iran, North Korea and Syria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9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(tt)          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and data (including all personal, personally identifiable, sensitive, confidential or regulated data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used in connection with their businesses. To the knowledge of the Company, there have been no breaches or unauthorized uses of or accesses to the IT Systems or Personal Data, and no such incidents are under internal investigation, that individually or in the aggregate, have, or would reasonably be expected to result in, a Material Adverse Effect.</w:t>
      </w:r>
    </w:p>
    <w:p>
      <w:pPr>
        <w:spacing w:after="0" w:line="3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and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99.527% of the principal amount of the 2028 Notes, (ii) 99.496% of the principal amount of the 2030 Notes, (iii) 99.305% of the principal amount of the 2032 Notes, (iv) 99.044% of the principal amount of the 2035 Notes and (v) 99.084% of the principal amount of the 2054 Notes, plus, in each case, accrued interest, if any, from November 4, 2024 to the Closing Date, the principal amount of the Notes set forth opposite such Underwriter’s name in Schedule II 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(a)            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88"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2"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7"/>
          <w:szCs w:val="17"/>
          <w:color w:val="auto"/>
        </w:rPr>
        <w:t>(c)            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w:t>
      </w:r>
    </w:p>
    <w:p>
      <w:pPr>
        <w:spacing w:after="0" w:line="5" w:lineRule="exact"/>
        <w:rPr>
          <w:sz w:val="20"/>
          <w:szCs w:val="20"/>
          <w:color w:val="auto"/>
        </w:rPr>
      </w:pPr>
    </w:p>
    <w:p>
      <w:pPr>
        <w:jc w:val="both"/>
        <w:ind w:left="4" w:hanging="4"/>
        <w:spacing w:after="0" w:line="255"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8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(h)            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3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(j)             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The Company will, pursuant to reasonable procedures developed in good faith, retain copies of each Issuer Free Writing Prospectus that is not filed with the Commission in accordance with Rule 433 under the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It is not subject to any pending proceeding under Section 8A of the Act with respect to the offering of the Securities (and will promptly notify the Company if any such proceeding against it is initiated during the Prospectus Delivery Period).</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Company shall have requested and caused Baker Botts L.L.P., counsel for the Company and Holdings, to have furnished to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Representatives their opinion, dated the Closing Date and addressed to the Representatives, to the effect that:</w:t>
      </w:r>
    </w:p>
    <w:p>
      <w:pPr>
        <w:spacing w:after="0" w:line="20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this Agreement has been duly authorized, executed and delivered by the Company and Holdings;</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(iii)          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87"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(iv)          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(v)           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(vii)         the Securities and the Indenture conform as to legal matters in all material respects to the descriptions thereof contained in the Registration Statement, the Time of Sale Information and the Final Prospectus;</w:t>
      </w:r>
    </w:p>
    <w:p>
      <w:pPr>
        <w:spacing w:after="0" w:line="16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(viii)        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(ix)           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(x)            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Times New Roman" w:cs="Times New Roman" w:eastAsia="Times New Roman" w:hAnsi="Times New Roman"/>
          <w:sz w:val="18"/>
          <w:szCs w:val="18"/>
          <w:u w:val="single" w:color="auto"/>
          <w:color w:val="auto"/>
        </w:rPr>
        <w:t>Reviewed Agreements</w:t>
      </w:r>
      <w:r>
        <w:rPr>
          <w:rFonts w:ascii="Times New Roman" w:cs="Times New Roman" w:eastAsia="Times New Roman" w:hAnsi="Times New Roman"/>
          <w:sz w:val="18"/>
          <w:szCs w:val="18"/>
          <w:color w:val="auto"/>
        </w:rPr>
        <w:t>”), or any existing applicable laws, rule or regulation (excluding any state securities or state or federal anti-fraud law, rule or regulation);</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(xi)           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80"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(xii)          neither the Company nor Holdings is an “investment company” or an entity “controlled” by an “investment company,” as such terms are defined in the 1940 Act.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Courtney A. Tippy, General Counsel – Securities &amp; Governance and Corporate Secretary of the Company, shall have furnished to the Representatives her opinion, dated the Closing Date and addressed to the Representatives, to the effect that:</w:t>
      </w:r>
    </w:p>
    <w:p>
      <w:pPr>
        <w:spacing w:after="0" w:line="162"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(i)            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9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(ii)           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87"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(iv)          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(v)           such counsel does not know of any holders of securities of the Company or Holdings that have rights to the registration of such securities under the Registration Statement; and</w:t>
      </w:r>
    </w:p>
    <w:p>
      <w:pPr>
        <w:spacing w:after="0" w:line="162"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(vi)          the execution and delivery of this Agreement, the Notes, the Guarantee Agreements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Each of the Company and Holdings shall have furnished to the Representatives a certificate, signed by the General Counsel – Securities &amp; Governance and Corporate Secretary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in the case of Holdings, the representations and warranties of Holdings in this Agreement are true and correct on and as of the Closing Date with the same effect as if made on the Closing Date;</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(iii)          no stop order suspending the effectiveness of the Registration Statement has been issued and no proceedings for that purpose have been instituted or, to the Company’s knowledge, threatened; and</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(iv)          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(ii)            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2023, and the Company’s Quarterly Reports on Form 10-Q for the quarterly periods ended March 31, 2024, June 30, 2024 and September 30, 2024,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88"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(iii)          they have inquired of certain officials of the Company who have responsibility for financial and accounting matters as to whether: (A) at October 28, 2024 there was any change in the capital stock, increase in long-term indebtedness or any decreases in consolidated net current assets or in total equity of the Company as compared with the amounts shown on the September 30, 2024 unaudited consolidated balance sheet incorporated by reference in the Registration Statement; or (B) for the period from July 1, 2024 to October 28, 2024 there were any decreases, as compared with the corresponding period in the preceding year, in consolidated operating revenues or in the total or per-share amounts of consolidated net income attributable to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8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(h)          Subsequent to the Time of Sale, there shall not have been any decrease in the rating of any of the Company’s debt securities by any “nationally recognized statistical rating organization” (as defined in Section 3(a)(62) under the Exchange Act) or any notice given of any intended or potential decrease in any such rating or of a possible change in any such rating that does not indicate the direction of the possible change.</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Prior to the Closing Date, the Company and Holdings shall have furnished to the Representatives such further information, certificates and documents as the Representatives may reasonably request.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confirmed in writing.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and Holdings, at 910 Louisiana Street, Houston, Texas 77002, on the Closing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19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(c)           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3" w:lineRule="exact"/>
        <w:rPr>
          <w:sz w:val="20"/>
          <w:szCs w:val="20"/>
          <w:color w:val="auto"/>
        </w:rPr>
      </w:pPr>
    </w:p>
    <w:p>
      <w:pPr>
        <w:jc w:val="both"/>
        <w:ind w:firstLine="8"/>
        <w:spacing w:after="0" w:line="251"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3" w:lineRule="exact"/>
        <w:rPr>
          <w:sz w:val="20"/>
          <w:szCs w:val="20"/>
          <w:color w:val="auto"/>
        </w:rPr>
      </w:pPr>
    </w:p>
    <w:p>
      <w:pPr>
        <w:jc w:val="both"/>
        <w:ind w:firstLine="8"/>
        <w:spacing w:after="0" w:line="253" w:lineRule="auto"/>
        <w:tabs>
          <w:tab w:leader="none" w:pos="3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communications hereunder will be in writing and effective only on receipt, and, if sent to the Representatives, will be mailed, delivered or telefaxed to: (i) J.P. Morgan Securities LLC, 383 Madison Avenue, New York, New York, Attention: Investment Grade Syndicate Desk, Fax:</w:t>
      </w:r>
    </w:p>
    <w:p>
      <w:pPr>
        <w:spacing w:after="0" w:line="1" w:lineRule="exact"/>
        <w:rPr>
          <w:sz w:val="20"/>
          <w:szCs w:val="20"/>
          <w:color w:val="auto"/>
        </w:rPr>
      </w:pPr>
    </w:p>
    <w:p>
      <w:pPr>
        <w:jc w:val="both"/>
        <w:ind w:firstLine="8"/>
        <w:spacing w:after="0" w:line="252"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834-6081; (ii) Barclays Capital Inc., 745 Seventh Avenue, New York, New York 10019, Attention: Syndicate Registration, Fax: (646) 834-8133; (iii) Deutsche Bank Securities Inc., 1 Columbus Circle, New York, New York 10019, Attention: Debt Capital Markets Syndicate, with a copy to General Counsel, Email: dbcapmarkets.gcnotices@list.db.com; (iv) Goldman Sachs &amp; Co. LLC, 200 West Street, New York, New York 10282-2198, Attention: Registration Department; (v) Mizuho Securities USA LLC, 1271 Avenue of the Americas, New York, New York 10020, Attention: Debt Capital Markets, Fax: (212) 205-7812; or (vi) Scotia Capital (USA) Inc., 250 Vesey Street, New York, New York 10281, Attention: Debt Capital Markets / Chief Legal Officer, U.S., Email: US.Legal@scotiabank.com; or, if sent to the Company or Holdings, will be mailed or delivered to Waste Management, Inc., 800 Capitol Street, Suite 3000, Houston, Texas 77002, Attn: Leslie K. Nagy, Vice President and Treasurer, Email: lnagy@wm.com and GCLegal@wm.com.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prospectus referred to in Section 1(a) above contained in the Registration Statement at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shall mean the prospectus supplement relating to the Securities that was first filed with the Commission pursuant to Rule 424(b) after the Time of Sale, together with the Base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shall mean the preliminary prospectus supplement relating to the Securities dated October 30, 2024 that was filed with the Commission pursuant to Rule 424(b) prior to the Time of Sale, together with the Base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above.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shall mean 4:50 P.M. New York City time on October 30, 2024, the time when sales of the Securities were first made.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The foregoing Agreement is hereby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set forth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Kenneth Chang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DEUTSCHE BANK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Ritu Ketkar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Matthew J. Siracuse</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 Debt Syndicate</w:t>
      </w:r>
    </w:p>
    <w:p>
      <w:pPr>
        <w:spacing w:after="0" w:line="200" w:lineRule="exact"/>
        <w:rPr>
          <w:sz w:val="20"/>
          <w:szCs w:val="20"/>
          <w:color w:val="auto"/>
        </w:rPr>
      </w:pPr>
    </w:p>
    <w:p>
      <w:pPr>
        <w:spacing w:after="0" w:line="237"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Jonathan Zwart</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MIZUHO SECURITIES USA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Fahrbach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Robert Fahrbach</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SCOTIA CAPITAL (USA)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Ravanesi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Ravanesi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Title:Managing Director &amp; Head of U.S. Debt Origination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named in Schedule II to the foregoing Agreement.</w:t>
      </w:r>
    </w:p>
    <w:p>
      <w:pPr>
        <w:spacing w:after="0" w:line="205"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14"/>
        </w:trPr>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October 30, 2024 relating to the</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October 30, 2024</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April 26, 2022</w:t>
            </w:r>
          </w:p>
        </w:tc>
      </w:tr>
      <w:tr>
        <w:trPr>
          <w:trHeight w:val="234"/>
        </w:trPr>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80" w:type="dxa"/>
            <w:vAlign w:val="bottom"/>
          </w:tcPr>
          <w:p>
            <w:pPr>
              <w:ind w:left="4620"/>
              <w:spacing w:after="0"/>
              <w:rPr>
                <w:sz w:val="20"/>
                <w:szCs w:val="20"/>
                <w:color w:val="auto"/>
              </w:rPr>
            </w:pPr>
            <w:r>
              <w:rPr>
                <w:rFonts w:ascii="Times New Roman" w:cs="Times New Roman" w:eastAsia="Times New Roman" w:hAnsi="Times New Roman"/>
                <w:sz w:val="18"/>
                <w:szCs w:val="18"/>
                <w:color w:val="auto"/>
                <w:w w:val="98"/>
              </w:rPr>
              <w:t>Registration Statement No. 333-264493</w:t>
            </w:r>
          </w:p>
        </w:tc>
      </w:tr>
      <w:tr>
        <w:trPr>
          <w:trHeight w:val="432"/>
        </w:trPr>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rPr>
              <w:t>$1,000,000,000 4.500% Senior Notes due 2028</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$700,000,000 4.650% Senior Notes due 2030</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$750,000,000 4.800% Senior Notes due 2032</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rPr>
              <w:t>$1,500,000,000 4.950% Senior Notes due 2035</w:t>
            </w:r>
          </w:p>
        </w:tc>
      </w:tr>
      <w:tr>
        <w:trPr>
          <w:trHeight w:val="238"/>
        </w:trPr>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$1,250,000,000 5.350% Senior Notes due 2054</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39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39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[Omitted in exhibit format]</w:t>
            </w:r>
          </w:p>
        </w:tc>
      </w:tr>
      <w:tr>
        <w:trPr>
          <w:trHeight w:val="39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39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T+3; November 4, 2024</w:t>
            </w:r>
          </w:p>
        </w:tc>
      </w:tr>
      <w:tr>
        <w:trPr>
          <w:trHeight w:val="37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2028 Notes: $1,000,000,000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2030</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$700,000,000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$1,500,000,000</w:t>
            </w:r>
          </w:p>
        </w:tc>
      </w:tr>
      <w:tr>
        <w:trPr>
          <w:trHeight w:val="234"/>
        </w:trPr>
        <w:tc>
          <w:tcPr>
            <w:tcW w:w="238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2054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$1,250,000,000</w:t>
            </w:r>
          </w:p>
        </w:tc>
      </w:tr>
      <w:tr>
        <w:trPr>
          <w:trHeight w:val="37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2028 Notes: March 15, 2028</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2030</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2030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2032</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2035</w:t>
            </w:r>
          </w:p>
        </w:tc>
      </w:tr>
      <w:tr>
        <w:trPr>
          <w:trHeight w:val="234"/>
        </w:trPr>
        <w:tc>
          <w:tcPr>
            <w:tcW w:w="238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2054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October 15, 2054</w:t>
            </w:r>
          </w:p>
        </w:tc>
      </w:tr>
      <w:tr>
        <w:trPr>
          <w:trHeight w:val="37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2028 Notes: 4.500%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2030</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4.650%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4.800%</w:t>
            </w:r>
          </w:p>
        </w:tc>
      </w:tr>
      <w:tr>
        <w:trPr>
          <w:trHeight w:val="216"/>
        </w:trPr>
        <w:tc>
          <w:tcPr>
            <w:tcW w:w="238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w:t>
            </w:r>
          </w:p>
        </w:tc>
      </w:tr>
      <w:tr>
        <w:trPr>
          <w:trHeight w:val="234"/>
        </w:trPr>
        <w:tc>
          <w:tcPr>
            <w:tcW w:w="238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2054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5.350%</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due October 15, 2027</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3.500% due September 30, 2029</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3.625% due September 30, 2031</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due August 15, 2034</w:t>
            </w:r>
          </w:p>
        </w:tc>
      </w:tr>
      <w:tr>
        <w:trPr>
          <w:trHeight w:val="234"/>
        </w:trPr>
        <w:tc>
          <w:tcPr>
            <w:tcW w:w="30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due May 15, 2054</w:t>
            </w:r>
          </w:p>
        </w:tc>
      </w:tr>
      <w:tr>
        <w:trPr>
          <w:trHeight w:val="37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99-10 / 4.124%</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97-06+ / 4.134%</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96-18 ¾ / 4.199%</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96-29 / 4.264%</w:t>
            </w:r>
          </w:p>
        </w:tc>
      </w:tr>
      <w:tr>
        <w:trPr>
          <w:trHeight w:val="234"/>
        </w:trPr>
        <w:tc>
          <w:tcPr>
            <w:tcW w:w="30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102-12+ / 4.478%</w:t>
            </w:r>
          </w:p>
        </w:tc>
      </w:tr>
      <w:tr>
        <w:trPr>
          <w:trHeight w:val="37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 basis points</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 basis points</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basis points</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 basis points</w:t>
            </w:r>
          </w:p>
        </w:tc>
      </w:tr>
      <w:tr>
        <w:trPr>
          <w:trHeight w:val="234"/>
        </w:trPr>
        <w:tc>
          <w:tcPr>
            <w:tcW w:w="30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+87.5 basis points</w:t>
            </w:r>
          </w:p>
        </w:tc>
      </w:tr>
      <w:tr>
        <w:trPr>
          <w:trHeight w:val="37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4.574%</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4.684%</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5.014%</w:t>
            </w:r>
          </w:p>
        </w:tc>
      </w:tr>
      <w:tr>
        <w:trPr>
          <w:trHeight w:val="234"/>
        </w:trPr>
        <w:tc>
          <w:tcPr>
            <w:tcW w:w="30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5.353%</w:t>
            </w:r>
          </w:p>
        </w:tc>
      </w:tr>
      <w:tr>
        <w:trPr>
          <w:trHeight w:val="37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99.777% of the principal amount</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99.846% of the principal amount</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99.705% of the principal amount</w:t>
            </w:r>
          </w:p>
        </w:tc>
      </w:tr>
      <w:tr>
        <w:trPr>
          <w:trHeight w:val="216"/>
        </w:trPr>
        <w:tc>
          <w:tcPr>
            <w:tcW w:w="306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99.494% of the principal amount</w:t>
            </w:r>
          </w:p>
        </w:tc>
      </w:tr>
      <w:tr>
        <w:trPr>
          <w:trHeight w:val="234"/>
        </w:trPr>
        <w:tc>
          <w:tcPr>
            <w:tcW w:w="30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99.959% of the principal amount</w:t>
            </w:r>
          </w:p>
        </w:tc>
      </w:tr>
      <w:tr>
        <w:trPr>
          <w:trHeight w:val="39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$5,160,739,500</w:t>
            </w:r>
          </w:p>
        </w:tc>
      </w:tr>
      <w:tr>
        <w:trPr>
          <w:trHeight w:val="6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2028 Notes, 2030 Notes, 2032 Notes and 2035 Notes: Semi-annually on March 15 and September 15,</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commencing on March 15, 2025</w:t>
            </w:r>
          </w:p>
        </w:tc>
      </w:tr>
      <w:tr>
        <w:trPr>
          <w:trHeight w:val="432"/>
        </w:trPr>
        <w:tc>
          <w:tcPr>
            <w:tcW w:w="306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2054</w:t>
            </w:r>
          </w:p>
        </w:tc>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Semi-annually on April 15 and October 15, commencing on April 15, 2025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2028 Notes: Prior to February 15, 2028 (one month prior to the maturity date), the 2028 Notes are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 at a redemption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price equal to the greater of: (1) (a) the sum of the present values of the remaining scheduled payments of</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 (assuming the 2028 Notes matured 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February 15, 2028) on a semi-annual basis (assuming a 360-day year consisting of twelve 30-day months) at</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Treasury Rate plus 10 basis points, less (b) interest accrued to the redemption date, and (2) 100% of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amount of the 2028 Notes to be redeemed, plus, in either case, accrued and unpaid interest thereon</w:t>
            </w:r>
          </w:p>
        </w:tc>
      </w:tr>
      <w:tr>
        <w:trPr>
          <w:trHeight w:val="234"/>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414"/>
        </w:trPr>
        <w:tc>
          <w:tcPr>
            <w:tcW w:w="2500" w:type="dxa"/>
            <w:vAlign w:val="bottom"/>
          </w:tcPr>
          <w:p>
            <w:pPr>
              <w:spacing w:after="0"/>
              <w:rPr>
                <w:sz w:val="24"/>
                <w:szCs w:val="24"/>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or after February 15, 2028 (one month prior to the maturity date), the 2028 Notes are redeemable at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option of the issuer, in whole or in part, at any time and from time to time, at a redemption price equal to</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 of the principal amount of the 2028 Notes to be redeemed, plus accrued and unpaid interest thereon to</w:t>
            </w:r>
          </w:p>
        </w:tc>
      </w:tr>
      <w:tr>
        <w:trPr>
          <w:trHeight w:val="234"/>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414"/>
        </w:trPr>
        <w:tc>
          <w:tcPr>
            <w:tcW w:w="2500" w:type="dxa"/>
            <w:vAlign w:val="bottom"/>
          </w:tcPr>
          <w:p>
            <w:pPr>
              <w:spacing w:after="0"/>
              <w:rPr>
                <w:sz w:val="24"/>
                <w:szCs w:val="24"/>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2030 Notes: Prior to February 15, 2030 (one month prior to the maturity date), the 2030 Notes are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 at a redemption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price equal to the greater of: (1) (a) the sum of the present values of the remaining scheduled payments of</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 (assuming the 2030 Notes matured 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February 15, 2030) on a semi-annual basis (assuming a 360-day year consisting of twelve 30-day months) at</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Treasury Rate plus 10 basis points, less (b) interest accrued to the redemption date, and (2) 100% of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amount of the 2030 Notes to be redeemed, plus, in either case, accrued and unpaid interest thereon</w:t>
            </w:r>
          </w:p>
        </w:tc>
      </w:tr>
      <w:tr>
        <w:trPr>
          <w:trHeight w:val="234"/>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414"/>
        </w:trPr>
        <w:tc>
          <w:tcPr>
            <w:tcW w:w="2500" w:type="dxa"/>
            <w:vAlign w:val="bottom"/>
          </w:tcPr>
          <w:p>
            <w:pPr>
              <w:spacing w:after="0"/>
              <w:rPr>
                <w:sz w:val="24"/>
                <w:szCs w:val="24"/>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or after February 15, 2030 (one month prior to the maturity date), the 2030 Notes are redeemable at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option of the issuer, in whole or in part, at any time and from time to time, at a redemption price equal to</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 of the principal amount of the 2030 Notes to be redeemed, plus accrued and unpaid interest thereon to</w:t>
            </w:r>
          </w:p>
        </w:tc>
      </w:tr>
      <w:tr>
        <w:trPr>
          <w:trHeight w:val="234"/>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414"/>
        </w:trPr>
        <w:tc>
          <w:tcPr>
            <w:tcW w:w="2500" w:type="dxa"/>
            <w:vAlign w:val="bottom"/>
          </w:tcPr>
          <w:p>
            <w:pPr>
              <w:spacing w:after="0"/>
              <w:rPr>
                <w:sz w:val="24"/>
                <w:szCs w:val="24"/>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2032 Notes: Prior to January 15, 2032 (two months prior to the maturity date), the 2032 Notes are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 at a redemption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price equal to the greater of: (1) (a) the sum of the present values of the remaining scheduled payments of</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 (assuming the 2032 Notes matured 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January 15, 2032) on a semi-annual basis (assuming a 360-day year consisting of twelve 30-day months) at</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Treasury Rate plus 10 basis points, less (b) interest accrued to the redemption date, and (2) 100% of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principal amount of the 2032 Notes to be redeemed, plus, in either case, accrued and unpaid interest thereon</w:t>
            </w:r>
          </w:p>
        </w:tc>
      </w:tr>
      <w:tr>
        <w:trPr>
          <w:trHeight w:val="234"/>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850"/>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Schedule I-3</w:t>
            </w:r>
          </w:p>
        </w:tc>
      </w:tr>
    </w:tbl>
    <w:p>
      <w:pPr>
        <w:sectPr>
          <w:pgSz w:w="11900" w:h="16838" w:orient="portrait"/>
          <w:cols w:equalWidth="0" w:num="1">
            <w:col w:w="11240"/>
          </w:cols>
          <w:pgMar w:left="320" w:top="931"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On or after January 15, 2032 (two months prior to the maturity date), the 2032 Notes are redeemable at the</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option of the issuer, in whole or in part, at any time and from time to time, at a redemption price equal to</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100% of the principal amount of the 2032 Notes to be redeemed, plus accrued and unpaid interest thereon to</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414"/>
        </w:trPr>
        <w:tc>
          <w:tcPr>
            <w:tcW w:w="2180" w:type="dxa"/>
            <w:vAlign w:val="bottom"/>
          </w:tcPr>
          <w:p>
            <w:pPr>
              <w:spacing w:after="0"/>
              <w:rPr>
                <w:sz w:val="24"/>
                <w:szCs w:val="24"/>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2035 Notes: Prior to December 15, 2034 (three months prior to the maturity date), the 2035 Notes are</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 at a redemption</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price equal to the greater of: (1) (a) the sum of the present values of the remaining scheduled payments of</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 (assuming the 2035 Notes matured on</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December 15, 2034) on a semi-annual basis (assuming a 360-day year consisting of twelve 30-day months)</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at the Treasury Rate plus 15 basis points, less (b) interest accrued to the redemption date, and (2) 100% of</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principal amount of the 2035 Notes to be redeemed, plus, in either case, accrued and unpaid interest</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thereon to the redemption date.</w:t>
            </w:r>
          </w:p>
        </w:tc>
      </w:tr>
      <w:tr>
        <w:trPr>
          <w:trHeight w:val="414"/>
        </w:trPr>
        <w:tc>
          <w:tcPr>
            <w:tcW w:w="2180" w:type="dxa"/>
            <w:vAlign w:val="bottom"/>
          </w:tcPr>
          <w:p>
            <w:pPr>
              <w:spacing w:after="0"/>
              <w:rPr>
                <w:sz w:val="24"/>
                <w:szCs w:val="24"/>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On or after December 15, 2034 (three months prior to the maturity date), the 2035 Notes are redeemable at</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option of the issuer, in whole or in part, at any time and from time to time, at a redemption price equal to</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100% of the principal amount of the 2035 Notes to be redeemed, plus accrued and unpaid interest thereon to</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414"/>
        </w:trPr>
        <w:tc>
          <w:tcPr>
            <w:tcW w:w="2180" w:type="dxa"/>
            <w:vAlign w:val="bottom"/>
          </w:tcPr>
          <w:p>
            <w:pPr>
              <w:spacing w:after="0"/>
              <w:rPr>
                <w:sz w:val="24"/>
                <w:szCs w:val="24"/>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2054 Notes: Prior to April 15, 2054 (six months prior to the maturity date), the 2054 Notes are redeemable at</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option of the issuer, in whole or in part, at any time and from time to time, at a redemption price equal to</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greater of: (1) (a) the sum of the present values of the remaining scheduled payments of principal and</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interest thereon discounted to the redemption date (assuming the 2054 Notes matured on April 15, 2054) on</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 semi-annual basis (assuming a 360-day year consisting of twelve 30-day months) at the Treasury Rate plus</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15 basis points, less (b) interest accrued to the redemption date, and (2) 100% of the principal amount of the</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2054 Notes to be redeemed, plus, in either case, accrued and unpaid interest thereon to the redemption date.</w:t>
            </w:r>
          </w:p>
        </w:tc>
      </w:tr>
      <w:tr>
        <w:trPr>
          <w:trHeight w:val="414"/>
        </w:trPr>
        <w:tc>
          <w:tcPr>
            <w:tcW w:w="2180" w:type="dxa"/>
            <w:vAlign w:val="bottom"/>
          </w:tcPr>
          <w:p>
            <w:pPr>
              <w:spacing w:after="0"/>
              <w:rPr>
                <w:sz w:val="24"/>
                <w:szCs w:val="24"/>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On or after April 15, 2054 (six months prior to the maturity date), the 2054 Notes are redeemable at the</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option of the issuer, in whole or in part, at any time and from time to time, at a redemption price equal to</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100% of the principal amount of the 2054 Notes to be redeemed, plus accrued and unpaid interest thereon to</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37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2028 Notes: 94106L CB3 / US94106LCB36</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2030 Notes: 94106L CC1 / US94106LCC19</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2032 Notes: 94106L CD9 / US94106LCD91</w:t>
            </w:r>
          </w:p>
        </w:tc>
      </w:tr>
      <w:tr>
        <w:trPr>
          <w:trHeight w:val="216"/>
        </w:trPr>
        <w:tc>
          <w:tcPr>
            <w:tcW w:w="2180" w:type="dxa"/>
            <w:vAlign w:val="bottom"/>
          </w:tcPr>
          <w:p>
            <w:pPr>
              <w:spacing w:after="0"/>
              <w:rPr>
                <w:sz w:val="18"/>
                <w:szCs w:val="18"/>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2035 Notes: 94106L CE7 / US94106LCE74</w:t>
            </w:r>
          </w:p>
        </w:tc>
      </w:tr>
      <w:tr>
        <w:trPr>
          <w:trHeight w:val="234"/>
        </w:trPr>
        <w:tc>
          <w:tcPr>
            <w:tcW w:w="2180" w:type="dxa"/>
            <w:vAlign w:val="bottom"/>
          </w:tcPr>
          <w:p>
            <w:pPr>
              <w:spacing w:after="0"/>
              <w:rPr>
                <w:sz w:val="20"/>
                <w:szCs w:val="20"/>
                <w:color w:val="auto"/>
              </w:rPr>
            </w:pPr>
          </w:p>
        </w:tc>
        <w:tc>
          <w:tcPr>
            <w:tcW w:w="9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2054 Notes: 94106L CF4 / US94106LCF40</w:t>
            </w:r>
          </w:p>
        </w:tc>
      </w:tr>
      <w:tr>
        <w:trPr>
          <w:trHeight w:val="850"/>
        </w:trPr>
        <w:tc>
          <w:tcPr>
            <w:tcW w:w="21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Schedule I-4</w:t>
            </w:r>
          </w:p>
        </w:tc>
      </w:tr>
    </w:tbl>
    <w:p>
      <w:pPr>
        <w:sectPr>
          <w:pgSz w:w="11900" w:h="16838" w:orient="portrait"/>
          <w:cols w:equalWidth="0" w:num="1">
            <w:col w:w="11240"/>
          </w:cols>
          <w:pgMar w:left="320" w:top="9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166" w:lineRule="exact"/>
        <w:rPr>
          <w:sz w:val="20"/>
          <w:szCs w:val="20"/>
          <w:color w:val="auto"/>
        </w:rPr>
      </w:pPr>
    </w:p>
    <w:p>
      <w:pPr>
        <w:sectPr>
          <w:pgSz w:w="11900" w:h="16838" w:orient="portrait"/>
          <w:cols w:equalWidth="0" w:num="2">
            <w:col w:w="2660" w:space="720"/>
            <w:col w:w="7860"/>
          </w:cols>
          <w:pgMar w:left="320" w:top="93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200" w:lineRule="exact"/>
        <w:rPr>
          <w:sz w:val="20"/>
          <w:szCs w:val="20"/>
          <w:color w:val="auto"/>
        </w:rPr>
      </w:pPr>
    </w:p>
    <w:p>
      <w:pPr>
        <w:sectPr>
          <w:pgSz w:w="11900" w:h="16838" w:orient="portrait"/>
          <w:cols w:equalWidth="0" w:num="2">
            <w:col w:w="2660" w:space="720"/>
            <w:col w:w="7860"/>
          </w:cols>
          <w:pgMar w:left="320" w:top="931" w:right="3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58" w:lineRule="auto"/>
        <w:tabs>
          <w:tab w:leader="none" w:pos="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November 4, 2024,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T+3, to specify an alternate settlement cycle at the time of any such trade to prevent failed settlement and should consult their own advisers.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October 30, 2024.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J.P. Morgan Securities LLC collect at (212) 834-4533; (2) Barclays Capital Inc. at (888) 603-5847; (3) Deutsche Bank Securities Inc. toll free at (800) 503-4611; (4) Goldman Sachs &amp; Co. LLC toll-free at (866) 471-2526; (5) Mizuho Securities USA LLC toll-free at (866) 271-7403; or (6) Scotia Capital (USA) Inc. at (800) 372-3930.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Representatives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7"/>
        </w:trPr>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 be</w:t>
            </w:r>
          </w:p>
        </w:tc>
      </w:tr>
      <w:tr>
        <w:trPr>
          <w:trHeight w:val="238"/>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09"/>
        </w:trPr>
        <w:tc>
          <w:tcPr>
            <w:tcW w:w="3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98,000,000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98,000,000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98,000,000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98,000,000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98,000,000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8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Pr>
          <w:p>
            <w:pPr>
              <w:spacing w:after="0"/>
              <w:rPr>
                <w:sz w:val="18"/>
                <w:szCs w:val="18"/>
                <w:color w:val="auto"/>
              </w:rPr>
            </w:pPr>
          </w:p>
        </w:tc>
      </w:tr>
      <w:tr>
        <w:trPr>
          <w:trHeight w:val="229"/>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Stern Brothers &amp; Co.</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Pricing Term Sheet, substantially in the form of Schedule I attached to this Agreement.</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REVIEWED AGREEMENTS</w:t>
      </w:r>
    </w:p>
    <w:p>
      <w:pPr>
        <w:spacing w:after="0" w:line="229" w:lineRule="exact"/>
        <w:rPr>
          <w:sz w:val="20"/>
          <w:szCs w:val="20"/>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3.125% Senior Notes due 2025, (vi) 3.90% Senior Notes due 2035, (vii) 4.10% Senior Notes due 2045, (viii) 3.15% Senior Notes due 2027, (ix) 4.15% Senior Notes due 2049, (x) 0.75% Senior Notes due 2025, (xi) 1.15% Senior Notes due 2028, (xii) 1.50% Senior Notes due 2031, (xiii) 2.50% Senior Notes due 2050, (xiv) 2.00% Senior Notes due 2029, (xv) 2.95% Senior Notes due 2041, (xvi) 4.15% Senior Notes due 2032, (xvii) 4.625% Senior Notes due 2030, (xviii) 4.625% Senior Notes due 2033, (xix) 4.875% Senior Notes due 2029, (xx) 4.875% Senior Notes due 2034, (xxi) 4.950% Senior Notes due 2027 and (xxii) 4.950% Senior Notes due 2031</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Guarantee Agreement by Waste Management Holdings, Inc. in favor of The Bank of New York Mellon Trust Company, N.A., as Trustee for the holders of Waste Management, Inc.’s: (i) 7.00% Senior Notes due 2028, (ii) 7.375% Senior Notes due 2029, (iii) 7.75% Senior Notes due 2032, (iv) 6.125% Senior Notes due 2039, (v) 3.125% Senior Notes due 2025, (vi) 3.90% Senior Notes due 2035, (vii) 4.10% Senior Notes due 2045, (viii) 3.15% Senior Notes due 2027, (ix) 4.15% Senior Notes due 2049, (x) 0.75% Senior Notes due 2025, (xi) 1.15% Senior Notes due 2028, (xii) 1.50% Senior Notes due 2031, (xiii) 2.50% Senior Notes due 2050, (xiv) 2.00% Senior Notes due 2029, (xv) 2.95% Senior Notes due 2041, (xvi) 4.15% Senior Notes due 2032, (xvii) 4.625% Senior Notes due 2030, (xviii) 4.625% Senior Notes due 2033, (xix) 4.875% Senior Notes due 2029, (xx) 4.875% Senior Notes due 2034, (xxi) 4.950% Senior Notes due 2027 and (xxii) 4.950% Senior Notes due 2031</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Billion Seventh Amended and Restated Revolving Credit Agreement dated as of May 8, 2024 by and among Waste Management, Inc., Waste Management of Canada Corporation, WM Quebec Inc. and Waste Management Holdings, Inc., certain banks party thereto, and Bank of America, N.A., as Administrative Agent, which agreement is filed as Exhibit 10.1 to Waste Management, Inc.’s Current Report on Form 8-K dated May 8, 2024 and filed on May 10,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left="652" w:hanging="652"/>
        <w:spacing w:after="0" w:line="258"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Dealer Agreement, as executed with each of Mizuho Securities USA LLC (dated August 22, 2016), BofA Securities, Inc. (dated August 22, 2016), J.P. Morgan Securities LLC (dated August 22, 2016), MUFG Securities Americas Inc. (dated September 17, 2018), Wells Fargo Securities, LLC (dated September 17, 2018), RBC Capital Markets, LLC (dated January 12, 2023), Siebert Williams Shank &amp; Co., LLC (dated January 12, 2023) and Barclays Capital Inc. (dated October 27, 2023), as Dealer, each of which agreement is substantially in the form filed as Exhibit 10.11 to Waste Management, Inc.’s Annual Report on Form 10-K for the year ended December 31, 2016</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Issuing and Paying Agent Agreement between Waste Management, Inc. and U.S. Bank Trust Company, National Association dated October 28, 2022, which agreement is filed as Exhibit 10.11 to Waste Management, Inc.’s Annual Report on Form 10-K for the year ended December 31, 2022</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Credit Agreement dated as of August 28, 2024 by and among Waste Management, Inc., Waste Management Holdings, Inc., certain banks party thereto and JPMorgan Chase Bank, N.A., as administrative agent, which agreement is filed as Exhibit 10.1 to Waste Management, Inc.’s Current Report on Form 8-K dated August 28, 2024 and filed on September 3, 2024</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$1,000,000,000 aggregate principal amount of 4.500% Senior Notes due 2028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“4.500% Senior Notes due 2028”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2028.</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4, 2024 at the fixed rate of 4.500%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left="652" w:hanging="652"/>
        <w:spacing w:after="0" w:line="261"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February 15, 2028.</w:t>
      </w:r>
    </w:p>
    <w:p>
      <w:pPr>
        <w:spacing w:after="0" w:line="225" w:lineRule="exact"/>
        <w:rPr>
          <w:sz w:val="20"/>
          <w:szCs w:val="20"/>
          <w:color w:val="auto"/>
        </w:rPr>
      </w:pPr>
    </w:p>
    <w:p>
      <w:pPr>
        <w:ind w:left="652"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2" w:name="page53"/>
    <w:bookmarkEnd w:id="52"/>
    <w:p>
      <w:pPr>
        <w:jc w:val="both"/>
        <w:ind w:left="652" w:hanging="652"/>
        <w:spacing w:after="0" w:line="258"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                 ,</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790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234"/>
        </w:trPr>
        <w:tc>
          <w:tcPr>
            <w:tcW w:w="7900" w:type="dxa"/>
            <w:vAlign w:val="bottom"/>
            <w:vMerge w:val="restart"/>
          </w:tcPr>
          <w:p>
            <w:pPr>
              <w:jc w:val="center"/>
              <w:ind w:left="239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216"/>
        </w:trPr>
        <w:tc>
          <w:tcPr>
            <w:tcW w:w="7900" w:type="dxa"/>
            <w:vAlign w:val="bottom"/>
            <w:vMerge w:val="continue"/>
          </w:tcPr>
          <w:p>
            <w:pPr>
              <w:spacing w:after="0"/>
              <w:rPr>
                <w:sz w:val="18"/>
                <w:szCs w:val="18"/>
                <w:color w:val="auto"/>
              </w:rPr>
            </w:pPr>
          </w:p>
        </w:tc>
        <w:tc>
          <w:tcPr>
            <w:tcW w:w="3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CUSIP 94106L CB3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15, 2028 in such coin or currency of the United States of America as at the time of payment shall be legal tender for the payment of public and private debts, and to pay interest at an annual rate of 4.500% payable on March 15 and September 15 of each year, to the person in whose name this Security is registered at the close of business on the record date for such interest, which shall be the preceding March 1 or September 1, respectively, payable commencing March 15, 2025, with interest accruing from November 4,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$1,000,000,000 in principal amount designated as the 4.500% Senior Notes due 2028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 SENIOR NOTES DUE 2028</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4.500% Senior Notes due 2028 of the Company, in initial aggregate principal amount of $1,000,000,000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4.500%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4.500%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February 15, 2028.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all such Securities and, in the case of (i) or (ii) below, any coupons appertaining thereto not theretofore delivered to the Trustee for cancellation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225"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858"/>
        </w:trPr>
        <w:tc>
          <w:tcPr>
            <w:tcW w:w="2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$700,000,000 aggregate principal amount of 4.650% Senior Notes due 2030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$700,000,000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69" w:name="page70"/>
    <w:bookmarkEnd w:id="69"/>
    <w:p>
      <w:pPr>
        <w:ind w:left="5280"/>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“4.650% Senior Notes due 2030”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2030.</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4, 2024 at the fixed rate of 4.650%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left="652" w:hanging="652"/>
        <w:spacing w:after="0" w:line="261" w:lineRule="auto"/>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February 15, 2030.</w:t>
      </w:r>
    </w:p>
    <w:p>
      <w:pPr>
        <w:spacing w:after="0" w:line="225" w:lineRule="exact"/>
        <w:rPr>
          <w:sz w:val="20"/>
          <w:szCs w:val="20"/>
          <w:color w:val="auto"/>
        </w:rPr>
      </w:pPr>
    </w:p>
    <w:p>
      <w:pPr>
        <w:ind w:left="652" w:hanging="652"/>
        <w:spacing w:after="0" w:line="282"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1" w:name="page72"/>
    <w:bookmarkEnd w:id="71"/>
    <w:p>
      <w:pPr>
        <w:ind w:left="652" w:hanging="652"/>
        <w:spacing w:after="0" w:line="282"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414"/>
        </w:trPr>
        <w:tc>
          <w:tcPr>
            <w:tcW w:w="8060" w:type="dxa"/>
            <w:vAlign w:val="bottom"/>
          </w:tcPr>
          <w:p>
            <w:pPr>
              <w:spacing w:after="0"/>
              <w:rPr>
                <w:sz w:val="24"/>
                <w:szCs w:val="24"/>
                <w:color w:val="auto"/>
              </w:rPr>
            </w:pPr>
          </w:p>
        </w:tc>
        <w:tc>
          <w:tcPr>
            <w:tcW w:w="26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U.S.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80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234"/>
        </w:trPr>
        <w:tc>
          <w:tcPr>
            <w:tcW w:w="8060" w:type="dxa"/>
            <w:vAlign w:val="bottom"/>
            <w:vMerge w:val="restart"/>
          </w:tcPr>
          <w:p>
            <w:pPr>
              <w:jc w:val="center"/>
              <w:ind w:left="2430"/>
              <w:spacing w:after="0"/>
              <w:rPr>
                <w:sz w:val="20"/>
                <w:szCs w:val="20"/>
                <w:color w:val="auto"/>
              </w:rPr>
            </w:pPr>
            <w:r>
              <w:rPr>
                <w:rFonts w:ascii="Times New Roman" w:cs="Times New Roman" w:eastAsia="Times New Roman" w:hAnsi="Times New Roman"/>
                <w:sz w:val="18"/>
                <w:szCs w:val="18"/>
                <w:color w:val="auto"/>
              </w:rPr>
              <w:t>4.650% SENIOR NOTES DUE 2030</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216"/>
        </w:trPr>
        <w:tc>
          <w:tcPr>
            <w:tcW w:w="80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7"/>
          <w:szCs w:val="17"/>
          <w:color w:val="auto"/>
        </w:rPr>
        <w:t>CUSIP 94106L CC1</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jc w:val="both"/>
        <w:spacing w:after="0" w:line="253" w:lineRule="auto"/>
        <w:rPr>
          <w:sz w:val="20"/>
          <w:szCs w:val="20"/>
          <w:color w:val="auto"/>
        </w:rPr>
      </w:pPr>
      <w:r>
        <w:rPr>
          <w:rFonts w:ascii="Times New Roman" w:cs="Times New Roman" w:eastAsia="Times New Roman" w:hAnsi="Times New Roman"/>
          <w:sz w:val="18"/>
          <w:szCs w:val="18"/>
          <w:color w:val="auto"/>
        </w:rPr>
        <w:t>of Million ($ ) U.S. dollars, or such lesser principal sum as is shown on the attached Schedule of Exchanges of Definitive Security, on March 15, 2030 in such coin or currency of the United States of America as at the time of payment shall be legal tender for the payment of public and private debts, and to pay interest at an annual rate of 4.650% payable on March 15 and September 15 of each year, to the person in whose name this Security is registered at the close of business on the record date for such interest, which shall be the preceding March 1 or September 1, respectively, payable commencing March 15, 2025, with interest accruing from November 4,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$700,000,000 in principal amount designated as the 4.650% Senior Notes due 2030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4.650% SENIOR NOTES DUE 2030</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4.650% Senior Notes due 2030 of the Company, in initial aggregate principal amount of $700,000,000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4.650%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4.650%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$700,000,000.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February 15, 2030.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all such Securities and, in the case of (i) or (ii) below, any coupons appertaining thereto not theretofore delivered to the Trustee for cancellation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22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24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24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Trustee or</w:t>
            </w:r>
          </w:p>
        </w:tc>
      </w:tr>
      <w:tr>
        <w:trPr>
          <w:trHeight w:val="238"/>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884"/>
        </w:trPr>
        <w:tc>
          <w:tcPr>
            <w:tcW w:w="2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$750,000,000 aggregate principal amount of 4.800% Senior Notes due 2032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“4.800% Senior Notes due 2032”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2032.</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4, 2024 at the fixed rate of 4.800%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left="652" w:hanging="652"/>
        <w:spacing w:after="0" w:line="261"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January 15, 2032.</w:t>
      </w:r>
    </w:p>
    <w:p>
      <w:pPr>
        <w:spacing w:after="0" w:line="225" w:lineRule="exact"/>
        <w:rPr>
          <w:sz w:val="20"/>
          <w:szCs w:val="20"/>
          <w:color w:val="auto"/>
        </w:rPr>
      </w:pPr>
    </w:p>
    <w:p>
      <w:pPr>
        <w:ind w:left="652"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0" w:name="page91"/>
    <w:bookmarkEnd w:id="90"/>
    <w:p>
      <w:pPr>
        <w:ind w:left="652" w:hanging="652"/>
        <w:spacing w:after="0" w:line="282"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414"/>
        </w:trPr>
        <w:tc>
          <w:tcPr>
            <w:tcW w:w="804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             ,</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804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234"/>
        </w:trPr>
        <w:tc>
          <w:tcPr>
            <w:tcW w:w="8040" w:type="dxa"/>
            <w:vAlign w:val="bottom"/>
            <w:vMerge w:val="restart"/>
          </w:tcPr>
          <w:p>
            <w:pPr>
              <w:jc w:val="center"/>
              <w:ind w:left="2450"/>
              <w:spacing w:after="0"/>
              <w:rPr>
                <w:sz w:val="20"/>
                <w:szCs w:val="20"/>
                <w:color w:val="auto"/>
              </w:rPr>
            </w:pPr>
            <w:r>
              <w:rPr>
                <w:rFonts w:ascii="Times New Roman" w:cs="Times New Roman" w:eastAsia="Times New Roman" w:hAnsi="Times New Roman"/>
                <w:sz w:val="18"/>
                <w:szCs w:val="18"/>
                <w:color w:val="auto"/>
              </w:rPr>
              <w:t>4.800% SENIOR NOTES DUE 2032</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216"/>
        </w:trPr>
        <w:tc>
          <w:tcPr>
            <w:tcW w:w="80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 CD9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spacing w:after="0" w:line="253" w:lineRule="auto"/>
        <w:rPr>
          <w:sz w:val="20"/>
          <w:szCs w:val="20"/>
          <w:color w:val="auto"/>
        </w:rPr>
      </w:pPr>
      <w:r>
        <w:rPr>
          <w:rFonts w:ascii="Times New Roman" w:cs="Times New Roman" w:eastAsia="Times New Roman" w:hAnsi="Times New Roman"/>
          <w:sz w:val="18"/>
          <w:szCs w:val="18"/>
          <w:color w:val="auto"/>
        </w:rPr>
        <w:t>              Million ($            ) U.S. dollars, or such lesser principal sum as is shown on the attached Schedule of Exchanges of Definitive Security, on March 15, 2032 in such coin or currency of the United States of America as at the time of payment shall be legal tender for the payment of public and private debts, and to pay interest at an annual rate of 4.800% payable on March 15 and September 15 of each year, to the person in whose name this Security is registered at the close of business on the record date for such interest, which shall be the preceding March 1 or September 1, respectively, payable commencing March 15, 2025, with interest accruing from November 4,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$750,000,000 in principal amount designated as the 4.800% Senior Notes due 2032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76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4.800% SENIOR NOTES DUE 2032</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4.800% Senior Notes due 2032 of the Company, in initial aggregate principal amount of $750,000,000 (the “Securities”).</w:t>
      </w:r>
    </w:p>
    <w:p>
      <w:pPr>
        <w:spacing w:after="0" w:line="187"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4.800%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4.800% per annum, in each case to the extent lawful.</w:t>
      </w:r>
    </w:p>
    <w:p>
      <w:pPr>
        <w:spacing w:after="0" w:line="18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87"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January 15, 2032.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3" w:name="page104"/>
    <w:bookmarkEnd w:id="103"/>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all such Securities and, in the case of (i) or (ii) below, any coupons appertaining thereto not theretofore delivered to the Trustee for cancellation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22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24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24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Trustee or</w:t>
            </w:r>
          </w:p>
        </w:tc>
      </w:tr>
      <w:tr>
        <w:trPr>
          <w:trHeight w:val="238"/>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884"/>
        </w:trPr>
        <w:tc>
          <w:tcPr>
            <w:tcW w:w="2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$1,500,000,000 aggregate principal amount of 4.950% Senior Notes due 2035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$1,500,000,000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107" w:name="page108"/>
    <w:bookmarkEnd w:id="107"/>
    <w:p>
      <w:pPr>
        <w:ind w:left="5280"/>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“4.950% Senior Notes due 2035”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$1,500,000,000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2035.</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4, 2024 at the fixed rate of 4.950% per annum; the Interest Payment Dates on which such interest shall be payable shall be March 15 and September 15 of each year, commencing March 15, 2025,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left="652" w:hanging="652"/>
        <w:spacing w:after="0" w:line="261"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December 15, 2034.</w:t>
      </w:r>
    </w:p>
    <w:p>
      <w:pPr>
        <w:spacing w:after="0" w:line="225" w:lineRule="exact"/>
        <w:rPr>
          <w:sz w:val="20"/>
          <w:szCs w:val="20"/>
          <w:color w:val="auto"/>
        </w:rPr>
      </w:pPr>
    </w:p>
    <w:p>
      <w:pPr>
        <w:ind w:left="652" w:hanging="652"/>
        <w:spacing w:after="0" w:line="282"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9" w:name="page110"/>
    <w:bookmarkEnd w:id="109"/>
    <w:p>
      <w:pPr>
        <w:ind w:left="652" w:hanging="652"/>
        <w:spacing w:after="0" w:line="282"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4"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which may be decreased</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Exchanges of Definitive</w:t>
      </w:r>
    </w:p>
    <w:p>
      <w:pPr>
        <w:spacing w:after="0" w:line="9" w:lineRule="exact"/>
        <w:rPr>
          <w:sz w:val="20"/>
          <w:szCs w:val="20"/>
          <w:color w:val="auto"/>
        </w:rPr>
      </w:pPr>
    </w:p>
    <w:p>
      <w:pPr>
        <w:sectPr>
          <w:pgSz w:w="11900" w:h="16838" w:orient="portrait"/>
          <w:cols w:equalWidth="0" w:num="2">
            <w:col w:w="8720" w:space="720"/>
            <w:col w:w="1800"/>
          </w:cols>
          <w:pgMar w:left="320" w:top="904" w:right="3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4.950% SENIOR NOTES DUE 2035</w:t>
      </w:r>
    </w:p>
    <w:p>
      <w:pPr>
        <w:spacing w:after="0" w:line="20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7"/>
          <w:szCs w:val="17"/>
          <w:color w:val="auto"/>
        </w:rPr>
        <w:t>CUSIP 94106L CE7</w:t>
      </w:r>
    </w:p>
    <w:p>
      <w:pPr>
        <w:spacing w:after="0" w:line="23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8"/>
        <w:spacing w:after="0" w:line="253" w:lineRule="auto"/>
        <w:tabs>
          <w:tab w:leader="none" w:pos="4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15, 2035 in such coin or currency of the United States of America as at the time of payment shall be legal tender for the payment of public and private debts, and to pay interest at an annual rate of 4.950% payable on March 15 and September 15 of each year, to the person in whose name this Security is registered at the close of business on the record date for such interest, which shall be the preceding March 1 or September 1, respectively, payable commencing March 15, 2025, with interest accruing from November 4,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2" w:name="page113"/>
    <w:bookmarkEnd w:id="1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$1,500,000,000 in principal amount designated as the 4.950% Senior Notes due 2035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WASTE MANAGEMENT, INC., a Delaware corporation</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4.950% SENIOR NOTES DUE 2035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4.950% Senior Notes due 2035 of the Company, in initial aggregate principal amount of $1,500,000,000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4.950%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$1,500,000,000.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December 15, 2034.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all such Securities and, in the case of (i) or (ii) below, any coupons appertaining thereto not theretofore delivered to the Trustee for cancellation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22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24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24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Trustee or</w:t>
            </w:r>
          </w:p>
        </w:tc>
      </w:tr>
      <w:tr>
        <w:trPr>
          <w:trHeight w:val="238"/>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884"/>
        </w:trPr>
        <w:tc>
          <w:tcPr>
            <w:tcW w:w="2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4, 2024 (the “Order”) for the authentication and delivery by the Trustee of $1,250,000,000 aggregate principal amount of 5.350% Senior Notes due 2054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$1,250,000,000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August 21, 2023, August 26, 2024 and October 3, 2024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August 21, 2023, August 26, 2024 and October 3, 2024 and the Sole Director of Waste Management Holdings, Inc. on October 3,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“5.350% Senior Notes due 2054”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$1,250,000,000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October 15, 2054.</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4, 2024 at the fixed rate of 5.350% per annum; the Interest Payment Dates on which such interest shall be payable shall be April 15 and October 15 of each year, commencing April 15, 2025, until maturity, unless such date falls on a day that is not a Business Day, in which case, such payment shall be made on the next day that is a Business Day. The Regular Record Date for the determination of Holders to whom interest is payable shall be April 1 or October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ind w:left="652" w:hanging="652"/>
        <w:spacing w:after="0" w:line="261"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April 15, 2054.</w:t>
      </w:r>
    </w:p>
    <w:p>
      <w:pPr>
        <w:spacing w:after="0" w:line="225" w:lineRule="exact"/>
        <w:rPr>
          <w:sz w:val="20"/>
          <w:szCs w:val="20"/>
          <w:color w:val="auto"/>
        </w:rPr>
      </w:pPr>
    </w:p>
    <w:p>
      <w:pPr>
        <w:ind w:left="652" w:hanging="652"/>
        <w:spacing w:after="0" w:line="282" w:lineRule="auto"/>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8" w:name="page129"/>
    <w:bookmarkEnd w:id="128"/>
    <w:p>
      <w:pPr>
        <w:jc w:val="both"/>
        <w:ind w:left="652" w:hanging="652"/>
        <w:spacing w:after="0" w:line="258" w:lineRule="auto"/>
        <w:tabs>
          <w:tab w:leader="none" w:pos="6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414"/>
        </w:trPr>
        <w:tc>
          <w:tcPr>
            <w:tcW w:w="822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                       ,</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234"/>
        </w:trPr>
        <w:tc>
          <w:tcPr>
            <w:tcW w:w="82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432"/>
        </w:trPr>
        <w:tc>
          <w:tcPr>
            <w:tcW w:w="82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5.350% SENIOR NOTES DUE 2054</w:t>
            </w:r>
          </w:p>
        </w:tc>
        <w:tc>
          <w:tcPr>
            <w:tcW w:w="3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CUSIP 94106L CF4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jc w:val="both"/>
        <w:spacing w:after="0" w:line="253" w:lineRule="auto"/>
        <w:rPr>
          <w:sz w:val="20"/>
          <w:szCs w:val="20"/>
          <w:color w:val="auto"/>
        </w:rPr>
      </w:pPr>
      <w:r>
        <w:rPr>
          <w:rFonts w:ascii="Times New Roman" w:cs="Times New Roman" w:eastAsia="Times New Roman" w:hAnsi="Times New Roman"/>
          <w:sz w:val="18"/>
          <w:szCs w:val="18"/>
          <w:color w:val="auto"/>
        </w:rPr>
        <w:t>of Million ($ ) U.S. dollars, or such lesser principal sum as is shown on the attached Schedule of Exchanges of Definitive Security, on October 15, 2054 in such coin or currency of the United States of America as at the time of payment shall be legal tender for the payment of public and private debts, and to pay interest at an annual rate of 5.350% payable on April 15 and October 15 of each year, to the person in whose name this Security is registered at the close of business on the record date for such interest, which shall be the preceding April 1 or October 1, respectively, payable commencing April 15, 2025, with interest accruing from November 4,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$1,250,000,000 in principal amount designated as the 5.350% Senior Notes due 2054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88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5.350% SENIOR NOTES DUE 2054</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5.350% Senior Notes due 2054 of the Company, in initial aggregate principal amount of $1,250,000,000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5.350%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April 15 and October 15 of each year (each an “Interest Payment Date”), commencing April 15, 2025. Interest on the Securities will accrue from the most recent date to which interest has been paid or, if no interest has been paid on the Securities, from November 4,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5.350%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August 21, 2023, August 26, 2024 and October 3, 2024 (the “Resolutions”) and the written consent of the Sole Director of Waste Management Holdings, Inc. on October 3,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$1,250,000,000.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5" w:name="page136"/>
    <w:bookmarkEnd w:id="1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April 15, 2054.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4,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all such Securities and, in the case of (i) or (ii) below, any coupons appertaining thereto not theretofore delivered to the Trustee for cancellation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22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ind w:left="94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3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642"/>
        </w:trPr>
        <w:tc>
          <w:tcPr>
            <w:tcW w:w="22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$1,000,000,000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4.500% Senior Notes due 2028</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44" w:name="page145"/>
    <w:bookmarkEnd w:id="1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$1,000,000,000 aggregate principal amount of 4.500% Senior Notes due 2028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(4.500%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4.13</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4.650% Senior Notes due 2030</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48" w:name="page149"/>
    <w:bookmarkEnd w:id="1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$700,000,000 aggregate principal amount of 4.650% Senior Notes due 2030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i w:val="1"/>
          <w:iCs w:val="1"/>
          <w:color w:val="auto"/>
        </w:rPr>
        <w:t>(4.650%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$750,000,000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4.800% Senior Notes due 2032</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4.800% Senior Notes due 2032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(4.800%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4.15</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$1,500,000,000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4.950% Senior Notes due 2035</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8" w:name="page159"/>
    <w:bookmarkEnd w:id="1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$1,500,000,000 aggregate principal amount of 4.950% Senior Notes due 2035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(4.950%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$1,250,000,000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5.350% Senior Notes due 2054</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63" w:name="page164"/>
    <w:bookmarkEnd w:id="1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4, 2024 (as amended from time to time, this “Guarantee”), made by Waste Management Holdings, Inc. (formerly known as Waste Management, Inc.), a Delaware corporation (the “Guarantor”), in favor of The Bank of New York Mellon Trust Company, N.A., as trustee for the holders of the $1,250,000,000 aggregate principal amount of 5.350% Senior Notes due 2054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and the Term Credit Agreement dated as of August 28, 2024 by and among the Issuer, the Guarantor (as guarantor), certain banks party thereto and JPMorgan Chase Bank, N.A., as administrative agent,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Leslie K. Nagy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(5.350%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7" w:name="page168"/>
    <w:bookmarkEnd w:id="167"/>
    <w:tbl>
      <w:tblPr>
        <w:tblLayout w:type="fixed"/>
        <w:tblInd w:w="552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AUSTIN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BRUSSELS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DALLAS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2160" w:type="dxa"/>
            <w:vAlign w:val="bottom"/>
          </w:tcPr>
          <w:p>
            <w:pPr>
              <w:spacing w:after="0"/>
              <w:rPr>
                <w:sz w:val="18"/>
                <w:szCs w:val="18"/>
                <w:color w:val="auto"/>
              </w:rPr>
            </w:pP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DUBAI</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HOUSTON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LONDON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66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2074545"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74545" cy="3003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$1,000,000,000 aggregate principal amount of its 4.500% Senior Notes due 2028, $700,000,000 aggregate principal amount of its 4.650% Senior Notes due 2030, $750,000,000 aggregate principal amount of its 4.800% Senior Notes due 2032, $1,500,000,000 aggregate principal amount of its 4.950% Senior Notes due 2035 and $1,250,000,000 aggregate principal amount of its 5.350% Senior Notes due 2054 (collectively, the “Notes”) and the issuance of the related guarantees of the Notes by Holdings (the “Guarantees”), as contemplated by the Registration Statement on Form S-3 (Registration No. 333-264493)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April 26, 2022 and prospectus supplement dated October 30, 2024 relating to the Notes (collectively, the “Prospectus”) have been filed with the Commission pursuant to Rule 424(b) under the Act.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October 30, 2024, with J.P. Morgan Securities LLC, Barclays Capital Inc., Deutsche Bank Securities Inc., Goldman Sachs &amp; Co. LLC, Mizuho Securities USA LLC and Scotia Capital (USA)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8" w:name="page169"/>
    <w:bookmarkEnd w:id="16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0589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0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- 2 -</w:t>
            </w:r>
          </w:p>
        </w:tc>
        <w:tc>
          <w:tcPr>
            <w:tcW w:w="336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8"/>
              </w:rPr>
              <w:t>October 31, 2024</w:t>
            </w:r>
          </w:p>
        </w:tc>
      </w:tr>
    </w:tbl>
    <w:p>
      <w:pPr>
        <w:spacing w:after="0" w:line="19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 Fourth Restated Certificate of Incorporation and the Amended and Restated By-Laws of the Company, each as amended to date; (ii) the Third Restated Certificate of Incorporation and the Amended and Restated By-Laws of Holdings, each as amended to date; (iii) the Indenture; (iv) the form of Officers’ Certificates to be delivered pursuant to Section 301 of the Indenture; (v) the form of Guarantees to be entered into by Holdings in favor of the holders of the Notes concurrently with the issuance of the Notes under the Indenture (the “Guarantee Agreements”); (vi) the Underwriting Agreement;</w:t>
      </w:r>
    </w:p>
    <w:p>
      <w:pPr>
        <w:spacing w:after="0" w:line="3" w:lineRule="exact"/>
        <w:rPr>
          <w:sz w:val="20"/>
          <w:szCs w:val="20"/>
          <w:color w:val="auto"/>
        </w:rPr>
      </w:pPr>
    </w:p>
    <w:p>
      <w:pPr>
        <w:jc w:val="both"/>
        <w:ind w:firstLine="8"/>
        <w:spacing w:after="0" w:line="251" w:lineRule="auto"/>
        <w:tabs>
          <w:tab w:leader="none" w:pos="3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set forth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all documents submitted to us as copies are true, correct and complete copies of the originals thereof and all information submitted to us was accurate and complete.</w:t>
      </w:r>
    </w:p>
    <w:p>
      <w:pPr>
        <w:spacing w:after="0" w:line="19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w:t>
      </w:r>
    </w:p>
    <w:p>
      <w:pPr>
        <w:spacing w:after="0" w:line="27" w:lineRule="exact"/>
        <w:rPr>
          <w:sz w:val="20"/>
          <w:szCs w:val="20"/>
          <w:color w:val="auto"/>
        </w:rPr>
      </w:pPr>
    </w:p>
    <w:p>
      <w:pPr>
        <w:jc w:val="both"/>
        <w:ind w:firstLine="8"/>
        <w:spacing w:after="0" w:line="251" w:lineRule="auto"/>
        <w:tabs>
          <w:tab w:leader="none" w:pos="2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when they have been duly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executed and delivered the Guarantee Agreements and the Notes have been duly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0589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0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- 3 -</w:t>
            </w:r>
          </w:p>
        </w:tc>
        <w:tc>
          <w:tcPr>
            <w:tcW w:w="336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8"/>
              </w:rPr>
              <w:t>October 31, 2024</w:t>
            </w:r>
          </w:p>
        </w:tc>
      </w:tr>
    </w:tbl>
    <w:p>
      <w:pPr>
        <w:spacing w:after="0" w:line="19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opinions set forth in this letter are limited in all respects to matters of the General Corporation Law of the State of Delaware and the contract law of the State of New York, each as currently in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to be filed with the Commission on the date hereof and to the incorporation by reference of this opinion letter into the Registration Statement. We also consent to the reference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lowerLetter"/>
      <w:start w:val="4"/>
    </w:lvl>
  </w:abstractNum>
  <w:abstractNum w:abstractNumId="2">
    <w:nsid w:val="2D517796"/>
    <w:multiLevelType w:val="hybridMultilevel"/>
    <w:lvl w:ilvl="0">
      <w:lvlJc w:val="left"/>
      <w:lvlText w:val="(%1)"/>
      <w:numFmt w:val="lowerRoman"/>
      <w:start w:val="2"/>
    </w:lvl>
  </w:abstractNum>
  <w:abstractNum w:abstractNumId="3">
    <w:nsid w:val="580BD78F"/>
    <w:multiLevelType w:val="hybridMultilevel"/>
    <w:lvl w:ilvl="0">
      <w:lvlJc w:val="left"/>
      <w:lvlText w:val="%1"/>
      <w:numFmt w:val="lowerRoman"/>
      <w:start w:val="1"/>
    </w:lvl>
    <w:lvl w:ilvl="1">
      <w:lvlJc w:val="left"/>
      <w:lvlText w:val="(%2)"/>
      <w:numFmt w:val="lowerLetter"/>
      <w:start w:val="27"/>
    </w:lvl>
  </w:abstractNum>
  <w:abstractNum w:abstractNumId="4">
    <w:nsid w:val="153EA438"/>
    <w:multiLevelType w:val="hybridMultilevel"/>
    <w:lvl w:ilvl="0">
      <w:lvlJc w:val="left"/>
      <w:lvlText w:val="(%1)"/>
      <w:numFmt w:val="lowerRoman"/>
      <w:start w:val="4"/>
    </w:lvl>
    <w:lvl w:ilvl="1">
      <w:lvlJc w:val="left"/>
      <w:lvlText w:val="(%2)"/>
      <w:numFmt w:val="lowerLetter"/>
      <w:start w:val="28"/>
    </w:lvl>
  </w:abstractNum>
  <w:abstractNum w:abstractNumId="5">
    <w:nsid w:val="3855585C"/>
    <w:multiLevelType w:val="hybridMultilevel"/>
    <w:lvl w:ilvl="0">
      <w:lvlJc w:val="left"/>
      <w:lvlText w:val="%1"/>
      <w:numFmt w:val="lowerRoman"/>
      <w:start w:val="1"/>
    </w:lvl>
    <w:lvl w:ilvl="1">
      <w:lvlJc w:val="left"/>
      <w:lvlText w:val="(%2)"/>
      <w:numFmt w:val="lowerLetter"/>
      <w:start w:val="30"/>
    </w:lvl>
  </w:abstractNum>
  <w:abstractNum w:abstractNumId="6">
    <w:nsid w:val="70A64E2A"/>
    <w:multiLevelType w:val="hybridMultilevel"/>
    <w:lvl w:ilvl="0">
      <w:lvlJc w:val="left"/>
      <w:lvlText w:val="(%1)"/>
      <w:numFmt w:val="lowerRoman"/>
      <w:start w:val="4"/>
    </w:lvl>
    <w:lvl w:ilvl="1">
      <w:lvlJc w:val="left"/>
      <w:lvlText w:val="(%2)"/>
      <w:numFmt w:val="lowerLetter"/>
      <w:start w:val="31"/>
    </w:lvl>
  </w:abstractNum>
  <w:abstractNum w:abstractNumId="7">
    <w:nsid w:val="6A2342EC"/>
    <w:multiLevelType w:val="hybridMultilevel"/>
    <w:lvl w:ilvl="0">
      <w:lvlJc w:val="left"/>
      <w:lvlText w:val="(%1)"/>
      <w:numFmt w:val="lowerLetter"/>
      <w:start w:val="34"/>
    </w:lvl>
  </w:abstractNum>
  <w:abstractNum w:abstractNumId="8">
    <w:nsid w:val="2A487CB0"/>
    <w:multiLevelType w:val="hybridMultilevel"/>
    <w:lvl w:ilvl="0">
      <w:lvlJc w:val="left"/>
      <w:lvlText w:val="%1"/>
      <w:numFmt w:val="lowerLetter"/>
      <w:start w:val="1"/>
    </w:lvl>
    <w:lvl w:ilvl="1">
      <w:lvlJc w:val="left"/>
      <w:lvlText w:val="(%2)"/>
      <w:numFmt w:val="lowerLetter"/>
      <w:start w:val="36"/>
    </w:lvl>
  </w:abstractNum>
  <w:abstractNum w:abstractNumId="9">
    <w:nsid w:val="1D4ED43B"/>
    <w:multiLevelType w:val="hybridMultilevel"/>
    <w:lvl w:ilvl="0">
      <w:lvlJc w:val="left"/>
      <w:lvlText w:val="(%1)"/>
      <w:numFmt w:val="lowerLetter"/>
      <w:start w:val="35"/>
    </w:lvl>
    <w:lvl w:ilvl="1">
      <w:lvlJc w:val="left"/>
      <w:lvlText w:val="%2"/>
      <w:numFmt w:val="lowerLetter"/>
      <w:start w:val="1"/>
    </w:lvl>
  </w:abstractNum>
  <w:abstractNum w:abstractNumId="10">
    <w:nsid w:val="725A06FB"/>
    <w:multiLevelType w:val="hybridMultilevel"/>
    <w:lvl w:ilvl="0">
      <w:lvlJc w:val="left"/>
      <w:lvlText w:val="(%1)"/>
      <w:numFmt w:val="lowerLetter"/>
      <w:start w:val="39"/>
    </w:lvl>
  </w:abstractNum>
  <w:abstractNum w:abstractNumId="11">
    <w:nsid w:val="2CD89A32"/>
    <w:multiLevelType w:val="hybridMultilevel"/>
    <w:lvl w:ilvl="0">
      <w:lvlJc w:val="left"/>
      <w:lvlText w:val="(%1)"/>
      <w:numFmt w:val="lowerLetter"/>
      <w:start w:val="42"/>
    </w:lvl>
  </w:abstractNum>
  <w:abstractNum w:abstractNumId="12">
    <w:nsid w:val="57E4CCAF"/>
    <w:multiLevelType w:val="hybridMultilevel"/>
    <w:lvl w:ilvl="0">
      <w:lvlJc w:val="left"/>
      <w:lvlText w:val="(%1)"/>
      <w:numFmt w:val="lowerLetter"/>
      <w:start w:val="44"/>
    </w:lvl>
  </w:abstractNum>
  <w:abstractNum w:abstractNumId="13">
    <w:nsid w:val="7A6D8D3C"/>
    <w:multiLevelType w:val="hybridMultilevel"/>
    <w:lvl w:ilvl="0">
      <w:lvlJc w:val="left"/>
      <w:lvlText w:val="(%1)"/>
      <w:numFmt w:val="lowerRoman"/>
      <w:start w:val="6"/>
    </w:lvl>
  </w:abstractNum>
  <w:abstractNum w:abstractNumId="14">
    <w:nsid w:val="4B588F54"/>
    <w:multiLevelType w:val="hybridMultilevel"/>
    <w:lvl w:ilvl="0">
      <w:lvlJc w:val="left"/>
      <w:lvlText w:val="(%1)"/>
      <w:numFmt w:val="lowerRoman"/>
      <w:start w:val="2"/>
    </w:lvl>
  </w:abstractNum>
  <w:abstractNum w:abstractNumId="15">
    <w:nsid w:val="542289EC"/>
    <w:multiLevelType w:val="hybridMultilevel"/>
    <w:lvl w:ilvl="0">
      <w:lvlJc w:val="left"/>
      <w:lvlText w:val="(%1)"/>
      <w:numFmt w:val="lowerRoman"/>
      <w:start w:val="4"/>
    </w:lvl>
  </w:abstractNum>
  <w:abstractNum w:abstractNumId="16">
    <w:nsid w:val="6DE91B18"/>
    <w:multiLevelType w:val="hybridMultilevel"/>
    <w:lvl w:ilvl="0">
      <w:lvlJc w:val="left"/>
      <w:lvlText w:val="(%1)"/>
      <w:numFmt w:val="decimal"/>
      <w:start w:val="212"/>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5"/>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8"/>
    </w:lvl>
    <w:lvl w:ilvl="1">
      <w:lvlJc w:val="left"/>
      <w:lvlText w:val="(%2)"/>
      <w:numFmt w:val="decimal"/>
      <w:start w:val="1"/>
    </w:lvl>
  </w:abstractNum>
  <w:abstractNum w:abstractNumId="22">
    <w:nsid w:val="749ABB43"/>
    <w:multiLevelType w:val="hybridMultilevel"/>
    <w:lvl w:ilvl="0">
      <w:lvlJc w:val="left"/>
      <w:lvlText w:val="(%1)"/>
      <w:numFmt w:val="decimal"/>
      <w:start w:val="10"/>
    </w:lvl>
  </w:abstractNum>
  <w:abstractNum w:abstractNumId="23">
    <w:nsid w:val="3DC240FB"/>
    <w:multiLevelType w:val="hybridMultilevel"/>
    <w:lvl w:ilvl="0">
      <w:lvlJc w:val="left"/>
      <w:lvlText w:val="(%1)"/>
      <w:numFmt w:val="decimal"/>
      <w:start w:val="15"/>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upperLetter"/>
      <w:start w:val="2"/>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8"/>
    </w:lvl>
    <w:lvl w:ilvl="1">
      <w:lvlJc w:val="left"/>
      <w:lvlText w:val="(%2)"/>
      <w:numFmt w:val="decimal"/>
      <w:start w:val="1"/>
    </w:lvl>
  </w:abstractNum>
  <w:abstractNum w:abstractNumId="29">
    <w:nsid w:val="520EEDD1"/>
    <w:multiLevelType w:val="hybridMultilevel"/>
    <w:lvl w:ilvl="0">
      <w:lvlJc w:val="left"/>
      <w:lvlText w:val="(%1)"/>
      <w:numFmt w:val="decimal"/>
      <w:start w:val="10"/>
    </w:lvl>
  </w:abstractNum>
  <w:abstractNum w:abstractNumId="30">
    <w:nsid w:val="374A3FE6"/>
    <w:multiLevelType w:val="hybridMultilevel"/>
    <w:lvl w:ilvl="0">
      <w:lvlJc w:val="left"/>
      <w:lvlText w:val="(%1)"/>
      <w:numFmt w:val="decimal"/>
      <w:start w:val="16"/>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upperLetter"/>
      <w:start w:val="2"/>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8"/>
    </w:lvl>
    <w:lvl w:ilvl="1">
      <w:lvlJc w:val="left"/>
      <w:lvlText w:val="(%2)"/>
      <w:numFmt w:val="decimal"/>
      <w:start w:val="1"/>
    </w:lvl>
  </w:abstractNum>
  <w:abstractNum w:abstractNumId="36">
    <w:nsid w:val="1CF10FD8"/>
    <w:multiLevelType w:val="hybridMultilevel"/>
    <w:lvl w:ilvl="0">
      <w:lvlJc w:val="left"/>
      <w:lvlText w:val="(%1)"/>
      <w:numFmt w:val="decimal"/>
      <w:start w:val="10"/>
    </w:lvl>
  </w:abstractNum>
  <w:abstractNum w:abstractNumId="37">
    <w:nsid w:val="180115BE"/>
    <w:multiLevelType w:val="hybridMultilevel"/>
    <w:lvl w:ilvl="0">
      <w:lvlJc w:val="left"/>
      <w:lvlText w:val="(%1)"/>
      <w:numFmt w:val="decimal"/>
      <w:start w:val="16"/>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2"/>
    </w:lvl>
  </w:abstractNum>
  <w:abstractNum w:abstractNumId="40">
    <w:nsid w:val="354FE9F9"/>
    <w:multiLevelType w:val="hybridMultilevel"/>
    <w:lvl w:ilvl="0">
      <w:lvlJc w:val="left"/>
      <w:lvlText w:val="%1."/>
      <w:numFmt w:val="decimal"/>
      <w:start w:val="3"/>
    </w:lvl>
  </w:abstractNum>
  <w:abstractNum w:abstractNumId="41">
    <w:nsid w:val="15B5AF5C"/>
    <w:multiLevelType w:val="hybridMultilevel"/>
    <w:lvl w:ilvl="0">
      <w:lvlJc w:val="left"/>
      <w:lvlText w:val="%1."/>
      <w:numFmt w:val="decimal"/>
      <w:start w:val="4"/>
    </w:lvl>
  </w:abstractNum>
  <w:abstractNum w:abstractNumId="42">
    <w:nsid w:val="741226BB"/>
    <w:multiLevelType w:val="hybridMultilevel"/>
    <w:lvl w:ilvl="0">
      <w:lvlJc w:val="left"/>
      <w:lvlText w:val="%1."/>
      <w:numFmt w:val="decimal"/>
      <w:start w:val="5"/>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6"/>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7"/>
    </w:lvl>
  </w:abstractNum>
  <w:abstractNum w:abstractNumId="47">
    <w:nsid w:val="7E0C57B1"/>
    <w:multiLevelType w:val="hybridMultilevel"/>
    <w:lvl w:ilvl="0">
      <w:lvlJc w:val="left"/>
      <w:lvlText w:val="%1."/>
      <w:numFmt w:val="decimal"/>
      <w:start w:val="8"/>
    </w:lvl>
  </w:abstractNum>
  <w:abstractNum w:abstractNumId="48">
    <w:nsid w:val="77AE35EB"/>
    <w:multiLevelType w:val="hybridMultilevel"/>
    <w:lvl w:ilvl="0">
      <w:lvlJc w:val="left"/>
      <w:lvlText w:val="%1."/>
      <w:numFmt w:val="decimal"/>
      <w:start w:val="9"/>
    </w:lvl>
  </w:abstractNum>
  <w:abstractNum w:abstractNumId="49">
    <w:nsid w:val="579BE4F1"/>
    <w:multiLevelType w:val="hybridMultilevel"/>
    <w:lvl w:ilvl="0">
      <w:lvlJc w:val="left"/>
      <w:lvlText w:val="%1."/>
      <w:numFmt w:val="decimal"/>
      <w:start w:val="10"/>
    </w:lvl>
  </w:abstractNum>
  <w:abstractNum w:abstractNumId="50">
    <w:nsid w:val="310C50B3"/>
    <w:multiLevelType w:val="hybridMultilevel"/>
    <w:lvl w:ilvl="0">
      <w:lvlJc w:val="left"/>
      <w:lvlText w:val="(%1)"/>
      <w:numFmt w:val="upperLetter"/>
      <w:start w:val="2"/>
    </w:lvl>
  </w:abstractNum>
  <w:abstractNum w:abstractNumId="51">
    <w:nsid w:val="5FF87E05"/>
    <w:multiLevelType w:val="hybridMultilevel"/>
    <w:lvl w:ilvl="0">
      <w:lvlJc w:val="left"/>
      <w:lvlText w:val="%1."/>
      <w:numFmt w:val="decimal"/>
      <w:start w:val="11"/>
    </w:lvl>
  </w:abstractNum>
  <w:abstractNum w:abstractNumId="52">
    <w:nsid w:val="2F305DEF"/>
    <w:multiLevelType w:val="hybridMultilevel"/>
    <w:lvl w:ilvl="0">
      <w:lvlJc w:val="left"/>
      <w:lvlText w:val="%1."/>
      <w:numFmt w:val="decimal"/>
      <w:start w:val="12"/>
    </w:lvl>
  </w:abstractNum>
  <w:abstractNum w:abstractNumId="53">
    <w:nsid w:val="25A70BF7"/>
    <w:multiLevelType w:val="hybridMultilevel"/>
    <w:lvl w:ilvl="0">
      <w:lvlJc w:val="left"/>
      <w:lvlText w:val="%1."/>
      <w:numFmt w:val="decimal"/>
      <w:start w:val="13"/>
    </w:lvl>
  </w:abstractNum>
  <w:abstractNum w:abstractNumId="54">
    <w:nsid w:val="1DBABF00"/>
    <w:multiLevelType w:val="hybridMultilevel"/>
    <w:lvl w:ilvl="0">
      <w:lvlJc w:val="left"/>
      <w:lvlText w:val="%1."/>
      <w:numFmt w:val="decimal"/>
      <w:start w:val="14"/>
    </w:lvl>
  </w:abstractNum>
  <w:abstractNum w:abstractNumId="55">
    <w:nsid w:val="4AD084E9"/>
    <w:multiLevelType w:val="hybridMultilevel"/>
    <w:lvl w:ilvl="0">
      <w:lvlJc w:val="left"/>
      <w:lvlText w:val="%1."/>
      <w:numFmt w:val="decimal"/>
      <w:start w:val="15"/>
    </w:lvl>
  </w:abstractNum>
  <w:abstractNum w:abstractNumId="56">
    <w:nsid w:val="1F48EAA1"/>
    <w:multiLevelType w:val="hybridMultilevel"/>
    <w:lvl w:ilvl="0">
      <w:lvlJc w:val="left"/>
      <w:lvlText w:val="%1."/>
      <w:numFmt w:val="decimal"/>
      <w:start w:val="16"/>
    </w:lvl>
  </w:abstractNum>
  <w:abstractNum w:abstractNumId="57">
    <w:nsid w:val="1381823A"/>
    <w:multiLevelType w:val="hybridMultilevel"/>
    <w:lvl w:ilvl="0">
      <w:lvlJc w:val="left"/>
      <w:lvlText w:val="%1."/>
      <w:numFmt w:val="decimal"/>
      <w:start w:val="17"/>
    </w:lvl>
  </w:abstractNum>
  <w:abstractNum w:abstractNumId="58">
    <w:nsid w:val="5DB70AE5"/>
    <w:multiLevelType w:val="hybridMultilevel"/>
    <w:lvl w:ilvl="0">
      <w:lvlJc w:val="left"/>
      <w:lvlText w:val="%1."/>
      <w:numFmt w:val="decimal"/>
      <w:start w:val="18"/>
    </w:lvl>
  </w:abstractNum>
  <w:abstractNum w:abstractNumId="59">
    <w:nsid w:val="100F8FCA"/>
    <w:multiLevelType w:val="hybridMultilevel"/>
    <w:lvl w:ilvl="0">
      <w:lvlJc w:val="left"/>
      <w:lvlText w:val="%1."/>
      <w:numFmt w:val="decimal"/>
      <w:start w:val="19"/>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8"/>
    </w:lvl>
    <w:lvl w:ilvl="1">
      <w:lvlJc w:val="left"/>
      <w:lvlText w:val="(%2)"/>
      <w:numFmt w:val="decimal"/>
      <w:start w:val="1"/>
    </w:lvl>
  </w:abstractNum>
  <w:abstractNum w:abstractNumId="62">
    <w:nsid w:val="5F5E7FD0"/>
    <w:multiLevelType w:val="hybridMultilevel"/>
    <w:lvl w:ilvl="0">
      <w:lvlJc w:val="left"/>
      <w:lvlText w:val="(%1)"/>
      <w:numFmt w:val="decimal"/>
      <w:start w:val="10"/>
    </w:lvl>
  </w:abstractNum>
  <w:abstractNum w:abstractNumId="63">
    <w:nsid w:val="98A3148"/>
    <w:multiLevelType w:val="hybridMultilevel"/>
    <w:lvl w:ilvl="0">
      <w:lvlJc w:val="left"/>
      <w:lvlText w:val="(%1)"/>
      <w:numFmt w:val="decimal"/>
      <w:start w:val="16"/>
    </w:lvl>
  </w:abstractNum>
  <w:abstractNum w:abstractNumId="64">
    <w:nsid w:val="799D0247"/>
    <w:multiLevelType w:val="hybridMultilevel"/>
    <w:lvl w:ilvl="0">
      <w:lvlJc w:val="left"/>
      <w:lvlText w:val=" "/>
      <w:numFmt w:val="bullet"/>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upperLetter"/>
      <w:start w:val="2"/>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8"/>
    </w:lvl>
    <w:lvl w:ilvl="1">
      <w:lvlJc w:val="left"/>
      <w:lvlText w:val="(%2)"/>
      <w:numFmt w:val="decimal"/>
      <w:start w:val="1"/>
    </w:lvl>
  </w:abstractNum>
  <w:abstractNum w:abstractNumId="70">
    <w:nsid w:val="5DC79EA8"/>
    <w:multiLevelType w:val="hybridMultilevel"/>
    <w:lvl w:ilvl="0">
      <w:lvlJc w:val="left"/>
      <w:lvlText w:val="(%1)"/>
      <w:numFmt w:val="decimal"/>
      <w:start w:val="10"/>
    </w:lvl>
  </w:abstractNum>
  <w:abstractNum w:abstractNumId="71">
    <w:nsid w:val="540A471C"/>
    <w:multiLevelType w:val="hybridMultilevel"/>
    <w:lvl w:ilvl="0">
      <w:lvlJc w:val="left"/>
      <w:lvlText w:val="(%1)"/>
      <w:numFmt w:val="decimal"/>
      <w:start w:val="15"/>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upperLetter"/>
      <w:start w:val="2"/>
    </w:lvl>
  </w:abstractNum>
  <w:abstractNum w:abstractNumId="75">
    <w:nsid w:val="BF72B14"/>
    <w:multiLevelType w:val="hybridMultilevel"/>
    <w:lvl w:ilvl="0">
      <w:lvlJc w:val="left"/>
      <w:lvlText w:val="(%1)"/>
      <w:numFmt w:val="lowerRoman"/>
      <w:start w:val="7"/>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15" Type="http://schemas.openxmlformats.org/officeDocument/2006/relationships/hyperlink" Target="https://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2024-10-31T15:44:53Z</dcterms:created>
  <dcterms:modified xsi:type="dcterms:W3CDTF">2024-10-31T15:44:53Z</dcterms:modified>
</cp:coreProperties>
</file>