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April 28,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Waste Management,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60" w:right="339" w:bottom="1440" w:gutter="0" w:footer="0" w:header="0"/>
          <w:type w:val="continuous"/>
        </w:sectPr>
      </w:pPr>
    </w:p>
    <w:p>
      <w:pPr>
        <w:spacing w:after="0" w:line="7" w:lineRule="exact"/>
        <w:rPr>
          <w:sz w:val="24"/>
          <w:szCs w:val="24"/>
          <w:color w:val="auto"/>
        </w:rPr>
      </w:pPr>
    </w:p>
    <w:p>
      <w:pPr>
        <w:ind w:left="1000"/>
        <w:spacing w:after="0"/>
        <w:rPr>
          <w:sz w:val="20"/>
          <w:szCs w:val="20"/>
          <w:color w:val="auto"/>
        </w:rPr>
      </w:pPr>
      <w:r>
        <w:rPr>
          <w:rFonts w:ascii="Arial" w:cs="Arial" w:eastAsia="Arial" w:hAnsi="Arial"/>
          <w:sz w:val="16"/>
          <w:szCs w:val="16"/>
          <w:b w:val="1"/>
          <w:bCs w:val="1"/>
          <w:color w:val="auto"/>
        </w:rPr>
        <w:t>800 Capitol Street, Suite 3000, Houston, Texas</w:t>
      </w:r>
    </w:p>
    <w:p>
      <w:pPr>
        <w:spacing w:after="0" w:line="50"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4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380" w:space="720"/>
            <w:col w:w="3140"/>
          </w:cols>
          <w:pgMar w:left="320" w:top="760"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Title of each class</w:t>
            </w:r>
          </w:p>
        </w:tc>
        <w:tc>
          <w:tcPr>
            <w:tcW w:w="38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Trading Symbol(s)</w:t>
            </w:r>
          </w:p>
        </w:tc>
        <w:tc>
          <w:tcPr>
            <w:tcW w:w="35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7"/>
              </w:rPr>
              <w:t>Name of each exchange on which registered</w:t>
            </w:r>
          </w:p>
        </w:tc>
      </w:tr>
      <w:tr>
        <w:trPr>
          <w:trHeight w:val="263"/>
        </w:trPr>
        <w:tc>
          <w:tcPr>
            <w:tcW w:w="3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Common Stock, $0.01 par value</w:t>
            </w:r>
          </w:p>
        </w:tc>
        <w:tc>
          <w:tcPr>
            <w:tcW w:w="38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WM</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 York Stock Exchange</w:t>
            </w:r>
          </w:p>
        </w:tc>
      </w:tr>
      <w:tr>
        <w:trPr>
          <w:trHeight w:val="54"/>
        </w:trPr>
        <w:tc>
          <w:tcPr>
            <w:tcW w:w="3840" w:type="dxa"/>
            <w:vAlign w:val="bottom"/>
            <w:tcBorders>
              <w:left w:val="single" w:sz="8" w:color="auto"/>
              <w:bottom w:val="single" w:sz="8" w:color="auto"/>
              <w:right w:val="single" w:sz="8" w:color="auto"/>
            </w:tcBorders>
          </w:tcPr>
          <w:p>
            <w:pPr>
              <w:spacing w:after="0"/>
              <w:rPr>
                <w:sz w:val="4"/>
                <w:szCs w:val="4"/>
                <w:color w:val="auto"/>
              </w:rPr>
            </w:pPr>
          </w:p>
        </w:tc>
        <w:tc>
          <w:tcPr>
            <w:tcW w:w="382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The description in Item 8.01 of this Current Report on Form 8-K under the heading “Issuance and Sale of Notes” is incorporated into this Item 1.01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On April 28, 2021, Waste Management, Inc. (the “Company”) commenced and priced an underwritten public offering of $475,000,000 aggregate principal amount of its 2.00% Senior Notes due 2029 and $475,000,000 aggregate principal amount of its 2.95% Senior Notes due 2041 (collectively, the “Notes”) under the Company’s Registration Statement on Form S-3 (No. 333-231027). The Notes, which will be fully and unconditionally guaranteed by the Company’s wholly-owned subsidiary Waste Management Holdings, Inc. (“WM Holdings”), will be sold pursuant to an underwriting agreement (the “Underwriting Agreement”) entered into on April 28, 2021 among the Company, WM Holdings and Credit Suisse Securities (USA) LLC, Goldman Sachs &amp; Co. LLC and Wells Fargo Securities, LLC as representatives of the several underwriters named therein.</w:t>
      </w:r>
    </w:p>
    <w:p>
      <w:pPr>
        <w:spacing w:after="0" w:line="178"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The Underwriting Agreement includes the terms and conditions for the issuance and sale of the Notes, indemnification and contribution obligations and other terms and conditions customary in agreements of this type. Certain of the underwriters or one of their respective affiliates are lenders under the Company’s $3.5 billion revolving credit facility. Also, because certain of the underwriters or their respective affiliates serve as dealers under the Company’s commercial paper program, they may receive a portion of the net proceeds of the offering of the Notes as customary dealer fees. In addition, certain of the underwriters or their respective affiliates may hold a position in certain senior notes issued by the Company or WM Holdings that are subject to a previously announced cash tender offer and, as a result, may receive a portion of the net proceeds of the offering of the Notes pursuant to such tender offer. Certain of the underwriters or one of their respective affiliates have, from time to time, performed, and may in the future perform, various financial advisory, investment banking and commercial services for the Company, for which they have received or will receive customary fees and expense reimbursements.</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copy of the Underwriting Agreement is being filed as Exhibit 1.1 to this Current Report on Form 8-K and is incorporated herein by reference.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and Sale of Notes</w:t>
      </w:r>
    </w:p>
    <w:p>
      <w:pPr>
        <w:spacing w:after="0" w:line="225"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Closing of the issuance and sale of the Notes is expected to occur on May 12, 2021, subject to satisfaction of customary closing conditions. The Notes will be issued under an indenture dated as of September 10, 1997, between the Company and The Bank of New York Mellon Trust Company, N.A. (the current successor to Texas Commerce Bank National Association), as trustee (the “Indenture”). The terms of the Notes and the guarantees by WM Holdings will be set forth with respect to each series of Notes in an officers’ certificate (each, an “Officers’ Certificate”) of the Company delivered pursuant to the Indenture on the closing date.</w:t>
      </w:r>
    </w:p>
    <w:p>
      <w:pPr>
        <w:spacing w:after="0" w:line="188"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Copies of the Indenture and the forms of the Officers’ Certificates and the guarantee agreements by WM Holdings are being filed as Exhibits 4.1, 4.2, 4.3, 4.6 and 4.7, respectively, to this Current Report on Form 8-K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380" w:type="dxa"/>
            <w:vAlign w:val="bottom"/>
            <w:gridSpan w:val="8"/>
          </w:tcPr>
          <w:p>
            <w:pPr>
              <w:ind w:left="12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18"/>
        </w:trPr>
        <w:tc>
          <w:tcPr>
            <w:tcW w:w="14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140" w:type="dxa"/>
            <w:vAlign w:val="bottom"/>
            <w:gridSpan w:val="7"/>
          </w:tcPr>
          <w:p>
            <w:pPr>
              <w:ind w:left="9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54"/>
        </w:trPr>
        <w:tc>
          <w:tcPr>
            <w:tcW w:w="2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40" w:type="dxa"/>
            <w:vAlign w:val="bottom"/>
            <w:tcBorders>
              <w:bottom w:val="single" w:sz="8" w:color="0000EE"/>
            </w:tcBorders>
          </w:tcPr>
          <w:p>
            <w:pPr>
              <w:spacing w:after="0" w:line="169"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1.</w:t>
              </w:r>
              <w:r>
                <w:rPr>
                  <w:rFonts w:ascii="Arial" w:cs="Arial" w:eastAsia="Arial" w:hAnsi="Arial"/>
                  <w:sz w:val="18"/>
                  <w:szCs w:val="18"/>
                  <w:u w:val="single" w:color="auto"/>
                  <w:color w:val="0000EE"/>
                  <w:w w:val="87"/>
                </w:rPr>
                <w:t>1</w:t>
              </w:r>
            </w:hyperlink>
          </w:p>
        </w:tc>
        <w:tc>
          <w:tcPr>
            <w:tcW w:w="124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9520" w:type="dxa"/>
            <w:vAlign w:val="bottom"/>
            <w:tcBorders>
              <w:bottom w:val="single" w:sz="8" w:color="0000EE"/>
            </w:tcBorders>
            <w:gridSpan w:val="10"/>
          </w:tcPr>
          <w:p>
            <w:pPr>
              <w:spacing w:after="0" w:line="169"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Underwriting Agreement dated April 28, 2021 by and among the Company, WM Holdings and Credit Suisse Securities (USA)</w:t>
              </w:r>
            </w:hyperlink>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LLC, Goldman Sachs &amp; Co. LLC and Wells Fargo Securities, LLC as representatives of the several underwriters named therein.</w:t>
              </w:r>
            </w:hyperlink>
          </w:p>
        </w:tc>
        <w:tc>
          <w:tcPr>
            <w:tcW w:w="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rFonts w:ascii="Arial" w:cs="Arial" w:eastAsia="Arial" w:hAnsi="Arial"/>
                <w:sz w:val="18"/>
                <w:szCs w:val="18"/>
                <w:color w:val="0000EE"/>
                <w:w w:val="87"/>
              </w:rPr>
            </w:pPr>
            <w:hyperlink r:id="rId1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540" w:type="dxa"/>
            <w:vAlign w:val="bottom"/>
            <w:gridSpan w:val="11"/>
          </w:tcPr>
          <w:p>
            <w:pPr>
              <w:spacing w:after="0"/>
              <w:rPr>
                <w:rFonts w:ascii="Arial" w:cs="Arial" w:eastAsia="Arial" w:hAnsi="Arial"/>
                <w:sz w:val="18"/>
                <w:szCs w:val="18"/>
                <w:color w:val="0000EE"/>
                <w:w w:val="92"/>
              </w:rPr>
            </w:pPr>
            <w:hyperlink r:id="rId15">
              <w:r>
                <w:rPr>
                  <w:rFonts w:ascii="Arial" w:cs="Arial" w:eastAsia="Arial" w:hAnsi="Arial"/>
                  <w:sz w:val="18"/>
                  <w:szCs w:val="18"/>
                  <w:color w:val="0000EE"/>
                  <w:w w:val="92"/>
                </w:rPr>
                <w:t>Indenture dated September 10, 1997 by and between the Company and The Bank of New York Mellon Trust Company, N.A. (the</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40" w:type="dxa"/>
            <w:vAlign w:val="bottom"/>
            <w:gridSpan w:val="11"/>
          </w:tcPr>
          <w:p>
            <w:pPr>
              <w:spacing w:after="0" w:line="196" w:lineRule="exact"/>
              <w:rPr>
                <w:rFonts w:ascii="Arial" w:cs="Arial" w:eastAsia="Arial" w:hAnsi="Arial"/>
                <w:sz w:val="18"/>
                <w:szCs w:val="18"/>
                <w:color w:val="0000EE"/>
                <w:w w:val="93"/>
              </w:rPr>
            </w:pPr>
            <w:hyperlink r:id="rId15">
              <w:r>
                <w:rPr>
                  <w:rFonts w:ascii="Arial" w:cs="Arial" w:eastAsia="Arial" w:hAnsi="Arial"/>
                  <w:sz w:val="18"/>
                  <w:szCs w:val="18"/>
                  <w:color w:val="0000EE"/>
                  <w:w w:val="93"/>
                </w:rPr>
                <w:t>current successor to Texas Commerce Bank National Association), as trustee, relating to senior debt securities of the Company</w:t>
              </w:r>
            </w:hyperlink>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5">
              <w:r>
                <w:rPr>
                  <w:rFonts w:ascii="Arial" w:cs="Arial" w:eastAsia="Arial" w:hAnsi="Arial"/>
                  <w:sz w:val="18"/>
                  <w:szCs w:val="18"/>
                  <w:color w:val="0000EE"/>
                </w:rPr>
                <w:t>(incorporated by reference to Exhibit 4.1 to Current Report on Form 8-K filed September 24, 1997).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rFonts w:ascii="Arial" w:cs="Arial" w:eastAsia="Arial" w:hAnsi="Arial"/>
                <w:sz w:val="18"/>
                <w:szCs w:val="18"/>
                <w:color w:val="0000EE"/>
                <w:w w:val="87"/>
              </w:rPr>
            </w:pPr>
            <w:hyperlink w:anchor="page4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540" w:type="dxa"/>
            <w:vAlign w:val="bottom"/>
            <w:gridSpan w:val="11"/>
          </w:tcPr>
          <w:p>
            <w:pPr>
              <w:spacing w:after="0"/>
              <w:rPr>
                <w:rFonts w:ascii="Arial" w:cs="Arial" w:eastAsia="Arial" w:hAnsi="Arial"/>
                <w:sz w:val="18"/>
                <w:szCs w:val="18"/>
                <w:color w:val="0000EE"/>
                <w:w w:val="96"/>
              </w:rPr>
            </w:pPr>
            <w:hyperlink w:anchor="page44">
              <w:r>
                <w:rPr>
                  <w:rFonts w:ascii="Arial" w:cs="Arial" w:eastAsia="Arial" w:hAnsi="Arial"/>
                  <w:sz w:val="18"/>
                  <w:szCs w:val="18"/>
                  <w:color w:val="0000EE"/>
                  <w:w w:val="96"/>
                </w:rPr>
                <w:t>Form of Officers’ Certificate delivered pursuant to Section 3.01 of the Indenture establishing the terms and form of the 2.00%</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368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40" w:type="dxa"/>
            <w:vAlign w:val="bottom"/>
            <w:gridSpan w:val="11"/>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Senior Notes due 2029.</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rFonts w:ascii="Arial" w:cs="Arial" w:eastAsia="Arial" w:hAnsi="Arial"/>
                <w:sz w:val="18"/>
                <w:szCs w:val="18"/>
                <w:color w:val="0000EE"/>
                <w:w w:val="87"/>
              </w:rPr>
            </w:pPr>
            <w:hyperlink w:anchor="page6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540" w:type="dxa"/>
            <w:vAlign w:val="bottom"/>
            <w:gridSpan w:val="11"/>
          </w:tcPr>
          <w:p>
            <w:pPr>
              <w:spacing w:after="0"/>
              <w:rPr>
                <w:rFonts w:ascii="Arial" w:cs="Arial" w:eastAsia="Arial" w:hAnsi="Arial"/>
                <w:sz w:val="18"/>
                <w:szCs w:val="18"/>
                <w:color w:val="0000EE"/>
                <w:w w:val="96"/>
              </w:rPr>
            </w:pPr>
            <w:hyperlink w:anchor="page61">
              <w:r>
                <w:rPr>
                  <w:rFonts w:ascii="Arial" w:cs="Arial" w:eastAsia="Arial" w:hAnsi="Arial"/>
                  <w:sz w:val="18"/>
                  <w:szCs w:val="18"/>
                  <w:color w:val="0000EE"/>
                  <w:w w:val="96"/>
                </w:rPr>
                <w:t>Form of Officers’ Certificate delivered pursuant to Section 3.01 of the Indenture establishing the terms and form of the 2.95%</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368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40" w:type="dxa"/>
            <w:vAlign w:val="bottom"/>
            <w:gridSpan w:val="11"/>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Senior Notes due 2041.</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rFonts w:ascii="Arial" w:cs="Arial" w:eastAsia="Arial" w:hAnsi="Arial"/>
                <w:sz w:val="18"/>
                <w:szCs w:val="18"/>
                <w:color w:val="0000EE"/>
                <w:w w:val="87"/>
              </w:rPr>
            </w:pPr>
            <w:hyperlink w:anchor="page4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540" w:type="dxa"/>
            <w:vAlign w:val="bottom"/>
            <w:gridSpan w:val="11"/>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Form of 2.00% Senior Note due 2029 (included in Exhibit 4.2 above).</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rFonts w:ascii="Arial" w:cs="Arial" w:eastAsia="Arial" w:hAnsi="Arial"/>
                <w:sz w:val="18"/>
                <w:szCs w:val="18"/>
                <w:color w:val="0000EE"/>
                <w:w w:val="87"/>
              </w:rPr>
            </w:pPr>
            <w:hyperlink w:anchor="page6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5</w:t>
              </w:r>
            </w:hyperlink>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540" w:type="dxa"/>
            <w:vAlign w:val="bottom"/>
            <w:gridSpan w:val="11"/>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Form of 2.95% Senior Note due 2041 (included in Exhibit 4.3 above).</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rFonts w:ascii="Arial" w:cs="Arial" w:eastAsia="Arial" w:hAnsi="Arial"/>
                <w:sz w:val="18"/>
                <w:szCs w:val="18"/>
                <w:color w:val="0000EE"/>
                <w:w w:val="87"/>
              </w:rPr>
            </w:pPr>
            <w:hyperlink w:anchor="page7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6</w:t>
              </w:r>
            </w:hyperlink>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540" w:type="dxa"/>
            <w:vAlign w:val="bottom"/>
            <w:gridSpan w:val="11"/>
          </w:tcPr>
          <w:p>
            <w:pPr>
              <w:spacing w:after="0"/>
              <w:rPr>
                <w:rFonts w:ascii="Arial" w:cs="Arial" w:eastAsia="Arial" w:hAnsi="Arial"/>
                <w:sz w:val="18"/>
                <w:szCs w:val="18"/>
                <w:color w:val="0000EE"/>
                <w:w w:val="99"/>
              </w:rPr>
            </w:pPr>
            <w:hyperlink w:anchor="page77">
              <w:r>
                <w:rPr>
                  <w:rFonts w:ascii="Arial" w:cs="Arial" w:eastAsia="Arial" w:hAnsi="Arial"/>
                  <w:sz w:val="18"/>
                  <w:szCs w:val="18"/>
                  <w:color w:val="0000EE"/>
                  <w:w w:val="99"/>
                </w:rPr>
                <w:t>Form of Guarantee Agreement by WM Holdings in favor of the holders of the Company’s 2.00% Senior Notes due 2029.</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6560" w:type="dxa"/>
            <w:vAlign w:val="bottom"/>
            <w:gridSpan w:val="5"/>
            <w:shd w:val="clear" w:color="auto" w:fill="0000EE"/>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rFonts w:ascii="Arial" w:cs="Arial" w:eastAsia="Arial" w:hAnsi="Arial"/>
                <w:sz w:val="18"/>
                <w:szCs w:val="18"/>
                <w:color w:val="0000EE"/>
                <w:w w:val="87"/>
              </w:rPr>
            </w:pPr>
            <w:hyperlink w:anchor="page8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7</w:t>
              </w:r>
            </w:hyperlink>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540" w:type="dxa"/>
            <w:vAlign w:val="bottom"/>
            <w:gridSpan w:val="11"/>
          </w:tcPr>
          <w:p>
            <w:pPr>
              <w:spacing w:after="0"/>
              <w:rPr>
                <w:rFonts w:ascii="Arial" w:cs="Arial" w:eastAsia="Arial" w:hAnsi="Arial"/>
                <w:sz w:val="18"/>
                <w:szCs w:val="18"/>
                <w:color w:val="0000EE"/>
                <w:w w:val="99"/>
              </w:rPr>
            </w:pPr>
            <w:hyperlink w:anchor="page82">
              <w:r>
                <w:rPr>
                  <w:rFonts w:ascii="Arial" w:cs="Arial" w:eastAsia="Arial" w:hAnsi="Arial"/>
                  <w:sz w:val="18"/>
                  <w:szCs w:val="18"/>
                  <w:color w:val="0000EE"/>
                  <w:w w:val="99"/>
                </w:rPr>
                <w:t>Form of Guarantee Agreement by WM Holdings in favor of the holders of the Company’s 2.95% Senior Notes due 2041.</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6560" w:type="dxa"/>
            <w:vAlign w:val="bottom"/>
            <w:gridSpan w:val="5"/>
            <w:shd w:val="clear" w:color="auto" w:fill="0000EE"/>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rFonts w:ascii="Arial" w:cs="Arial" w:eastAsia="Arial" w:hAnsi="Arial"/>
                <w:sz w:val="18"/>
                <w:szCs w:val="18"/>
                <w:color w:val="0000EE"/>
                <w:w w:val="87"/>
              </w:rPr>
            </w:pPr>
            <w:hyperlink w:anchor="page87">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hyperlink>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540" w:type="dxa"/>
            <w:vAlign w:val="bottom"/>
            <w:gridSpan w:val="11"/>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Opinion of Baker Botts L.L.P.</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73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480" w:type="dxa"/>
            <w:vAlign w:val="bottom"/>
            <w:gridSpan w:val="2"/>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9540" w:type="dxa"/>
            <w:vAlign w:val="bottom"/>
            <w:gridSpan w:val="11"/>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486"/>
        </w:trPr>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May 4, 2021</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Charles C. Boettcher</w:t>
      </w:r>
    </w:p>
    <w:p>
      <w:pPr>
        <w:spacing w:after="0" w:line="3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Charles C. Boettcher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Executive Vice President, Corporate Development and Chief Legal</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w:t>
      </w:r>
      <w:r>
        <w:rPr>
          <w:rFonts w:ascii="Arial" w:cs="Arial" w:eastAsia="Arial" w:hAnsi="Arial"/>
          <w:sz w:val="17"/>
          <w:szCs w:val="17"/>
          <w:b w:val="1"/>
          <w:bCs w:val="1"/>
          <w:color w:val="auto"/>
        </w:rPr>
        <w:t>ASTE</w:t>
      </w:r>
      <w:r>
        <w:rPr>
          <w:rFonts w:ascii="Arial" w:cs="Arial" w:eastAsia="Arial" w:hAnsi="Arial"/>
          <w:sz w:val="25"/>
          <w:szCs w:val="25"/>
          <w:b w:val="1"/>
          <w:bCs w:val="1"/>
          <w:color w:val="auto"/>
        </w:rPr>
        <w:t xml:space="preserve"> M</w:t>
      </w:r>
      <w:r>
        <w:rPr>
          <w:rFonts w:ascii="Arial" w:cs="Arial" w:eastAsia="Arial" w:hAnsi="Arial"/>
          <w:sz w:val="17"/>
          <w:szCs w:val="17"/>
          <w:b w:val="1"/>
          <w:bCs w:val="1"/>
          <w:color w:val="auto"/>
        </w:rPr>
        <w:t>ANAGEMENT</w:t>
      </w:r>
      <w:r>
        <w:rPr>
          <w:rFonts w:ascii="Arial" w:cs="Arial" w:eastAsia="Arial" w:hAnsi="Arial"/>
          <w:sz w:val="25"/>
          <w:szCs w:val="25"/>
          <w:b w:val="1"/>
          <w:bCs w:val="1"/>
          <w:color w:val="auto"/>
        </w:rPr>
        <w:t>, I</w:t>
      </w:r>
      <w:r>
        <w:rPr>
          <w:rFonts w:ascii="Arial" w:cs="Arial" w:eastAsia="Arial" w:hAnsi="Arial"/>
          <w:sz w:val="17"/>
          <w:szCs w:val="17"/>
          <w:b w:val="1"/>
          <w:bCs w:val="1"/>
          <w:color w:val="auto"/>
        </w:rPr>
        <w:t>NC</w:t>
      </w:r>
      <w:r>
        <w:rPr>
          <w:rFonts w:ascii="Arial" w:cs="Arial" w:eastAsia="Arial" w:hAnsi="Arial"/>
          <w:sz w:val="25"/>
          <w:szCs w:val="25"/>
          <w:b w:val="1"/>
          <w:bCs w:val="1"/>
          <w:color w:val="auto"/>
        </w:rPr>
        <w:t>.</w:t>
      </w:r>
    </w:p>
    <w:p>
      <w:pPr>
        <w:spacing w:after="0" w:line="23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$475,000,000 2.00% Senior Notes due 2029</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$475,000,000 2.95% Senior Notes due 2041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28,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Representatives named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Schedule II hereto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Underwriters named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II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550 South Tryon Street, 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Waste Management, Inc., a corporation organized under the laws of Delaware (the “</w:t>
      </w:r>
      <w:r>
        <w:rPr>
          <w:rFonts w:ascii="Arial" w:cs="Arial" w:eastAsia="Arial" w:hAnsi="Arial"/>
          <w:sz w:val="16"/>
          <w:szCs w:val="16"/>
          <w:u w:val="single" w:color="auto"/>
          <w:color w:val="auto"/>
        </w:rPr>
        <w:t>Company</w:t>
      </w:r>
      <w:r>
        <w:rPr>
          <w:rFonts w:ascii="Arial" w:cs="Arial" w:eastAsia="Arial" w:hAnsi="Arial"/>
          <w:sz w:val="16"/>
          <w:szCs w:val="16"/>
          <w:color w:val="auto"/>
        </w:rPr>
        <w:t>”), proposes to sell to the several underwriters named in Schedule II hereto (the “</w:t>
      </w:r>
      <w:r>
        <w:rPr>
          <w:rFonts w:ascii="Arial" w:cs="Arial" w:eastAsia="Arial" w:hAnsi="Arial"/>
          <w:sz w:val="16"/>
          <w:szCs w:val="16"/>
          <w:u w:val="single" w:color="auto"/>
          <w:color w:val="auto"/>
        </w:rPr>
        <w:t>Underwriters</w:t>
      </w:r>
      <w:r>
        <w:rPr>
          <w:rFonts w:ascii="Arial" w:cs="Arial" w:eastAsia="Arial" w:hAnsi="Arial"/>
          <w:sz w:val="16"/>
          <w:szCs w:val="16"/>
          <w:color w:val="auto"/>
        </w:rPr>
        <w:t>”), for whom you (the “</w:t>
      </w:r>
      <w:r>
        <w:rPr>
          <w:rFonts w:ascii="Arial" w:cs="Arial" w:eastAsia="Arial" w:hAnsi="Arial"/>
          <w:sz w:val="16"/>
          <w:szCs w:val="16"/>
          <w:u w:val="single" w:color="auto"/>
          <w:color w:val="auto"/>
        </w:rPr>
        <w:t>Representatives</w:t>
      </w:r>
      <w:r>
        <w:rPr>
          <w:rFonts w:ascii="Arial" w:cs="Arial" w:eastAsia="Arial" w:hAnsi="Arial"/>
          <w:sz w:val="16"/>
          <w:szCs w:val="16"/>
          <w:color w:val="auto"/>
        </w:rPr>
        <w:t>”) are acting as representatives, $475,000,000 aggregate principal amount of 2.00% Senior Notes due 2029 (the “</w:t>
      </w:r>
      <w:r>
        <w:rPr>
          <w:rFonts w:ascii="Arial" w:cs="Arial" w:eastAsia="Arial" w:hAnsi="Arial"/>
          <w:sz w:val="16"/>
          <w:szCs w:val="16"/>
          <w:u w:val="single" w:color="auto"/>
          <w:color w:val="auto"/>
        </w:rPr>
        <w:t>2029 Notes</w:t>
      </w:r>
      <w:r>
        <w:rPr>
          <w:rFonts w:ascii="Arial" w:cs="Arial" w:eastAsia="Arial" w:hAnsi="Arial"/>
          <w:sz w:val="16"/>
          <w:szCs w:val="16"/>
          <w:color w:val="auto"/>
        </w:rPr>
        <w:t>”) and $475,000,000 aggregate principal amount of 2.95% Senior Notes due 2041 (the “</w:t>
      </w:r>
      <w:r>
        <w:rPr>
          <w:rFonts w:ascii="Arial" w:cs="Arial" w:eastAsia="Arial" w:hAnsi="Arial"/>
          <w:sz w:val="16"/>
          <w:szCs w:val="16"/>
          <w:u w:val="single" w:color="auto"/>
          <w:color w:val="auto"/>
        </w:rPr>
        <w:t>2041</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Notes</w:t>
      </w:r>
      <w:r>
        <w:rPr>
          <w:rFonts w:ascii="Arial" w:cs="Arial" w:eastAsia="Arial" w:hAnsi="Arial"/>
          <w:sz w:val="16"/>
          <w:szCs w:val="16"/>
          <w:color w:val="auto"/>
        </w:rPr>
        <w:t>” and, together with the 2029 Notes, the “</w:t>
      </w:r>
      <w:r>
        <w:rPr>
          <w:rFonts w:ascii="Arial" w:cs="Arial" w:eastAsia="Arial" w:hAnsi="Arial"/>
          <w:sz w:val="16"/>
          <w:szCs w:val="16"/>
          <w:u w:val="single" w:color="auto"/>
          <w:color w:val="auto"/>
        </w:rPr>
        <w:t>Notes</w:t>
      </w:r>
      <w:r>
        <w:rPr>
          <w:rFonts w:ascii="Arial" w:cs="Arial" w:eastAsia="Arial" w:hAnsi="Arial"/>
          <w:sz w:val="16"/>
          <w:szCs w:val="16"/>
          <w:color w:val="auto"/>
        </w:rPr>
        <w:t>”), to be issued under an indenture (the “</w:t>
      </w:r>
      <w:r>
        <w:rPr>
          <w:rFonts w:ascii="Arial" w:cs="Arial" w:eastAsia="Arial" w:hAnsi="Arial"/>
          <w:sz w:val="16"/>
          <w:szCs w:val="16"/>
          <w:u w:val="single" w:color="auto"/>
          <w:color w:val="auto"/>
        </w:rPr>
        <w:t>Indenture</w:t>
      </w:r>
      <w:r>
        <w:rPr>
          <w:rFonts w:ascii="Arial" w:cs="Arial" w:eastAsia="Arial" w:hAnsi="Arial"/>
          <w:sz w:val="16"/>
          <w:szCs w:val="16"/>
          <w:color w:val="auto"/>
        </w:rPr>
        <w:t>”) dated as of September 10, 1997, between the Company and The Bank of New York Mellon Trust Company, N.A. (as the current successor to the initial trustee, Texas Commerce Bank National Association), as trustee (the “</w:t>
      </w:r>
      <w:r>
        <w:rPr>
          <w:rFonts w:ascii="Arial" w:cs="Arial" w:eastAsia="Arial" w:hAnsi="Arial"/>
          <w:sz w:val="16"/>
          <w:szCs w:val="16"/>
          <w:u w:val="single" w:color="auto"/>
          <w:color w:val="auto"/>
        </w:rPr>
        <w:t>Trustee</w:t>
      </w:r>
      <w:r>
        <w:rPr>
          <w:rFonts w:ascii="Arial" w:cs="Arial" w:eastAsia="Arial" w:hAnsi="Arial"/>
          <w:sz w:val="16"/>
          <w:szCs w:val="16"/>
          <w:color w:val="auto"/>
        </w:rPr>
        <w:t>”), and to be guaranteed on a senior unsecured basis (the “</w:t>
      </w:r>
      <w:r>
        <w:rPr>
          <w:rFonts w:ascii="Arial" w:cs="Arial" w:eastAsia="Arial" w:hAnsi="Arial"/>
          <w:sz w:val="16"/>
          <w:szCs w:val="16"/>
          <w:u w:val="single" w:color="auto"/>
          <w:color w:val="auto"/>
        </w:rPr>
        <w:t>Guarantees</w:t>
      </w:r>
      <w:r>
        <w:rPr>
          <w:rFonts w:ascii="Arial" w:cs="Arial" w:eastAsia="Arial" w:hAnsi="Arial"/>
          <w:sz w:val="16"/>
          <w:szCs w:val="16"/>
          <w:color w:val="auto"/>
        </w:rPr>
        <w:t>”) by Waste Management Holdings, Inc. (“</w:t>
      </w:r>
      <w:r>
        <w:rPr>
          <w:rFonts w:ascii="Arial" w:cs="Arial" w:eastAsia="Arial" w:hAnsi="Arial"/>
          <w:sz w:val="16"/>
          <w:szCs w:val="16"/>
          <w:u w:val="single" w:color="auto"/>
          <w:color w:val="auto"/>
        </w:rPr>
        <w:t>Holdings</w:t>
      </w:r>
      <w:r>
        <w:rPr>
          <w:rFonts w:ascii="Arial" w:cs="Arial" w:eastAsia="Arial" w:hAnsi="Arial"/>
          <w:sz w:val="16"/>
          <w:szCs w:val="16"/>
          <w:color w:val="auto"/>
        </w:rPr>
        <w:t>”) pursuant to guarantees (the “</w:t>
      </w:r>
      <w:r>
        <w:rPr>
          <w:rFonts w:ascii="Arial" w:cs="Arial" w:eastAsia="Arial" w:hAnsi="Arial"/>
          <w:sz w:val="16"/>
          <w:szCs w:val="16"/>
          <w:u w:val="single" w:color="auto"/>
          <w:color w:val="auto"/>
        </w:rPr>
        <w:t>Guarantee Agreements</w:t>
      </w:r>
      <w:r>
        <w:rPr>
          <w:rFonts w:ascii="Arial" w:cs="Arial" w:eastAsia="Arial" w:hAnsi="Arial"/>
          <w:sz w:val="16"/>
          <w:szCs w:val="16"/>
          <w:color w:val="auto"/>
        </w:rPr>
        <w:t>”) in favor of the holders of the Notes to be dated as of the Closing Date (as defined in Section 3 hereof). The Notes and the Guarantees are sometimes referred to herein collectively as the “</w:t>
      </w:r>
      <w:r>
        <w:rPr>
          <w:rFonts w:ascii="Arial" w:cs="Arial" w:eastAsia="Arial" w:hAnsi="Arial"/>
          <w:sz w:val="16"/>
          <w:szCs w:val="16"/>
          <w:u w:val="single" w:color="auto"/>
          <w:color w:val="auto"/>
        </w:rPr>
        <w:t>Securities</w:t>
      </w:r>
      <w:r>
        <w:rPr>
          <w:rFonts w:ascii="Arial" w:cs="Arial" w:eastAsia="Arial" w:hAnsi="Arial"/>
          <w:sz w:val="16"/>
          <w:szCs w:val="16"/>
          <w:color w:val="auto"/>
        </w:rPr>
        <w:t>.” Any reference herein to the Registration Statement, the Preliminary Prospectus or the Final Prospectus shall be deemed to refer to and include the documents incorporated by reference therein pursuant to Item 12 of Form S-3 under the Act, which were filed under the Exchange Act on or before the Effective Date of the Registration Statement or the date of the Preliminary Prospectus or the Final Prospectus, as the case may be; and any reference herein to the terms “amend,” “amendment” or “supplement” with respect to the Registration Statement, the Preliminary Prospectus or the Final Prospectus shall be deemed to refer to and include the filing of any document under the Exchange Act after the Effective Date of the Registration Statement or the date of the Preliminary Prospectus or the Final Prospectus, as the case may be, deemed to be incorporated therein by reference. Certain terms used herein are defined in Section 19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ind w:firstLine="648"/>
        <w:spacing w:after="0" w:line="277" w:lineRule="auto"/>
        <w:rPr>
          <w:sz w:val="20"/>
          <w:szCs w:val="20"/>
          <w:color w:val="auto"/>
        </w:rPr>
      </w:pPr>
      <w:r>
        <w:rPr>
          <w:rFonts w:ascii="Arial" w:cs="Arial" w:eastAsia="Arial" w:hAnsi="Arial"/>
          <w:sz w:val="18"/>
          <w:szCs w:val="18"/>
          <w:color w:val="auto"/>
        </w:rPr>
        <w:t>At or prior to the Time of Sale, the Company had prepared the following information (the “</w:t>
      </w:r>
      <w:r>
        <w:rPr>
          <w:rFonts w:ascii="Arial" w:cs="Arial" w:eastAsia="Arial" w:hAnsi="Arial"/>
          <w:sz w:val="18"/>
          <w:szCs w:val="18"/>
          <w:u w:val="single" w:color="auto"/>
          <w:color w:val="auto"/>
        </w:rPr>
        <w:t>Time of Sale Information</w:t>
      </w:r>
      <w:r>
        <w:rPr>
          <w:rFonts w:ascii="Arial" w:cs="Arial" w:eastAsia="Arial" w:hAnsi="Arial"/>
          <w:sz w:val="18"/>
          <w:szCs w:val="18"/>
          <w:color w:val="auto"/>
        </w:rPr>
        <w:t>”): the Preliminary Prospectus and each “free-writing prospectus” (as defined pursuant to Rule 405 under the Act) listed on Annex A hereto.</w:t>
      </w:r>
    </w:p>
    <w:p>
      <w:pPr>
        <w:spacing w:after="0" w:line="170" w:lineRule="exact"/>
        <w:rPr>
          <w:sz w:val="20"/>
          <w:szCs w:val="20"/>
          <w:color w:val="auto"/>
        </w:rPr>
      </w:pPr>
    </w:p>
    <w:p>
      <w:pPr>
        <w:ind w:firstLine="656"/>
        <w:spacing w:after="0" w:line="277" w:lineRule="auto"/>
        <w:tabs>
          <w:tab w:leader="none" w:pos="1304"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of the Company and Holdings represents and warrants to, and agrees with, each Underwriter as set forth below in this Section 1.</w:t>
      </w:r>
    </w:p>
    <w:p>
      <w:pPr>
        <w:spacing w:after="0" w:line="170" w:lineRule="exact"/>
        <w:rPr>
          <w:rFonts w:ascii="Arial" w:cs="Arial" w:eastAsia="Arial" w:hAnsi="Arial"/>
          <w:sz w:val="18"/>
          <w:szCs w:val="18"/>
          <w:color w:val="auto"/>
        </w:rPr>
      </w:pPr>
    </w:p>
    <w:p>
      <w:pPr>
        <w:jc w:val="both"/>
        <w:ind w:left="660" w:firstLine="644"/>
        <w:spacing w:after="0" w:line="269" w:lineRule="auto"/>
        <w:tabs>
          <w:tab w:leader="none" w:pos="1957"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Company meets the requirements for use of Form S-3 under the Act and has prepared and filed with the Commission a registration statement (File Number 333-231027) on Form S-3, including a related base prospectus, for registration under the Act of the offering and sale of the Securities. The Registration Statement is an “automatic shelf registration statement” as defined under Rule 405 of the Act that has been filed with the Commission not earlier than three years prior to the date hereof; and no notice of objection of the Commission to the use of such registration statement or any post-effective amendment thereto pursuant to Rule 401(g)(2) under the Act has been received by the Company. No order suspending the effectiveness of the Registration Statement has been issued by the Commission and no proceeding for that purpose or pursuant to Section 8A of the Act against the Company or related to the offering has been initiated or threatened by the Commission. The Company may have filed one or more amendments thereto, each of which has previously been furnished to you. The Company will next file with the Commission a final prospectus in accordance with Rules 415 and 424(b). The Registration Statement, at the Time of Sale, meets the requirements set forth in Rule 415(a)(1)(x).</w:t>
      </w:r>
    </w:p>
    <w:p>
      <w:pPr>
        <w:spacing w:after="0" w:line="185" w:lineRule="exact"/>
        <w:rPr>
          <w:rFonts w:ascii="Arial" w:cs="Arial" w:eastAsia="Arial" w:hAnsi="Arial"/>
          <w:sz w:val="17"/>
          <w:szCs w:val="17"/>
          <w:color w:val="auto"/>
        </w:rPr>
      </w:pPr>
    </w:p>
    <w:p>
      <w:pPr>
        <w:jc w:val="both"/>
        <w:ind w:left="660" w:firstLine="644"/>
        <w:spacing w:after="0" w:line="286" w:lineRule="auto"/>
        <w:tabs>
          <w:tab w:leader="none" w:pos="2233" w:val="left"/>
        </w:tabs>
        <w:numPr>
          <w:ilvl w:val="1"/>
          <w:numId w:val="3"/>
        </w:numPr>
        <w:rPr>
          <w:rFonts w:ascii="Arial" w:cs="Arial" w:eastAsia="Arial" w:hAnsi="Arial"/>
          <w:sz w:val="16"/>
          <w:szCs w:val="16"/>
          <w:color w:val="auto"/>
        </w:rPr>
      </w:pPr>
      <w:r>
        <w:rPr>
          <w:rFonts w:ascii="Arial" w:cs="Arial" w:eastAsia="Arial" w:hAnsi="Arial"/>
          <w:sz w:val="16"/>
          <w:szCs w:val="16"/>
          <w:color w:val="auto"/>
        </w:rPr>
        <w:t xml:space="preserve">At the Effective Date, the Registration Statement did, and when the Final Prospectus is first filed in accordance with Rule 424(b) and on the Closing Date (as defined herein), the Final Prospectus (and any supplement thereto) will, comply in all material respects with the applicable requirements of the Act, the Exchange Act and the Trust Indenture Act and the respective rules thereunder; on the Effective Date the Registration Statement did not, and on the Closing Date the Registration Statement will not, contain any untrue statement of a material fact or omit to state any material fact required to be stated therein or necessary to make the statements therein not misleading; on the Effective Date the Indenture did, and on the Closing Date the Indenture will, comply in all material respects with the applicable requirements of the Trust Indenture Act and the rules thereunder; and on the date of filing of the Final Prospectus pursuant to Rule 424(b) and on the Closing Date, the Registration Statement and the Final Prospectus (together with any supplement thereto) will not include any untrue statement of a material fact or omit to state a material fact necessary in order to make the statements therein, in the light of the circumstances under which they were made with respect to the Final Prospectus, not misleading;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makes no representations or warranties as to (i) that part of the Registration Statement which shall constitute the Statement of Eligibility and Qualification (Form T-1) under the Trust Indenture Act of the Trustee or (ii) the information contained in or omitted from the Registration Statement or the Final Prospectus (or any supplement thereto) in reliance upon and in conformity with information furnished in writing to the Company by or on behalf of any Underwriter through the Representatives specifically for inclusion in the Registration Statement or the Final Prospectus (or any supplement thereto).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jc w:val="both"/>
        <w:ind w:left="4" w:firstLine="644"/>
        <w:spacing w:after="0" w:line="272" w:lineRule="auto"/>
        <w:tabs>
          <w:tab w:leader="none" w:pos="1459" w:val="left"/>
        </w:tabs>
        <w:numPr>
          <w:ilvl w:val="1"/>
          <w:numId w:val="4"/>
        </w:numPr>
        <w:rPr>
          <w:rFonts w:ascii="Arial" w:cs="Arial" w:eastAsia="Arial" w:hAnsi="Arial"/>
          <w:sz w:val="17"/>
          <w:szCs w:val="17"/>
          <w:color w:val="auto"/>
        </w:rPr>
      </w:pPr>
      <w:r>
        <w:rPr>
          <w:rFonts w:ascii="Arial" w:cs="Arial" w:eastAsia="Arial" w:hAnsi="Arial"/>
          <w:sz w:val="17"/>
          <w:szCs w:val="17"/>
          <w:color w:val="auto"/>
        </w:rPr>
        <w:t xml:space="preserve">The Time of Sale Information at the Time of Sale did not, and at the Closing Date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such Time of Sale Information. No statement of material fact included in the Final Prospectus has been omitted from the Time of Sale Information and no statement of material fact included in the Time of Sale Information that is required to be included in the Final Prospectus has been omitted therefrom.</w:t>
      </w:r>
    </w:p>
    <w:p>
      <w:pPr>
        <w:spacing w:after="0" w:line="177" w:lineRule="exact"/>
        <w:rPr>
          <w:rFonts w:ascii="Arial" w:cs="Arial" w:eastAsia="Arial" w:hAnsi="Arial"/>
          <w:sz w:val="17"/>
          <w:szCs w:val="17"/>
          <w:color w:val="auto"/>
        </w:rPr>
      </w:pPr>
    </w:p>
    <w:p>
      <w:pPr>
        <w:jc w:val="both"/>
        <w:ind w:left="4" w:firstLine="644"/>
        <w:spacing w:after="0" w:line="285" w:lineRule="auto"/>
        <w:tabs>
          <w:tab w:leader="none" w:pos="1415"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Company (including its agents and representatives, other than the Underwriters in their capacity as such) has not prepared, made, used, authorized, approved or referred to and will not prepare, make, use, authorize, approve or refer to any “written communication” (as defined in Rule 405 under the Act) that constitutes an offer to sell or solicitation of an offer to buy the Securities (each such communication by the Company or its agents and representatives (other than a communication referred to in clauses (i), (ii) and (iii) below) an “</w:t>
      </w:r>
      <w:r>
        <w:rPr>
          <w:rFonts w:ascii="Arial" w:cs="Arial" w:eastAsia="Arial" w:hAnsi="Arial"/>
          <w:sz w:val="16"/>
          <w:szCs w:val="16"/>
          <w:u w:val="single" w:color="auto"/>
          <w:color w:val="auto"/>
        </w:rPr>
        <w:t>Issuer Free Writing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Prospectus</w:t>
      </w:r>
      <w:r>
        <w:rPr>
          <w:rFonts w:ascii="Arial" w:cs="Arial" w:eastAsia="Arial" w:hAnsi="Arial"/>
          <w:sz w:val="16"/>
          <w:szCs w:val="16"/>
          <w:color w:val="auto"/>
        </w:rPr>
        <w:t>”) other than (i) any document not constituting a prospectus pursuant to Section 2(a)(10)(a) of the Act or Rule 134 under the Act,</w:t>
      </w:r>
    </w:p>
    <w:p>
      <w:pPr>
        <w:spacing w:after="0" w:line="1" w:lineRule="exact"/>
        <w:rPr>
          <w:rFonts w:ascii="Arial" w:cs="Arial" w:eastAsia="Arial" w:hAnsi="Arial"/>
          <w:sz w:val="16"/>
          <w:szCs w:val="16"/>
          <w:color w:val="auto"/>
        </w:rPr>
      </w:pPr>
    </w:p>
    <w:p>
      <w:pPr>
        <w:jc w:val="both"/>
        <w:ind w:left="4" w:hanging="4"/>
        <w:spacing w:after="0" w:line="268" w:lineRule="auto"/>
        <w:tabs>
          <w:tab w:leader="none" w:pos="278"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the Preliminary Prospectus, (iii) the Final Prospectus, (iv) the documents listed on Annex A hereto and (v) any electronic road show or other written communications, in each case approved in writing in advance by the Representatives. Each such Issuer Free Writing Prospectus complied in all material respects with the Act, has been or will be (within the time period specified in Rule 433) filed in accordance with the Act (to the extent required thereby) and, when taken together with the Preliminary Prospectus filed prior to the first use of such Issuer Free Writing Prospectus, did not, and at the Closing Date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that the Company makes no representation and warranty with respect to any statements or omissions made in each such Issuer Free Writing Prospectus in reliance upon and in conformity with information relating to any Underwriter furnished to the Company in writing by such Underwriter through the Representatives expressly for use in any Issuer Free Writing Prospectus.</w:t>
      </w:r>
    </w:p>
    <w:p>
      <w:pPr>
        <w:spacing w:after="0" w:line="397"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 w:name="page8"/>
    <w:bookmarkEnd w:id="7"/>
    <w:p>
      <w:pPr>
        <w:jc w:val="both"/>
        <w:ind w:left="-460" w:firstLine="644"/>
        <w:spacing w:after="0" w:line="290" w:lineRule="auto"/>
        <w:tabs>
          <w:tab w:leader="none" w:pos="846"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documents incorporated by reference in the Registration Statement, the Time of Sale Information and the Final Prospectus, when they were filed with the Commission, conformed in all material respects to the requirements of the Exchange Act and none of such documents contained any untrue statement of a material fact or omitted to state a material fact required to be stated therein or necessary to make the statements therein, in the light of the circumstances under which they were made, not misleading; and any further documents so filed and incorporated by reference in the Registration Statement, the Time of Sale Information and the Final Prospectus, when such documents become effective or are filed with the Commission, as the case may be, will conform in all material respects to the requirements of the Act or the Exchange Act, as applicable, and will not contain any untrue statement of a material fact or omit to state a material fact required to be stated therein or necessary to make the statements therein, in the light of the circumstances under which they were made, not misleading.</w:t>
      </w:r>
    </w:p>
    <w:p>
      <w:pPr>
        <w:spacing w:after="0" w:line="165" w:lineRule="exact"/>
        <w:rPr>
          <w:rFonts w:ascii="Arial" w:cs="Arial" w:eastAsia="Arial" w:hAnsi="Arial"/>
          <w:sz w:val="16"/>
          <w:szCs w:val="16"/>
          <w:color w:val="auto"/>
        </w:rPr>
      </w:pPr>
    </w:p>
    <w:p>
      <w:pPr>
        <w:jc w:val="both"/>
        <w:ind w:left="-460" w:firstLine="644"/>
        <w:spacing w:after="0" w:line="293" w:lineRule="auto"/>
        <w:tabs>
          <w:tab w:leader="none" w:pos="97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Indenture has been duly authorized, executed and delivered by the Company and, assuming it was duly executed and delivered by the Trustee, is a valid and binding agreement of the Company, enforceable against the Company in accordance with its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Indenture has been duly qualified under the Trust Indenture Act and conforms to the description thereof in the Registration Statement, the Time of Sale Information and the Final Prospectus.</w:t>
      </w:r>
    </w:p>
    <w:p>
      <w:pPr>
        <w:spacing w:after="0" w:line="164" w:lineRule="exact"/>
        <w:rPr>
          <w:rFonts w:ascii="Arial" w:cs="Arial" w:eastAsia="Arial" w:hAnsi="Arial"/>
          <w:sz w:val="16"/>
          <w:szCs w:val="16"/>
          <w:color w:val="auto"/>
        </w:rPr>
      </w:pPr>
    </w:p>
    <w:p>
      <w:pPr>
        <w:jc w:val="both"/>
        <w:ind w:left="-460" w:firstLine="644"/>
        <w:spacing w:after="0" w:line="272" w:lineRule="auto"/>
        <w:tabs>
          <w:tab w:leader="none" w:pos="843"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Notes have been duly authorized and, when executed by the Company and authenticated by the Trustee in accordance with the Indenture and delivered to you against payment therefor in accordance with the terms hereof, will have been validly issued and delivered, and will constitute valid and binding obligations of the Company entitled to the benefits of the Indenture and enforceable against the Company in accordance with their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Notes conform to the description thereof in the Registration Statement, the Time of Sale Information and the Final Prospectus.</w:t>
      </w:r>
    </w:p>
    <w:p>
      <w:pPr>
        <w:spacing w:after="0" w:line="177" w:lineRule="exact"/>
        <w:rPr>
          <w:rFonts w:ascii="Arial" w:cs="Arial" w:eastAsia="Arial" w:hAnsi="Arial"/>
          <w:sz w:val="17"/>
          <w:szCs w:val="17"/>
          <w:color w:val="auto"/>
        </w:rPr>
      </w:pPr>
    </w:p>
    <w:p>
      <w:pPr>
        <w:jc w:val="both"/>
        <w:ind w:left="-460" w:firstLine="644"/>
        <w:spacing w:after="0" w:line="254" w:lineRule="auto"/>
        <w:tabs>
          <w:tab w:leader="none" w:pos="88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Guarantee Agreements have been duly authorized and, when executed and delivered by Holdings against payment for the Notes in accordance with the terms thereof, will have been validly executed and delivered, and will constitute valid and binding agreements of Holdings, enforceable against Holdings in accordance with their respective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Guarantees conform to the description thereof in the Registration Statement, the Time of Sale Information and the Final Prospectus.</w:t>
      </w:r>
    </w:p>
    <w:p>
      <w:pPr>
        <w:spacing w:after="0" w:line="200" w:lineRule="exact"/>
        <w:rPr>
          <w:sz w:val="20"/>
          <w:szCs w:val="20"/>
          <w:color w:val="auto"/>
        </w:rPr>
      </w:pPr>
    </w:p>
    <w:p>
      <w:pPr>
        <w:spacing w:after="0" w:line="2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8" w:name="page9"/>
    <w:bookmarkEnd w:id="8"/>
    <w:p>
      <w:pPr>
        <w:jc w:val="both"/>
        <w:ind w:left="-460" w:firstLine="644"/>
        <w:spacing w:after="0" w:line="254" w:lineRule="auto"/>
        <w:tabs>
          <w:tab w:leader="none" w:pos="101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is a corporation duly organized and validly existing in good standing under the laws of the State of Delaware with full corporate power and authority to own, lease and operate its properties and to conduct its business as described in the Registration Statement, the Time of Sale Information and the Final Prospectus, and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have a material adverse effect on the condition (financial or other), prospects, earnings, business or properties of the Company and its subsidiaries taken as a whole, whether or not arising from transactions in the ordinary course of business (a “</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jc w:val="both"/>
        <w:ind w:left="-460" w:firstLine="644"/>
        <w:spacing w:after="0" w:line="257" w:lineRule="auto"/>
        <w:tabs>
          <w:tab w:leader="none" w:pos="866" w:val="left"/>
        </w:tabs>
        <w:numPr>
          <w:ilvl w:val="0"/>
          <w:numId w:val="7"/>
        </w:numPr>
        <w:rPr>
          <w:rFonts w:ascii="Arial" w:cs="Arial" w:eastAsia="Arial" w:hAnsi="Arial"/>
          <w:sz w:val="18"/>
          <w:szCs w:val="18"/>
          <w:color w:val="auto"/>
        </w:rPr>
      </w:pPr>
      <w:r>
        <w:rPr>
          <w:rFonts w:ascii="Arial" w:cs="Arial" w:eastAsia="Arial" w:hAnsi="Arial"/>
          <w:sz w:val="18"/>
          <w:szCs w:val="18"/>
          <w:color w:val="auto"/>
        </w:rPr>
        <w:t>Holdings is a corporation duly organized and validly existing in good standing under the laws of the State of Delaware with full corporate power and authority to own, lease and operate its properties and to conduct its business as described in the Registration Statement, the Time of Sale Information and the Final Prospectus, and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have a Material Adverse Effect.</w:t>
      </w:r>
    </w:p>
    <w:p>
      <w:pPr>
        <w:spacing w:after="0" w:line="187" w:lineRule="exact"/>
        <w:rPr>
          <w:rFonts w:ascii="Arial" w:cs="Arial" w:eastAsia="Arial" w:hAnsi="Arial"/>
          <w:sz w:val="18"/>
          <w:szCs w:val="18"/>
          <w:color w:val="auto"/>
        </w:rPr>
      </w:pPr>
    </w:p>
    <w:p>
      <w:pPr>
        <w:jc w:val="both"/>
        <w:ind w:left="-460" w:firstLine="644"/>
        <w:spacing w:after="0" w:line="291" w:lineRule="auto"/>
        <w:tabs>
          <w:tab w:leader="none" w:pos="920" w:val="left"/>
        </w:tabs>
        <w:numPr>
          <w:ilvl w:val="0"/>
          <w:numId w:val="7"/>
        </w:numPr>
        <w:rPr>
          <w:rFonts w:ascii="Arial" w:cs="Arial" w:eastAsia="Arial" w:hAnsi="Arial"/>
          <w:sz w:val="16"/>
          <w:szCs w:val="16"/>
          <w:color w:val="auto"/>
        </w:rPr>
      </w:pPr>
      <w:r>
        <w:rPr>
          <w:rFonts w:ascii="Arial" w:cs="Arial" w:eastAsia="Arial" w:hAnsi="Arial"/>
          <w:sz w:val="16"/>
          <w:szCs w:val="16"/>
          <w:color w:val="auto"/>
        </w:rPr>
        <w:t>Each of the Company’s “significant subsidiaries” (as such term is defined in Regulation S-X under the Exchange Act) (the “</w:t>
      </w:r>
      <w:r>
        <w:rPr>
          <w:rFonts w:ascii="Arial" w:cs="Arial" w:eastAsia="Arial" w:hAnsi="Arial"/>
          <w:sz w:val="16"/>
          <w:szCs w:val="16"/>
          <w:u w:val="single" w:color="auto"/>
          <w:color w:val="auto"/>
        </w:rPr>
        <w:t>Subsidiaries</w:t>
      </w:r>
      <w:r>
        <w:rPr>
          <w:rFonts w:ascii="Arial" w:cs="Arial" w:eastAsia="Arial" w:hAnsi="Arial"/>
          <w:sz w:val="16"/>
          <w:szCs w:val="16"/>
          <w:color w:val="auto"/>
        </w:rPr>
        <w:t>”) is included in the list of subsidiaries on Exhibit 21.1 of the Annual Report on Form 10-K for the year ended December 31, 2020, and each of the Subsidiaries has been duly organized, is validly existing and is in good standing in the jurisdiction of its incorporation, with full corporate power and authority to own, lease and operate its properties and to conduct its business as described in the Registration Statement, the Time of Sale Information and the Final Prospectus; and each of the Subsidiaries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singly or in the aggregate, have a Material Adverse Effect.</w:t>
      </w:r>
    </w:p>
    <w:p>
      <w:pPr>
        <w:spacing w:after="0" w:line="166" w:lineRule="exact"/>
        <w:rPr>
          <w:rFonts w:ascii="Arial" w:cs="Arial" w:eastAsia="Arial" w:hAnsi="Arial"/>
          <w:sz w:val="16"/>
          <w:szCs w:val="16"/>
          <w:color w:val="auto"/>
        </w:rPr>
      </w:pPr>
    </w:p>
    <w:p>
      <w:pPr>
        <w:jc w:val="both"/>
        <w:ind w:left="-460" w:firstLine="644"/>
        <w:spacing w:after="0" w:line="272" w:lineRule="auto"/>
        <w:tabs>
          <w:tab w:leader="none" w:pos="1073" w:val="left"/>
        </w:tabs>
        <w:numPr>
          <w:ilvl w:val="0"/>
          <w:numId w:val="7"/>
        </w:numPr>
        <w:rPr>
          <w:rFonts w:ascii="Arial" w:cs="Arial" w:eastAsia="Arial" w:hAnsi="Arial"/>
          <w:sz w:val="17"/>
          <w:szCs w:val="17"/>
          <w:color w:val="auto"/>
        </w:rPr>
      </w:pPr>
      <w:r>
        <w:rPr>
          <w:rFonts w:ascii="Arial" w:cs="Arial" w:eastAsia="Arial" w:hAnsi="Arial"/>
          <w:sz w:val="17"/>
          <w:szCs w:val="17"/>
          <w:color w:val="auto"/>
        </w:rPr>
        <w:t>All of the issued and outstanding shares of capital stock of each of the Subsidiaries have been duly authorized and validly issued and are owned, directly or indirectly, by the Company. All such shares are fully paid and nonassessable, and, except as disclosed in the Registration Statement, the Time of Sale Information and the Final Prospectus, are owned by the Company, directly or indirectly, free and clear of any security interest, mortgage, pledge, claim, lien, encumbrance or adverse interest of any nature (each, a “</w:t>
      </w:r>
      <w:r>
        <w:rPr>
          <w:rFonts w:ascii="Arial" w:cs="Arial" w:eastAsia="Arial" w:hAnsi="Arial"/>
          <w:sz w:val="17"/>
          <w:szCs w:val="17"/>
          <w:u w:val="single" w:color="auto"/>
          <w:color w:val="auto"/>
        </w:rPr>
        <w:t>Lien</w:t>
      </w:r>
      <w:r>
        <w:rPr>
          <w:rFonts w:ascii="Arial" w:cs="Arial" w:eastAsia="Arial" w:hAnsi="Arial"/>
          <w:sz w:val="17"/>
          <w:szCs w:val="17"/>
          <w:color w:val="auto"/>
        </w:rPr>
        <w:t>”). Except as disclosed in the Registration Statement, the Time of Sale Information and the Final Prospectus, there are no outstanding subscriptions, rights, warrants, options, calls, convertible or exchangeable securities, commitments of sale, or Liens related to or entitling any person to purchase or otherwise to acquire any shares of the capital stock of, or other ownership interests in, any Subsidiary.</w:t>
      </w:r>
    </w:p>
    <w:p>
      <w:pPr>
        <w:spacing w:after="0" w:line="177" w:lineRule="exact"/>
        <w:rPr>
          <w:rFonts w:ascii="Arial" w:cs="Arial" w:eastAsia="Arial" w:hAnsi="Arial"/>
          <w:sz w:val="17"/>
          <w:szCs w:val="17"/>
          <w:color w:val="auto"/>
        </w:rPr>
      </w:pPr>
    </w:p>
    <w:p>
      <w:pPr>
        <w:ind w:left="980" w:hanging="79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Agreement has been duly and validly authorized, executed and delivered by the Company and Holdings.</w:t>
      </w:r>
    </w:p>
    <w:p>
      <w:pPr>
        <w:spacing w:after="0" w:line="200" w:lineRule="exact"/>
        <w:rPr>
          <w:sz w:val="20"/>
          <w:szCs w:val="20"/>
          <w:color w:val="auto"/>
        </w:rPr>
      </w:pPr>
    </w:p>
    <w:p>
      <w:pPr>
        <w:spacing w:after="0" w:line="24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9" w:name="page10"/>
    <w:bookmarkEnd w:id="9"/>
    <w:p>
      <w:pPr>
        <w:jc w:val="both"/>
        <w:ind w:left="-460" w:firstLine="644"/>
        <w:spacing w:after="0" w:line="287" w:lineRule="auto"/>
        <w:tabs>
          <w:tab w:leader="none" w:pos="1032" w:val="left"/>
        </w:tabs>
        <w:numPr>
          <w:ilvl w:val="0"/>
          <w:numId w:val="8"/>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Time of Sale Information and the Final Prospectus, there is no action, suit or proceeding before or by any court or governmental agency or body or any arbitrator pending against the Company or any of its subsidiaries that is required to be disclosed in the Registration Statement, the Time of Sale Information or the Final Prospectus, or which could reasonably be expected to have a Material Adverse Effect, or materially and adversely affect the performance of the Company’s obligations pursuant to this Agreement and, to the best of the Company’s knowledge, no such proceedings are contemplated or threatened. No action has been taken with respect to the Company or any subsidiary, and no statute, rule or regulation or order has been enacted, adopted or issued by any governmental agency and no injunction, restraining order or other order of any court of competent jurisdiction has been issued with respect to the Company or any subsidiary that prevents the issuance of the Securities or suspends the effectiveness of the Registration Statement, prevents or suspends the use of the Final Prospectus or prevents or suspends the sale of the Securities in any of the jurisdictions that the Representatives may have specified pursuant to Section 5(h) hereof; and every request of the Commission, or any securities authority or agency of any jurisdiction, for additional information to be included in the Registration Statement or the Final Prospectus or otherwise has been complied with in all material respects.</w:t>
      </w:r>
    </w:p>
    <w:p>
      <w:pPr>
        <w:spacing w:after="0" w:line="171" w:lineRule="exact"/>
        <w:rPr>
          <w:rFonts w:ascii="Arial" w:cs="Arial" w:eastAsia="Arial" w:hAnsi="Arial"/>
          <w:sz w:val="16"/>
          <w:szCs w:val="16"/>
          <w:color w:val="auto"/>
        </w:rPr>
      </w:pPr>
    </w:p>
    <w:p>
      <w:pPr>
        <w:jc w:val="both"/>
        <w:ind w:left="-460" w:firstLine="644"/>
        <w:spacing w:after="0" w:line="271" w:lineRule="auto"/>
        <w:tabs>
          <w:tab w:leader="none" w:pos="874" w:val="left"/>
        </w:tabs>
        <w:numPr>
          <w:ilvl w:val="0"/>
          <w:numId w:val="8"/>
        </w:numPr>
        <w:rPr>
          <w:rFonts w:ascii="Arial" w:cs="Arial" w:eastAsia="Arial" w:hAnsi="Arial"/>
          <w:sz w:val="17"/>
          <w:szCs w:val="17"/>
          <w:color w:val="auto"/>
        </w:rPr>
      </w:pPr>
      <w:r>
        <w:rPr>
          <w:rFonts w:ascii="Arial" w:cs="Arial" w:eastAsia="Arial" w:hAnsi="Arial"/>
          <w:sz w:val="17"/>
          <w:szCs w:val="17"/>
          <w:color w:val="auto"/>
        </w:rPr>
        <w:t>Except as disclosed in the Registration Statement, the Time of Sale Information and the Final Prospectus (or any amendment or supplement thereto), subsequent to the respective dates as of which such information is given in the Registration Statement, the Time of Sale Information and the Final Prospectus (or any amendment or supplement thereto), neither the Company nor any of its subsidiaries has incurred any liability or obligation, direct or contingent, that is material to the Company and its subsidiaries taken as a whole, or entered into any transaction, not in the ordinary course of business, that is material to the Company and its subsidiaries taken as a whole, and there has not been any material adverse change, or any development involving or which may reasonably be expected to involve, a prospective material adverse change, in the condition (financial or other), prospects, earnings, business or properties of the Company and its subsidiaries taken as a whole, whether or not arising from transactions in the ordinary course of business.</w:t>
      </w:r>
    </w:p>
    <w:p>
      <w:pPr>
        <w:spacing w:after="0" w:line="178" w:lineRule="exact"/>
        <w:rPr>
          <w:rFonts w:ascii="Arial" w:cs="Arial" w:eastAsia="Arial" w:hAnsi="Arial"/>
          <w:sz w:val="17"/>
          <w:szCs w:val="17"/>
          <w:color w:val="auto"/>
        </w:rPr>
      </w:pPr>
    </w:p>
    <w:p>
      <w:pPr>
        <w:jc w:val="both"/>
        <w:ind w:left="-460" w:firstLine="644"/>
        <w:spacing w:after="0" w:line="272" w:lineRule="auto"/>
        <w:tabs>
          <w:tab w:leader="none" w:pos="1005" w:val="left"/>
        </w:tabs>
        <w:numPr>
          <w:ilvl w:val="0"/>
          <w:numId w:val="8"/>
        </w:numPr>
        <w:rPr>
          <w:rFonts w:ascii="Arial" w:cs="Arial" w:eastAsia="Arial" w:hAnsi="Arial"/>
          <w:sz w:val="17"/>
          <w:szCs w:val="17"/>
          <w:color w:val="auto"/>
        </w:rPr>
      </w:pPr>
      <w:r>
        <w:rPr>
          <w:rFonts w:ascii="Arial" w:cs="Arial" w:eastAsia="Arial" w:hAnsi="Arial"/>
          <w:sz w:val="17"/>
          <w:szCs w:val="17"/>
          <w:color w:val="auto"/>
        </w:rPr>
        <w:t>Except as otherwise set forth in the Registration Statement, the Time of Sale Information and the Final Prospectus or such as would not have a Material Adverse Effect, each of the Company and its subsidiaries has good and marketable title to all property (real and personal) described in the Registration Statement, the Time of Sale Information and the Final Prospectus as being owned by it, free and clear of all Liens, except Liens for taxes not yet due and payable and Liens described in the Registration Statement, the Time of Sale Information and the Final Prospectus or in a document filed as an exhibit to the Registration Statement. All the property described in the Registration Statement, the Time of Sale Information and the Final Prospectus as being held under lease by each of the Company and its subsidiaries is held by it under valid, subsisting and enforceable leases, except as would not have a Material Adverse Effect.</w:t>
      </w:r>
    </w:p>
    <w:p>
      <w:pPr>
        <w:spacing w:after="0" w:line="39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0" w:name="page11"/>
    <w:bookmarkEnd w:id="10"/>
    <w:p>
      <w:pPr>
        <w:jc w:val="both"/>
        <w:ind w:left="-460" w:firstLine="644"/>
        <w:spacing w:after="0" w:line="255" w:lineRule="auto"/>
        <w:tabs>
          <w:tab w:leader="none" w:pos="964" w:val="left"/>
        </w:tabs>
        <w:numPr>
          <w:ilvl w:val="0"/>
          <w:numId w:val="9"/>
        </w:numPr>
        <w:rPr>
          <w:rFonts w:ascii="Arial" w:cs="Arial" w:eastAsia="Arial" w:hAnsi="Arial"/>
          <w:sz w:val="18"/>
          <w:szCs w:val="18"/>
          <w:color w:val="auto"/>
        </w:rPr>
      </w:pPr>
      <w:r>
        <w:rPr>
          <w:rFonts w:ascii="Arial" w:cs="Arial" w:eastAsia="Arial" w:hAnsi="Arial"/>
          <w:sz w:val="18"/>
          <w:szCs w:val="18"/>
          <w:color w:val="auto"/>
        </w:rPr>
        <w:t>Neither the Company nor any Subsidiary is in violation or default of (i) any provision of its charter or bylaws,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such Subsidiary or any of its properties, as applicable, except in the case of clauses (ii) and (iii), where such violation or default would not have a Material Adverse Effect.</w:t>
      </w:r>
    </w:p>
    <w:p>
      <w:pPr>
        <w:spacing w:after="0" w:line="192" w:lineRule="exact"/>
        <w:rPr>
          <w:rFonts w:ascii="Arial" w:cs="Arial" w:eastAsia="Arial" w:hAnsi="Arial"/>
          <w:sz w:val="18"/>
          <w:szCs w:val="18"/>
          <w:color w:val="auto"/>
        </w:rPr>
      </w:pPr>
    </w:p>
    <w:p>
      <w:pPr>
        <w:jc w:val="both"/>
        <w:ind w:left="-460" w:firstLine="644"/>
        <w:spacing w:after="0" w:line="286" w:lineRule="auto"/>
        <w:tabs>
          <w:tab w:leader="none" w:pos="935" w:val="left"/>
        </w:tabs>
        <w:numPr>
          <w:ilvl w:val="0"/>
          <w:numId w:val="9"/>
        </w:numPr>
        <w:rPr>
          <w:rFonts w:ascii="Arial" w:cs="Arial" w:eastAsia="Arial" w:hAnsi="Arial"/>
          <w:sz w:val="17"/>
          <w:szCs w:val="17"/>
          <w:color w:val="auto"/>
        </w:rPr>
      </w:pPr>
      <w:r>
        <w:rPr>
          <w:rFonts w:ascii="Arial" w:cs="Arial" w:eastAsia="Arial" w:hAnsi="Arial"/>
          <w:sz w:val="17"/>
          <w:szCs w:val="17"/>
          <w:color w:val="auto"/>
        </w:rPr>
        <w:t>Neither the Company nor Holdings has distributed and, prior to the later to occur of (i) the Closing Date and (ii) completion of the distribution of the Securities, neither will distribute any offering material in connection with the offering and sale of the Securities other than the Registration Statement, the Time of Sale Information and the Final Prospectus or other materials, if any, permitted by the Act.</w:t>
      </w:r>
    </w:p>
    <w:p>
      <w:pPr>
        <w:spacing w:after="0" w:line="165" w:lineRule="exact"/>
        <w:rPr>
          <w:rFonts w:ascii="Arial" w:cs="Arial" w:eastAsia="Arial" w:hAnsi="Arial"/>
          <w:sz w:val="17"/>
          <w:szCs w:val="17"/>
          <w:color w:val="auto"/>
        </w:rPr>
      </w:pPr>
    </w:p>
    <w:p>
      <w:pPr>
        <w:jc w:val="both"/>
        <w:ind w:left="-460" w:firstLine="644"/>
        <w:spacing w:after="0" w:line="275" w:lineRule="auto"/>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Except as would not have a Material Adverse Effect, each of the Company and its subsidiaries own or possess the right to use all patents, trademarks, trademark registrations, service marks, service mark registrations, trade names, copyrights, licenses, inventions, trade secrets and rights described in the Registration Statement, the Time of Sale Information and the Final Prospectus as being owned by them or any of them or necessary for the conduct of their respective businesses, and the Company is not aware of any claim to the contrary or any challenge by any other person to the rights of the Company and its subsidiaries with respect to the foregoing.</w:t>
      </w:r>
    </w:p>
    <w:p>
      <w:pPr>
        <w:spacing w:after="0" w:line="176" w:lineRule="exact"/>
        <w:rPr>
          <w:rFonts w:ascii="Arial" w:cs="Arial" w:eastAsia="Arial" w:hAnsi="Arial"/>
          <w:sz w:val="17"/>
          <w:szCs w:val="17"/>
          <w:color w:val="auto"/>
        </w:rPr>
      </w:pPr>
    </w:p>
    <w:p>
      <w:pPr>
        <w:jc w:val="both"/>
        <w:ind w:left="-460" w:firstLine="644"/>
        <w:spacing w:after="0" w:line="263" w:lineRule="auto"/>
        <w:tabs>
          <w:tab w:leader="none" w:pos="848" w:val="left"/>
        </w:tabs>
        <w:numPr>
          <w:ilvl w:val="0"/>
          <w:numId w:val="9"/>
        </w:numPr>
        <w:rPr>
          <w:rFonts w:ascii="Arial" w:cs="Arial" w:eastAsia="Arial" w:hAnsi="Arial"/>
          <w:sz w:val="18"/>
          <w:szCs w:val="18"/>
          <w:color w:val="auto"/>
        </w:rPr>
      </w:pPr>
      <w:r>
        <w:rPr>
          <w:rFonts w:ascii="Arial" w:cs="Arial" w:eastAsia="Arial" w:hAnsi="Arial"/>
          <w:sz w:val="18"/>
          <w:szCs w:val="18"/>
          <w:color w:val="auto"/>
        </w:rPr>
        <w:t>Neither the Company nor Holdings is and, after giving effect to the offering and sale of the Securities and the application of the proceeds thereof as described in the Registration Statement, the Time of Sale Information and the Final Prospectus, neither will be an “investment company” as defined in the 1940 Act.</w:t>
      </w:r>
    </w:p>
    <w:p>
      <w:pPr>
        <w:spacing w:after="0" w:line="183" w:lineRule="exact"/>
        <w:rPr>
          <w:rFonts w:ascii="Arial" w:cs="Arial" w:eastAsia="Arial" w:hAnsi="Arial"/>
          <w:sz w:val="18"/>
          <w:szCs w:val="18"/>
          <w:color w:val="auto"/>
        </w:rPr>
      </w:pPr>
    </w:p>
    <w:p>
      <w:pPr>
        <w:jc w:val="both"/>
        <w:ind w:left="-460" w:firstLine="644"/>
        <w:spacing w:after="0" w:line="279" w:lineRule="auto"/>
        <w:tabs>
          <w:tab w:leader="none" w:pos="874" w:val="left"/>
        </w:tabs>
        <w:numPr>
          <w:ilvl w:val="0"/>
          <w:numId w:val="9"/>
        </w:numPr>
        <w:rPr>
          <w:rFonts w:ascii="Arial" w:cs="Arial" w:eastAsia="Arial" w:hAnsi="Arial"/>
          <w:sz w:val="17"/>
          <w:szCs w:val="17"/>
          <w:color w:val="auto"/>
        </w:rPr>
      </w:pPr>
      <w:r>
        <w:rPr>
          <w:rFonts w:ascii="Arial" w:cs="Arial" w:eastAsia="Arial" w:hAnsi="Arial"/>
          <w:sz w:val="17"/>
          <w:szCs w:val="17"/>
          <w:color w:val="auto"/>
        </w:rPr>
        <w:t>No consent, approval, authorization, filing with or order of any court or governmental agency or body is required in connection with the transactions contemplated herein, except such as have been obtained under the Act and the Trust Indenture Act and such as may be required under the blue sky laws of any jurisdiction in connection with the purchase and distribution of the Securities by the Underwriters in the manner contemplated herein and in the Registration Statement, the Time of Sale Information and the Final Prospectus.</w:t>
      </w:r>
    </w:p>
    <w:p>
      <w:pPr>
        <w:spacing w:after="0" w:line="171" w:lineRule="exact"/>
        <w:rPr>
          <w:rFonts w:ascii="Arial" w:cs="Arial" w:eastAsia="Arial" w:hAnsi="Arial"/>
          <w:sz w:val="17"/>
          <w:szCs w:val="17"/>
          <w:color w:val="auto"/>
        </w:rPr>
      </w:pPr>
    </w:p>
    <w:p>
      <w:pPr>
        <w:jc w:val="both"/>
        <w:ind w:left="-460" w:firstLine="644"/>
        <w:spacing w:after="0" w:line="271" w:lineRule="auto"/>
        <w:tabs>
          <w:tab w:leader="none" w:pos="883" w:val="left"/>
        </w:tabs>
        <w:numPr>
          <w:ilvl w:val="0"/>
          <w:numId w:val="9"/>
        </w:numPr>
        <w:rPr>
          <w:rFonts w:ascii="Arial" w:cs="Arial" w:eastAsia="Arial" w:hAnsi="Arial"/>
          <w:sz w:val="17"/>
          <w:szCs w:val="17"/>
          <w:color w:val="auto"/>
        </w:rPr>
      </w:pPr>
      <w:r>
        <w:rPr>
          <w:rFonts w:ascii="Arial" w:cs="Arial" w:eastAsia="Arial" w:hAnsi="Arial"/>
          <w:sz w:val="17"/>
          <w:szCs w:val="17"/>
          <w:color w:val="auto"/>
        </w:rPr>
        <w:t>Neither the issue and sale of the Securities nor the consummation of any other of the transactions herein contemplated nor the fulfillment of the terms hereof will conflict with, result in a breach or violation of or imposition of any lien, charge or encumbrance upon any property or assets of the Company or any of its subsidiaries pursuant to, (i) the charter or bylaws of the Company or any of its subsidiaries, (ii) the terms of any indenture, contract, lease, mortgage, deed of trust, note agreement, loan agreement or other agreement, obligation, condition, covenant or instrument to which the Company or any of its subsidiaries is a party or bound or to which its or their property is subject, except as would not have a Material Adverse Effect, or (iii) 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w:t>
      </w:r>
    </w:p>
    <w:p>
      <w:pPr>
        <w:spacing w:after="0" w:line="39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1" w:name="page12"/>
    <w:bookmarkEnd w:id="11"/>
    <w:p>
      <w:pPr>
        <w:jc w:val="both"/>
        <w:ind w:left="4" w:firstLine="644"/>
        <w:spacing w:after="0" w:line="275" w:lineRule="auto"/>
        <w:tabs>
          <w:tab w:leader="none" w:pos="1311"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consolidated historical financial statements of the Company and its consolidated subsidiaries included or incorporated by reference in the Registration Statement, the Time of Sale Information and the Final Prospectus present fairly in all material respects the financial condition, results of operations and cash flows of the Company as of the dates and for the periods indicated, comply as to form with the applicable accounting requirements of the Act and have been prepared in conformity with generally accepted accounting principles in the United States applied on a consistent basis throughout the periods involved (except as otherwise noted therein).</w:t>
      </w:r>
    </w:p>
    <w:p>
      <w:pPr>
        <w:spacing w:after="0" w:line="176" w:lineRule="exact"/>
        <w:rPr>
          <w:rFonts w:ascii="Arial" w:cs="Arial" w:eastAsia="Arial" w:hAnsi="Arial"/>
          <w:sz w:val="17"/>
          <w:szCs w:val="17"/>
          <w:color w:val="auto"/>
        </w:rPr>
      </w:pPr>
    </w:p>
    <w:p>
      <w:pPr>
        <w:jc w:val="both"/>
        <w:ind w:left="4" w:firstLine="644"/>
        <w:spacing w:after="0" w:line="257" w:lineRule="auto"/>
        <w:tabs>
          <w:tab w:leader="none" w:pos="16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Ernst &amp; Young LLP, who have audited certain financial statements of the Company and its consolidated subsidiaries and delivered their report with respect to the audited consolidated financial statements included in the Registration Statement, the Time of Sale Information and the Final Prospectus, are an independent registered public accounting firm with respect to the Company within the applicable rules and regulations adopted by the Commission and the Public Company Accounting Oversight Board (United States) and as required by the Act.</w:t>
      </w:r>
    </w:p>
    <w:p>
      <w:pPr>
        <w:spacing w:after="0" w:line="187" w:lineRule="exact"/>
        <w:rPr>
          <w:rFonts w:ascii="Arial" w:cs="Arial" w:eastAsia="Arial" w:hAnsi="Arial"/>
          <w:sz w:val="18"/>
          <w:szCs w:val="18"/>
          <w:color w:val="auto"/>
        </w:rPr>
      </w:pPr>
    </w:p>
    <w:p>
      <w:pPr>
        <w:jc w:val="both"/>
        <w:ind w:left="4" w:firstLine="644"/>
        <w:spacing w:after="0" w:line="272" w:lineRule="auto"/>
        <w:tabs>
          <w:tab w:leader="none" w:pos="1347" w:val="left"/>
        </w:tabs>
        <w:numPr>
          <w:ilvl w:val="0"/>
          <w:numId w:val="10"/>
        </w:numPr>
        <w:rPr>
          <w:rFonts w:ascii="Arial" w:cs="Arial" w:eastAsia="Arial" w:hAnsi="Arial"/>
          <w:sz w:val="17"/>
          <w:szCs w:val="17"/>
          <w:color w:val="auto"/>
        </w:rPr>
      </w:pPr>
      <w:r>
        <w:rPr>
          <w:rFonts w:ascii="Arial" w:cs="Arial" w:eastAsia="Arial" w:hAnsi="Arial"/>
          <w:sz w:val="17"/>
          <w:szCs w:val="17"/>
          <w:color w:val="auto"/>
        </w:rPr>
        <w:t>Each of the Company and Holdings has filed all foreign, federal, state and local tax returns that are required to be filed or has requested extensions thereof (except in any case in which the failure so to file would not have a Material Adverse Effect, and except as set forth or incorporated by reference in the Registration Statement, the Time of Sale Information and the Final Prospectus (exclusive of any amendment or supplement thereto))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and except as set forth or incorporated by reference in the Registration Statement, the Time of Sale Information and the Final Prospectus (exclusive of any amendment or supplement thereto).</w:t>
      </w:r>
    </w:p>
    <w:p>
      <w:pPr>
        <w:spacing w:after="0" w:line="177" w:lineRule="exact"/>
        <w:rPr>
          <w:rFonts w:ascii="Arial" w:cs="Arial" w:eastAsia="Arial" w:hAnsi="Arial"/>
          <w:sz w:val="17"/>
          <w:szCs w:val="17"/>
          <w:color w:val="auto"/>
        </w:rPr>
      </w:pPr>
    </w:p>
    <w:p>
      <w:pPr>
        <w:jc w:val="both"/>
        <w:ind w:left="4" w:firstLine="644"/>
        <w:spacing w:after="0" w:line="279" w:lineRule="auto"/>
        <w:tabs>
          <w:tab w:leader="none" w:pos="1432" w:val="left"/>
        </w:tabs>
        <w:numPr>
          <w:ilvl w:val="0"/>
          <w:numId w:val="10"/>
        </w:numPr>
        <w:rPr>
          <w:rFonts w:ascii="Arial" w:cs="Arial" w:eastAsia="Arial" w:hAnsi="Arial"/>
          <w:sz w:val="17"/>
          <w:szCs w:val="17"/>
          <w:color w:val="auto"/>
        </w:rPr>
      </w:pPr>
      <w:r>
        <w:rPr>
          <w:rFonts w:ascii="Arial" w:cs="Arial" w:eastAsia="Arial" w:hAnsi="Arial"/>
          <w:sz w:val="17"/>
          <w:szCs w:val="17"/>
          <w:color w:val="auto"/>
        </w:rPr>
        <w:t>No labor problem or dispute with the employees of the Company or any of its subsidiaries exists or is threatened or imminent, nor is the Company aware of any existing or imminent labor disturbance by the employees of any of its or its subsidiaries’ principal suppliers, contractors or customers, that would have a Material Adverse Effect, except as set forth or incorporated by reference in the Registration Statement, the Time of Sale Information and the Final Prospectus (exclusive of any amendment or supplement thereto).</w:t>
      </w:r>
    </w:p>
    <w:p>
      <w:pPr>
        <w:spacing w:after="0" w:line="171" w:lineRule="exact"/>
        <w:rPr>
          <w:sz w:val="20"/>
          <w:szCs w:val="20"/>
          <w:color w:val="auto"/>
        </w:rPr>
      </w:pPr>
    </w:p>
    <w:p>
      <w:pPr>
        <w:jc w:val="both"/>
        <w:ind w:left="4" w:firstLine="644"/>
        <w:spacing w:after="0" w:line="286" w:lineRule="auto"/>
        <w:tabs>
          <w:tab w:leader="none" w:pos="1341" w:val="left"/>
        </w:tabs>
        <w:numPr>
          <w:ilvl w:val="1"/>
          <w:numId w:val="11"/>
        </w:numPr>
        <w:rPr>
          <w:rFonts w:ascii="Arial" w:cs="Arial" w:eastAsia="Arial" w:hAnsi="Arial"/>
          <w:sz w:val="16"/>
          <w:szCs w:val="16"/>
          <w:color w:val="auto"/>
        </w:rPr>
      </w:pPr>
      <w:r>
        <w:rPr>
          <w:rFonts w:ascii="Arial" w:cs="Arial" w:eastAsia="Arial" w:hAnsi="Arial"/>
          <w:sz w:val="16"/>
          <w:szCs w:val="16"/>
          <w:color w:val="auto"/>
        </w:rPr>
        <w:t>Except as would not have a Material Adverse Effect, (i) the Company and each of its Subsidiaries are insured by insurers of recognized financial responsibility against such losses and risks and in such amounts as are prudent and customary in the businesses in which they are engaged; (ii) all policies of insurance insuring the Company or any of its Subsidiaries or their respective businesses, assets, employees, officers and directors are in full force and effect; (iii) the Company and its Subsidiaries are in compliance with the terms of such policies and instruments;</w:t>
      </w:r>
    </w:p>
    <w:p>
      <w:pPr>
        <w:spacing w:after="0" w:line="1" w:lineRule="exact"/>
        <w:rPr>
          <w:rFonts w:ascii="Arial" w:cs="Arial" w:eastAsia="Arial" w:hAnsi="Arial"/>
          <w:sz w:val="16"/>
          <w:szCs w:val="16"/>
          <w:color w:val="auto"/>
        </w:rPr>
      </w:pPr>
    </w:p>
    <w:p>
      <w:pPr>
        <w:jc w:val="both"/>
        <w:ind w:left="4" w:hanging="4"/>
        <w:spacing w:after="0" w:line="251" w:lineRule="auto"/>
        <w:tabs>
          <w:tab w:leader="none" w:pos="3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are no claims by the Company or any of its Subsidiaries under any such policy or instrument as to which any insurance company is denying liability or defending under a reservation of rights clause; and (v) neither the Company nor any such Subsidiary has been refused any insurance coverage sought or applied for, except in each case as set forth or incorporated by reference in the Registration Statement, the Time of Sale Information and the Final Prospectus (exclusive of any amendment or supplement thereto).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except as set forth or incorporated by reference in the Registration Statement, the Time of Sale Information and the Final Prospectus (exclusive of any amendment or supplement thereto).</w:t>
      </w:r>
    </w:p>
    <w:p>
      <w:pPr>
        <w:spacing w:after="0" w:line="200" w:lineRule="exact"/>
        <w:rPr>
          <w:sz w:val="20"/>
          <w:szCs w:val="20"/>
          <w:color w:val="auto"/>
        </w:rPr>
      </w:pPr>
    </w:p>
    <w:p>
      <w:pPr>
        <w:spacing w:after="0" w:line="214"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2" w:name="page13"/>
    <w:bookmarkEnd w:id="12"/>
    <w:p>
      <w:pPr>
        <w:jc w:val="both"/>
        <w:ind w:left="4" w:firstLine="644"/>
        <w:spacing w:after="0" w:line="257" w:lineRule="auto"/>
        <w:tabs>
          <w:tab w:leader="none" w:pos="1401" w:val="left"/>
        </w:tabs>
        <w:numPr>
          <w:ilvl w:val="1"/>
          <w:numId w:val="13"/>
        </w:numPr>
        <w:rPr>
          <w:rFonts w:ascii="Arial" w:cs="Arial" w:eastAsia="Arial" w:hAnsi="Arial"/>
          <w:sz w:val="18"/>
          <w:szCs w:val="18"/>
          <w:color w:val="auto"/>
        </w:rPr>
      </w:pPr>
      <w:r>
        <w:rPr>
          <w:rFonts w:ascii="Arial" w:cs="Arial" w:eastAsia="Arial" w:hAnsi="Arial"/>
          <w:sz w:val="18"/>
          <w:szCs w:val="18"/>
          <w:color w:val="auto"/>
        </w:rPr>
        <w:t>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or incorporated by reference in the Registration Statement, the Time of Sale Information and the Final Prospectus (exclusive of any amendment or supplement thereto).</w:t>
      </w:r>
    </w:p>
    <w:p>
      <w:pPr>
        <w:spacing w:after="0" w:line="187" w:lineRule="exact"/>
        <w:rPr>
          <w:rFonts w:ascii="Arial" w:cs="Arial" w:eastAsia="Arial" w:hAnsi="Arial"/>
          <w:sz w:val="18"/>
          <w:szCs w:val="18"/>
          <w:color w:val="auto"/>
        </w:rPr>
      </w:pPr>
    </w:p>
    <w:p>
      <w:pPr>
        <w:jc w:val="both"/>
        <w:ind w:left="4" w:firstLine="644"/>
        <w:spacing w:after="0" w:line="273" w:lineRule="auto"/>
        <w:tabs>
          <w:tab w:leader="none" w:pos="1435" w:val="left"/>
        </w:tabs>
        <w:numPr>
          <w:ilvl w:val="1"/>
          <w:numId w:val="13"/>
        </w:numPr>
        <w:rPr>
          <w:rFonts w:ascii="Arial" w:cs="Arial" w:eastAsia="Arial" w:hAnsi="Arial"/>
          <w:sz w:val="17"/>
          <w:szCs w:val="17"/>
          <w:color w:val="auto"/>
        </w:rPr>
      </w:pPr>
      <w:r>
        <w:rPr>
          <w:rFonts w:ascii="Arial" w:cs="Arial" w:eastAsia="Arial" w:hAnsi="Arial"/>
          <w:sz w:val="17"/>
          <w:szCs w:val="17"/>
          <w:color w:val="auto"/>
        </w:rPr>
        <w:t>Except as would not have a Material Adverse Effect, the Company and its subsidiaries possess and are in compliance with all licenses, certificates, permits and other authorizations issued by the appropriate federal, state or foreign regulatory authorities necessary to conduct their respective businesses, and neither the Company nor any such subsidiary has received any notice of proceedings relating to the revocation or modification of any such license, certificate, authorization or permit, which, singly or in the aggregate, if the subject of an unfavorable decision, ruling or finding, would have a Material Adverse Effect, except as set forth or incorporated by reference in the Registration Statement, the Time of Sale Information and the Final Prospectus (exclusive of any amendment or supplement thereto).</w:t>
      </w:r>
    </w:p>
    <w:p>
      <w:pPr>
        <w:spacing w:after="0" w:line="177" w:lineRule="exact"/>
        <w:rPr>
          <w:rFonts w:ascii="Arial" w:cs="Arial" w:eastAsia="Arial" w:hAnsi="Arial"/>
          <w:sz w:val="17"/>
          <w:szCs w:val="17"/>
          <w:color w:val="auto"/>
        </w:rPr>
      </w:pPr>
    </w:p>
    <w:p>
      <w:pPr>
        <w:jc w:val="both"/>
        <w:ind w:left="4" w:firstLine="644"/>
        <w:spacing w:after="0" w:line="286" w:lineRule="auto"/>
        <w:tabs>
          <w:tab w:leader="none" w:pos="14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in the United States and to maintain asset accountability; (iii) access to assets is permitted only in accordance with management’s general or specific authorization; and</w:t>
      </w:r>
    </w:p>
    <w:p>
      <w:pPr>
        <w:spacing w:after="0" w:line="1" w:lineRule="exact"/>
        <w:rPr>
          <w:rFonts w:ascii="Arial" w:cs="Arial" w:eastAsia="Arial" w:hAnsi="Arial"/>
          <w:sz w:val="16"/>
          <w:szCs w:val="16"/>
          <w:color w:val="auto"/>
        </w:rPr>
      </w:pPr>
    </w:p>
    <w:p>
      <w:pPr>
        <w:ind w:left="4" w:right="20" w:hanging="4"/>
        <w:spacing w:after="0" w:line="260" w:lineRule="auto"/>
        <w:tabs>
          <w:tab w:leader="none" w:pos="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recorded accountability for assets is compared with the existing assets at reasonable intervals and appropriate action is taken with respect to any differences.</w:t>
      </w:r>
    </w:p>
    <w:p>
      <w:pPr>
        <w:spacing w:after="0" w:line="185" w:lineRule="exact"/>
        <w:rPr>
          <w:rFonts w:ascii="Arial" w:cs="Arial" w:eastAsia="Arial" w:hAnsi="Arial"/>
          <w:sz w:val="18"/>
          <w:szCs w:val="18"/>
          <w:color w:val="auto"/>
        </w:rPr>
      </w:pPr>
    </w:p>
    <w:p>
      <w:pPr>
        <w:jc w:val="both"/>
        <w:ind w:left="4" w:right="20" w:firstLine="644"/>
        <w:spacing w:after="0" w:line="263" w:lineRule="auto"/>
        <w:tabs>
          <w:tab w:leader="none" w:pos="1516" w:val="left"/>
        </w:tabs>
        <w:numPr>
          <w:ilvl w:val="1"/>
          <w:numId w:val="14"/>
        </w:numPr>
        <w:rPr>
          <w:rFonts w:ascii="Arial" w:cs="Arial" w:eastAsia="Arial" w:hAnsi="Arial"/>
          <w:sz w:val="18"/>
          <w:szCs w:val="18"/>
          <w:color w:val="auto"/>
        </w:rPr>
      </w:pPr>
      <w:r>
        <w:rPr>
          <w:rFonts w:ascii="Arial" w:cs="Arial" w:eastAsia="Arial" w:hAnsi="Arial"/>
          <w:sz w:val="18"/>
          <w:szCs w:val="18"/>
          <w:color w:val="auto"/>
        </w:rPr>
        <w:t>Neither the Company nor Holdings has taken, directly or indirectly, any action designed to or that would constitute or that might reasonably be expected to cause or result in stabilization or manipulation of the price of any security of the Company or Holdings to facilitate the sale or resale of the Securities.</w:t>
      </w:r>
    </w:p>
    <w:p>
      <w:pPr>
        <w:spacing w:after="0" w:line="400"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3" w:name="page14"/>
    <w:bookmarkEnd w:id="13"/>
    <w:p>
      <w:pPr>
        <w:jc w:val="both"/>
        <w:ind w:firstLine="644"/>
        <w:spacing w:after="0" w:line="269" w:lineRule="auto"/>
        <w:tabs>
          <w:tab w:leader="none" w:pos="1568"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Company and its subsidiaries (i) are in compliance with any and all applicable foreign, federal, state and local laws, regulations and requirements relating to pollution, the protection of natural resources, human health and safety, the environment or hazardous or toxic substances or wastes, solid wastes, petroleum hydrocarbons or products, pollutants or contaminants (“</w:t>
      </w:r>
      <w:r>
        <w:rPr>
          <w:rFonts w:ascii="Arial" w:cs="Arial" w:eastAsia="Arial" w:hAnsi="Arial"/>
          <w:sz w:val="17"/>
          <w:szCs w:val="17"/>
          <w:u w:val="single" w:color="auto"/>
          <w:color w:val="auto"/>
        </w:rPr>
        <w:t>Environmental Laws</w:t>
      </w:r>
      <w:r>
        <w:rPr>
          <w:rFonts w:ascii="Arial" w:cs="Arial" w:eastAsia="Arial" w:hAnsi="Arial"/>
          <w:sz w:val="17"/>
          <w:szCs w:val="17"/>
          <w:color w:val="auto"/>
        </w:rPr>
        <w:t>”); (ii) have received and are in compliance with all permits, licenses, certificates and other authorizations or approvals required of them under applicable Environmental Laws to conduct their respective businesses; and (iii) have not received notice of any actual or potential cost or liability for the investigation or remediation of any disposal or release of hazardous or toxic substances or wastes, solid wastes, petroleum hydrocarbons or products, pollutants or contaminants, except where such non-compliance with Environmental Laws, failure to receive required permits, licenses or other approvals, or cost or liability would not, individually or in the aggregate, have a Material Adverse Effect, except as set forth or incorporated by reference in the Registration Statement, the Time of Sale Information and the Final Prospectus (exclusive of any amendment or supplement thereto). The environmental reserves described or incorporated by reference in the Registration Statement, the Time of Sale Information and the Final Prospectus reflect in accordance with generally accepted accounting principles in the United States the known liabilities and obligations of the Company and its subsidiaries under Environmental Laws.</w:t>
      </w:r>
    </w:p>
    <w:p>
      <w:pPr>
        <w:spacing w:after="0" w:line="178" w:lineRule="exact"/>
        <w:rPr>
          <w:rFonts w:ascii="Arial" w:cs="Arial" w:eastAsia="Arial" w:hAnsi="Arial"/>
          <w:sz w:val="17"/>
          <w:szCs w:val="17"/>
          <w:color w:val="auto"/>
        </w:rPr>
      </w:pPr>
    </w:p>
    <w:p>
      <w:pPr>
        <w:jc w:val="both"/>
        <w:ind w:firstLine="644"/>
        <w:spacing w:after="0" w:line="272" w:lineRule="auto"/>
        <w:tabs>
          <w:tab w:leader="none" w:pos="1384"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the ordinary course of its business, the Company periodically reviews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certificate or other authorization or approval, any related constraints on operating activities and any potential liabilities to third parties). On the basis of such review, the Company has reasonably concluded that such associated costs and liabilities would not, singly or in the aggregate, have a Material Adverse Effect, except as set forth or incorporated by reference in the Registration Statement, the Time of Sale Information and the Final Prospectus (exclusive of any amendment or supplement thereto).</w:t>
      </w:r>
    </w:p>
    <w:p>
      <w:pPr>
        <w:spacing w:after="0" w:line="177" w:lineRule="exact"/>
        <w:rPr>
          <w:rFonts w:ascii="Arial" w:cs="Arial" w:eastAsia="Arial" w:hAnsi="Arial"/>
          <w:sz w:val="17"/>
          <w:szCs w:val="17"/>
          <w:color w:val="auto"/>
        </w:rPr>
      </w:pPr>
    </w:p>
    <w:p>
      <w:pPr>
        <w:jc w:val="both"/>
        <w:ind w:firstLine="644"/>
        <w:spacing w:after="0" w:line="271" w:lineRule="auto"/>
        <w:tabs>
          <w:tab w:leader="none" w:pos="1389"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Except as would not have a Material Adverse Effect, each of the Company and its subsidiaries has fulfilled its obligations, if any, under the minimum funding standards of Section 302 of the United States Employee Retirement Income Security Act of 1974 (“</w:t>
      </w:r>
      <w:r>
        <w:rPr>
          <w:rFonts w:ascii="Arial" w:cs="Arial" w:eastAsia="Arial" w:hAnsi="Arial"/>
          <w:sz w:val="17"/>
          <w:szCs w:val="17"/>
          <w:u w:val="single" w:color="auto"/>
          <w:color w:val="auto"/>
        </w:rPr>
        <w:t>ERISA</w:t>
      </w:r>
      <w:r>
        <w:rPr>
          <w:rFonts w:ascii="Arial" w:cs="Arial" w:eastAsia="Arial" w:hAnsi="Arial"/>
          <w:sz w:val="17"/>
          <w:szCs w:val="17"/>
          <w:color w:val="auto"/>
        </w:rPr>
        <w:t>”) and the regulations and published interpretations thereunder with respect to each “plan” (as defined in Section 3(3) of ERISA and such regulations and published interpretations) in which current or former employees of the Company and all members of its controlled group (within the meaning of Section 303(d)(1)(B) of ERISA) are or have been eligible to participate and each such plan is in compliance with the presently applicable provisions of ERISA and such regulations and published interpretations. Except as would not have a Material Adverse Effect, the Company and its subsidiaries have not incurred any unpaid liability to the Pension Benefit Guaranty Corporation (other than for the payment of premiums in the ordinary course) or to any such plan under Title IV of ERISA.</w:t>
      </w:r>
    </w:p>
    <w:p>
      <w:pPr>
        <w:spacing w:after="0" w:line="178" w:lineRule="exact"/>
        <w:rPr>
          <w:rFonts w:ascii="Arial" w:cs="Arial" w:eastAsia="Arial" w:hAnsi="Arial"/>
          <w:sz w:val="17"/>
          <w:szCs w:val="17"/>
          <w:color w:val="auto"/>
        </w:rPr>
      </w:pPr>
    </w:p>
    <w:p>
      <w:pPr>
        <w:ind w:left="1300" w:hanging="656"/>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 holders of securities of the Company or Holdings have rights to the registration of such securities under the Registration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Statement.</w:t>
      </w:r>
    </w:p>
    <w:p>
      <w:pPr>
        <w:spacing w:after="0" w:line="200" w:lineRule="exact"/>
        <w:rPr>
          <w:sz w:val="20"/>
          <w:szCs w:val="20"/>
          <w:color w:val="auto"/>
        </w:rPr>
      </w:pPr>
    </w:p>
    <w:p>
      <w:pPr>
        <w:spacing w:after="0" w:line="22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4" w:name="page15"/>
    <w:bookmarkEnd w:id="14"/>
    <w:p>
      <w:pPr>
        <w:jc w:val="both"/>
        <w:ind w:left="-460" w:firstLine="644"/>
        <w:spacing w:after="0" w:line="257" w:lineRule="auto"/>
        <w:tabs>
          <w:tab w:leader="none" w:pos="9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principal executive officer and principal financial officer of the Company have made all certifications required by the Sarbanes-Oxley Act of 2002 and the rules and regulations promulgated in connection therewith (the “</w:t>
      </w:r>
      <w:r>
        <w:rPr>
          <w:rFonts w:ascii="Arial" w:cs="Arial" w:eastAsia="Arial" w:hAnsi="Arial"/>
          <w:sz w:val="18"/>
          <w:szCs w:val="18"/>
          <w:u w:val="single" w:color="auto"/>
          <w:color w:val="auto"/>
        </w:rPr>
        <w:t>Sarbanes-Oxley Act</w:t>
      </w:r>
      <w:r>
        <w:rPr>
          <w:rFonts w:ascii="Arial" w:cs="Arial" w:eastAsia="Arial" w:hAnsi="Arial"/>
          <w:sz w:val="18"/>
          <w:szCs w:val="18"/>
          <w:color w:val="auto"/>
        </w:rPr>
        <w:t>”), and the statements contained in any such certification are true and correct in all material respects. There is and has been no failure on the part of the Company or, to the knowledge of the Company, on the part of any of the Company’s directors or officers, in their capacities as such, to comply with any provision of the Sarbanes-Oxley Act, including Section 402 related to loans.</w:t>
      </w:r>
    </w:p>
    <w:p>
      <w:pPr>
        <w:spacing w:after="0" w:line="187" w:lineRule="exact"/>
        <w:rPr>
          <w:rFonts w:ascii="Arial" w:cs="Arial" w:eastAsia="Arial" w:hAnsi="Arial"/>
          <w:sz w:val="18"/>
          <w:szCs w:val="18"/>
          <w:color w:val="auto"/>
        </w:rPr>
      </w:pPr>
    </w:p>
    <w:p>
      <w:pPr>
        <w:jc w:val="both"/>
        <w:ind w:left="-460" w:firstLine="644"/>
        <w:spacing w:after="0" w:line="290" w:lineRule="auto"/>
        <w:tabs>
          <w:tab w:leader="none" w:pos="816"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 maintains disclosure controls and procedures (as such term is defined in Rule 13a-15(e) under the Exchange Act), which (i) were designed to ensure, among other things, that material information relating to the Company, including its consolidated subsidiaries, was made known to the principal executive officer and the principal financial officer of the Company by others within those entities, particularly during the periods in which the Company’s Annual Report on Form 10-K for the year ended December 31, 2020 and the Company’s Quarterly Report on Form 10-Q for the quarterly period ended March 31, 2021; (ii) have been evaluated for effectiveness as of the end of the periods covered by the Company’s Annual Report on Form 10-K for the year ended December 31, 2020 and the Company’s Quarterly Report on Form 10-Q for the quarterly period ended March 31, 2021 pursuant to Rule 13a-15 of the Exchange Act; and (iii) are effective to ensure that the Company is able to collect, process and disclose the information required to be disclosed in reports filed with the Commission within required time periods.</w:t>
      </w:r>
    </w:p>
    <w:p>
      <w:pPr>
        <w:spacing w:after="0" w:line="165" w:lineRule="exact"/>
        <w:rPr>
          <w:rFonts w:ascii="Arial" w:cs="Arial" w:eastAsia="Arial" w:hAnsi="Arial"/>
          <w:sz w:val="16"/>
          <w:szCs w:val="16"/>
          <w:color w:val="auto"/>
        </w:rPr>
      </w:pPr>
    </w:p>
    <w:p>
      <w:pPr>
        <w:jc w:val="both"/>
        <w:ind w:left="-460" w:firstLine="644"/>
        <w:spacing w:after="0" w:line="293" w:lineRule="auto"/>
        <w:tabs>
          <w:tab w:leader="none" w:pos="8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the evaluation of its disclosure controls and procedures as of the end of the periods covered by the Company’s Annual Report on Form 10-K for the year ended December 31, 2020 and the Company’s Quarterly Report on Form 10-Q for the quarterly period ended March 31, 2021 and other than as has been disclosed in the Registration Statement, the Time of Sale Information and the Final Prospectus, the Company is not aware of (i) any significant deficiency in the design or operation of internal controls which could adversely affect its ability to record, process, summarize and report financial data or any material weaknesses in internal controls; or (ii) any fraud, whether or not material, that involves management or other employees who have a significant role in the internal controls of the Company.</w:t>
      </w:r>
    </w:p>
    <w:p>
      <w:pPr>
        <w:spacing w:after="0" w:line="164" w:lineRule="exact"/>
        <w:rPr>
          <w:rFonts w:ascii="Arial" w:cs="Arial" w:eastAsia="Arial" w:hAnsi="Arial"/>
          <w:sz w:val="16"/>
          <w:szCs w:val="16"/>
          <w:color w:val="auto"/>
        </w:rPr>
      </w:pPr>
    </w:p>
    <w:p>
      <w:pPr>
        <w:jc w:val="both"/>
        <w:ind w:left="-460" w:firstLine="644"/>
        <w:spacing w:after="0" w:line="255"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maintains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in the United States. Except as disclosed in the Registration Statement, the Time of Sale Information and the Final Prospectus, there are no material weaknesses in the Company’s internal controls.</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5" w:name="page16"/>
    <w:bookmarkEnd w:id="15"/>
    <w:p>
      <w:pPr>
        <w:ind w:left="4" w:firstLine="644"/>
        <w:spacing w:after="0" w:line="277" w:lineRule="auto"/>
        <w:tabs>
          <w:tab w:leader="none" w:pos="1374" w:val="left"/>
        </w:tabs>
        <w:numPr>
          <w:ilvl w:val="1"/>
          <w:numId w:val="17"/>
        </w:numPr>
        <w:rPr>
          <w:rFonts w:ascii="Arial" w:cs="Arial" w:eastAsia="Arial" w:hAnsi="Arial"/>
          <w:sz w:val="18"/>
          <w:szCs w:val="18"/>
          <w:color w:val="auto"/>
        </w:rPr>
      </w:pPr>
      <w:r>
        <w:rPr>
          <w:rFonts w:ascii="Arial" w:cs="Arial" w:eastAsia="Arial" w:hAnsi="Arial"/>
          <w:sz w:val="18"/>
          <w:szCs w:val="18"/>
          <w:color w:val="auto"/>
        </w:rPr>
        <w:t>Since March 31, 2021, there have been no significant changes in internal controls or in other factors that could significantly affect the Company’s internal controls over financial reporting.</w:t>
      </w:r>
    </w:p>
    <w:p>
      <w:pPr>
        <w:spacing w:after="0" w:line="170" w:lineRule="exact"/>
        <w:rPr>
          <w:rFonts w:ascii="Arial" w:cs="Arial" w:eastAsia="Arial" w:hAnsi="Arial"/>
          <w:sz w:val="18"/>
          <w:szCs w:val="18"/>
          <w:color w:val="auto"/>
        </w:rPr>
      </w:pPr>
    </w:p>
    <w:p>
      <w:pPr>
        <w:ind w:left="4" w:right="20" w:firstLine="644"/>
        <w:spacing w:after="0" w:line="277" w:lineRule="auto"/>
        <w:tabs>
          <w:tab w:leader="none" w:pos="1293" w:val="left"/>
        </w:tabs>
        <w:numPr>
          <w:ilvl w:val="1"/>
          <w:numId w:val="17"/>
        </w:numPr>
        <w:rPr>
          <w:rFonts w:ascii="Arial" w:cs="Arial" w:eastAsia="Arial" w:hAnsi="Arial"/>
          <w:sz w:val="18"/>
          <w:szCs w:val="18"/>
          <w:color w:val="auto"/>
        </w:rPr>
      </w:pPr>
      <w:r>
        <w:rPr>
          <w:rFonts w:ascii="Arial" w:cs="Arial" w:eastAsia="Arial" w:hAnsi="Arial"/>
          <w:sz w:val="18"/>
          <w:szCs w:val="18"/>
          <w:color w:val="auto"/>
        </w:rPr>
        <w:t xml:space="preserve">Other than Holdings, no subsidiary of the Company has guaranteed any outstanding senior indebtedness of the Company except for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guarantees made in the ordinary course of business.</w:t>
      </w:r>
    </w:p>
    <w:p>
      <w:pPr>
        <w:spacing w:after="0" w:line="170" w:lineRule="exact"/>
        <w:rPr>
          <w:rFonts w:ascii="Arial" w:cs="Arial" w:eastAsia="Arial" w:hAnsi="Arial"/>
          <w:sz w:val="18"/>
          <w:szCs w:val="18"/>
          <w:color w:val="auto"/>
        </w:rPr>
      </w:pPr>
    </w:p>
    <w:p>
      <w:pPr>
        <w:ind w:left="4" w:firstLine="644"/>
        <w:spacing w:after="0" w:line="277" w:lineRule="auto"/>
        <w:tabs>
          <w:tab w:leader="none" w:pos="1312"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Company is not an ineligible issuer and is a well-known seasoned issuer, in each case as defined under the Act, in each case at the times specified in the Act in connection with the offering of the Securities.</w:t>
      </w:r>
    </w:p>
    <w:p>
      <w:pPr>
        <w:spacing w:after="0" w:line="170" w:lineRule="exact"/>
        <w:rPr>
          <w:rFonts w:ascii="Arial" w:cs="Arial" w:eastAsia="Arial" w:hAnsi="Arial"/>
          <w:sz w:val="18"/>
          <w:szCs w:val="18"/>
          <w:color w:val="auto"/>
        </w:rPr>
      </w:pPr>
    </w:p>
    <w:p>
      <w:pPr>
        <w:jc w:val="both"/>
        <w:ind w:left="4" w:firstLine="644"/>
        <w:spacing w:after="0" w:line="269" w:lineRule="auto"/>
        <w:tabs>
          <w:tab w:leader="none" w:pos="1406" w:val="left"/>
        </w:tabs>
        <w:numPr>
          <w:ilvl w:val="1"/>
          <w:numId w:val="17"/>
        </w:numPr>
        <w:rPr>
          <w:rFonts w:ascii="Arial" w:cs="Arial" w:eastAsia="Arial" w:hAnsi="Arial"/>
          <w:sz w:val="17"/>
          <w:szCs w:val="17"/>
          <w:color w:val="auto"/>
        </w:rPr>
      </w:pPr>
      <w:r>
        <w:rPr>
          <w:rFonts w:ascii="Arial" w:cs="Arial" w:eastAsia="Arial" w:hAnsi="Arial"/>
          <w:sz w:val="17"/>
          <w:szCs w:val="17"/>
          <w:color w:val="auto"/>
        </w:rPr>
        <w:t>None of the Company, any of its subsidiaries or, to the knowledge of the Company, any director, officer, agent, employee or affiliate of the Company or any of its subsidiaries is aware of or has taken any action, directly or indirectly, that would result in a violation by such persons or entities of the Foreign Corrupt Practices Act of 1977, as amended, and the rules and regulations thereunder, any applicable law or regulation implementing the OECD Convention on Combating Bribery of Foreign Public Officials in International Business Transactions, the Bribery Act 2010 of the United Kingdom or any other applicable anti-bribery or anti-corruption law (collectively, the “</w:t>
      </w:r>
      <w:r>
        <w:rPr>
          <w:rFonts w:ascii="Arial" w:cs="Arial" w:eastAsia="Arial" w:hAnsi="Arial"/>
          <w:sz w:val="17"/>
          <w:szCs w:val="17"/>
          <w:u w:val="single" w:color="auto"/>
          <w:color w:val="auto"/>
        </w:rPr>
        <w:t>Anti-Corruption Laws</w:t>
      </w:r>
      <w:r>
        <w:rPr>
          <w:rFonts w:ascii="Arial" w:cs="Arial" w:eastAsia="Arial" w:hAnsi="Arial"/>
          <w:sz w:val="17"/>
          <w:szCs w:val="17"/>
          <w:color w:val="auto"/>
        </w:rPr>
        <w:t>”), including, without limitation, making or taking an act in furtherance of an offer, payment, promise to pay or authorization of the payment of any money, or other property, gift, promise to give, or authorization of the giving of anything of value to any foreign or domestic government official or employee, foreign political party or official thereof or candidate for foreign political office, in contravention of the Anti-Corruption Laws. The Company, its subsidiaries and, to the knowledge of the Company, its affiliates have conducted their businesses in compliance with the Anti-Corruption Laws and have instituted and maintain policies and procedures designed to ensure, and which are reasonably expected to continue to ensure, continued compliance therewith.</w:t>
      </w:r>
    </w:p>
    <w:p>
      <w:pPr>
        <w:spacing w:after="0" w:line="181" w:lineRule="exact"/>
        <w:rPr>
          <w:rFonts w:ascii="Arial" w:cs="Arial" w:eastAsia="Arial" w:hAnsi="Arial"/>
          <w:sz w:val="17"/>
          <w:szCs w:val="17"/>
          <w:color w:val="auto"/>
        </w:rPr>
      </w:pPr>
    </w:p>
    <w:p>
      <w:pPr>
        <w:jc w:val="both"/>
        <w:ind w:left="4" w:firstLine="644"/>
        <w:spacing w:after="0" w:line="283" w:lineRule="auto"/>
        <w:tabs>
          <w:tab w:leader="none" w:pos="1449" w:val="left"/>
        </w:tabs>
        <w:numPr>
          <w:ilvl w:val="1"/>
          <w:numId w:val="17"/>
        </w:numPr>
        <w:rPr>
          <w:rFonts w:ascii="Arial" w:cs="Arial" w:eastAsia="Arial" w:hAnsi="Arial"/>
          <w:sz w:val="16"/>
          <w:szCs w:val="16"/>
          <w:color w:val="auto"/>
        </w:rPr>
      </w:pPr>
      <w:r>
        <w:rPr>
          <w:rFonts w:ascii="Arial" w:cs="Arial" w:eastAsia="Arial" w:hAnsi="Arial"/>
          <w:sz w:val="16"/>
          <w:szCs w:val="16"/>
          <w:color w:val="auto"/>
        </w:rPr>
        <w:t>None of the Company, any of its subsidiaries or, to the knowledge of the Company, any director, officer, agent, employee or affiliate of the Company or any of its subsidiaries is currently subject to any U.S.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Her Majesty’s Treasury, or other relevant sanctions authority (collectively, “</w:t>
      </w:r>
      <w:r>
        <w:rPr>
          <w:rFonts w:ascii="Arial" w:cs="Arial" w:eastAsia="Arial" w:hAnsi="Arial"/>
          <w:sz w:val="16"/>
          <w:szCs w:val="16"/>
          <w:u w:val="single" w:color="auto"/>
          <w:color w:val="auto"/>
        </w:rPr>
        <w:t>Sanctions</w:t>
      </w:r>
      <w:r>
        <w:rPr>
          <w:rFonts w:ascii="Arial" w:cs="Arial" w:eastAsia="Arial" w:hAnsi="Arial"/>
          <w:sz w:val="16"/>
          <w:szCs w:val="16"/>
          <w:color w:val="auto"/>
        </w:rPr>
        <w:t>”), nor is the Company or any of its subsidiaries located, organized or resident in a country or territory that is the subject or target of Sanctions, including, without limitation, Crimea, Cuba, Iran, North Korea and Syria (each, a “</w:t>
      </w:r>
      <w:r>
        <w:rPr>
          <w:rFonts w:ascii="Arial" w:cs="Arial" w:eastAsia="Arial" w:hAnsi="Arial"/>
          <w:sz w:val="16"/>
          <w:szCs w:val="16"/>
          <w:u w:val="single" w:color="auto"/>
          <w:color w:val="auto"/>
        </w:rPr>
        <w:t>Sanctioned Country</w:t>
      </w:r>
      <w:r>
        <w:rPr>
          <w:rFonts w:ascii="Arial" w:cs="Arial" w:eastAsia="Arial" w:hAnsi="Arial"/>
          <w:sz w:val="16"/>
          <w:szCs w:val="16"/>
          <w:color w:val="auto"/>
        </w:rPr>
        <w:t>”); and the Company will not directly or indirectly use the proceeds of the offering of the Securities hereunder, or lend, contribute or otherwise make available such proceeds to any subsidiary, joint venture partner or other person or entity (i) to fund any activities of or business with any person that, at the time of such funding, is the subject or target of Sanctions, or</w:t>
      </w:r>
    </w:p>
    <w:p>
      <w:pPr>
        <w:spacing w:after="0" w:line="5" w:lineRule="exact"/>
        <w:rPr>
          <w:rFonts w:ascii="Arial" w:cs="Arial" w:eastAsia="Arial" w:hAnsi="Arial"/>
          <w:sz w:val="16"/>
          <w:szCs w:val="16"/>
          <w:color w:val="auto"/>
        </w:rPr>
      </w:pPr>
    </w:p>
    <w:p>
      <w:pPr>
        <w:ind w:left="264" w:hanging="264"/>
        <w:spacing w:after="0"/>
        <w:tabs>
          <w:tab w:leader="none" w:pos="2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fund any activities of or business in any Sanctioned Country.</w:t>
      </w:r>
    </w:p>
    <w:p>
      <w:pPr>
        <w:spacing w:after="0" w:line="200" w:lineRule="exact"/>
        <w:rPr>
          <w:sz w:val="20"/>
          <w:szCs w:val="20"/>
          <w:color w:val="auto"/>
        </w:rPr>
      </w:pPr>
    </w:p>
    <w:p>
      <w:pPr>
        <w:spacing w:after="0" w:line="227"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6" w:name="page17"/>
    <w:bookmarkEnd w:id="16"/>
    <w:p>
      <w:pPr>
        <w:jc w:val="both"/>
        <w:ind w:left="660" w:firstLine="644"/>
        <w:spacing w:after="0" w:line="273" w:lineRule="auto"/>
        <w:tabs>
          <w:tab w:leader="none" w:pos="2094"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77" w:lineRule="exact"/>
        <w:rPr>
          <w:rFonts w:ascii="Arial" w:cs="Arial" w:eastAsia="Arial" w:hAnsi="Arial"/>
          <w:sz w:val="17"/>
          <w:szCs w:val="17"/>
          <w:color w:val="auto"/>
        </w:rPr>
      </w:pPr>
    </w:p>
    <w:p>
      <w:pPr>
        <w:jc w:val="both"/>
        <w:ind w:left="660" w:firstLine="644"/>
        <w:spacing w:after="0" w:line="290" w:lineRule="auto"/>
        <w:tabs>
          <w:tab w:leader="none" w:pos="21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result in a Material Adverse Effect, the Company and its subsidiaries’ information technology assets and equipment, computers, systems, networks, hardware, software, websites, applications, and databases (collectively, “</w:t>
      </w:r>
      <w:r>
        <w:rPr>
          <w:rFonts w:ascii="Arial" w:cs="Arial" w:eastAsia="Arial" w:hAnsi="Arial"/>
          <w:sz w:val="16"/>
          <w:szCs w:val="16"/>
          <w:u w:val="single" w:color="auto"/>
          <w:color w:val="auto"/>
        </w:rPr>
        <w:t>IT Systems</w:t>
      </w:r>
      <w:r>
        <w:rPr>
          <w:rFonts w:ascii="Arial" w:cs="Arial" w:eastAsia="Arial" w:hAnsi="Arial"/>
          <w:sz w:val="16"/>
          <w:szCs w:val="16"/>
          <w:color w:val="auto"/>
        </w:rPr>
        <w:t>”) are reasonably believed by the Company to be adequate for, and operate and perform as required in connection with, the operation of the business of the Company and its subsidiaries as currently conducted. The Company and its subsidiaries have implemented, and continue to monitor and develop, commercially reasonable controls, policies, procedures, and safeguards to prevent, detect, and address the risk of unauthorized use, misuse, intrusion and similar events involving the IT Systems. To the knowledge of the Company, there have been no breaches or unauthorized uses of or accesses to the IT Systems, and no such incidents are under internal investigation, that individually or in the aggregate, have, or would reasonably be expected to result in, a Material Adverse Effect.</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certificate signed by any officer of the Company or Holdings and delivered to the Representatives or counsel for the Underwriters in connection with the offering of the Securities shall be deemed a representation and warranty by the Company or Holdings, as the case may be, as to matters covered thereby, to each Underwriter.</w:t>
      </w:r>
    </w:p>
    <w:p>
      <w:pPr>
        <w:spacing w:after="0" w:line="184" w:lineRule="exact"/>
        <w:rPr>
          <w:sz w:val="20"/>
          <w:szCs w:val="20"/>
          <w:color w:val="auto"/>
        </w:rPr>
      </w:pPr>
    </w:p>
    <w:p>
      <w:pPr>
        <w:ind w:left="1340" w:hanging="684"/>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Subject to the terms and conditions and in reliance upon the representations and warranties herein set forth, the Company agrees to sell to each Underwriter, and each Underwriter agrees, severally and not jointly, to purchase from the Company, at a purchase price of (i) 99.567% of the principal amount of the 2029 Notes and (ii) 98.738% of the principal amount of the 2041 Notes, plus, in each case, accrued interest, if any, from May 12, 2021 to the Closing Date, the principal amount of the Notes set forth opposite such Underwriter’s name in Schedule II hereto.</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acknowledges and agrees that the Underwriters are acting solely in the capacity of an arm’s-length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in connection with the offering of Securities hereby,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656"/>
        <w:spacing w:after="0" w:line="272" w:lineRule="auto"/>
        <w:tabs>
          <w:tab w:leader="none" w:pos="1485"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Delivery and Payment</w:t>
      </w:r>
      <w:r>
        <w:rPr>
          <w:rFonts w:ascii="Arial" w:cs="Arial" w:eastAsia="Arial" w:hAnsi="Arial"/>
          <w:sz w:val="17"/>
          <w:szCs w:val="17"/>
          <w:color w:val="auto"/>
        </w:rPr>
        <w:t>. Delivery of and payment for the Securities shall be made on the date and at the time specified in Schedule I hereto or at such time on such later date not more than three Business Days after the foregoing date as the Representatives shall designate, which date and time may be postponed by agreement between the Representatives and the Company or as provided in Section 10 hereof (such date and time of delivery and payment for the Securities being herein called the “</w:t>
      </w:r>
      <w:r>
        <w:rPr>
          <w:rFonts w:ascii="Arial" w:cs="Arial" w:eastAsia="Arial" w:hAnsi="Arial"/>
          <w:sz w:val="17"/>
          <w:szCs w:val="17"/>
          <w:u w:val="single" w:color="auto"/>
          <w:color w:val="auto"/>
        </w:rPr>
        <w:t>Closing Date</w:t>
      </w:r>
      <w:r>
        <w:rPr>
          <w:rFonts w:ascii="Arial" w:cs="Arial" w:eastAsia="Arial" w:hAnsi="Arial"/>
          <w:sz w:val="17"/>
          <w:szCs w:val="17"/>
          <w:color w:val="auto"/>
        </w:rPr>
        <w:t>”). Delivery of the Securities shall be made to the Representatives for the respective accounts of the several Underwriters against payment by the several Underwriters through the Representatives of the purchase price thereof to or upon the order of the Company by wire transfer payable in same-day funds to an account specified by the Company. Delivery of the Securities shall be made through the facilities of The Depository Trust Company unless the Representatives shall otherwise instruct.</w:t>
      </w:r>
    </w:p>
    <w:p>
      <w:pPr>
        <w:spacing w:after="0" w:line="177" w:lineRule="exact"/>
        <w:rPr>
          <w:rFonts w:ascii="Arial" w:cs="Arial" w:eastAsia="Arial" w:hAnsi="Arial"/>
          <w:sz w:val="17"/>
          <w:szCs w:val="17"/>
          <w:color w:val="auto"/>
        </w:rPr>
      </w:pPr>
    </w:p>
    <w:p>
      <w:pPr>
        <w:ind w:firstLine="656"/>
        <w:spacing w:after="0" w:line="277" w:lineRule="auto"/>
        <w:tabs>
          <w:tab w:leader="none" w:pos="1377"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Offering by Underwriters</w:t>
      </w:r>
      <w:r>
        <w:rPr>
          <w:rFonts w:ascii="Arial" w:cs="Arial" w:eastAsia="Arial" w:hAnsi="Arial"/>
          <w:sz w:val="18"/>
          <w:szCs w:val="18"/>
          <w:color w:val="auto"/>
        </w:rPr>
        <w:t>. It is understood that the several Underwriters propose to offer the Securities for sale to the public as set forth in the Registration Statement, the Time of Sale Information and the Final Prospectus.</w:t>
      </w:r>
    </w:p>
    <w:p>
      <w:pPr>
        <w:spacing w:after="0" w:line="170" w:lineRule="exact"/>
        <w:rPr>
          <w:rFonts w:ascii="Arial" w:cs="Arial" w:eastAsia="Arial" w:hAnsi="Arial"/>
          <w:sz w:val="18"/>
          <w:szCs w:val="18"/>
          <w:color w:val="auto"/>
        </w:rPr>
      </w:pPr>
    </w:p>
    <w:p>
      <w:pPr>
        <w:ind w:left="1340" w:hanging="684"/>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 The Company agrees with the several Underwriters that:</w:t>
      </w:r>
    </w:p>
    <w:p>
      <w:pPr>
        <w:spacing w:after="0" w:line="225" w:lineRule="exact"/>
        <w:rPr>
          <w:rFonts w:ascii="Arial" w:cs="Arial" w:eastAsia="Arial" w:hAnsi="Arial"/>
          <w:sz w:val="18"/>
          <w:szCs w:val="18"/>
          <w:color w:val="auto"/>
        </w:rPr>
      </w:pPr>
    </w:p>
    <w:p>
      <w:pPr>
        <w:jc w:val="both"/>
        <w:ind w:left="660" w:firstLine="644"/>
        <w:spacing w:after="0" w:line="289" w:lineRule="auto"/>
        <w:tabs>
          <w:tab w:leader="none" w:pos="229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Company will file the Final Prospectus with the Commission within the time periods specified by Rule 424(b) and Rule 430A, 430B or 430C under the Act; will file any Issuer Free Writing Prospectus (including the term sheet in the form of Schedule I hereto) to the extent required by Rule 433 under the Act; and will file promptly all reports and any definitive proxy or information statements required to be filed by the Company with the Commission pursuant to Section 13(a), 13(c), 14 or 15(d) of the Exchange Act subsequent to the date of the Final Prospectus and for so long as the delivery of a prospectus is required in connection with the offering or sale of the Securities; and the Company will furnish copies of the Final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shall pay the registration fees for this offering within the time period required by Rule 456(b)(1)(i) under the Act (without giving effect to the proviso therein) and in any event prior to the Closing Date.</w:t>
      </w:r>
    </w:p>
    <w:p>
      <w:pPr>
        <w:spacing w:after="0" w:line="166" w:lineRule="exact"/>
        <w:rPr>
          <w:rFonts w:ascii="Arial" w:cs="Arial" w:eastAsia="Arial" w:hAnsi="Arial"/>
          <w:sz w:val="16"/>
          <w:szCs w:val="16"/>
          <w:color w:val="auto"/>
        </w:rPr>
      </w:pPr>
    </w:p>
    <w:p>
      <w:pPr>
        <w:jc w:val="both"/>
        <w:ind w:left="660" w:firstLine="644"/>
        <w:spacing w:after="0" w:line="254" w:lineRule="auto"/>
        <w:tabs>
          <w:tab w:leader="none" w:pos="2125" w:val="left"/>
        </w:tabs>
        <w:numPr>
          <w:ilvl w:val="1"/>
          <w:numId w:val="21"/>
        </w:numPr>
        <w:rPr>
          <w:rFonts w:ascii="Arial" w:cs="Arial" w:eastAsia="Arial" w:hAnsi="Arial"/>
          <w:sz w:val="18"/>
          <w:szCs w:val="18"/>
          <w:color w:val="auto"/>
        </w:rPr>
      </w:pPr>
      <w:r>
        <w:rPr>
          <w:rFonts w:ascii="Arial" w:cs="Arial" w:eastAsia="Arial" w:hAnsi="Arial"/>
          <w:sz w:val="18"/>
          <w:szCs w:val="18"/>
          <w:color w:val="auto"/>
        </w:rPr>
        <w:t>Before making, preparing, using, authorizing, approving, referring to or filing any Issuer Free Writing Prospectus, and before filing any amendment or supplement to the Registration Statement or the Final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 Subject to the foregoing sentence, if the filing of the Final Prospectus is otherwise required under Rule 424(b), the Company will cause the Final Prospectus, properly completed, and any supplement thereto to be filed with the Commission pursuant to the applicable paragraph of Rule 424(b) within the time period prescribed and will provide evidence satisfactory to the Representatives of such timely filing.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left="4" w:firstLine="644"/>
        <w:spacing w:after="0" w:line="283" w:lineRule="auto"/>
        <w:tabs>
          <w:tab w:leader="none" w:pos="1477"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Company will promptly advise the Representatives (i) when the Final Prospectus, and any supplement thereto, or any amendment to the Final Prospectus or any Issuer Free Writing Prospectus shall have been filed with the Commission pursuant to Rule 424(b) or when any Rule 462(b) Registration Statement shall have been filed with the Commission; (ii) when, prior to termination of the offering of the Securities, any amendment to the Registration Statement shall have been filed or become effective; (iii) of any request by the Commission or its staff for any amendment to the Registration Statement, or any Rule 462(b) Registration Statement, or for any supplement to the Final Prospectus or for any additional information; (iv) of the issuance by the Commission of any stop order suspending the effectiveness of the Registration Statement or preventing or suspending the use of any Preliminary Prospectus or the Final Prospectus or the institution or threatening of any proceeding for that purpose or pursuant to Section 8A of the Act; (v) of the receipt by the Company of any notification with respect to the suspension of the qualification of the Securities for sale in any jurisdiction or the institution or threatening of any proceeding for such purpose; and</w:t>
      </w:r>
    </w:p>
    <w:p>
      <w:pPr>
        <w:spacing w:after="0" w:line="5" w:lineRule="exact"/>
        <w:rPr>
          <w:rFonts w:ascii="Arial" w:cs="Arial" w:eastAsia="Arial" w:hAnsi="Arial"/>
          <w:sz w:val="16"/>
          <w:szCs w:val="16"/>
          <w:color w:val="auto"/>
        </w:rPr>
      </w:pPr>
    </w:p>
    <w:p>
      <w:pPr>
        <w:jc w:val="both"/>
        <w:ind w:left="4" w:hanging="4"/>
        <w:spacing w:after="0" w:line="277" w:lineRule="auto"/>
        <w:tabs>
          <w:tab w:leader="none" w:pos="324" w:val="left"/>
        </w:tabs>
        <w:numPr>
          <w:ilvl w:val="0"/>
          <w:numId w:val="23"/>
        </w:numPr>
        <w:rPr>
          <w:rFonts w:ascii="Arial" w:cs="Arial" w:eastAsia="Arial" w:hAnsi="Arial"/>
          <w:sz w:val="17"/>
          <w:szCs w:val="17"/>
          <w:color w:val="auto"/>
        </w:rPr>
      </w:pPr>
      <w:r>
        <w:rPr>
          <w:rFonts w:ascii="Arial" w:cs="Arial" w:eastAsia="Arial" w:hAnsi="Arial"/>
          <w:sz w:val="17"/>
          <w:szCs w:val="17"/>
          <w:color w:val="auto"/>
        </w:rPr>
        <w:t>of the receipt by the Company of any notice of objection of the Commission to the use of the Registration Statement or any post-effective amendment thereto pursuant to Rule 401(g)(2) under the Act. The Company will use its best efforts to prevent the issuance of any such stop order or the suspension of any such qualification and, if issued, to obtain as soon as possible the withdrawal thereof.</w:t>
      </w:r>
    </w:p>
    <w:p>
      <w:pPr>
        <w:spacing w:after="0" w:line="172" w:lineRule="exact"/>
        <w:rPr>
          <w:rFonts w:ascii="Arial" w:cs="Arial" w:eastAsia="Arial" w:hAnsi="Arial"/>
          <w:sz w:val="17"/>
          <w:szCs w:val="17"/>
          <w:color w:val="auto"/>
        </w:rPr>
      </w:pPr>
    </w:p>
    <w:p>
      <w:pPr>
        <w:jc w:val="both"/>
        <w:ind w:left="4" w:firstLine="644"/>
        <w:spacing w:after="0" w:line="272" w:lineRule="auto"/>
        <w:tabs>
          <w:tab w:leader="none" w:pos="1455" w:val="left"/>
        </w:tabs>
        <w:numPr>
          <w:ilvl w:val="1"/>
          <w:numId w:val="23"/>
        </w:numPr>
        <w:rPr>
          <w:rFonts w:ascii="Arial" w:cs="Arial" w:eastAsia="Arial" w:hAnsi="Arial"/>
          <w:sz w:val="17"/>
          <w:szCs w:val="17"/>
          <w:color w:val="auto"/>
        </w:rPr>
      </w:pPr>
      <w:r>
        <w:rPr>
          <w:rFonts w:ascii="Arial" w:cs="Arial" w:eastAsia="Arial" w:hAnsi="Arial"/>
          <w:sz w:val="17"/>
          <w:szCs w:val="17"/>
          <w:color w:val="auto"/>
        </w:rPr>
        <w:t>If, during the Prospectus Delivery Period, (i) any event occurs as a result of which the Final Prospectus as then supplemented would include any untrue statement of a material fact or omit to state any material fact necessary to make the statements therein, in the light of the circumstances under which they were made, not misleading, or (ii) it shall be necessary to amend the Registration Statement or supplement the Final Prospectus to comply with the Act or the Exchange Act or the respective rules thereunder, the Company promptly will (1) notify the Representatives of such event, (2) prepare and file with the Commission, subject to the second sentence of paragraph (b) of this Section 5, an amendment or supplement which will correct such statement or omission or effect such compliance, and (3) supply any supplemented Final Prospectus to the Underwriters in such quantities as they may reasonably request.</w:t>
      </w:r>
    </w:p>
    <w:p>
      <w:pPr>
        <w:spacing w:after="0" w:line="177" w:lineRule="exact"/>
        <w:rPr>
          <w:rFonts w:ascii="Arial" w:cs="Arial" w:eastAsia="Arial" w:hAnsi="Arial"/>
          <w:sz w:val="17"/>
          <w:szCs w:val="17"/>
          <w:color w:val="auto"/>
        </w:rPr>
      </w:pPr>
    </w:p>
    <w:p>
      <w:pPr>
        <w:jc w:val="both"/>
        <w:ind w:left="4" w:firstLine="644"/>
        <w:spacing w:after="0" w:line="271" w:lineRule="auto"/>
        <w:tabs>
          <w:tab w:leader="none" w:pos="1459" w:val="left"/>
        </w:tabs>
        <w:numPr>
          <w:ilvl w:val="1"/>
          <w:numId w:val="23"/>
        </w:numPr>
        <w:rPr>
          <w:rFonts w:ascii="Arial" w:cs="Arial" w:eastAsia="Arial" w:hAnsi="Arial"/>
          <w:sz w:val="17"/>
          <w:szCs w:val="17"/>
          <w:color w:val="auto"/>
        </w:rPr>
      </w:pPr>
      <w:r>
        <w:rPr>
          <w:rFonts w:ascii="Arial" w:cs="Arial" w:eastAsia="Arial" w:hAnsi="Arial"/>
          <w:sz w:val="17"/>
          <w:szCs w:val="17"/>
          <w:color w:val="auto"/>
        </w:rPr>
        <w:t>If at any time prior to the Closing Date (i) any event shall occur or condition shall exist as a result of which the Time of Sale Information as then amended or supplemented would include any untrue statement of a material fact or omit to state any material fact necessary in order to make the statements therein, in the light of the circumstances under which they were made, not misleading or (ii) it is necessary to amend or supplement the Time of Sale Information to comply with law, the Company will immediately notify the Underwriters thereof and forthwith prepare and, subject to paragraph (b) of this Section 5, file with the Commission (to the extent required) and furnish to the Underwriters and to such dealers as the Representatives may designate, such amendments or supplements to the Time of Sale Information as may be necessary so that the statements in the Time of Sale Information as so amended or supplemented will not, in the light of the circumstances under which they were made, be misleading or so that the Time of Sale Information will comply with law.</w:t>
      </w:r>
    </w:p>
    <w:p>
      <w:pPr>
        <w:spacing w:after="0" w:line="394"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9" w:name="page20"/>
    <w:bookmarkEnd w:id="19"/>
    <w:p>
      <w:pPr>
        <w:jc w:val="both"/>
        <w:ind w:left="-460" w:firstLine="644"/>
        <w:spacing w:after="0" w:line="263" w:lineRule="auto"/>
        <w:tabs>
          <w:tab w:leader="none" w:pos="862"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soon as practicable, the Company will make generally available to its security holders and to the Representatives an earnings statement or statements of the Company and its Subsidiaries which will satisfy the provisions of Section 11(a) of the Act and Rule 158 under the Act.</w:t>
      </w:r>
    </w:p>
    <w:p>
      <w:pPr>
        <w:spacing w:after="0" w:line="183" w:lineRule="exact"/>
        <w:rPr>
          <w:rFonts w:ascii="Arial" w:cs="Arial" w:eastAsia="Arial" w:hAnsi="Arial"/>
          <w:sz w:val="18"/>
          <w:szCs w:val="18"/>
          <w:color w:val="auto"/>
        </w:rPr>
      </w:pPr>
    </w:p>
    <w:p>
      <w:pPr>
        <w:jc w:val="both"/>
        <w:ind w:left="-460" w:firstLine="644"/>
        <w:spacing w:after="0" w:line="255"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will furnish to the Representatives and counsel for the Underwriters, without charge, signed or conformed copies of the Registration Statement (including exhibits thereto and documents incorporated by reference therein) and to each other Underwriter a copy of the Registration Statement (without exhibits thereto) and, during the Prospectus Delivery Period, as many copies of the Final Prospectus, any amendment or supplement thereto and documents incorporated by reference therein, and each Issuer Free Writing Prospectus as the Representatives may reasonably request. The Company will pay the expenses of printing or other production of all documents relating to the offering.</w:t>
      </w:r>
    </w:p>
    <w:p>
      <w:pPr>
        <w:spacing w:after="0" w:line="192" w:lineRule="exact"/>
        <w:rPr>
          <w:rFonts w:ascii="Arial" w:cs="Arial" w:eastAsia="Arial" w:hAnsi="Arial"/>
          <w:sz w:val="18"/>
          <w:szCs w:val="18"/>
          <w:color w:val="auto"/>
        </w:rPr>
      </w:pPr>
    </w:p>
    <w:p>
      <w:pPr>
        <w:jc w:val="both"/>
        <w:ind w:left="-460" w:firstLine="644"/>
        <w:spacing w:after="0" w:line="296" w:lineRule="auto"/>
        <w:tabs>
          <w:tab w:leader="none" w:pos="847"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The Company will arrange, if necessary, for the qualification of the Securities for sale under the laws of such jurisdictions as the Representatives may designate, will maintain such qualifications in effect so long as required for the distribution of the Securities and will pay any fee of the Financial Industry Regulatory Authority, in connection with its review of the offering;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no event shall the Company be obligated to qualify to do business in any jurisdiction where it is not now so qualified or to take any action that would subject it to tax or service of process in suits, other than those arising out of the offering or sale of the Securities, in any jurisdiction where it is not now so subject.</w:t>
      </w:r>
    </w:p>
    <w:p>
      <w:pPr>
        <w:spacing w:after="0" w:line="161" w:lineRule="exact"/>
        <w:rPr>
          <w:rFonts w:ascii="Arial" w:cs="Arial" w:eastAsia="Arial" w:hAnsi="Arial"/>
          <w:sz w:val="16"/>
          <w:szCs w:val="16"/>
          <w:color w:val="auto"/>
        </w:rPr>
      </w:pPr>
    </w:p>
    <w:p>
      <w:pPr>
        <w:jc w:val="both"/>
        <w:ind w:left="-460" w:firstLine="644"/>
        <w:spacing w:after="0" w:line="254" w:lineRule="auto"/>
        <w:tabs>
          <w:tab w:leader="none" w:pos="87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will not, without the prior written consent of the Representatives,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any debt securities (excluding commercial paper or bank borrowings) issued or guaranteed by the Company (other than the Securities) or publicly announce an intention to effect any such transaction, until the Closing Date.</w:t>
      </w:r>
    </w:p>
    <w:p>
      <w:pPr>
        <w:spacing w:after="0" w:line="191" w:lineRule="exact"/>
        <w:rPr>
          <w:rFonts w:ascii="Arial" w:cs="Arial" w:eastAsia="Arial" w:hAnsi="Arial"/>
          <w:sz w:val="18"/>
          <w:szCs w:val="18"/>
          <w:color w:val="auto"/>
        </w:rPr>
      </w:pPr>
    </w:p>
    <w:p>
      <w:pPr>
        <w:jc w:val="both"/>
        <w:ind w:left="-460" w:right="20" w:firstLine="644"/>
        <w:spacing w:after="0" w:line="263" w:lineRule="auto"/>
        <w:tabs>
          <w:tab w:leader="none" w:pos="879"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Neither the Company nor Holdings will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40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0" w:name="page21"/>
    <w:bookmarkEnd w:id="20"/>
    <w:p>
      <w:pPr>
        <w:ind w:left="4" w:firstLine="644"/>
        <w:spacing w:after="0" w:line="277" w:lineRule="auto"/>
        <w:tabs>
          <w:tab w:leader="none" w:pos="1617"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Company will, pursuant to reasonable procedures developed in good faith, retain copies of each Issuer Free Writing Prospectus that is not filed with the Commission in accordance with Rule 433 under the Act.</w:t>
      </w:r>
    </w:p>
    <w:p>
      <w:pPr>
        <w:spacing w:after="0" w:line="170" w:lineRule="exact"/>
        <w:rPr>
          <w:rFonts w:ascii="Arial" w:cs="Arial" w:eastAsia="Arial" w:hAnsi="Arial"/>
          <w:sz w:val="18"/>
          <w:szCs w:val="18"/>
          <w:color w:val="auto"/>
        </w:rPr>
      </w:pPr>
    </w:p>
    <w:p>
      <w:pPr>
        <w:ind w:left="684" w:hanging="684"/>
        <w:spacing w:after="0"/>
        <w:tabs>
          <w:tab w:leader="none" w:pos="684"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Certain Agreements of the Underwriters</w:t>
      </w:r>
      <w:r>
        <w:rPr>
          <w:rFonts w:ascii="Arial" w:cs="Arial" w:eastAsia="Arial" w:hAnsi="Arial"/>
          <w:sz w:val="18"/>
          <w:szCs w:val="18"/>
          <w:color w:val="auto"/>
        </w:rPr>
        <w:t>. Each Underwriter hereby represents and agrees that:</w:t>
      </w:r>
    </w:p>
    <w:p>
      <w:pPr>
        <w:spacing w:after="0" w:line="225" w:lineRule="exact"/>
        <w:rPr>
          <w:rFonts w:ascii="Arial" w:cs="Arial" w:eastAsia="Arial" w:hAnsi="Arial"/>
          <w:sz w:val="18"/>
          <w:szCs w:val="18"/>
          <w:color w:val="auto"/>
        </w:rPr>
      </w:pPr>
    </w:p>
    <w:p>
      <w:pPr>
        <w:jc w:val="both"/>
        <w:ind w:left="4" w:firstLine="644"/>
        <w:spacing w:after="0" w:line="254" w:lineRule="auto"/>
        <w:tabs>
          <w:tab w:leader="none" w:pos="1432" w:val="left"/>
        </w:tabs>
        <w:numPr>
          <w:ilvl w:val="1"/>
          <w:numId w:val="26"/>
        </w:numPr>
        <w:rPr>
          <w:rFonts w:ascii="Arial" w:cs="Arial" w:eastAsia="Arial" w:hAnsi="Arial"/>
          <w:sz w:val="18"/>
          <w:szCs w:val="18"/>
          <w:color w:val="auto"/>
        </w:rPr>
      </w:pPr>
      <w:r>
        <w:rPr>
          <w:rFonts w:ascii="Arial" w:cs="Arial" w:eastAsia="Arial" w:hAnsi="Arial"/>
          <w:sz w:val="18"/>
          <w:szCs w:val="18"/>
          <w:color w:val="auto"/>
        </w:rPr>
        <w:t>It has not and will not use, authorize use of, refer to, or participate in the planning for use of, any “free writing prospectus,” as defined in Rule 405 under the Act (which term includes use of any written information furnished to the Commission by the Company and not incorporated by reference into the Registration Statement and any press release issued by the Company) other than (i) a free writing prospectus that, solely as a result of use by such Underwriter, would not trigger an obligation to file such free writing prospectus with the Commission pursuant to Rule 433 under the Act, (ii) any Issuer Free Writing Prospectus listed on Annex A or prepared pursuant to Section 1(d) or Section 5(b) above (including any electronic road show), or (iii) any free writing prospectus prepared by such Underwriter and approved by the Company in advance in writing. Notwithstanding the foregoing, the Underwriters may use a term sheet substantially in the form of Schedule I hereto without the consent of the Company.</w:t>
      </w:r>
    </w:p>
    <w:p>
      <w:pPr>
        <w:spacing w:after="0" w:line="191" w:lineRule="exact"/>
        <w:rPr>
          <w:rFonts w:ascii="Arial" w:cs="Arial" w:eastAsia="Arial" w:hAnsi="Arial"/>
          <w:sz w:val="18"/>
          <w:szCs w:val="18"/>
          <w:color w:val="auto"/>
        </w:rPr>
      </w:pPr>
    </w:p>
    <w:p>
      <w:pPr>
        <w:ind w:left="4" w:right="20" w:firstLine="644"/>
        <w:spacing w:after="0" w:line="277" w:lineRule="auto"/>
        <w:tabs>
          <w:tab w:leader="none" w:pos="1455" w:val="left"/>
        </w:tabs>
        <w:numPr>
          <w:ilvl w:val="1"/>
          <w:numId w:val="26"/>
        </w:numPr>
        <w:rPr>
          <w:rFonts w:ascii="Arial" w:cs="Arial" w:eastAsia="Arial" w:hAnsi="Arial"/>
          <w:sz w:val="18"/>
          <w:szCs w:val="18"/>
          <w:color w:val="auto"/>
        </w:rPr>
      </w:pPr>
      <w:r>
        <w:rPr>
          <w:rFonts w:ascii="Arial" w:cs="Arial" w:eastAsia="Arial" w:hAnsi="Arial"/>
          <w:sz w:val="18"/>
          <w:szCs w:val="18"/>
          <w:color w:val="auto"/>
        </w:rPr>
        <w:t>It is not subject to any pending proceeding under Section 8A of the Act with respect to the offering of the Securities (and will promptly notify the Company if any such proceeding against it is initiated during the Prospectus Delivery Period).</w:t>
      </w:r>
    </w:p>
    <w:p>
      <w:pPr>
        <w:spacing w:after="0" w:line="170" w:lineRule="exact"/>
        <w:rPr>
          <w:rFonts w:ascii="Arial" w:cs="Arial" w:eastAsia="Arial" w:hAnsi="Arial"/>
          <w:sz w:val="18"/>
          <w:szCs w:val="18"/>
          <w:color w:val="auto"/>
        </w:rPr>
      </w:pPr>
    </w:p>
    <w:p>
      <w:pPr>
        <w:jc w:val="both"/>
        <w:ind w:left="4" w:hanging="4"/>
        <w:spacing w:after="0" w:line="279" w:lineRule="auto"/>
        <w:tabs>
          <w:tab w:leader="none" w:pos="638"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Conditions to the Obligations of the Underwriters</w:t>
      </w:r>
      <w:r>
        <w:rPr>
          <w:rFonts w:ascii="Arial" w:cs="Arial" w:eastAsia="Arial" w:hAnsi="Arial"/>
          <w:sz w:val="17"/>
          <w:szCs w:val="17"/>
          <w:color w:val="auto"/>
        </w:rPr>
        <w:t>. The obligations of the Underwriters to purchase the Securities shall be subject to the accuracy of the representations and warranties on the part of the Company and Holdings contained herein as of the Time of Sale and the Closing Date, to the accuracy of the statements of the Company and Holdings made in any certificates pursuant to the provisions hereof, to the performance by the Company and Holdings of their obligations hereunder and to the following additional conditions:</w:t>
      </w:r>
    </w:p>
    <w:p>
      <w:pPr>
        <w:spacing w:after="0" w:line="171" w:lineRule="exact"/>
        <w:rPr>
          <w:rFonts w:ascii="Arial" w:cs="Arial" w:eastAsia="Arial" w:hAnsi="Arial"/>
          <w:sz w:val="17"/>
          <w:szCs w:val="17"/>
          <w:color w:val="auto"/>
        </w:rPr>
      </w:pPr>
    </w:p>
    <w:p>
      <w:pPr>
        <w:jc w:val="both"/>
        <w:ind w:left="4" w:firstLine="644"/>
        <w:spacing w:after="0" w:line="273" w:lineRule="auto"/>
        <w:tabs>
          <w:tab w:leader="none" w:pos="1427" w:val="left"/>
        </w:tabs>
        <w:numPr>
          <w:ilvl w:val="1"/>
          <w:numId w:val="26"/>
        </w:numPr>
        <w:rPr>
          <w:rFonts w:ascii="Arial" w:cs="Arial" w:eastAsia="Arial" w:hAnsi="Arial"/>
          <w:sz w:val="17"/>
          <w:szCs w:val="17"/>
          <w:color w:val="auto"/>
        </w:rPr>
      </w:pPr>
      <w:r>
        <w:rPr>
          <w:rFonts w:ascii="Arial" w:cs="Arial" w:eastAsia="Arial" w:hAnsi="Arial"/>
          <w:sz w:val="17"/>
          <w:szCs w:val="17"/>
          <w:color w:val="auto"/>
        </w:rPr>
        <w:t>If the filing of the Final Prospectus, or any supplement thereto, is required pursuant to Rule 424(b), the Final Prospectus, and any such supplement, will be filed in the manner and within the time period required by Rule 424(b); no stop order suspending the effectiveness of the Registration Statement shall have been issued and no proceedings for that purpose, pursuant to Rule 401(g)(2) and Section 8A under the Act or otherwise, shall have been instituted or threatened; each Issuer Free Writing Prospectus shall have been timely filed with the Commission under the Act to the extent required by Rule 433 thereunder; and all requests by the Commission for additional information shall have been complied with to the reasonable satisfaction of the Representatives.</w:t>
      </w:r>
    </w:p>
    <w:p>
      <w:pPr>
        <w:spacing w:after="0" w:line="177" w:lineRule="exact"/>
        <w:rPr>
          <w:rFonts w:ascii="Arial" w:cs="Arial" w:eastAsia="Arial" w:hAnsi="Arial"/>
          <w:sz w:val="17"/>
          <w:szCs w:val="17"/>
          <w:color w:val="auto"/>
        </w:rPr>
      </w:pPr>
    </w:p>
    <w:p>
      <w:pPr>
        <w:ind w:left="4" w:firstLine="644"/>
        <w:spacing w:after="0" w:line="277" w:lineRule="auto"/>
        <w:tabs>
          <w:tab w:leader="none" w:pos="137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Company shall have requested and caused Baker Botts L.L.P., counsel for the Company and Holdings, to have furnished to the Representatives their opinion, dated the Closing Date and addressed to the Representatives, to the effect that:</w:t>
      </w:r>
    </w:p>
    <w:p>
      <w:pPr>
        <w:spacing w:after="0" w:line="386"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1" w:name="page22"/>
    <w:bookmarkEnd w:id="21"/>
    <w:p>
      <w:pPr>
        <w:jc w:val="both"/>
        <w:ind w:left="180" w:firstLine="652"/>
        <w:spacing w:after="0" w:line="259" w:lineRule="auto"/>
        <w:tabs>
          <w:tab w:leader="none" w:pos="161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of the Company and Holdings is a corporation duly incorporated and validly existing in good standing under the laws of the State of Delaware, with corporate power and authority under such laws to own, lease and operate its properties and to conduct its business as described in the Registration Statement, the Time of Sale Information and the Final Prospectus and to execute and deliver and perform its obligations under this Agreement;</w:t>
      </w:r>
    </w:p>
    <w:p>
      <w:pPr>
        <w:spacing w:after="0" w:line="186" w:lineRule="exact"/>
        <w:rPr>
          <w:rFonts w:ascii="Arial" w:cs="Arial" w:eastAsia="Arial" w:hAnsi="Arial"/>
          <w:sz w:val="18"/>
          <w:szCs w:val="18"/>
          <w:color w:val="auto"/>
        </w:rPr>
      </w:pPr>
    </w:p>
    <w:p>
      <w:pPr>
        <w:ind w:left="1640" w:hanging="808"/>
        <w:spacing w:after="0"/>
        <w:tabs>
          <w:tab w:leader="none" w:pos="1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 and Holdings;</w:t>
      </w:r>
    </w:p>
    <w:p>
      <w:pPr>
        <w:spacing w:after="0" w:line="225" w:lineRule="exact"/>
        <w:rPr>
          <w:rFonts w:ascii="Arial" w:cs="Arial" w:eastAsia="Arial" w:hAnsi="Arial"/>
          <w:sz w:val="18"/>
          <w:szCs w:val="18"/>
          <w:color w:val="auto"/>
        </w:rPr>
      </w:pPr>
    </w:p>
    <w:p>
      <w:pPr>
        <w:jc w:val="both"/>
        <w:ind w:left="180" w:firstLine="652"/>
        <w:spacing w:after="0" w:line="255" w:lineRule="auto"/>
        <w:tabs>
          <w:tab w:leader="none" w:pos="154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 and (assuming the due authorization, execution and delivery thereof by the Trustee) constitutes a valid and binding agreement of the Company, enforceable against the Company in accordance with its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w:t>
      </w:r>
    </w:p>
    <w:p>
      <w:pPr>
        <w:spacing w:after="0" w:line="192" w:lineRule="exact"/>
        <w:rPr>
          <w:rFonts w:ascii="Arial" w:cs="Arial" w:eastAsia="Arial" w:hAnsi="Arial"/>
          <w:sz w:val="18"/>
          <w:szCs w:val="18"/>
          <w:color w:val="auto"/>
        </w:rPr>
      </w:pPr>
    </w:p>
    <w:p>
      <w:pPr>
        <w:jc w:val="both"/>
        <w:ind w:left="180" w:firstLine="652"/>
        <w:spacing w:after="0" w:line="271" w:lineRule="auto"/>
        <w:tabs>
          <w:tab w:leader="none" w:pos="1659" w:val="left"/>
        </w:tabs>
        <w:numPr>
          <w:ilvl w:val="0"/>
          <w:numId w:val="27"/>
        </w:numPr>
        <w:rPr>
          <w:rFonts w:ascii="Arial" w:cs="Arial" w:eastAsia="Arial" w:hAnsi="Arial"/>
          <w:sz w:val="17"/>
          <w:szCs w:val="17"/>
          <w:color w:val="auto"/>
        </w:rPr>
      </w:pPr>
      <w:r>
        <w:rPr>
          <w:rFonts w:ascii="Arial" w:cs="Arial" w:eastAsia="Arial" w:hAnsi="Arial"/>
          <w:sz w:val="17"/>
          <w:szCs w:val="17"/>
          <w:color w:val="auto"/>
        </w:rPr>
        <w:t>each of the global certificates representing the Notes is in a form authorized by the Indenture, the Notes have been duly authorized by the Company and, assuming the global certificates representing the Notes have been authenticated and delivered by the Trustee in the manner provided for in the Indenture and delivered against payment of the consideration therefor as specified in this Agreement, the Notes constitute valid and binding obligations of the Company, enforceable against the Company in accordance with their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Each registered holder thereof is entitled to the benefits of the Indenture;</w:t>
      </w:r>
    </w:p>
    <w:p>
      <w:pPr>
        <w:spacing w:after="0" w:line="178" w:lineRule="exact"/>
        <w:rPr>
          <w:rFonts w:ascii="Arial" w:cs="Arial" w:eastAsia="Arial" w:hAnsi="Arial"/>
          <w:sz w:val="17"/>
          <w:szCs w:val="17"/>
          <w:color w:val="auto"/>
        </w:rPr>
      </w:pPr>
    </w:p>
    <w:p>
      <w:pPr>
        <w:jc w:val="both"/>
        <w:ind w:left="180" w:firstLine="652"/>
        <w:spacing w:after="0" w:line="253" w:lineRule="auto"/>
        <w:tabs>
          <w:tab w:leader="none" w:pos="155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Guarantee Agreements have been duly authorized, executed and delivered by Holdings and, assuming the global certificates representing the Notes have been authenticated and delivered by the Trustee in the manner provided for in the Indenture and delivered against payment of the consideration therefor as specified in this Agreement, the Guarantee Agreements constitute valid and binding agreements of Holdings, enforceable against Holdings in accordance with their respective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and except for provisions purporting to waive rights to notice, legal defenses, statutes of limitation or other benefits that cannot be waived under applicable law;</w:t>
      </w:r>
    </w:p>
    <w:p>
      <w:pPr>
        <w:spacing w:after="0" w:line="200" w:lineRule="exact"/>
        <w:rPr>
          <w:sz w:val="20"/>
          <w:szCs w:val="20"/>
          <w:color w:val="auto"/>
        </w:rPr>
      </w:pPr>
    </w:p>
    <w:p>
      <w:pPr>
        <w:spacing w:after="0" w:line="21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2" w:name="page23"/>
    <w:bookmarkEnd w:id="22"/>
    <w:p>
      <w:pPr>
        <w:ind w:left="1540" w:hanging="708"/>
        <w:spacing w:after="0"/>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Indenture has been duly qualified under the Trust Indenture Act;</w:t>
      </w:r>
    </w:p>
    <w:p>
      <w:pPr>
        <w:spacing w:after="0" w:line="225" w:lineRule="exact"/>
        <w:rPr>
          <w:rFonts w:ascii="Arial" w:cs="Arial" w:eastAsia="Arial" w:hAnsi="Arial"/>
          <w:sz w:val="18"/>
          <w:szCs w:val="18"/>
          <w:color w:val="auto"/>
        </w:rPr>
      </w:pPr>
    </w:p>
    <w:p>
      <w:pPr>
        <w:ind w:left="180" w:firstLine="652"/>
        <w:spacing w:after="0" w:line="277" w:lineRule="auto"/>
        <w:tabs>
          <w:tab w:leader="none" w:pos="178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Securities and the Indenture conform as to legal matters in all material respects to the descriptions thereof contained in the Registration Statement, the Time of Sale Information and the Final Prospectus;</w:t>
      </w:r>
    </w:p>
    <w:p>
      <w:pPr>
        <w:spacing w:after="0" w:line="170" w:lineRule="exact"/>
        <w:rPr>
          <w:rFonts w:ascii="Arial" w:cs="Arial" w:eastAsia="Arial" w:hAnsi="Arial"/>
          <w:sz w:val="18"/>
          <w:szCs w:val="18"/>
          <w:color w:val="auto"/>
        </w:rPr>
      </w:pPr>
    </w:p>
    <w:p>
      <w:pPr>
        <w:jc w:val="both"/>
        <w:ind w:left="180" w:firstLine="652"/>
        <w:spacing w:after="0" w:line="259" w:lineRule="auto"/>
        <w:tabs>
          <w:tab w:leader="none" w:pos="149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Registration Statement has become effective under the Act; any required filing of the Final Prospectus pursuant to Rule 424(b) has been made in the manner and within the time period required by Rule 424(b); and, to the best of such counsel’s knowledge, no stop order suspending the effectiveness of the Registration Statement has been issued and no proceedings for that purpose have been instituted or are pending or threatened under the Act;</w:t>
      </w:r>
    </w:p>
    <w:p>
      <w:pPr>
        <w:spacing w:after="0" w:line="186" w:lineRule="exact"/>
        <w:rPr>
          <w:rFonts w:ascii="Arial" w:cs="Arial" w:eastAsia="Arial" w:hAnsi="Arial"/>
          <w:sz w:val="18"/>
          <w:szCs w:val="18"/>
          <w:color w:val="auto"/>
        </w:rPr>
      </w:pPr>
    </w:p>
    <w:p>
      <w:pPr>
        <w:jc w:val="both"/>
        <w:ind w:left="180" w:firstLine="652"/>
        <w:spacing w:after="0" w:line="259" w:lineRule="auto"/>
        <w:tabs>
          <w:tab w:leader="none" w:pos="15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 authorization, approval, consent or license of any regulatory body or authority (other than under the Act, the Trust Indenture Act and the securities or Blue Sky laws of the various states) and no approval of the stockholders of the Company or Holdings is required for the valid authorization, issuance, sale and delivery of the Securities by the Company or Holdings, or for the performance of the Indenture;</w:t>
      </w:r>
    </w:p>
    <w:p>
      <w:pPr>
        <w:spacing w:after="0" w:line="186" w:lineRule="exact"/>
        <w:rPr>
          <w:rFonts w:ascii="Arial" w:cs="Arial" w:eastAsia="Arial" w:hAnsi="Arial"/>
          <w:sz w:val="18"/>
          <w:szCs w:val="18"/>
          <w:color w:val="auto"/>
        </w:rPr>
      </w:pPr>
    </w:p>
    <w:p>
      <w:pPr>
        <w:jc w:val="both"/>
        <w:ind w:left="180" w:firstLine="652"/>
        <w:spacing w:after="0" w:line="257" w:lineRule="auto"/>
        <w:tabs>
          <w:tab w:leader="none" w:pos="163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execution and delivery of this Agreement, the consummation of the transactions contemplated by this Agreement and compliance with the terms of this Agreement and the Indenture do not and will not conflict with or result in a breach of any of the terms or provisions of, or constitute a default under, the charter or by-laws of the Company or Holdings, or the express terms of any agreement set forth on Annex B hereto (the “</w:t>
      </w:r>
      <w:r>
        <w:rPr>
          <w:rFonts w:ascii="Arial" w:cs="Arial" w:eastAsia="Arial" w:hAnsi="Arial"/>
          <w:sz w:val="18"/>
          <w:szCs w:val="18"/>
          <w:u w:val="single" w:color="auto"/>
          <w:color w:val="auto"/>
        </w:rPr>
        <w:t>Reviewed Agreements</w:t>
      </w:r>
      <w:r>
        <w:rPr>
          <w:rFonts w:ascii="Arial" w:cs="Arial" w:eastAsia="Arial" w:hAnsi="Arial"/>
          <w:sz w:val="18"/>
          <w:szCs w:val="18"/>
          <w:color w:val="auto"/>
        </w:rPr>
        <w:t>”), or any existing applicable laws, rule or regulation (excluding any state securities or state or federal anti-fraud law, rule or regulation);</w:t>
      </w:r>
    </w:p>
    <w:p>
      <w:pPr>
        <w:spacing w:after="0" w:line="187" w:lineRule="exact"/>
        <w:rPr>
          <w:rFonts w:ascii="Arial" w:cs="Arial" w:eastAsia="Arial" w:hAnsi="Arial"/>
          <w:sz w:val="18"/>
          <w:szCs w:val="18"/>
          <w:color w:val="auto"/>
        </w:rPr>
      </w:pPr>
    </w:p>
    <w:p>
      <w:pPr>
        <w:jc w:val="both"/>
        <w:ind w:left="180" w:firstLine="652"/>
        <w:spacing w:after="0" w:line="279" w:lineRule="auto"/>
        <w:tabs>
          <w:tab w:leader="none" w:pos="1753"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statements set forth in the Preliminary Prospectus and the Final Prospectus under the heading “Certain U.S. Federal Tax Considerations for Non-U.S. Holders,” insofar as such statements purport to constitute a summary of matters of United States federal income tax law and regulations or legal conclusions with respect thereto, accurately summarize the matters described therein in all material respects, subject to the assumptions and qualifications set forth therein; and</w:t>
      </w:r>
    </w:p>
    <w:p>
      <w:pPr>
        <w:spacing w:after="0" w:line="171" w:lineRule="exact"/>
        <w:rPr>
          <w:rFonts w:ascii="Arial" w:cs="Arial" w:eastAsia="Arial" w:hAnsi="Arial"/>
          <w:sz w:val="17"/>
          <w:szCs w:val="17"/>
          <w:color w:val="auto"/>
        </w:rPr>
      </w:pPr>
    </w:p>
    <w:p>
      <w:pPr>
        <w:ind w:left="180" w:firstLine="652"/>
        <w:spacing w:after="0" w:line="277" w:lineRule="auto"/>
        <w:tabs>
          <w:tab w:leader="none" w:pos="1898"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neither the Company nor Holdings is an “investment company” or an entity “controlled” by an “investment company,” as such terms are defined in the 1940 Act.</w:t>
      </w:r>
    </w:p>
    <w:p>
      <w:pPr>
        <w:spacing w:after="0" w:line="38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3" w:name="page24"/>
    <w:bookmarkEnd w:id="23"/>
    <w:p>
      <w:pPr>
        <w:jc w:val="both"/>
        <w:ind w:firstLine="648"/>
        <w:spacing w:after="0" w:line="284" w:lineRule="auto"/>
        <w:rPr>
          <w:sz w:val="20"/>
          <w:szCs w:val="20"/>
          <w:color w:val="auto"/>
        </w:rPr>
      </w:pPr>
      <w:r>
        <w:rPr>
          <w:rFonts w:ascii="Arial" w:cs="Arial" w:eastAsia="Arial" w:hAnsi="Arial"/>
          <w:sz w:val="16"/>
          <w:szCs w:val="16"/>
          <w:color w:val="auto"/>
        </w:rPr>
        <w:t>In addition, such counsel shall state that they have reviewed the Registration Statement, the Time of Sale Information and the Final Prospectus and have participated in conferences with officers and other representatives of the Company, with representatives of the Company’s independent registered public accounting firm and with the Underwriters and counsel to the Underwriters, at which the contents of the Registration Statement, the Time of Sale Information, the Final Prospectus and related matters were discussed, and although the purpose of such counsel’s professional engagement was not to establish or confirm factual matters set forth in the Registration Statement, the Time of Sale Information or the Final Prospectus, and such counsel has not undertaken to verify independently any of the factual matters in such documents, and although many of the determinations required to be made in the preparation of the Registration Statement, the Time of Sale Information and the Final Prospectus involve matters of a non-legal nature and, accordingly, such counsel is not passing upon, and does not assume any responsibility for, the accuracy, completeness or fairness of the statements contained or included in the Registration Statement, the Time of Sale Information and the Final Prospectus (except to the extent stated in paragraphs (vii) and (xi) above), subject to the foregoing and on the basis of the information such counsel gained in the course of performing the services referred to above, such counsel shall advise that (a) the Registration Statement, as of the latest Effective Date, the Time of Sale Information, as of the Time of Sale, and the Final Prospectus, as of its date and the Closing Date, appear on their face to be appropriately responsive in all material respects to the requirements of the Act and the rules and regulations of the Commission thereunder; and (b) nothing came to such counsel’s attention that caused such counsel to believe that (1) the Registration Statement, as of the latest Effective Date, contained an untrue statement of a material fact or omitted to state a material fact required to be stated therein or necessary to make the statements therein not misleading; (2) the Time of Sale Information, as of the Time of Sale, included an untrue statement of a material fact or omitted to state a material fact necessary in order to make the statements therein, in the light of the circumstances under which they were made, not misleading; or (3) the Final Prospectus, as of its date or as of the Closing Date, included or includes an untrue statement of a material fact or omitted or omits to state a material fact necessary in order to make the statements therein, in the light of the circumstances under which they were made, not misleading; it being understood that in each case such counsel has not been asked to, and does not, express any belief with respect to (x) the financial statements or other financial or accounting information contained or included or incorporated by reference therein or omitted therefrom, (y) representations and warranties and other statements of fact contained in the exhibits to the Registration Statement or to documents incorporated by reference therein or (z) that part of the Registration Statement that constitutes the Trustee’s Statement of Eligibility on Form T-1.</w:t>
      </w:r>
    </w:p>
    <w:p>
      <w:pPr>
        <w:spacing w:after="0" w:line="3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rendering such opinions, such counsel may (A) state that the opinions are limited in all respects to matters of the contract law of the State of New York, the General Corporation Law of the State of Delaware and applicable federal laws of the United States, each as in effect on the Closing Date, and (B) rely, as to matters of fact, to the extent they deem proper, on certificates of responsible officers of the Company and public officials. References to the Final Prospectus in this paragraph (b) include any supplements thereto at the Closing Date.</w:t>
      </w:r>
    </w:p>
    <w:p>
      <w:pPr>
        <w:spacing w:after="0" w:line="171" w:lineRule="exact"/>
        <w:rPr>
          <w:sz w:val="20"/>
          <w:szCs w:val="20"/>
          <w:color w:val="auto"/>
        </w:rPr>
      </w:pPr>
    </w:p>
    <w:p>
      <w:pPr>
        <w:ind w:firstLine="644"/>
        <w:spacing w:after="0" w:line="277" w:lineRule="auto"/>
        <w:tabs>
          <w:tab w:leader="none" w:pos="14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Courtney A. Tippy, General Counsel – Securities &amp; Governance, Corporate Secretary of the Company, shall have furnished to the Representatives her opinion, dated the Closing Date and addressed to the Representatives, to the effect that:</w:t>
      </w:r>
    </w:p>
    <w:p>
      <w:pPr>
        <w:spacing w:after="0" w:line="38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4" w:name="page25"/>
    <w:bookmarkEnd w:id="24"/>
    <w:p>
      <w:pPr>
        <w:jc w:val="both"/>
        <w:ind w:left="180" w:firstLine="652"/>
        <w:spacing w:after="0" w:line="290" w:lineRule="auto"/>
        <w:tabs>
          <w:tab w:leader="none" w:pos="129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each of the corporate Subsidiaries organized under United States law is a corporation duly incorporated and validly existing in good standing under the laws of the jurisdiction of its incorporation, has corporate power and authority to own, lease and operate its properties and to conduct its business as described in the Registration Statement, the Time of Sale Information and the Final Prospectus, except as would not have a Material Adverse Effect; except as otherwise disclosed in the Registration Statement, the Time of Sale Information and the Final Prospectus, all of the issued and outstanding capital stock of each of the Subsidiaries is validly issued, fully paid and nonassessable and, to the best of such counsel’s knowledge, all of such shares of stock owned by the Company are owned free and clear of any security interest, mortgage, pledge, lien, encumbrance, claim or equity; none of the outstanding shares of capital stock of the Subsidiaries were issued in violation of the preemptive or similar rights of any security holder thereof;</w:t>
      </w:r>
    </w:p>
    <w:p>
      <w:pPr>
        <w:spacing w:after="0" w:line="165" w:lineRule="exact"/>
        <w:rPr>
          <w:rFonts w:ascii="Arial" w:cs="Arial" w:eastAsia="Arial" w:hAnsi="Arial"/>
          <w:sz w:val="16"/>
          <w:szCs w:val="16"/>
          <w:color w:val="auto"/>
        </w:rPr>
      </w:pPr>
    </w:p>
    <w:p>
      <w:pPr>
        <w:jc w:val="both"/>
        <w:ind w:left="180" w:firstLine="652"/>
        <w:spacing w:after="0" w:line="255" w:lineRule="auto"/>
        <w:tabs>
          <w:tab w:leader="none" w:pos="131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documents incorporated by reference in the Registration Statement, the Time of Sale Information and the Final Prospectus (other than the financial statements and other financial data included therein or omitted therefrom, as to which such counsel need express no opinion, and except to the extent that any statement therein is modified or superseded in the Time of Sale Information and the Final Prospectus), as of the dates they became effective or were filed with the Commission, as the case may be, appear on their face to be appropriately responsive in all material respects to the requirements of the Exchange Act and the rules and regulations promulgated thereunder;</w:t>
      </w:r>
    </w:p>
    <w:p>
      <w:pPr>
        <w:spacing w:after="0" w:line="192" w:lineRule="exact"/>
        <w:rPr>
          <w:rFonts w:ascii="Arial" w:cs="Arial" w:eastAsia="Arial" w:hAnsi="Arial"/>
          <w:sz w:val="18"/>
          <w:szCs w:val="18"/>
          <w:color w:val="auto"/>
        </w:rPr>
      </w:pPr>
    </w:p>
    <w:p>
      <w:pPr>
        <w:jc w:val="both"/>
        <w:ind w:left="180" w:firstLine="652"/>
        <w:spacing w:after="0" w:line="301" w:lineRule="auto"/>
        <w:tabs>
          <w:tab w:leader="none" w:pos="1345"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except as set forth in the Registration Statement, the Time of Sale Information and the Final Prospectus (or incorporated by reference therein), such counsel does not know of any action, suit, proceeding, inquiry or investigation pending or threatened against the Company or any of its subsidiaries, or to which the property of the Company or any of its subsidiaries is subject, before or brought by any court or governmental agency or body, domestic or foreign, in which there is a reasonable probability of a Material Adverse Effect;</w:t>
      </w:r>
    </w:p>
    <w:p>
      <w:pPr>
        <w:spacing w:after="0" w:line="157" w:lineRule="exact"/>
        <w:rPr>
          <w:rFonts w:ascii="Arial" w:cs="Arial" w:eastAsia="Arial" w:hAnsi="Arial"/>
          <w:sz w:val="16"/>
          <w:szCs w:val="16"/>
          <w:color w:val="auto"/>
        </w:rPr>
      </w:pPr>
    </w:p>
    <w:p>
      <w:pPr>
        <w:jc w:val="both"/>
        <w:ind w:left="180" w:firstLine="652"/>
        <w:spacing w:after="0" w:line="257" w:lineRule="auto"/>
        <w:tabs>
          <w:tab w:leader="none" w:pos="1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counsel does not know of any statutes or regulations or any pending or threatened legal or governmental proceedings required to be described in the Registration Statement, the Time of Sale Information and the Final Prospectus which are not described as required, nor of any material contracts or documents of a character required to be described in the Registration Statement, the Time of Sale Information or the Final Prospectus or to be filed or incorporated as exhibits to the Registration Statement which are not described and filed or incorporated as required;</w:t>
      </w:r>
    </w:p>
    <w:p>
      <w:pPr>
        <w:spacing w:after="0" w:line="187" w:lineRule="exact"/>
        <w:rPr>
          <w:rFonts w:ascii="Arial" w:cs="Arial" w:eastAsia="Arial" w:hAnsi="Arial"/>
          <w:sz w:val="18"/>
          <w:szCs w:val="18"/>
          <w:color w:val="auto"/>
        </w:rPr>
      </w:pPr>
    </w:p>
    <w:p>
      <w:pPr>
        <w:ind w:left="180" w:firstLine="652"/>
        <w:spacing w:after="0" w:line="277" w:lineRule="auto"/>
        <w:tabs>
          <w:tab w:leader="none" w:pos="1308"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counsel does not know of any holders of securities of the Company or Holdings that have rights to the registration of such securities under the Registration Statement; and</w:t>
      </w:r>
    </w:p>
    <w:p>
      <w:pPr>
        <w:spacing w:after="0" w:line="170" w:lineRule="exact"/>
        <w:rPr>
          <w:rFonts w:ascii="Arial" w:cs="Arial" w:eastAsia="Arial" w:hAnsi="Arial"/>
          <w:sz w:val="18"/>
          <w:szCs w:val="18"/>
          <w:color w:val="auto"/>
        </w:rPr>
      </w:pPr>
    </w:p>
    <w:p>
      <w:pPr>
        <w:jc w:val="both"/>
        <w:ind w:left="180" w:firstLine="652"/>
        <w:spacing w:after="0" w:line="270" w:lineRule="auto"/>
        <w:tabs>
          <w:tab w:leader="none" w:pos="13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execution and delivery of this Agreement, the Notes, the Guarantee Agreements and the execution and performance of the Indenture (the “</w:t>
      </w:r>
      <w:r>
        <w:rPr>
          <w:rFonts w:ascii="Arial" w:cs="Arial" w:eastAsia="Arial" w:hAnsi="Arial"/>
          <w:sz w:val="17"/>
          <w:szCs w:val="17"/>
          <w:u w:val="single" w:color="auto"/>
          <w:color w:val="auto"/>
        </w:rPr>
        <w:t>Operative Agreements</w:t>
      </w:r>
      <w:r>
        <w:rPr>
          <w:rFonts w:ascii="Arial" w:cs="Arial" w:eastAsia="Arial" w:hAnsi="Arial"/>
          <w:sz w:val="17"/>
          <w:szCs w:val="17"/>
          <w:color w:val="auto"/>
        </w:rPr>
        <w:t>”), the consummation of the transactions contemplated in the Operative Agreements and compliance with the terms of the Operative Agreements do not and will not conflict with or result in a breach of any of the terms or provisions of, or constitute a default under, the charter or by-laws of the Company or any of its Subsidiaries, or, to the knowledge of such counsel, any indenture, mortgage or other agreement or instrument to which the Company or its Subsidiaries is a party or by which they or any of their property is bound, or any existing applicable laws, rule, regulation (excluding any state securities or state or federal anti-fraud law, rule or regulation), or, to the knowledge of such counsel, any judgment, order or decree of any government, governmental instrumentality or court, domestic or foreign, having jurisdiction over the Company or its Subsidiaries or any of their properties, that in any case would have a Material Adverse Effect.</w:t>
      </w:r>
    </w:p>
    <w:p>
      <w:pPr>
        <w:spacing w:after="0" w:line="39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5" w:name="page26"/>
    <w:bookmarkEnd w:id="25"/>
    <w:p>
      <w:pPr>
        <w:jc w:val="both"/>
        <w:ind w:left="-460" w:firstLine="644"/>
        <w:spacing w:after="0" w:line="257" w:lineRule="auto"/>
        <w:tabs>
          <w:tab w:leader="none" w:pos="64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Representatives shall have received from Gibson, Dunn &amp; Crutcher LLP, counsel for the Underwriters, such opinion or opinions, dated the Closing Date and addressed to the Representatives, with respect to the issuance and sale of the Securities, the Indenture, the Registration Statement, the Time of Sale Information and the Final Prospectus (together with any supplement thereto) and other related matters as the Representatives may reasonably require, and the Company shall have furnished to such counsel such documents as they request for the purpose of enabling them to pass upon such matters.</w:t>
      </w:r>
    </w:p>
    <w:p>
      <w:pPr>
        <w:spacing w:after="0" w:line="187" w:lineRule="exact"/>
        <w:rPr>
          <w:rFonts w:ascii="Arial" w:cs="Arial" w:eastAsia="Arial" w:hAnsi="Arial"/>
          <w:sz w:val="18"/>
          <w:szCs w:val="18"/>
          <w:color w:val="auto"/>
        </w:rPr>
      </w:pPr>
    </w:p>
    <w:p>
      <w:pPr>
        <w:jc w:val="both"/>
        <w:ind w:left="-460" w:firstLine="644"/>
        <w:spacing w:after="0" w:line="257"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of the Company and Holdings shall have furnished to the Representatives a certificate, signed by the principal legal officer and the vice president and treasurer of the Company in the case of the Company, and signed by the vice president and treasurer of Holdings in the case of Holdings, dated the Closing Date, to the effect that the signers of such certificate have carefully examined the Registration Statement, the Time of Sale Information and the Final Prospectus, any supplements to the Time of Sale Information and the Final Prospectus, and this Agreement and that:</w:t>
      </w:r>
    </w:p>
    <w:p>
      <w:pPr>
        <w:spacing w:after="0" w:line="187" w:lineRule="exact"/>
        <w:rPr>
          <w:rFonts w:ascii="Arial" w:cs="Arial" w:eastAsia="Arial" w:hAnsi="Arial"/>
          <w:sz w:val="18"/>
          <w:szCs w:val="18"/>
          <w:color w:val="auto"/>
        </w:rPr>
      </w:pPr>
    </w:p>
    <w:p>
      <w:pPr>
        <w:ind w:left="180" w:firstLine="652"/>
        <w:spacing w:after="0" w:line="277" w:lineRule="auto"/>
        <w:tabs>
          <w:tab w:leader="none" w:pos="129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 the case of Holdings, the representations and warranties of Holdings in this Agreement are true and correct on and as of the Closing Date with the same effect as if made on the Closing Date;</w:t>
      </w:r>
    </w:p>
    <w:p>
      <w:pPr>
        <w:spacing w:after="0" w:line="170" w:lineRule="exact"/>
        <w:rPr>
          <w:rFonts w:ascii="Arial" w:cs="Arial" w:eastAsia="Arial" w:hAnsi="Arial"/>
          <w:sz w:val="18"/>
          <w:szCs w:val="18"/>
          <w:color w:val="auto"/>
        </w:rPr>
      </w:pPr>
    </w:p>
    <w:p>
      <w:pPr>
        <w:jc w:val="both"/>
        <w:ind w:left="180" w:firstLine="652"/>
        <w:spacing w:after="0" w:line="286" w:lineRule="auto"/>
        <w:tabs>
          <w:tab w:leader="none" w:pos="1318" w:val="left"/>
        </w:tabs>
        <w:numPr>
          <w:ilvl w:val="1"/>
          <w:numId w:val="31"/>
        </w:numPr>
        <w:rPr>
          <w:rFonts w:ascii="Arial" w:cs="Arial" w:eastAsia="Arial" w:hAnsi="Arial"/>
          <w:sz w:val="17"/>
          <w:szCs w:val="17"/>
          <w:color w:val="auto"/>
        </w:rPr>
      </w:pPr>
      <w:r>
        <w:rPr>
          <w:rFonts w:ascii="Arial" w:cs="Arial" w:eastAsia="Arial" w:hAnsi="Arial"/>
          <w:sz w:val="17"/>
          <w:szCs w:val="17"/>
          <w:color w:val="auto"/>
        </w:rPr>
        <w:t>in the case of the Company, the representations and warranties of the Company in this Agreement are true and correct on and as of the Closing Date with the same effect as if made on the Closing Date, and the Company has complied with all the agreements and satisfied all the conditions on its part to be performed or satisfied at or prior to the Closing Date;</w:t>
      </w:r>
    </w:p>
    <w:p>
      <w:pPr>
        <w:spacing w:after="0" w:line="165" w:lineRule="exact"/>
        <w:rPr>
          <w:rFonts w:ascii="Arial" w:cs="Arial" w:eastAsia="Arial" w:hAnsi="Arial"/>
          <w:sz w:val="17"/>
          <w:szCs w:val="17"/>
          <w:color w:val="auto"/>
        </w:rPr>
      </w:pPr>
    </w:p>
    <w:p>
      <w:pPr>
        <w:ind w:left="180" w:firstLine="652"/>
        <w:spacing w:after="0" w:line="277" w:lineRule="auto"/>
        <w:tabs>
          <w:tab w:leader="none" w:pos="1345" w:val="left"/>
        </w:tabs>
        <w:numPr>
          <w:ilvl w:val="1"/>
          <w:numId w:val="31"/>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has been issued and no proceedings for that purpose have been instituted or, to the Company’s knowledge, threatened; and</w:t>
      </w:r>
    </w:p>
    <w:p>
      <w:pPr>
        <w:spacing w:after="0" w:line="170" w:lineRule="exact"/>
        <w:rPr>
          <w:rFonts w:ascii="Arial" w:cs="Arial" w:eastAsia="Arial" w:hAnsi="Arial"/>
          <w:sz w:val="18"/>
          <w:szCs w:val="18"/>
          <w:color w:val="auto"/>
        </w:rPr>
      </w:pPr>
    </w:p>
    <w:p>
      <w:pPr>
        <w:jc w:val="both"/>
        <w:ind w:left="180" w:firstLine="652"/>
        <w:spacing w:after="0" w:line="275" w:lineRule="auto"/>
        <w:tabs>
          <w:tab w:leader="none" w:pos="1313" w:val="left"/>
        </w:tabs>
        <w:numPr>
          <w:ilvl w:val="1"/>
          <w:numId w:val="31"/>
        </w:numPr>
        <w:rPr>
          <w:rFonts w:ascii="Arial" w:cs="Arial" w:eastAsia="Arial" w:hAnsi="Arial"/>
          <w:sz w:val="17"/>
          <w:szCs w:val="17"/>
          <w:color w:val="auto"/>
        </w:rPr>
      </w:pPr>
      <w:r>
        <w:rPr>
          <w:rFonts w:ascii="Arial" w:cs="Arial" w:eastAsia="Arial" w:hAnsi="Arial"/>
          <w:sz w:val="17"/>
          <w:szCs w:val="17"/>
          <w:color w:val="auto"/>
        </w:rPr>
        <w:t>since the date of the most recent financial statements included or incorporated by reference in the Time of Sale Information and the Final Prospectus (exclusive of any amendment or supplement thereto), there has been no material adverse effect on the condition (financial or otherwise), prospects, earnings, business or properties of the Company and its Subsidiaries, taken as a whole, whether or not arising from transactions in the ordinary course of business, except as set forth or contemplated in the Time of Sale Information and the Final Prospectus (exclusive of any amendment or supplement thereto).</w:t>
      </w:r>
    </w:p>
    <w:p>
      <w:pPr>
        <w:spacing w:after="0" w:line="39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6" w:name="page27"/>
    <w:bookmarkEnd w:id="26"/>
    <w:p>
      <w:pPr>
        <w:jc w:val="both"/>
        <w:ind w:firstLine="644"/>
        <w:spacing w:after="0" w:line="257" w:lineRule="auto"/>
        <w:tabs>
          <w:tab w:leader="none" w:pos="109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shall have requested and caused Ernst &amp; Young LLP to have furnished to the Representatives, at the Time of Sale and at the Closing Date, letters (which may refer to letters previously delivered to one or more of the Representatives), dated respectively as of the Time of Sale and as of the Closing Date, in form and substance satisfactory to the Representatives, confirming that they are independent accountants within the meaning of the Act and the Exchange Act and the respective applicable rules and regulations adopted by the Commission thereunder, and stating in effect, among other things, that:</w:t>
      </w:r>
    </w:p>
    <w:p>
      <w:pPr>
        <w:spacing w:after="0" w:line="187" w:lineRule="exact"/>
        <w:rPr>
          <w:rFonts w:ascii="Arial" w:cs="Arial" w:eastAsia="Arial" w:hAnsi="Arial"/>
          <w:sz w:val="18"/>
          <w:szCs w:val="18"/>
          <w:color w:val="auto"/>
        </w:rPr>
      </w:pPr>
    </w:p>
    <w:p>
      <w:pPr>
        <w:jc w:val="both"/>
        <w:ind w:left="640" w:firstLine="652"/>
        <w:spacing w:after="0" w:line="311" w:lineRule="auto"/>
        <w:tabs>
          <w:tab w:leader="none" w:pos="1750" w:val="left"/>
        </w:tabs>
        <w:numPr>
          <w:ilvl w:val="1"/>
          <w:numId w:val="32"/>
        </w:numPr>
        <w:rPr>
          <w:rFonts w:ascii="Arial" w:cs="Arial" w:eastAsia="Arial" w:hAnsi="Arial"/>
          <w:sz w:val="16"/>
          <w:szCs w:val="16"/>
          <w:color w:val="auto"/>
        </w:rPr>
      </w:pPr>
      <w:r>
        <w:rPr>
          <w:rFonts w:ascii="Arial" w:cs="Arial" w:eastAsia="Arial" w:hAnsi="Arial"/>
          <w:sz w:val="16"/>
          <w:szCs w:val="16"/>
          <w:color w:val="auto"/>
        </w:rPr>
        <w:t>in their opinion the audited financial statements included or incorporated by reference in the Registration Statement, the Time of Sale Information and the Final Prospectus and reported on by them comply as to form in all material respects with the applicable accounting requirements of the Act and the Exchange Act and the related rules and regulations adopted by the Commission;</w:t>
      </w:r>
    </w:p>
    <w:p>
      <w:pPr>
        <w:spacing w:after="0" w:line="148" w:lineRule="exact"/>
        <w:rPr>
          <w:rFonts w:ascii="Arial" w:cs="Arial" w:eastAsia="Arial" w:hAnsi="Arial"/>
          <w:sz w:val="16"/>
          <w:szCs w:val="16"/>
          <w:color w:val="auto"/>
        </w:rPr>
      </w:pPr>
    </w:p>
    <w:p>
      <w:pPr>
        <w:jc w:val="both"/>
        <w:ind w:left="640" w:firstLine="652"/>
        <w:spacing w:after="0" w:line="263" w:lineRule="auto"/>
        <w:tabs>
          <w:tab w:leader="none" w:pos="1778"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information included or incorporated by reference in the Registration Statement, the Time of Sale Information and Final Prospectus in response to Regulation S-K, Item 301 (Selected Financial Data) is in conformity with the applicable disclosure requirements of Regulation S-K;</w:t>
      </w:r>
    </w:p>
    <w:p>
      <w:pPr>
        <w:spacing w:after="0" w:line="183" w:lineRule="exact"/>
        <w:rPr>
          <w:rFonts w:ascii="Arial" w:cs="Arial" w:eastAsia="Arial" w:hAnsi="Arial"/>
          <w:sz w:val="18"/>
          <w:szCs w:val="18"/>
          <w:color w:val="auto"/>
        </w:rPr>
      </w:pPr>
    </w:p>
    <w:p>
      <w:pPr>
        <w:jc w:val="both"/>
        <w:ind w:left="640" w:firstLine="652"/>
        <w:spacing w:after="0" w:line="290" w:lineRule="auto"/>
        <w:tabs>
          <w:tab w:leader="none" w:pos="1805"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they have performed certain other specified procedures as a result of which they determined that certain information of an accounting, financial or statistical nature (which is limited to accounting, financial or statistical information derived from the general accounting records of the Company and its consolidated subsidiaries) set forth in the Registration Statement, the Time of Sale Information and the Final Prospectus, the information included or incorporated by reference in the Company’s Annual Report on Form 10-K for the year ended December 31, 2020, and the Company’s Quarterly Report on Form 10-Q for the quarterly period ended March 31, 2021 incorporated by reference in the Registration Statement, the Time of Sale Information and the Final Prospectus, and the information included in the “Management’s Discussion and Analysis of Financial Condition and Results of Operations” agrees with the accounting records of the Company and its consolidated subsidiaries, excluding any questions of legal interpretation; and</w:t>
      </w:r>
    </w:p>
    <w:p>
      <w:pPr>
        <w:spacing w:after="0" w:line="165" w:lineRule="exact"/>
        <w:rPr>
          <w:rFonts w:ascii="Arial" w:cs="Arial" w:eastAsia="Arial" w:hAnsi="Arial"/>
          <w:sz w:val="16"/>
          <w:szCs w:val="16"/>
          <w:color w:val="auto"/>
        </w:rPr>
      </w:pPr>
    </w:p>
    <w:p>
      <w:pPr>
        <w:jc w:val="both"/>
        <w:ind w:left="640" w:firstLine="652"/>
        <w:spacing w:after="0" w:line="273" w:lineRule="auto"/>
        <w:tabs>
          <w:tab w:leader="none" w:pos="1795" w:val="left"/>
        </w:tabs>
        <w:numPr>
          <w:ilvl w:val="1"/>
          <w:numId w:val="32"/>
        </w:numPr>
        <w:rPr>
          <w:rFonts w:ascii="Arial" w:cs="Arial" w:eastAsia="Arial" w:hAnsi="Arial"/>
          <w:sz w:val="17"/>
          <w:szCs w:val="17"/>
          <w:color w:val="auto"/>
        </w:rPr>
      </w:pPr>
      <w:r>
        <w:rPr>
          <w:rFonts w:ascii="Arial" w:cs="Arial" w:eastAsia="Arial" w:hAnsi="Arial"/>
          <w:sz w:val="17"/>
          <w:szCs w:val="17"/>
          <w:color w:val="auto"/>
        </w:rPr>
        <w:t>they have inquired of certain officials of the Company who have responsibility for financial and accounting matters as to whether: (A) at April 27, 2021 there was any change in the capital stock, increase in long-term indebtedness or any decreases in consolidated net current assets or in total equity of the Company as compared with the amounts shown on the March 31, 2021 unaudited consolidated balance sheet incorporated by reference in the Registration Statement; or (B) for the period from April 1, 2021 to April 27, 2021 there were any decreases, as compared with the corresponding period in the preceding year, in consolidated operating revenues or in the total or per-share amounts of net consolidated income attributable to the Company.</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References to the Final Prospectus in this paragraph (f) of this Section 7 include any supplement thereto at the date of the letter. The letter delivered on the Closing Date shall use a “cut-off” date no more than three Business Days prior to the Closing Date.</w:t>
      </w:r>
    </w:p>
    <w:p>
      <w:pPr>
        <w:spacing w:after="0" w:line="38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7" w:name="page28"/>
    <w:bookmarkEnd w:id="27"/>
    <w:p>
      <w:pPr>
        <w:jc w:val="both"/>
        <w:ind w:left="660" w:firstLine="644"/>
        <w:spacing w:after="0" w:line="289" w:lineRule="auto"/>
        <w:tabs>
          <w:tab w:leader="none" w:pos="1765" w:val="left"/>
        </w:tabs>
        <w:numPr>
          <w:ilvl w:val="0"/>
          <w:numId w:val="33"/>
        </w:numPr>
        <w:rPr>
          <w:rFonts w:ascii="Arial" w:cs="Arial" w:eastAsia="Arial" w:hAnsi="Arial"/>
          <w:sz w:val="16"/>
          <w:szCs w:val="16"/>
          <w:color w:val="auto"/>
        </w:rPr>
      </w:pPr>
      <w:r>
        <w:rPr>
          <w:rFonts w:ascii="Arial" w:cs="Arial" w:eastAsia="Arial" w:hAnsi="Arial"/>
          <w:sz w:val="16"/>
          <w:szCs w:val="16"/>
          <w:color w:val="auto"/>
        </w:rPr>
        <w:t>Subsequent to the Time of Sale or, if earlier, the dates as of which information is given in the Registration Statement (exclusive of any amendment thereof) and the Time of Sale Information and the Final Prospectus (exclusive of any amendment or supplement thereto), there shall not have been (i) any change or decrease specified in the letter or letters referred to in paragraph (f) of this Section 7 or (ii) any change, or any development involving a prospective change, in or affecting the condition (financial or otherwise), earnings, business or properties of the Company and its Subsidiaries, taken as a whole, whether or not arising from transactions in the ordinary course of business, except as set forth or contemplated in the Time of Sale Information and the Final Prospectus (exclusive of any amendment or supplement thereto) the effect of which, in any case referred to in clause (i) or (ii) above, is, in the sole judgment of the Representatives, so material and adverse as to make it impractical or inadvisable to proceed with the offering or delivery of the Securities as contemplated by the Registration Statement (exclusive of any amendment thereof) and the Time of Sale Information and the Final Prospectus (exclusive of any amendment or supplement thereto).</w:t>
      </w:r>
    </w:p>
    <w:p>
      <w:pPr>
        <w:spacing w:after="0" w:line="166" w:lineRule="exact"/>
        <w:rPr>
          <w:rFonts w:ascii="Arial" w:cs="Arial" w:eastAsia="Arial" w:hAnsi="Arial"/>
          <w:sz w:val="16"/>
          <w:szCs w:val="16"/>
          <w:color w:val="auto"/>
        </w:rPr>
      </w:pPr>
    </w:p>
    <w:p>
      <w:pPr>
        <w:jc w:val="both"/>
        <w:ind w:left="660" w:firstLine="644"/>
        <w:spacing w:after="0" w:line="259" w:lineRule="auto"/>
        <w:tabs>
          <w:tab w:leader="none" w:pos="1765"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Subsequent to the Time of Sale, there shall not have been any decrease in the rating of any of the Company’s debt securities by any “nationally recognized statistical rating organization” (as defined for purposes of Section 3(a)(62) under the Exchange Act) or any notice given of any intended or potential decrease in any such rating or of a possible change in any such rating that does not indicate the direction of the possible change.</w:t>
      </w:r>
    </w:p>
    <w:p>
      <w:pPr>
        <w:spacing w:after="0" w:line="186" w:lineRule="exact"/>
        <w:rPr>
          <w:rFonts w:ascii="Arial" w:cs="Arial" w:eastAsia="Arial" w:hAnsi="Arial"/>
          <w:sz w:val="18"/>
          <w:szCs w:val="18"/>
          <w:color w:val="auto"/>
        </w:rPr>
      </w:pPr>
    </w:p>
    <w:p>
      <w:pPr>
        <w:ind w:left="660" w:right="20" w:firstLine="644"/>
        <w:spacing w:after="0" w:line="277" w:lineRule="auto"/>
        <w:tabs>
          <w:tab w:leader="none" w:pos="177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Prior to the Closing Date, the Company and Holdings shall have furnished to the Representatives such further information, certificates and documents as the Representatives may reasonably request.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any of the conditions specified in this Section 7 shall not have been fulfilled in all material respects when and as provided in this Agreement, or if any of the opinions and certificates mentioned above or elsewhere in this Agreement shall not be in all material respects reasonably satisfactory in form and substance to the Representatives and counsel for the Underwriters, this Agreement and all obligations of the Underwriters hereunder may be canceled at, or at any time prior to, the Closing Date by the Representatives. Notice of such cancellation shall be given to the Company in writing or by telephone or facsimile confirmed in writing.</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documents required to be delivered by this Section 7 shall be delivered at the office of Baker Botts L.L.P., counsel for the Company and Holdings, at 910 Louisiana Street, Houston, Texas 77002, on the Closing Date.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both"/>
        <w:ind w:left="-20" w:firstLine="656"/>
        <w:spacing w:after="0" w:line="273" w:lineRule="auto"/>
        <w:tabs>
          <w:tab w:leader="none" w:pos="1055"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Reimbursement of Underwriters’ Expenses</w:t>
      </w:r>
      <w:r>
        <w:rPr>
          <w:rFonts w:ascii="Arial" w:cs="Arial" w:eastAsia="Arial" w:hAnsi="Arial"/>
          <w:sz w:val="17"/>
          <w:szCs w:val="17"/>
          <w:color w:val="auto"/>
        </w:rPr>
        <w:t>. If the sale of the Securities provided for herein is not consummated because any condition to the obligations of the Underwriters set forth in Section 7 hereof is not satisfied, because of any termination pursuant to Section 11 hereof (other than as a result of the occurrence of the circumstances in Sections 11(ii) and 11(iii)) or because of any refusal, inability or failure on the part of the Company to perform any agreement herein or comply with any provision hereof other than by reason of a default by any of the Underwriters, the Company will reimburse the Underwriters severally through the Representatives on demand for all out-of-pocket expenses (including reasonable fees and disbursements of counsel) that shall have been incurred by them in connection with the proposed purchase and sale of the Securities.</w:t>
      </w:r>
    </w:p>
    <w:p>
      <w:pPr>
        <w:spacing w:after="0" w:line="177" w:lineRule="exact"/>
        <w:rPr>
          <w:rFonts w:ascii="Arial" w:cs="Arial" w:eastAsia="Arial" w:hAnsi="Arial"/>
          <w:sz w:val="17"/>
          <w:szCs w:val="17"/>
          <w:color w:val="auto"/>
        </w:rPr>
      </w:pPr>
    </w:p>
    <w:p>
      <w:pPr>
        <w:jc w:val="both"/>
        <w:ind w:left="-20" w:firstLine="656"/>
        <w:spacing w:after="0" w:line="268" w:lineRule="auto"/>
        <w:tabs>
          <w:tab w:leader="none" w:pos="1055"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Indemnification and Contribution</w:t>
      </w:r>
      <w:r>
        <w:rPr>
          <w:rFonts w:ascii="Arial" w:cs="Arial" w:eastAsia="Arial" w:hAnsi="Arial"/>
          <w:sz w:val="17"/>
          <w:szCs w:val="17"/>
          <w:color w:val="auto"/>
        </w:rPr>
        <w:t xml:space="preserve">. (a) Each of the Company and Holdings, jointly and severally, agrees to indemnify and hold harmless each Underwriter, the directors, officers, employees, affiliates and agents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(i) arise out of or are based upon any untrue statement or alleged untrue statement of a material fact contained in the Registration Statement or in any amendment thereof, or arise out of or are based upon the omission or alleged omission to state therein a material fact required to be stated therein or necessary to make the statements therein not misleading or (ii) arise out of or are based upon any untrue statement or alleged untrue statement of a material fact contained in the Final Prospectus (or any amendment or supplement thereto), any Issuer Free Writing Prospectus or the Time of Sale Information, or arise out of or are based upon any omission or alleged omission to state therein a material fact necessary in order to make the statements therein, in the light of the circumstances under which they were made, not misleading, and agrees to reimburse each such indemnified party, as incurred, for any legal or other expenses reasonably incurred by them in connection with investigating or defending any such loss, claim, damage, liability or action;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neither the Company nor Holdings will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Representatives specifically for inclusion therein. This indemnity agreement will be in addition to any liability that the Company or Holdings may otherwise have.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29" w:name="page30"/>
    <w:bookmarkEnd w:id="29"/>
    <w:p>
      <w:pPr>
        <w:jc w:val="both"/>
        <w:ind w:left="-8" w:firstLine="1304"/>
        <w:spacing w:after="0" w:line="269" w:lineRule="auto"/>
        <w:tabs>
          <w:tab w:leader="none" w:pos="1745" w:val="left"/>
        </w:tabs>
        <w:numPr>
          <w:ilvl w:val="1"/>
          <w:numId w:val="35"/>
        </w:numPr>
        <w:rPr>
          <w:rFonts w:ascii="Arial" w:cs="Arial" w:eastAsia="Arial" w:hAnsi="Arial"/>
          <w:sz w:val="17"/>
          <w:szCs w:val="17"/>
          <w:color w:val="auto"/>
        </w:rPr>
      </w:pPr>
      <w:r>
        <w:rPr>
          <w:rFonts w:ascii="Arial" w:cs="Arial" w:eastAsia="Arial" w:hAnsi="Arial"/>
          <w:sz w:val="17"/>
          <w:szCs w:val="17"/>
          <w:color w:val="auto"/>
        </w:rPr>
        <w:t>Each Underwriter, severally and not jointly, agrees to indemnify and hold harmless the Company and Holdings, each of their respective directors, each of their respective officers who signs the Registration Statement, and each person who controls either the Company or Holdings within the meaning of either the Act or the Exchange Act, to the same extent as the foregoing indemnity from the Company or Holdings to each Underwriter (the “</w:t>
      </w:r>
      <w:r>
        <w:rPr>
          <w:rFonts w:ascii="Arial" w:cs="Arial" w:eastAsia="Arial" w:hAnsi="Arial"/>
          <w:sz w:val="17"/>
          <w:szCs w:val="17"/>
          <w:u w:val="single" w:color="auto"/>
          <w:color w:val="auto"/>
        </w:rPr>
        <w:t>Foregoing Indemnity</w:t>
      </w:r>
      <w:r>
        <w:rPr>
          <w:rFonts w:ascii="Arial" w:cs="Arial" w:eastAsia="Arial" w:hAnsi="Arial"/>
          <w:sz w:val="17"/>
          <w:szCs w:val="17"/>
          <w:color w:val="auto"/>
        </w:rPr>
        <w:t>”), but only with reference to written information relating to such Underwriter furnished to the Company by or on behalf of such Underwriter through the Representatives specifically for inclusion in the documents referred to in the Foregoing Indemnity. This indemnity agreement will be in addition to any liability which any Underwriter may otherwise have. Each of the Company and Holdings acknowledges that the following statements set forth in the Time of Sale Information and the Final Prospectus constitute the only information furnished in writing by or on behalf of the several Underwriters for inclusion in the documents referred to in the Foregoing Indemnity: (i) the statements in the last paragraph of the cover page regarding delivery of the Securities and (ii) (A) the list of Underwriters and their respective participation in the sale of the Securities, (B) the sentences related to concessions and reallowances, and (C) the paragraphs related to stabilization, syndicate covering transactions and penalty bids, in each case under the heading “Underwriting (Conflicts of Interest).”</w:t>
      </w:r>
    </w:p>
    <w:p>
      <w:pPr>
        <w:spacing w:after="0" w:line="181" w:lineRule="exact"/>
        <w:rPr>
          <w:rFonts w:ascii="Arial" w:cs="Arial" w:eastAsia="Arial" w:hAnsi="Arial"/>
          <w:sz w:val="17"/>
          <w:szCs w:val="17"/>
          <w:color w:val="auto"/>
        </w:rPr>
      </w:pPr>
    </w:p>
    <w:p>
      <w:pPr>
        <w:jc w:val="both"/>
        <w:ind w:left="-8" w:firstLine="1304"/>
        <w:spacing w:after="0" w:line="271" w:lineRule="auto"/>
        <w:tabs>
          <w:tab w:leader="none" w:pos="1798" w:val="left"/>
        </w:tabs>
        <w:numPr>
          <w:ilvl w:val="1"/>
          <w:numId w:val="35"/>
        </w:numPr>
        <w:rPr>
          <w:rFonts w:ascii="Arial" w:cs="Arial" w:eastAsia="Arial" w:hAnsi="Arial"/>
          <w:sz w:val="17"/>
          <w:szCs w:val="17"/>
          <w:color w:val="auto"/>
        </w:rPr>
      </w:pPr>
      <w:r>
        <w:rPr>
          <w:rFonts w:ascii="Arial" w:cs="Arial" w:eastAsia="Arial" w:hAnsi="Arial"/>
          <w:sz w:val="17"/>
          <w:szCs w:val="17"/>
          <w:color w:val="auto"/>
        </w:rPr>
        <w:t>Promptly after receipt by an indemnified party under this Section 9 of notice of the commencement of any action, such indemnified party will, if a claim in respect thereof is to be made against the indemnifying party under this Section 9, notify the indemnifying party in writing of the commencement thereof; but the failure so to notify the indemnifying party (i) will not relieve it from liability under paragraph (a) or</w:t>
      </w:r>
    </w:p>
    <w:p>
      <w:pPr>
        <w:jc w:val="both"/>
        <w:ind w:left="-8" w:firstLine="8"/>
        <w:spacing w:after="0" w:line="284" w:lineRule="auto"/>
        <w:tabs>
          <w:tab w:leader="none" w:pos="250"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counsel shall be reasonably satisfactory to the indemnified party and shall not, without the consent of the indemnified party, be counsel to the indemnifying party. Notwithstanding the indemnifying party’s election to appoint counsel to represent the indemnified party in an action, the indemnified party shall have the right to employ a separate counsel (including a local counsel), and the indemnifying party shall bear the reasonable fees, costs and expenses of such separate counsel if (i) the indemnifying party shall not have employed counsel reasonably satisfactory to the indemnified party to represent the indemnified party within a reasonable time after notice of the institution of such action or (ii)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 statement as to or an admission of fault, culpability or a failure to act by or on behalf of an indemnified party. An indemnifying party shall not be liable under this Section 9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such indemnifying party, which consent shall not be unreasonably withheld.</w:t>
      </w:r>
    </w:p>
    <w:p>
      <w:pPr>
        <w:spacing w:after="0" w:line="3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30" w:name="page31"/>
    <w:bookmarkEnd w:id="30"/>
    <w:p>
      <w:pPr>
        <w:jc w:val="both"/>
        <w:ind w:left="-20" w:firstLine="1304"/>
        <w:spacing w:after="0" w:line="284" w:lineRule="auto"/>
        <w:tabs>
          <w:tab w:leader="none" w:pos="1733" w:val="left"/>
        </w:tabs>
        <w:numPr>
          <w:ilvl w:val="1"/>
          <w:numId w:val="37"/>
        </w:numPr>
        <w:rPr>
          <w:rFonts w:ascii="Arial" w:cs="Arial" w:eastAsia="Arial" w:hAnsi="Arial"/>
          <w:sz w:val="16"/>
          <w:szCs w:val="16"/>
          <w:color w:val="auto"/>
        </w:rPr>
      </w:pPr>
      <w:r>
        <w:rPr>
          <w:rFonts w:ascii="Arial" w:cs="Arial" w:eastAsia="Arial" w:hAnsi="Arial"/>
          <w:sz w:val="16"/>
          <w:szCs w:val="16"/>
          <w:color w:val="auto"/>
        </w:rPr>
        <w:t>In the event that the indemnity provided in paragraph (a) or (b) of this Section 9 is unavailable to or insufficient to hold harmless an indemnified party for any reason, the Company, Holdings and the Underwriters severally agree to contribute to the aggregate losses, claims, damages and liabilities (including legal or other expenses reasonably incurred in connection with investigating or defending the same)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to which the Company, Holdings and one or more of the Underwriters may be subject in such proportion as is appropriate to reflect the relative benefits received by the Company and Holdings on the one hand and by the Underwriters on the other from the offering of the Securities;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no case shall any Underwriter (except as may be provided in any agreement among underwriters relating to the offering of the Securities) be responsible for any amount in excess of the underwriting discount or commission applicable to the Securities purchased by such Underwriter hereunder. If the allocation provided by the immediately preceding sentence is unavailable for any reason, the Company, Holdings and the Underwriters severally shall contribute in such proportion as is appropriate to reflect not only such relative benefits but also the relative fault of the Company and Holdings on the one hand and of the Underwriters on the other in connection with the statements or omissions which resulted in such Losses as well as any other relevant equitable considerations. Benefits received by the Company and Holdings shall be deemed to be equal to the total net proceeds from the offering (before deducting expenses) received by the Company, and benefits received by the Underwriters shall be deemed to be equal to the total underwriting discounts and commissions, in each case as set forth on the cover page of the Final Prospectus. Relative fault shall be determined by reference to, among other things, whether any untrue or any alleged untrue statement of a material fact or the omission or alleged omission to state a material fact relates to information provided by the Company and Holdings on the one hand or the Underwriters on the other, the intent of the parties and their relative knowledge, access to information and opportunity to correct or prevent such untrue statement or omission. The Company, Holdings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The Underwriters’ obligations in this paragraph (d) to contribute are several in proportion to their respective underwriting obligations and not joint. For purposes of this Section 9, each person who controls an Underwriter within the meaning of either the Act or the Exchange Act and each director, officer, employee and agent of an Underwriter shall have the same rights to contribution as such Underwriter, and each person who controls the Company or Holdings within the meaning of either the Act or the Exchange Act, each officer of the Company or Holdings who shall have signed the Registration Statement and each director of the Company or Holdings shall have the same rights to contribution as the Company or Holdings, subject in each case to the applicable terms and conditions of this paragraph (d).</w:t>
      </w:r>
    </w:p>
    <w:p>
      <w:pPr>
        <w:spacing w:after="0" w:line="390" w:lineRule="exact"/>
        <w:rPr>
          <w:rFonts w:ascii="Arial" w:cs="Arial" w:eastAsia="Arial" w:hAnsi="Arial"/>
          <w:sz w:val="16"/>
          <w:szCs w:val="16"/>
          <w:color w:val="auto"/>
        </w:rPr>
      </w:pPr>
    </w:p>
    <w:p>
      <w:pPr>
        <w:jc w:val="both"/>
        <w:ind w:left="-20" w:firstLine="656"/>
        <w:spacing w:after="0" w:line="268" w:lineRule="auto"/>
        <w:tabs>
          <w:tab w:leader="none" w:pos="110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Default by an Underwriter</w:t>
      </w:r>
      <w:r>
        <w:rPr>
          <w:rFonts w:ascii="Arial" w:cs="Arial" w:eastAsia="Arial" w:hAnsi="Arial"/>
          <w:sz w:val="17"/>
          <w:szCs w:val="17"/>
          <w:color w:val="auto"/>
        </w:rPr>
        <w:t xml:space="preserv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which the principal amount of Notes set forth opposite their names in Schedule II hereto bears to the aggregate principal amount of Notes set forth opposite the names of all the remaining Underwriters) the Securities which the defaulting Underwriter or Underwriters agreed but failed to purchase;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in the event that the aggregate principal amount of Notes which the defaulting Underwriter or Underwriters agreed but failed to purchase shall exceed 10% of the aggregate principal amount of Notes set forth in Schedule II hereto, the remaining Underwriters shall have the right to purchase all, but shall not be under any obligation to purchase any, of the Securities, and if such nondefaulting Underwriters do not purchase all the Securities, this Agreement will terminate without liability to any nondefaulting Underwriter, the Company or Holdings. In the event of a default by any Underwriter as set forth in this Section 10, the Closing Date shall be postponed for such period, not exceeding five Business Days, as the Representatives shall determine in order that the required changes in the Registration Statement, the Time of Sale Information and the Final Prospectus or in any other documents or arrangements may be effected. Nothing contained in this Agreement shall relieve any defaulting Underwriter of its liability, if any, to the Company and any nondefaulting Underwriter for damages occasioned by its default hereunder.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31" w:name="page32"/>
    <w:bookmarkEnd w:id="31"/>
    <w:p>
      <w:pPr>
        <w:jc w:val="both"/>
        <w:ind w:left="-8" w:firstLine="656"/>
        <w:spacing w:after="0" w:line="285" w:lineRule="auto"/>
        <w:tabs>
          <w:tab w:leader="none" w:pos="1105"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shall be subject to termination in the absolute discretion of the Representatives, by notice given to the Company prior to delivery of and payment for the Securities, if at any time prior to such time (i) trading in the Company’s common stock shall have been suspended by the Commission, (ii) trading in securities generally on the New York Stock Exchange shall have been suspended or limited or minimum prices shall have been established on such exchange, (iii) a banking moratorium shall have been declared either by Federal, New York State or State of Texas authorities or a material disruption in commercial banking or securities settlement or clearance services in the United States shall have occurred, or</w:t>
      </w:r>
    </w:p>
    <w:p>
      <w:pPr>
        <w:spacing w:after="0" w:line="1" w:lineRule="exact"/>
        <w:rPr>
          <w:rFonts w:ascii="Arial" w:cs="Arial" w:eastAsia="Arial" w:hAnsi="Arial"/>
          <w:sz w:val="16"/>
          <w:szCs w:val="16"/>
          <w:color w:val="auto"/>
        </w:rPr>
      </w:pPr>
    </w:p>
    <w:p>
      <w:pPr>
        <w:jc w:val="both"/>
        <w:ind w:left="-8" w:firstLine="8"/>
        <w:spacing w:after="0" w:line="273" w:lineRule="auto"/>
        <w:tabs>
          <w:tab w:leader="none" w:pos="321"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there shall have occurred any material change in the financial markets or any outbreak or escalation of hostilities, insurrection or armed conflict, declaration by the United States of a national emergency or war, or other calamity or crisis the effect of which on financial markets is such as to make it, in the sole judgment of the Representatives, impractical or inadvisable to proceed with the offering or delivery of the Securities as contemplated by this Agreement, the Time of Sale Information and the Final Prospectus (exclusive of any amendment or supplement thereto).</w:t>
      </w:r>
    </w:p>
    <w:p>
      <w:pPr>
        <w:spacing w:after="0" w:line="176" w:lineRule="exact"/>
        <w:rPr>
          <w:rFonts w:ascii="Arial" w:cs="Arial" w:eastAsia="Arial" w:hAnsi="Arial"/>
          <w:sz w:val="17"/>
          <w:szCs w:val="17"/>
          <w:color w:val="auto"/>
        </w:rPr>
      </w:pPr>
    </w:p>
    <w:p>
      <w:pPr>
        <w:jc w:val="both"/>
        <w:ind w:left="-8" w:firstLine="656"/>
        <w:spacing w:after="0" w:line="257" w:lineRule="auto"/>
        <w:tabs>
          <w:tab w:leader="none" w:pos="1112"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Representations and Indemnities to Survive</w:t>
      </w:r>
      <w:r>
        <w:rPr>
          <w:rFonts w:ascii="Arial" w:cs="Arial" w:eastAsia="Arial" w:hAnsi="Arial"/>
          <w:sz w:val="18"/>
          <w:szCs w:val="18"/>
          <w:color w:val="auto"/>
        </w:rPr>
        <w:t>. The respective agreements, representations, warranties, indemnities and other statements of the Company and Holdings or their respective officers and of the Underwriters set forth in or made pursuant to this Agreement will remain in full force and effect, regardless of any investigation made by or on behalf of any Underwriter, the Company or Holdings or any of the officers, directors, employees, agents or controlling persons referred to in Section 9 hereof, and will survive delivery of and payment for the Securities. The provisions of Sections 8 and 9 hereof shall survive the termination or cancellation of this Agreement.</w:t>
      </w:r>
    </w:p>
    <w:p>
      <w:pPr>
        <w:spacing w:after="0" w:line="187" w:lineRule="exact"/>
        <w:rPr>
          <w:rFonts w:ascii="Arial" w:cs="Arial" w:eastAsia="Arial" w:hAnsi="Arial"/>
          <w:sz w:val="18"/>
          <w:szCs w:val="18"/>
          <w:color w:val="auto"/>
        </w:rPr>
      </w:pPr>
    </w:p>
    <w:p>
      <w:pPr>
        <w:jc w:val="both"/>
        <w:ind w:left="-8" w:firstLine="656"/>
        <w:spacing w:after="0" w:line="255" w:lineRule="auto"/>
        <w:tabs>
          <w:tab w:leader="none" w:pos="1112"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will be in writing and effective only on receipt, and, if sent to the Representatives, will be mailed, delivered or telefaxed to: Credit Suisse Securities (USA) LLC, 11 Madison Avenue, New York, NY 10010, Facsimile No.: (212) 325-4296, Goldman Sachs &amp; Co. LLC, 200 West Street, New York, NY 10282, Facsimile No.: (212) 902-9316, and Wells Fargo Securities, LLC, 550 South Tryon Street, 5th Floor, Charlotte, NC 28202, Email: tmgcapitalmarkets@wellsfargo.com; or, if sent to the Company or Holdings, will be mailed, delivered or telefaxed to Waste Management, Inc., 800 Capitol Street, Suite 3000, Houston, Texas 77002, Attn: David L. Reed, Vice President &amp; Treasurer, Facsimile No.: (713) 328-7471, Email: dlreed@wm.com and GCLegal@wm.com.</w:t>
      </w:r>
    </w:p>
    <w:p>
      <w:pPr>
        <w:spacing w:after="0" w:line="192" w:lineRule="exact"/>
        <w:rPr>
          <w:rFonts w:ascii="Arial" w:cs="Arial" w:eastAsia="Arial" w:hAnsi="Arial"/>
          <w:sz w:val="18"/>
          <w:szCs w:val="18"/>
          <w:color w:val="auto"/>
        </w:rPr>
      </w:pPr>
    </w:p>
    <w:p>
      <w:pPr>
        <w:jc w:val="both"/>
        <w:ind w:left="-8" w:firstLine="656"/>
        <w:spacing w:after="0" w:line="263" w:lineRule="auto"/>
        <w:tabs>
          <w:tab w:leader="none" w:pos="1112"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will inure to the benefit of and be binding upon the parties hereto and their respective successors and the officers, directors, employees, agents and controlling persons referred to in Section 9 hereof, and no other person will have any right or obligation hereunder.</w:t>
      </w:r>
    </w:p>
    <w:p>
      <w:pPr>
        <w:spacing w:after="0" w:line="40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32" w:name="page33"/>
    <w:bookmarkEnd w:id="32"/>
    <w:p>
      <w:pPr>
        <w:ind w:left="-656" w:right="20" w:firstLine="656"/>
        <w:spacing w:after="0" w:line="277" w:lineRule="auto"/>
        <w:tabs>
          <w:tab w:leader="none" w:pos="464"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will be governed by and construed in accordance with the laws of the State of New York applicable to contracts made and to be performed within the State of New York.</w:t>
      </w:r>
    </w:p>
    <w:p>
      <w:pPr>
        <w:spacing w:after="0" w:line="170" w:lineRule="exact"/>
        <w:rPr>
          <w:rFonts w:ascii="Arial" w:cs="Arial" w:eastAsia="Arial" w:hAnsi="Arial"/>
          <w:sz w:val="18"/>
          <w:szCs w:val="18"/>
          <w:color w:val="auto"/>
        </w:rPr>
      </w:pPr>
    </w:p>
    <w:p>
      <w:pPr>
        <w:ind w:left="464" w:hanging="464"/>
        <w:spacing w:after="0"/>
        <w:tabs>
          <w:tab w:leader="none" w:pos="464"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Recognition of the U.S. Special Resolution Regimes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4"/>
        <w:spacing w:after="0" w:line="259" w:lineRule="auto"/>
        <w:tabs>
          <w:tab w:leader="none" w:pos="1122"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jc w:val="both"/>
        <w:ind w:left="4" w:firstLine="644"/>
        <w:spacing w:after="0" w:line="259" w:lineRule="auto"/>
        <w:tabs>
          <w:tab w:leader="none" w:pos="1109"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7" w:lineRule="exact"/>
        <w:rPr>
          <w:sz w:val="20"/>
          <w:szCs w:val="20"/>
          <w:color w:val="auto"/>
        </w:rPr>
      </w:pPr>
    </w:p>
    <w:p>
      <w:pPr>
        <w:ind w:left="644"/>
        <w:spacing w:after="0"/>
        <w:rPr>
          <w:sz w:val="20"/>
          <w:szCs w:val="20"/>
          <w:color w:val="auto"/>
        </w:rPr>
      </w:pPr>
      <w:r>
        <w:rPr>
          <w:rFonts w:ascii="Arial" w:cs="Arial" w:eastAsia="Arial" w:hAnsi="Arial"/>
          <w:sz w:val="18"/>
          <w:szCs w:val="18"/>
          <w:color w:val="auto"/>
        </w:rPr>
        <w:t>For purposes of this Section 16, the following definitions apply:</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BHC Act Affiliate</w:t>
      </w:r>
      <w:r>
        <w:rPr>
          <w:rFonts w:ascii="Arial" w:cs="Arial" w:eastAsia="Arial" w:hAnsi="Arial"/>
          <w:sz w:val="16"/>
          <w:szCs w:val="16"/>
          <w:color w:val="auto"/>
        </w:rPr>
        <w:t>” has the meaning assigned to the term “affiliate” in, and shall be interpreted in accordance with, 12 U.S.C. § 1841(k).</w:t>
      </w:r>
    </w:p>
    <w:p>
      <w:pPr>
        <w:spacing w:after="0" w:line="248"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225" w:lineRule="exact"/>
        <w:rPr>
          <w:sz w:val="20"/>
          <w:szCs w:val="20"/>
          <w:color w:val="auto"/>
        </w:rPr>
      </w:pPr>
    </w:p>
    <w:p>
      <w:pPr>
        <w:ind w:left="1104" w:hanging="456"/>
        <w:spacing w:after="0"/>
        <w:tabs>
          <w:tab w:leader="none" w:pos="11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225" w:lineRule="exact"/>
        <w:rPr>
          <w:rFonts w:ascii="Arial" w:cs="Arial" w:eastAsia="Arial" w:hAnsi="Arial"/>
          <w:sz w:val="18"/>
          <w:szCs w:val="18"/>
          <w:color w:val="auto"/>
        </w:rPr>
      </w:pPr>
    </w:p>
    <w:p>
      <w:pPr>
        <w:ind w:left="1144" w:hanging="496"/>
        <w:spacing w:after="0"/>
        <w:tabs>
          <w:tab w:leader="none" w:pos="1144"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225" w:lineRule="exact"/>
        <w:rPr>
          <w:rFonts w:ascii="Arial" w:cs="Arial" w:eastAsia="Arial" w:hAnsi="Arial"/>
          <w:sz w:val="18"/>
          <w:szCs w:val="18"/>
          <w:color w:val="auto"/>
        </w:rPr>
      </w:pPr>
    </w:p>
    <w:p>
      <w:pPr>
        <w:ind w:left="1164" w:hanging="516"/>
        <w:spacing w:after="0"/>
        <w:tabs>
          <w:tab w:leader="none" w:pos="1164"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25" w:lineRule="exact"/>
        <w:rPr>
          <w:sz w:val="20"/>
          <w:szCs w:val="20"/>
          <w:color w:val="auto"/>
        </w:rPr>
      </w:pPr>
    </w:p>
    <w:p>
      <w:pPr>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70" w:lineRule="exact"/>
        <w:rPr>
          <w:sz w:val="20"/>
          <w:szCs w:val="20"/>
          <w:color w:val="auto"/>
        </w:rPr>
      </w:pPr>
    </w:p>
    <w:p>
      <w:pPr>
        <w:ind w:left="6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Special Resolution Regime</w:t>
      </w:r>
      <w:r>
        <w:rPr>
          <w:rFonts w:ascii="Arial" w:cs="Arial" w:eastAsia="Arial" w:hAnsi="Arial"/>
          <w:sz w:val="16"/>
          <w:szCs w:val="16"/>
          <w:color w:val="auto"/>
        </w:rPr>
        <w:t>” means each of (A) the Federal Deposit Insurance Act and the regulations promulgated thereunder and</w:t>
      </w:r>
    </w:p>
    <w:p>
      <w:pPr>
        <w:spacing w:after="0" w:line="46" w:lineRule="exact"/>
        <w:rPr>
          <w:sz w:val="20"/>
          <w:szCs w:val="20"/>
          <w:color w:val="auto"/>
        </w:rPr>
      </w:pPr>
    </w:p>
    <w:p>
      <w:pPr>
        <w:ind w:left="4884" w:right="1580" w:hanging="4884"/>
        <w:spacing w:after="0" w:line="761" w:lineRule="auto"/>
        <w:tabs>
          <w:tab w:leader="none" w:pos="281" w:val="left"/>
        </w:tabs>
        <w:numPr>
          <w:ilvl w:val="0"/>
          <w:numId w:val="43"/>
        </w:numPr>
        <w:rPr>
          <w:rFonts w:ascii="Arial" w:cs="Arial" w:eastAsia="Arial" w:hAnsi="Arial"/>
          <w:sz w:val="18"/>
          <w:szCs w:val="18"/>
          <w:color w:val="auto"/>
        </w:rPr>
      </w:pPr>
      <w:r>
        <w:rPr>
          <w:rFonts w:ascii="Arial" w:cs="Arial" w:eastAsia="Arial" w:hAnsi="Arial"/>
          <w:sz w:val="18"/>
          <w:szCs w:val="18"/>
          <w:color w:val="auto"/>
        </w:rPr>
        <w:t>Title II of the Dodd-Frank Wall Street Reform and Consumer Protection Act and the regulations promulgated thereunder.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-284480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3" w:name="page34"/>
    <w:bookmarkEnd w:id="33"/>
    <w:p>
      <w:pPr>
        <w:jc w:val="both"/>
        <w:ind w:left="-20" w:firstLine="656"/>
        <w:spacing w:after="0" w:line="269" w:lineRule="auto"/>
        <w:tabs>
          <w:tab w:leader="none" w:pos="1100"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signed in one or more counterparts, each of which shall constitute an original and all of which together shall constitute one and the same agreement. The words “execution,” “signed,” “signature,” and words of like import in this Agreement or in any instruments, agreements, certificates, legal opinions, negative assurance letters or other documents entered into or delivered pursuant to or in connection with this Agreement or the Indenture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85" w:lineRule="exact"/>
        <w:rPr>
          <w:rFonts w:ascii="Arial" w:cs="Arial" w:eastAsia="Arial" w:hAnsi="Arial"/>
          <w:sz w:val="17"/>
          <w:szCs w:val="17"/>
          <w:color w:val="auto"/>
        </w:rPr>
      </w:pPr>
    </w:p>
    <w:p>
      <w:pPr>
        <w:ind w:left="1100" w:hanging="464"/>
        <w:spacing w:after="0"/>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225" w:lineRule="exact"/>
        <w:rPr>
          <w:rFonts w:ascii="Arial" w:cs="Arial" w:eastAsia="Arial" w:hAnsi="Arial"/>
          <w:sz w:val="18"/>
          <w:szCs w:val="18"/>
          <w:color w:val="auto"/>
        </w:rPr>
      </w:pPr>
    </w:p>
    <w:p>
      <w:pPr>
        <w:ind w:left="1100" w:hanging="464"/>
        <w:spacing w:after="0"/>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terms that follow, when used in this Agreement, shall have the meanings indicated.</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1940 Act</w:t>
      </w:r>
      <w:r>
        <w:rPr>
          <w:rFonts w:ascii="Arial" w:cs="Arial" w:eastAsia="Arial" w:hAnsi="Arial"/>
          <w:sz w:val="18"/>
          <w:szCs w:val="18"/>
          <w:color w:val="auto"/>
        </w:rPr>
        <w:t>” shall mean the Investment Company Act of 1940, as amended.</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Act</w:t>
      </w:r>
      <w:r>
        <w:rPr>
          <w:rFonts w:ascii="Arial" w:cs="Arial" w:eastAsia="Arial" w:hAnsi="Arial"/>
          <w:sz w:val="17"/>
          <w:szCs w:val="17"/>
          <w:color w:val="auto"/>
        </w:rPr>
        <w:t>” shall mean the Securities Act of 1933, as amended, and the rules and regulations of the Commission promulgated thereunder.</w:t>
      </w:r>
    </w:p>
    <w:p>
      <w:pPr>
        <w:spacing w:after="0" w:line="237" w:lineRule="exact"/>
        <w:rPr>
          <w:sz w:val="20"/>
          <w:szCs w:val="20"/>
          <w:color w:val="auto"/>
        </w:rPr>
      </w:pPr>
    </w:p>
    <w:p>
      <w:pPr>
        <w:jc w:val="both"/>
        <w:ind w:left="6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Prospectus</w:t>
      </w:r>
      <w:r>
        <w:rPr>
          <w:rFonts w:ascii="Arial" w:cs="Arial" w:eastAsia="Arial" w:hAnsi="Arial"/>
          <w:sz w:val="16"/>
          <w:szCs w:val="16"/>
          <w:color w:val="auto"/>
        </w:rPr>
        <w:t>” shall mean the prospectus referred to in Section 1(a) above contained in the Registration Statement at the Effective</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jc w:val="both"/>
        <w:ind w:left="6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a Sunday or a legal holiday or a day on which banking institutions or trust companies are authorized or obligated by law to close in New York City or Houston, Texas.</w:t>
      </w:r>
    </w:p>
    <w:p>
      <w:pPr>
        <w:spacing w:after="0" w:line="17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jc w:val="both"/>
        <w:ind w:left="6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each date and time that the Registration Statement, any post-effective amendment or amendments thereto and any Rule 462(b) Registration Statement became or become effective or are deemed to become effective under Rule 430A, Rule 430B and Rule 430C.</w:t>
      </w:r>
    </w:p>
    <w:p>
      <w:pPr>
        <w:spacing w:after="0" w:line="184" w:lineRule="exact"/>
        <w:rPr>
          <w:sz w:val="20"/>
          <w:szCs w:val="20"/>
          <w:color w:val="auto"/>
        </w:rPr>
      </w:pPr>
    </w:p>
    <w:p>
      <w:pPr>
        <w:jc w:val="both"/>
        <w:ind w:left="640"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and the rules and regulations of the Commission promulgated thereunder.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34" w:name="page35"/>
    <w:bookmarkEnd w:id="34"/>
    <w:p>
      <w:pPr>
        <w:jc w:val="both"/>
        <w:ind w:left="660"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Prospectus</w:t>
      </w:r>
      <w:r>
        <w:rPr>
          <w:rFonts w:ascii="Arial" w:cs="Arial" w:eastAsia="Arial" w:hAnsi="Arial"/>
          <w:sz w:val="18"/>
          <w:szCs w:val="18"/>
          <w:color w:val="auto"/>
        </w:rPr>
        <w:t>” shall mean the prospectus supplement relating to the Securities that was first filed with the Commission pursuant to Rule 424(b) after the Time of Sale, together with the Base Prospectus.</w:t>
      </w:r>
    </w:p>
    <w:p>
      <w:pPr>
        <w:spacing w:after="0" w:line="170"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Preliminary Prospectus</w:t>
      </w:r>
      <w:r>
        <w:rPr>
          <w:rFonts w:ascii="Arial" w:cs="Arial" w:eastAsia="Arial" w:hAnsi="Arial"/>
          <w:sz w:val="18"/>
          <w:szCs w:val="18"/>
          <w:color w:val="auto"/>
        </w:rPr>
        <w:t>” shall mean the preliminary prospectus supplement relating to the Securities dated April 28, 2021 that was filed with the Commission pursuant to Rule 424(b) prior to the Time of Sale, together with the Base Prospectus.</w:t>
      </w:r>
    </w:p>
    <w:p>
      <w:pPr>
        <w:spacing w:after="0" w:line="170"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 Delivery Period</w:t>
      </w:r>
      <w:r>
        <w:rPr>
          <w:rFonts w:ascii="Arial" w:cs="Arial" w:eastAsia="Arial" w:hAnsi="Arial"/>
          <w:sz w:val="18"/>
          <w:szCs w:val="18"/>
          <w:color w:val="auto"/>
        </w:rPr>
        <w:t>” shall mean such period of time after the first date of the public offering of the Securities as in the opinion of counsel for the Underwriters a prospectus relating to the Securities is required by law to be delivered (or required to be delivered but for Rule 172 under the Act) in connection with sales of the Securities by any Underwriter or dealer.</w:t>
      </w:r>
    </w:p>
    <w:p>
      <w:pPr>
        <w:spacing w:after="0" w:line="184" w:lineRule="exact"/>
        <w:rPr>
          <w:sz w:val="20"/>
          <w:szCs w:val="20"/>
          <w:color w:val="auto"/>
        </w:rPr>
      </w:pPr>
    </w:p>
    <w:p>
      <w:pPr>
        <w:jc w:val="both"/>
        <w:ind w:left="660"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shall mean the registration statement referred to in Section 1(a) above, including exhibits and financial statements, as amended at the Time of Sale (or, if not effective at the Time of Sale, in the form in which it shall become effective) and, in the event any post-effective amendment thereto or any Rule 462(b) Registration Statement becomes effective prior to the Closing Date, shall also mean such registration statement as so amended or such Rule 462(b) Registration Statement, as the case may be. Such term shall include any Rule 430 Information deemed to be included therein at the Effective Date as provided by Rule 430A, Rule 430B or Rule 430C.</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415</w:t>
      </w:r>
      <w:r>
        <w:rPr>
          <w:rFonts w:ascii="Arial" w:cs="Arial" w:eastAsia="Arial" w:hAnsi="Arial"/>
          <w:sz w:val="18"/>
          <w:szCs w:val="18"/>
          <w:color w:val="auto"/>
        </w:rPr>
        <w:t>,” “</w:t>
      </w:r>
      <w:r>
        <w:rPr>
          <w:rFonts w:ascii="Arial" w:cs="Arial" w:eastAsia="Arial" w:hAnsi="Arial"/>
          <w:sz w:val="18"/>
          <w:szCs w:val="18"/>
          <w:u w:val="single" w:color="auto"/>
          <w:color w:val="auto"/>
        </w:rPr>
        <w:t>Rule 424</w:t>
      </w:r>
      <w:r>
        <w:rPr>
          <w:rFonts w:ascii="Arial" w:cs="Arial" w:eastAsia="Arial" w:hAnsi="Arial"/>
          <w:sz w:val="18"/>
          <w:szCs w:val="18"/>
          <w:color w:val="auto"/>
        </w:rPr>
        <w:t>,” “</w:t>
      </w:r>
      <w:r>
        <w:rPr>
          <w:rFonts w:ascii="Arial" w:cs="Arial" w:eastAsia="Arial" w:hAnsi="Arial"/>
          <w:sz w:val="18"/>
          <w:szCs w:val="18"/>
          <w:u w:val="single" w:color="auto"/>
          <w:color w:val="auto"/>
        </w:rPr>
        <w:t>Rule 430A</w:t>
      </w:r>
      <w:r>
        <w:rPr>
          <w:rFonts w:ascii="Arial" w:cs="Arial" w:eastAsia="Arial" w:hAnsi="Arial"/>
          <w:sz w:val="18"/>
          <w:szCs w:val="18"/>
          <w:color w:val="auto"/>
        </w:rPr>
        <w:t>,” “</w:t>
      </w:r>
      <w:r>
        <w:rPr>
          <w:rFonts w:ascii="Arial" w:cs="Arial" w:eastAsia="Arial" w:hAnsi="Arial"/>
          <w:sz w:val="18"/>
          <w:szCs w:val="18"/>
          <w:u w:val="single" w:color="auto"/>
          <w:color w:val="auto"/>
        </w:rPr>
        <w:t>Rule 430B</w:t>
      </w:r>
      <w:r>
        <w:rPr>
          <w:rFonts w:ascii="Arial" w:cs="Arial" w:eastAsia="Arial" w:hAnsi="Arial"/>
          <w:sz w:val="18"/>
          <w:szCs w:val="18"/>
          <w:color w:val="auto"/>
        </w:rPr>
        <w:t>,” “</w:t>
      </w:r>
      <w:r>
        <w:rPr>
          <w:rFonts w:ascii="Arial" w:cs="Arial" w:eastAsia="Arial" w:hAnsi="Arial"/>
          <w:sz w:val="18"/>
          <w:szCs w:val="18"/>
          <w:u w:val="single" w:color="auto"/>
          <w:color w:val="auto"/>
        </w:rPr>
        <w:t>Rule 430C</w:t>
      </w:r>
      <w:r>
        <w:rPr>
          <w:rFonts w:ascii="Arial" w:cs="Arial" w:eastAsia="Arial" w:hAnsi="Arial"/>
          <w:sz w:val="18"/>
          <w:szCs w:val="18"/>
          <w:color w:val="auto"/>
        </w:rPr>
        <w:t>” and “</w:t>
      </w:r>
      <w:r>
        <w:rPr>
          <w:rFonts w:ascii="Arial" w:cs="Arial" w:eastAsia="Arial" w:hAnsi="Arial"/>
          <w:sz w:val="18"/>
          <w:szCs w:val="18"/>
          <w:u w:val="single" w:color="auto"/>
          <w:color w:val="auto"/>
        </w:rPr>
        <w:t>Rule 462</w:t>
      </w:r>
      <w:r>
        <w:rPr>
          <w:rFonts w:ascii="Arial" w:cs="Arial" w:eastAsia="Arial" w:hAnsi="Arial"/>
          <w:sz w:val="18"/>
          <w:szCs w:val="18"/>
          <w:color w:val="auto"/>
        </w:rPr>
        <w:t>” refer to such rules under the Act.</w:t>
      </w:r>
    </w:p>
    <w:p>
      <w:pPr>
        <w:spacing w:after="0" w:line="225"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430 Information</w:t>
      </w:r>
      <w:r>
        <w:rPr>
          <w:rFonts w:ascii="Arial" w:cs="Arial" w:eastAsia="Arial" w:hAnsi="Arial"/>
          <w:sz w:val="18"/>
          <w:szCs w:val="18"/>
          <w:color w:val="auto"/>
        </w:rPr>
        <w:t>” shall mean information with respect to the Securities and the offering thereof permitted to be omitted from the Registration Statement when it becomes effective pursuant to Rule 430A, Rule 430B or Rule 430C that is deemed to be part of the Registration Statement at the time of its effectiveness.</w:t>
      </w:r>
    </w:p>
    <w:p>
      <w:pPr>
        <w:spacing w:after="0" w:line="184" w:lineRule="exact"/>
        <w:rPr>
          <w:sz w:val="20"/>
          <w:szCs w:val="20"/>
          <w:color w:val="auto"/>
        </w:rPr>
      </w:pPr>
    </w:p>
    <w:p>
      <w:pPr>
        <w:jc w:val="both"/>
        <w:ind w:left="660"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462(b) Registration Statement</w:t>
      </w:r>
      <w:r>
        <w:rPr>
          <w:rFonts w:ascii="Arial" w:cs="Arial" w:eastAsia="Arial" w:hAnsi="Arial"/>
          <w:sz w:val="18"/>
          <w:szCs w:val="18"/>
          <w:color w:val="auto"/>
        </w:rPr>
        <w:t>” shall mean a registration statement and any amendments thereto filed pursuant to Rule 462(b) relating to the offering covered by the registration statement referred to in Section 1(a) above.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Time of Sale</w:t>
      </w:r>
      <w:r>
        <w:rPr>
          <w:rFonts w:ascii="Arial" w:cs="Arial" w:eastAsia="Arial" w:hAnsi="Arial"/>
          <w:sz w:val="17"/>
          <w:szCs w:val="17"/>
          <w:color w:val="auto"/>
        </w:rPr>
        <w:t>” shall mean 8:10 P.M. New York City time on April 28, 2021, the time when sales of the Securities were first made.</w:t>
      </w:r>
    </w:p>
    <w:p>
      <w:pPr>
        <w:spacing w:after="0" w:line="237" w:lineRule="exact"/>
        <w:rPr>
          <w:sz w:val="20"/>
          <w:szCs w:val="20"/>
          <w:color w:val="auto"/>
        </w:rPr>
      </w:pPr>
    </w:p>
    <w:p>
      <w:pPr>
        <w:jc w:val="both"/>
        <w:ind w:left="660"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w:t>
      </w:r>
      <w:r>
        <w:rPr>
          <w:rFonts w:ascii="Arial" w:cs="Arial" w:eastAsia="Arial" w:hAnsi="Arial"/>
          <w:sz w:val="18"/>
          <w:szCs w:val="18"/>
          <w:color w:val="auto"/>
        </w:rPr>
        <w:t>” shall mean the Trust Indenture Act of 1939, as amended, and the rules and regulations of the Commission promulgated thereunder.</w:t>
      </w:r>
    </w:p>
    <w:p>
      <w:pPr>
        <w:spacing w:after="0" w:line="170" w:lineRule="exact"/>
        <w:rPr>
          <w:sz w:val="20"/>
          <w:szCs w:val="20"/>
          <w:color w:val="auto"/>
        </w:rPr>
      </w:pPr>
    </w:p>
    <w:p>
      <w:pPr>
        <w:jc w:val="both"/>
        <w:ind w:firstLine="656"/>
        <w:spacing w:after="0" w:line="259" w:lineRule="auto"/>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ind w:firstLine="648"/>
        <w:spacing w:after="0" w:line="308" w:lineRule="auto"/>
        <w:rPr>
          <w:sz w:val="20"/>
          <w:szCs w:val="20"/>
          <w:color w:val="auto"/>
        </w:rPr>
      </w:pPr>
      <w:r>
        <w:rPr>
          <w:rFonts w:ascii="Arial" w:cs="Arial" w:eastAsia="Arial" w:hAnsi="Arial"/>
          <w:sz w:val="17"/>
          <w:szCs w:val="17"/>
          <w:color w:val="auto"/>
        </w:rPr>
        <w:t>If the foregoing is in accordance with your understanding of our agreement, please sign and return to us the enclosed duplicate hereof, whereupon this letter and your acceptance shall represent a binding agreement among the Company, Holdings and the several Underwriters.</w:t>
      </w:r>
    </w:p>
    <w:p>
      <w:pPr>
        <w:spacing w:after="0" w:line="1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WASTE MANAGEMENT, INC.</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14605</wp:posOffset>
            </wp:positionV>
            <wp:extent cx="33686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1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Name:David L. Reed</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Vice President and Treasurer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WASTE MANAGEMENT HOLDINGS, INC.</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14605</wp:posOffset>
            </wp:positionV>
            <wp:extent cx="33686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1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Name:David L. Reed</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Vice President and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The foregoing Agreement is hereby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confirmed and accepted as of the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set forth above.</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tab/>
        <w:t>CREDIT SUISSE SECURITIES (USA)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Christopher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Christopher Murphy</w:t>
      </w:r>
    </w:p>
    <w:p>
      <w:pPr>
        <w:spacing w:after="0" w:line="2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0" w:lineRule="exact"/>
        <w:rPr>
          <w:sz w:val="20"/>
          <w:szCs w:val="20"/>
          <w:color w:val="auto"/>
        </w:rPr>
      </w:pPr>
    </w:p>
    <w:p>
      <w:pPr>
        <w:spacing w:after="0" w:line="2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tab/>
        <w:t>GOLDMAN SACHS &amp; CO.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Sam Chaffin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Sam Chaffin</w:t>
      </w:r>
    </w:p>
    <w:p>
      <w:pPr>
        <w:spacing w:after="0" w:line="2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tab/>
        <w:t>WELLS FARGO SECURITIES,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Carolyn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Carolyn Hurley</w:t>
      </w:r>
    </w:p>
    <w:p>
      <w:pPr>
        <w:spacing w:after="0" w:line="2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the other several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if any, named in Schedule II to the foregoing Agreement.</w:t>
      </w:r>
    </w:p>
    <w:p>
      <w:pPr>
        <w:spacing w:after="0" w:line="211" w:lineRule="exact"/>
        <w:rPr>
          <w:sz w:val="20"/>
          <w:szCs w:val="20"/>
          <w:color w:val="auto"/>
        </w:rPr>
      </w:pPr>
    </w:p>
    <w:p>
      <w:pPr>
        <w:jc w:val="right"/>
        <w:ind w:right="2939"/>
        <w:spacing w:after="0"/>
        <w:rPr>
          <w:sz w:val="20"/>
          <w:szCs w:val="20"/>
          <w:color w:val="auto"/>
        </w:rPr>
      </w:pPr>
      <w:r>
        <w:rPr>
          <w:rFonts w:ascii="Arial" w:cs="Arial" w:eastAsia="Arial" w:hAnsi="Arial"/>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880" w:type="dxa"/>
            <w:vAlign w:val="bottom"/>
            <w:gridSpan w:val="2"/>
          </w:tcPr>
          <w:p>
            <w:pPr>
              <w:jc w:val="center"/>
              <w:ind w:right="3250"/>
              <w:spacing w:after="0"/>
              <w:rPr>
                <w:sz w:val="20"/>
                <w:szCs w:val="20"/>
                <w:color w:val="auto"/>
              </w:rPr>
            </w:pPr>
            <w:r>
              <w:rPr>
                <w:rFonts w:ascii="Arial" w:cs="Arial" w:eastAsia="Arial" w:hAnsi="Arial"/>
                <w:sz w:val="18"/>
                <w:szCs w:val="18"/>
                <w:b w:val="1"/>
                <w:bCs w:val="1"/>
                <w:color w:val="auto"/>
              </w:rPr>
              <w:t>SCHEDULE I</w:t>
            </w:r>
          </w:p>
        </w:tc>
      </w:tr>
      <w:tr>
        <w:trPr>
          <w:trHeight w:val="418"/>
        </w:trPr>
        <w:tc>
          <w:tcPr>
            <w:tcW w:w="3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120" w:type="dxa"/>
            <w:vAlign w:val="bottom"/>
          </w:tcPr>
          <w:p>
            <w:pPr>
              <w:jc w:val="right"/>
              <w:spacing w:after="0"/>
              <w:rPr>
                <w:sz w:val="20"/>
                <w:szCs w:val="20"/>
                <w:color w:val="auto"/>
              </w:rPr>
            </w:pPr>
            <w:r>
              <w:rPr>
                <w:rFonts w:ascii="Arial" w:cs="Arial" w:eastAsia="Arial" w:hAnsi="Arial"/>
                <w:sz w:val="18"/>
                <w:szCs w:val="18"/>
                <w:color w:val="auto"/>
              </w:rPr>
              <w:t>Filed Pursuant to Rule 433</w:t>
            </w:r>
          </w:p>
        </w:tc>
      </w:tr>
      <w:tr>
        <w:trPr>
          <w:trHeight w:val="216"/>
        </w:trPr>
        <w:tc>
          <w:tcPr>
            <w:tcW w:w="3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120" w:type="dxa"/>
            <w:vAlign w:val="bottom"/>
          </w:tcPr>
          <w:p>
            <w:pPr>
              <w:jc w:val="right"/>
              <w:spacing w:after="0"/>
              <w:rPr>
                <w:sz w:val="20"/>
                <w:szCs w:val="20"/>
                <w:color w:val="auto"/>
              </w:rPr>
            </w:pPr>
            <w:r>
              <w:rPr>
                <w:rFonts w:ascii="Arial" w:cs="Arial" w:eastAsia="Arial" w:hAnsi="Arial"/>
                <w:sz w:val="18"/>
                <w:szCs w:val="18"/>
                <w:color w:val="auto"/>
              </w:rPr>
              <w:t>Issuer Free Writing Prospectus dated April 28, 2021 relating to the</w:t>
            </w:r>
          </w:p>
        </w:tc>
      </w:tr>
      <w:tr>
        <w:trPr>
          <w:trHeight w:val="216"/>
        </w:trPr>
        <w:tc>
          <w:tcPr>
            <w:tcW w:w="3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120" w:type="dxa"/>
            <w:vAlign w:val="bottom"/>
          </w:tcPr>
          <w:p>
            <w:pPr>
              <w:jc w:val="right"/>
              <w:spacing w:after="0"/>
              <w:rPr>
                <w:sz w:val="20"/>
                <w:szCs w:val="20"/>
                <w:color w:val="auto"/>
              </w:rPr>
            </w:pPr>
            <w:r>
              <w:rPr>
                <w:rFonts w:ascii="Arial" w:cs="Arial" w:eastAsia="Arial" w:hAnsi="Arial"/>
                <w:sz w:val="18"/>
                <w:szCs w:val="18"/>
                <w:color w:val="auto"/>
              </w:rPr>
              <w:t>Preliminary Prospectus Supplement dated April 28, 2021</w:t>
            </w:r>
          </w:p>
        </w:tc>
      </w:tr>
      <w:tr>
        <w:trPr>
          <w:trHeight w:val="216"/>
        </w:trPr>
        <w:tc>
          <w:tcPr>
            <w:tcW w:w="3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120" w:type="dxa"/>
            <w:vAlign w:val="bottom"/>
          </w:tcPr>
          <w:p>
            <w:pPr>
              <w:jc w:val="right"/>
              <w:spacing w:after="0"/>
              <w:rPr>
                <w:sz w:val="20"/>
                <w:szCs w:val="20"/>
                <w:color w:val="auto"/>
              </w:rPr>
            </w:pPr>
            <w:r>
              <w:rPr>
                <w:rFonts w:ascii="Arial" w:cs="Arial" w:eastAsia="Arial" w:hAnsi="Arial"/>
                <w:sz w:val="18"/>
                <w:szCs w:val="18"/>
                <w:color w:val="auto"/>
              </w:rPr>
              <w:t>to Prospectus dated April 25, 2019</w:t>
            </w:r>
          </w:p>
        </w:tc>
      </w:tr>
      <w:tr>
        <w:trPr>
          <w:trHeight w:val="230"/>
        </w:trPr>
        <w:tc>
          <w:tcPr>
            <w:tcW w:w="3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120" w:type="dxa"/>
            <w:vAlign w:val="bottom"/>
          </w:tcPr>
          <w:p>
            <w:pPr>
              <w:jc w:val="right"/>
              <w:spacing w:after="0"/>
              <w:rPr>
                <w:sz w:val="20"/>
                <w:szCs w:val="20"/>
                <w:color w:val="auto"/>
              </w:rPr>
            </w:pPr>
            <w:r>
              <w:rPr>
                <w:rFonts w:ascii="Arial" w:cs="Arial" w:eastAsia="Arial" w:hAnsi="Arial"/>
                <w:sz w:val="18"/>
                <w:szCs w:val="18"/>
                <w:color w:val="auto"/>
              </w:rPr>
              <w:t>Registration Statement No. 333-231027</w:t>
            </w:r>
          </w:p>
        </w:tc>
      </w:tr>
      <w:tr>
        <w:trPr>
          <w:trHeight w:val="432"/>
        </w:trPr>
        <w:tc>
          <w:tcPr>
            <w:tcW w:w="3360" w:type="dxa"/>
            <w:vAlign w:val="bottom"/>
          </w:tcPr>
          <w:p>
            <w:pPr>
              <w:spacing w:after="0"/>
              <w:rPr>
                <w:sz w:val="24"/>
                <w:szCs w:val="24"/>
                <w:color w:val="auto"/>
              </w:rPr>
            </w:pPr>
          </w:p>
        </w:tc>
        <w:tc>
          <w:tcPr>
            <w:tcW w:w="7880" w:type="dxa"/>
            <w:vAlign w:val="bottom"/>
            <w:gridSpan w:val="2"/>
          </w:tcPr>
          <w:p>
            <w:pPr>
              <w:jc w:val="center"/>
              <w:ind w:right="3270"/>
              <w:spacing w:after="0"/>
              <w:rPr>
                <w:sz w:val="20"/>
                <w:szCs w:val="20"/>
                <w:color w:val="auto"/>
              </w:rPr>
            </w:pPr>
            <w:r>
              <w:rPr>
                <w:rFonts w:ascii="Arial" w:cs="Arial" w:eastAsia="Arial" w:hAnsi="Arial"/>
                <w:sz w:val="18"/>
                <w:szCs w:val="18"/>
                <w:b w:val="1"/>
                <w:bCs w:val="1"/>
                <w:color w:val="auto"/>
                <w:w w:val="90"/>
              </w:rPr>
              <w:t>Pricing Term Sheet</w:t>
            </w:r>
          </w:p>
        </w:tc>
      </w:tr>
      <w:tr>
        <w:trPr>
          <w:trHeight w:val="414"/>
        </w:trPr>
        <w:tc>
          <w:tcPr>
            <w:tcW w:w="3360" w:type="dxa"/>
            <w:vAlign w:val="bottom"/>
          </w:tcPr>
          <w:p>
            <w:pPr>
              <w:spacing w:after="0"/>
              <w:rPr>
                <w:sz w:val="24"/>
                <w:szCs w:val="24"/>
                <w:color w:val="auto"/>
              </w:rPr>
            </w:pPr>
          </w:p>
        </w:tc>
        <w:tc>
          <w:tcPr>
            <w:tcW w:w="7880" w:type="dxa"/>
            <w:vAlign w:val="bottom"/>
            <w:gridSpan w:val="2"/>
          </w:tcPr>
          <w:p>
            <w:pPr>
              <w:jc w:val="center"/>
              <w:ind w:right="3270"/>
              <w:spacing w:after="0"/>
              <w:rPr>
                <w:sz w:val="20"/>
                <w:szCs w:val="20"/>
                <w:color w:val="auto"/>
              </w:rPr>
            </w:pPr>
            <w:r>
              <w:rPr>
                <w:rFonts w:ascii="Arial" w:cs="Arial" w:eastAsia="Arial" w:hAnsi="Arial"/>
                <w:sz w:val="18"/>
                <w:szCs w:val="18"/>
                <w:b w:val="1"/>
                <w:bCs w:val="1"/>
                <w:color w:val="auto"/>
                <w:w w:val="90"/>
              </w:rPr>
              <w:t>$475,000,000 2.00% Senior Notes due 2029</w:t>
            </w:r>
          </w:p>
        </w:tc>
      </w:tr>
      <w:tr>
        <w:trPr>
          <w:trHeight w:val="234"/>
        </w:trPr>
        <w:tc>
          <w:tcPr>
            <w:tcW w:w="3360" w:type="dxa"/>
            <w:vAlign w:val="bottom"/>
          </w:tcPr>
          <w:p>
            <w:pPr>
              <w:spacing w:after="0"/>
              <w:rPr>
                <w:sz w:val="20"/>
                <w:szCs w:val="20"/>
                <w:color w:val="auto"/>
              </w:rPr>
            </w:pPr>
          </w:p>
        </w:tc>
        <w:tc>
          <w:tcPr>
            <w:tcW w:w="7880" w:type="dxa"/>
            <w:vAlign w:val="bottom"/>
            <w:gridSpan w:val="2"/>
          </w:tcPr>
          <w:p>
            <w:pPr>
              <w:jc w:val="center"/>
              <w:ind w:right="3270"/>
              <w:spacing w:after="0"/>
              <w:rPr>
                <w:sz w:val="20"/>
                <w:szCs w:val="20"/>
                <w:color w:val="auto"/>
              </w:rPr>
            </w:pPr>
            <w:r>
              <w:rPr>
                <w:rFonts w:ascii="Arial" w:cs="Arial" w:eastAsia="Arial" w:hAnsi="Arial"/>
                <w:sz w:val="18"/>
                <w:szCs w:val="18"/>
                <w:b w:val="1"/>
                <w:bCs w:val="1"/>
                <w:color w:val="auto"/>
                <w:w w:val="90"/>
              </w:rPr>
              <w:t>$475,000,000 2.95% Senior Notes due 2041</w:t>
            </w:r>
          </w:p>
        </w:tc>
      </w:tr>
      <w:tr>
        <w:trPr>
          <w:trHeight w:val="432"/>
        </w:trPr>
        <w:tc>
          <w:tcPr>
            <w:tcW w:w="3360" w:type="dxa"/>
            <w:vAlign w:val="bottom"/>
          </w:tcPr>
          <w:p>
            <w:pPr>
              <w:spacing w:after="0"/>
              <w:rPr>
                <w:sz w:val="20"/>
                <w:szCs w:val="20"/>
                <w:color w:val="auto"/>
              </w:rPr>
            </w:pPr>
            <w:r>
              <w:rPr>
                <w:rFonts w:ascii="Arial" w:cs="Arial" w:eastAsia="Arial" w:hAnsi="Arial"/>
                <w:sz w:val="18"/>
                <w:szCs w:val="18"/>
                <w:color w:val="auto"/>
              </w:rPr>
              <w:t>Issuer:</w:t>
            </w:r>
          </w:p>
        </w:tc>
        <w:tc>
          <w:tcPr>
            <w:tcW w:w="7880" w:type="dxa"/>
            <w:vAlign w:val="bottom"/>
            <w:gridSpan w:val="2"/>
          </w:tcPr>
          <w:p>
            <w:pPr>
              <w:ind w:left="1380"/>
              <w:spacing w:after="0"/>
              <w:rPr>
                <w:sz w:val="20"/>
                <w:szCs w:val="20"/>
                <w:color w:val="auto"/>
              </w:rPr>
            </w:pPr>
            <w:r>
              <w:rPr>
                <w:rFonts w:ascii="Arial" w:cs="Arial" w:eastAsia="Arial" w:hAnsi="Arial"/>
                <w:sz w:val="18"/>
                <w:szCs w:val="18"/>
                <w:color w:val="auto"/>
              </w:rPr>
              <w:t>Waste Management, Inc.</w:t>
            </w:r>
          </w:p>
        </w:tc>
      </w:tr>
      <w:tr>
        <w:trPr>
          <w:trHeight w:val="432"/>
        </w:trPr>
        <w:tc>
          <w:tcPr>
            <w:tcW w:w="3360" w:type="dxa"/>
            <w:vAlign w:val="bottom"/>
          </w:tcPr>
          <w:p>
            <w:pPr>
              <w:spacing w:after="0"/>
              <w:rPr>
                <w:sz w:val="20"/>
                <w:szCs w:val="20"/>
                <w:color w:val="auto"/>
              </w:rPr>
            </w:pPr>
            <w:r>
              <w:rPr>
                <w:rFonts w:ascii="Arial" w:cs="Arial" w:eastAsia="Arial" w:hAnsi="Arial"/>
                <w:sz w:val="18"/>
                <w:szCs w:val="18"/>
                <w:color w:val="auto"/>
              </w:rPr>
              <w:t>Guarantor:</w:t>
            </w:r>
          </w:p>
        </w:tc>
        <w:tc>
          <w:tcPr>
            <w:tcW w:w="7880" w:type="dxa"/>
            <w:vAlign w:val="bottom"/>
            <w:gridSpan w:val="2"/>
          </w:tcPr>
          <w:p>
            <w:pPr>
              <w:ind w:left="1380"/>
              <w:spacing w:after="0"/>
              <w:rPr>
                <w:sz w:val="20"/>
                <w:szCs w:val="20"/>
                <w:color w:val="auto"/>
              </w:rPr>
            </w:pPr>
            <w:r>
              <w:rPr>
                <w:rFonts w:ascii="Arial" w:cs="Arial" w:eastAsia="Arial" w:hAnsi="Arial"/>
                <w:sz w:val="18"/>
                <w:szCs w:val="18"/>
                <w:color w:val="auto"/>
              </w:rPr>
              <w:t>Waste Management Holdings, Inc.</w:t>
            </w:r>
          </w:p>
        </w:tc>
      </w:tr>
      <w:tr>
        <w:trPr>
          <w:trHeight w:val="432"/>
        </w:trPr>
        <w:tc>
          <w:tcPr>
            <w:tcW w:w="3360" w:type="dxa"/>
            <w:vAlign w:val="bottom"/>
          </w:tcPr>
          <w:p>
            <w:pPr>
              <w:spacing w:after="0"/>
              <w:rPr>
                <w:sz w:val="20"/>
                <w:szCs w:val="20"/>
                <w:color w:val="auto"/>
              </w:rPr>
            </w:pPr>
            <w:r>
              <w:rPr>
                <w:rFonts w:ascii="Arial" w:cs="Arial" w:eastAsia="Arial" w:hAnsi="Arial"/>
                <w:sz w:val="18"/>
                <w:szCs w:val="18"/>
                <w:color w:val="auto"/>
              </w:rPr>
              <w:t>Ratings:*</w:t>
            </w:r>
          </w:p>
        </w:tc>
        <w:tc>
          <w:tcPr>
            <w:tcW w:w="7880" w:type="dxa"/>
            <w:vAlign w:val="bottom"/>
            <w:gridSpan w:val="2"/>
          </w:tcPr>
          <w:p>
            <w:pPr>
              <w:ind w:left="1380"/>
              <w:spacing w:after="0"/>
              <w:rPr>
                <w:sz w:val="20"/>
                <w:szCs w:val="20"/>
                <w:color w:val="auto"/>
              </w:rPr>
            </w:pPr>
            <w:r>
              <w:rPr>
                <w:rFonts w:ascii="Arial" w:cs="Arial" w:eastAsia="Arial" w:hAnsi="Arial"/>
                <w:sz w:val="18"/>
                <w:szCs w:val="18"/>
                <w:color w:val="auto"/>
              </w:rPr>
              <w:t>[Omitted in exhibit format]</w:t>
            </w:r>
          </w:p>
        </w:tc>
      </w:tr>
      <w:tr>
        <w:trPr>
          <w:trHeight w:val="432"/>
        </w:trPr>
        <w:tc>
          <w:tcPr>
            <w:tcW w:w="3360" w:type="dxa"/>
            <w:vAlign w:val="bottom"/>
          </w:tcPr>
          <w:p>
            <w:pPr>
              <w:spacing w:after="0"/>
              <w:rPr>
                <w:sz w:val="20"/>
                <w:szCs w:val="20"/>
                <w:color w:val="auto"/>
              </w:rPr>
            </w:pPr>
            <w:r>
              <w:rPr>
                <w:rFonts w:ascii="Arial" w:cs="Arial" w:eastAsia="Arial" w:hAnsi="Arial"/>
                <w:sz w:val="18"/>
                <w:szCs w:val="18"/>
                <w:color w:val="auto"/>
              </w:rPr>
              <w:t>Trade Date:</w:t>
            </w:r>
          </w:p>
        </w:tc>
        <w:tc>
          <w:tcPr>
            <w:tcW w:w="7880" w:type="dxa"/>
            <w:vAlign w:val="bottom"/>
            <w:gridSpan w:val="2"/>
          </w:tcPr>
          <w:p>
            <w:pPr>
              <w:ind w:left="1380"/>
              <w:spacing w:after="0"/>
              <w:rPr>
                <w:sz w:val="20"/>
                <w:szCs w:val="20"/>
                <w:color w:val="auto"/>
              </w:rPr>
            </w:pPr>
            <w:r>
              <w:rPr>
                <w:rFonts w:ascii="Arial" w:cs="Arial" w:eastAsia="Arial" w:hAnsi="Arial"/>
                <w:sz w:val="18"/>
                <w:szCs w:val="18"/>
                <w:color w:val="auto"/>
              </w:rPr>
              <w:t>April 28, 2021</w:t>
            </w:r>
          </w:p>
        </w:tc>
      </w:tr>
      <w:tr>
        <w:trPr>
          <w:trHeight w:val="432"/>
        </w:trPr>
        <w:tc>
          <w:tcPr>
            <w:tcW w:w="3360" w:type="dxa"/>
            <w:vAlign w:val="bottom"/>
          </w:tcPr>
          <w:p>
            <w:pPr>
              <w:spacing w:after="0"/>
              <w:rPr>
                <w:sz w:val="20"/>
                <w:szCs w:val="20"/>
                <w:color w:val="auto"/>
              </w:rPr>
            </w:pPr>
            <w:r>
              <w:rPr>
                <w:rFonts w:ascii="Arial" w:cs="Arial" w:eastAsia="Arial" w:hAnsi="Arial"/>
                <w:sz w:val="18"/>
                <w:szCs w:val="18"/>
                <w:color w:val="auto"/>
              </w:rPr>
              <w:t>Settlement Date:**</w:t>
            </w:r>
          </w:p>
        </w:tc>
        <w:tc>
          <w:tcPr>
            <w:tcW w:w="7880" w:type="dxa"/>
            <w:vAlign w:val="bottom"/>
            <w:gridSpan w:val="2"/>
          </w:tcPr>
          <w:p>
            <w:pPr>
              <w:ind w:left="1380"/>
              <w:spacing w:after="0"/>
              <w:rPr>
                <w:sz w:val="20"/>
                <w:szCs w:val="20"/>
                <w:color w:val="auto"/>
              </w:rPr>
            </w:pPr>
            <w:r>
              <w:rPr>
                <w:rFonts w:ascii="Arial" w:cs="Arial" w:eastAsia="Arial" w:hAnsi="Arial"/>
                <w:sz w:val="18"/>
                <w:szCs w:val="18"/>
                <w:color w:val="auto"/>
              </w:rPr>
              <w:t>T+10; May 12, 2021</w:t>
            </w:r>
          </w:p>
        </w:tc>
      </w:tr>
      <w:tr>
        <w:trPr>
          <w:trHeight w:val="418"/>
        </w:trPr>
        <w:tc>
          <w:tcPr>
            <w:tcW w:w="3360" w:type="dxa"/>
            <w:vAlign w:val="bottom"/>
          </w:tcPr>
          <w:p>
            <w:pPr>
              <w:spacing w:after="0"/>
              <w:rPr>
                <w:sz w:val="20"/>
                <w:szCs w:val="20"/>
                <w:color w:val="auto"/>
              </w:rPr>
            </w:pPr>
            <w:r>
              <w:rPr>
                <w:rFonts w:ascii="Arial" w:cs="Arial" w:eastAsia="Arial" w:hAnsi="Arial"/>
                <w:sz w:val="18"/>
                <w:szCs w:val="18"/>
                <w:color w:val="auto"/>
              </w:rPr>
              <w:t>Principal Amount:</w:t>
            </w:r>
          </w:p>
        </w:tc>
        <w:tc>
          <w:tcPr>
            <w:tcW w:w="1760" w:type="dxa"/>
            <w:vAlign w:val="bottom"/>
          </w:tcPr>
          <w:p>
            <w:pPr>
              <w:ind w:left="1380"/>
              <w:spacing w:after="0"/>
              <w:rPr>
                <w:sz w:val="20"/>
                <w:szCs w:val="20"/>
                <w:color w:val="auto"/>
              </w:rPr>
            </w:pPr>
            <w:r>
              <w:rPr>
                <w:rFonts w:ascii="Arial" w:cs="Arial" w:eastAsia="Arial" w:hAnsi="Arial"/>
                <w:sz w:val="18"/>
                <w:szCs w:val="18"/>
                <w:color w:val="auto"/>
                <w:w w:val="89"/>
              </w:rPr>
              <w:t>2029</w:t>
            </w:r>
          </w:p>
        </w:tc>
        <w:tc>
          <w:tcPr>
            <w:tcW w:w="6120" w:type="dxa"/>
            <w:vAlign w:val="bottom"/>
          </w:tcPr>
          <w:p>
            <w:pPr>
              <w:ind w:left="20"/>
              <w:spacing w:after="0"/>
              <w:rPr>
                <w:sz w:val="20"/>
                <w:szCs w:val="20"/>
                <w:color w:val="auto"/>
              </w:rPr>
            </w:pPr>
            <w:r>
              <w:rPr>
                <w:rFonts w:ascii="Arial" w:cs="Arial" w:eastAsia="Arial" w:hAnsi="Arial"/>
                <w:sz w:val="18"/>
                <w:szCs w:val="18"/>
                <w:color w:val="auto"/>
              </w:rPr>
              <w:t>Notes: $475,000,000</w:t>
            </w:r>
          </w:p>
        </w:tc>
      </w:tr>
      <w:tr>
        <w:trPr>
          <w:trHeight w:val="230"/>
        </w:trPr>
        <w:tc>
          <w:tcPr>
            <w:tcW w:w="3360" w:type="dxa"/>
            <w:vAlign w:val="bottom"/>
          </w:tcPr>
          <w:p>
            <w:pPr>
              <w:spacing w:after="0"/>
              <w:rPr>
                <w:sz w:val="20"/>
                <w:szCs w:val="20"/>
                <w:color w:val="auto"/>
              </w:rPr>
            </w:pPr>
          </w:p>
        </w:tc>
        <w:tc>
          <w:tcPr>
            <w:tcW w:w="1760" w:type="dxa"/>
            <w:vAlign w:val="bottom"/>
          </w:tcPr>
          <w:p>
            <w:pPr>
              <w:ind w:left="1380"/>
              <w:spacing w:after="0"/>
              <w:rPr>
                <w:sz w:val="20"/>
                <w:szCs w:val="20"/>
                <w:color w:val="auto"/>
              </w:rPr>
            </w:pPr>
            <w:r>
              <w:rPr>
                <w:rFonts w:ascii="Arial" w:cs="Arial" w:eastAsia="Arial" w:hAnsi="Arial"/>
                <w:sz w:val="18"/>
                <w:szCs w:val="18"/>
                <w:color w:val="auto"/>
                <w:w w:val="89"/>
              </w:rPr>
              <w:t>2041</w:t>
            </w:r>
          </w:p>
        </w:tc>
        <w:tc>
          <w:tcPr>
            <w:tcW w:w="6120" w:type="dxa"/>
            <w:vAlign w:val="bottom"/>
          </w:tcPr>
          <w:p>
            <w:pPr>
              <w:ind w:left="20"/>
              <w:spacing w:after="0"/>
              <w:rPr>
                <w:sz w:val="20"/>
                <w:szCs w:val="20"/>
                <w:color w:val="auto"/>
              </w:rPr>
            </w:pPr>
            <w:r>
              <w:rPr>
                <w:rFonts w:ascii="Arial" w:cs="Arial" w:eastAsia="Arial" w:hAnsi="Arial"/>
                <w:sz w:val="18"/>
                <w:szCs w:val="18"/>
                <w:color w:val="auto"/>
              </w:rPr>
              <w:t>Notes: $475,000,000</w:t>
            </w:r>
          </w:p>
        </w:tc>
      </w:tr>
      <w:tr>
        <w:trPr>
          <w:trHeight w:val="418"/>
        </w:trPr>
        <w:tc>
          <w:tcPr>
            <w:tcW w:w="3360" w:type="dxa"/>
            <w:vAlign w:val="bottom"/>
          </w:tcPr>
          <w:p>
            <w:pPr>
              <w:spacing w:after="0"/>
              <w:rPr>
                <w:sz w:val="20"/>
                <w:szCs w:val="20"/>
                <w:color w:val="auto"/>
              </w:rPr>
            </w:pPr>
            <w:r>
              <w:rPr>
                <w:rFonts w:ascii="Arial" w:cs="Arial" w:eastAsia="Arial" w:hAnsi="Arial"/>
                <w:sz w:val="18"/>
                <w:szCs w:val="18"/>
                <w:color w:val="auto"/>
              </w:rPr>
              <w:t>Maturity Date:</w:t>
            </w:r>
          </w:p>
        </w:tc>
        <w:tc>
          <w:tcPr>
            <w:tcW w:w="1760" w:type="dxa"/>
            <w:vAlign w:val="bottom"/>
          </w:tcPr>
          <w:p>
            <w:pPr>
              <w:ind w:left="1380"/>
              <w:spacing w:after="0"/>
              <w:rPr>
                <w:sz w:val="20"/>
                <w:szCs w:val="20"/>
                <w:color w:val="auto"/>
              </w:rPr>
            </w:pPr>
            <w:r>
              <w:rPr>
                <w:rFonts w:ascii="Arial" w:cs="Arial" w:eastAsia="Arial" w:hAnsi="Arial"/>
                <w:sz w:val="18"/>
                <w:szCs w:val="18"/>
                <w:color w:val="auto"/>
                <w:w w:val="89"/>
              </w:rPr>
              <w:t>2029</w:t>
            </w:r>
          </w:p>
        </w:tc>
        <w:tc>
          <w:tcPr>
            <w:tcW w:w="6120" w:type="dxa"/>
            <w:vAlign w:val="bottom"/>
          </w:tcPr>
          <w:p>
            <w:pPr>
              <w:ind w:left="20"/>
              <w:spacing w:after="0"/>
              <w:rPr>
                <w:sz w:val="20"/>
                <w:szCs w:val="20"/>
                <w:color w:val="auto"/>
              </w:rPr>
            </w:pPr>
            <w:r>
              <w:rPr>
                <w:rFonts w:ascii="Arial" w:cs="Arial" w:eastAsia="Arial" w:hAnsi="Arial"/>
                <w:sz w:val="18"/>
                <w:szCs w:val="18"/>
                <w:color w:val="auto"/>
              </w:rPr>
              <w:t>Notes: June 1, 2029</w:t>
            </w:r>
          </w:p>
        </w:tc>
      </w:tr>
      <w:tr>
        <w:trPr>
          <w:trHeight w:val="230"/>
        </w:trPr>
        <w:tc>
          <w:tcPr>
            <w:tcW w:w="3360" w:type="dxa"/>
            <w:vAlign w:val="bottom"/>
          </w:tcPr>
          <w:p>
            <w:pPr>
              <w:spacing w:after="0"/>
              <w:rPr>
                <w:sz w:val="20"/>
                <w:szCs w:val="20"/>
                <w:color w:val="auto"/>
              </w:rPr>
            </w:pPr>
          </w:p>
        </w:tc>
        <w:tc>
          <w:tcPr>
            <w:tcW w:w="1760" w:type="dxa"/>
            <w:vAlign w:val="bottom"/>
          </w:tcPr>
          <w:p>
            <w:pPr>
              <w:ind w:left="1380"/>
              <w:spacing w:after="0"/>
              <w:rPr>
                <w:sz w:val="20"/>
                <w:szCs w:val="20"/>
                <w:color w:val="auto"/>
              </w:rPr>
            </w:pPr>
            <w:r>
              <w:rPr>
                <w:rFonts w:ascii="Arial" w:cs="Arial" w:eastAsia="Arial" w:hAnsi="Arial"/>
                <w:sz w:val="18"/>
                <w:szCs w:val="18"/>
                <w:color w:val="auto"/>
                <w:w w:val="89"/>
              </w:rPr>
              <w:t>2041</w:t>
            </w:r>
          </w:p>
        </w:tc>
        <w:tc>
          <w:tcPr>
            <w:tcW w:w="6120" w:type="dxa"/>
            <w:vAlign w:val="bottom"/>
          </w:tcPr>
          <w:p>
            <w:pPr>
              <w:ind w:left="20"/>
              <w:spacing w:after="0"/>
              <w:rPr>
                <w:sz w:val="20"/>
                <w:szCs w:val="20"/>
                <w:color w:val="auto"/>
              </w:rPr>
            </w:pPr>
            <w:r>
              <w:rPr>
                <w:rFonts w:ascii="Arial" w:cs="Arial" w:eastAsia="Arial" w:hAnsi="Arial"/>
                <w:sz w:val="18"/>
                <w:szCs w:val="18"/>
                <w:color w:val="auto"/>
              </w:rPr>
              <w:t>Notes: June 1, 2041</w:t>
            </w:r>
          </w:p>
        </w:tc>
      </w:tr>
      <w:tr>
        <w:trPr>
          <w:trHeight w:val="418"/>
        </w:trPr>
        <w:tc>
          <w:tcPr>
            <w:tcW w:w="3360" w:type="dxa"/>
            <w:vAlign w:val="bottom"/>
          </w:tcPr>
          <w:p>
            <w:pPr>
              <w:spacing w:after="0"/>
              <w:rPr>
                <w:sz w:val="20"/>
                <w:szCs w:val="20"/>
                <w:color w:val="auto"/>
              </w:rPr>
            </w:pPr>
            <w:r>
              <w:rPr>
                <w:rFonts w:ascii="Arial" w:cs="Arial" w:eastAsia="Arial" w:hAnsi="Arial"/>
                <w:sz w:val="18"/>
                <w:szCs w:val="18"/>
                <w:color w:val="auto"/>
              </w:rPr>
              <w:t>Coupon:</w:t>
            </w:r>
          </w:p>
        </w:tc>
        <w:tc>
          <w:tcPr>
            <w:tcW w:w="1760" w:type="dxa"/>
            <w:vAlign w:val="bottom"/>
          </w:tcPr>
          <w:p>
            <w:pPr>
              <w:ind w:left="1380"/>
              <w:spacing w:after="0"/>
              <w:rPr>
                <w:sz w:val="20"/>
                <w:szCs w:val="20"/>
                <w:color w:val="auto"/>
              </w:rPr>
            </w:pPr>
            <w:r>
              <w:rPr>
                <w:rFonts w:ascii="Arial" w:cs="Arial" w:eastAsia="Arial" w:hAnsi="Arial"/>
                <w:sz w:val="18"/>
                <w:szCs w:val="18"/>
                <w:color w:val="auto"/>
                <w:w w:val="89"/>
              </w:rPr>
              <w:t>2029</w:t>
            </w:r>
          </w:p>
        </w:tc>
        <w:tc>
          <w:tcPr>
            <w:tcW w:w="6120" w:type="dxa"/>
            <w:vAlign w:val="bottom"/>
          </w:tcPr>
          <w:p>
            <w:pPr>
              <w:ind w:left="20"/>
              <w:spacing w:after="0"/>
              <w:rPr>
                <w:sz w:val="20"/>
                <w:szCs w:val="20"/>
                <w:color w:val="auto"/>
              </w:rPr>
            </w:pPr>
            <w:r>
              <w:rPr>
                <w:rFonts w:ascii="Arial" w:cs="Arial" w:eastAsia="Arial" w:hAnsi="Arial"/>
                <w:sz w:val="18"/>
                <w:szCs w:val="18"/>
                <w:color w:val="auto"/>
              </w:rPr>
              <w:t>Notes: 2.00%</w:t>
            </w:r>
          </w:p>
        </w:tc>
      </w:tr>
      <w:tr>
        <w:trPr>
          <w:trHeight w:val="230"/>
        </w:trPr>
        <w:tc>
          <w:tcPr>
            <w:tcW w:w="3360" w:type="dxa"/>
            <w:vAlign w:val="bottom"/>
          </w:tcPr>
          <w:p>
            <w:pPr>
              <w:spacing w:after="0"/>
              <w:rPr>
                <w:sz w:val="20"/>
                <w:szCs w:val="20"/>
                <w:color w:val="auto"/>
              </w:rPr>
            </w:pPr>
          </w:p>
        </w:tc>
        <w:tc>
          <w:tcPr>
            <w:tcW w:w="1760" w:type="dxa"/>
            <w:vAlign w:val="bottom"/>
          </w:tcPr>
          <w:p>
            <w:pPr>
              <w:ind w:left="1380"/>
              <w:spacing w:after="0"/>
              <w:rPr>
                <w:sz w:val="20"/>
                <w:szCs w:val="20"/>
                <w:color w:val="auto"/>
              </w:rPr>
            </w:pPr>
            <w:r>
              <w:rPr>
                <w:rFonts w:ascii="Arial" w:cs="Arial" w:eastAsia="Arial" w:hAnsi="Arial"/>
                <w:sz w:val="18"/>
                <w:szCs w:val="18"/>
                <w:color w:val="auto"/>
                <w:w w:val="89"/>
              </w:rPr>
              <w:t>2041</w:t>
            </w:r>
          </w:p>
        </w:tc>
        <w:tc>
          <w:tcPr>
            <w:tcW w:w="6120" w:type="dxa"/>
            <w:vAlign w:val="bottom"/>
          </w:tcPr>
          <w:p>
            <w:pPr>
              <w:ind w:left="20"/>
              <w:spacing w:after="0"/>
              <w:rPr>
                <w:sz w:val="20"/>
                <w:szCs w:val="20"/>
                <w:color w:val="auto"/>
              </w:rPr>
            </w:pPr>
            <w:r>
              <w:rPr>
                <w:rFonts w:ascii="Arial" w:cs="Arial" w:eastAsia="Arial" w:hAnsi="Arial"/>
                <w:sz w:val="18"/>
                <w:szCs w:val="18"/>
                <w:color w:val="auto"/>
              </w:rPr>
              <w:t>Notes: 2.95%</w:t>
            </w:r>
          </w:p>
        </w:tc>
      </w:tr>
      <w:tr>
        <w:trPr>
          <w:trHeight w:val="418"/>
        </w:trPr>
        <w:tc>
          <w:tcPr>
            <w:tcW w:w="3360" w:type="dxa"/>
            <w:vAlign w:val="bottom"/>
          </w:tcPr>
          <w:p>
            <w:pPr>
              <w:spacing w:after="0"/>
              <w:rPr>
                <w:sz w:val="20"/>
                <w:szCs w:val="20"/>
                <w:color w:val="auto"/>
              </w:rPr>
            </w:pPr>
            <w:r>
              <w:rPr>
                <w:rFonts w:ascii="Arial" w:cs="Arial" w:eastAsia="Arial" w:hAnsi="Arial"/>
                <w:sz w:val="18"/>
                <w:szCs w:val="18"/>
                <w:color w:val="auto"/>
              </w:rPr>
              <w:t>Benchmark Treasury:</w:t>
            </w:r>
          </w:p>
        </w:tc>
        <w:tc>
          <w:tcPr>
            <w:tcW w:w="1760" w:type="dxa"/>
            <w:vAlign w:val="bottom"/>
          </w:tcPr>
          <w:p>
            <w:pPr>
              <w:ind w:left="1380"/>
              <w:spacing w:after="0"/>
              <w:rPr>
                <w:sz w:val="20"/>
                <w:szCs w:val="20"/>
                <w:color w:val="auto"/>
              </w:rPr>
            </w:pPr>
            <w:r>
              <w:rPr>
                <w:rFonts w:ascii="Arial" w:cs="Arial" w:eastAsia="Arial" w:hAnsi="Arial"/>
                <w:sz w:val="18"/>
                <w:szCs w:val="18"/>
                <w:color w:val="auto"/>
                <w:w w:val="89"/>
              </w:rPr>
              <w:t>2029</w:t>
            </w:r>
          </w:p>
        </w:tc>
        <w:tc>
          <w:tcPr>
            <w:tcW w:w="6120" w:type="dxa"/>
            <w:vAlign w:val="bottom"/>
          </w:tcPr>
          <w:p>
            <w:pPr>
              <w:ind w:left="20"/>
              <w:spacing w:after="0"/>
              <w:rPr>
                <w:sz w:val="20"/>
                <w:szCs w:val="20"/>
                <w:color w:val="auto"/>
              </w:rPr>
            </w:pPr>
            <w:r>
              <w:rPr>
                <w:rFonts w:ascii="Arial" w:cs="Arial" w:eastAsia="Arial" w:hAnsi="Arial"/>
                <w:sz w:val="18"/>
                <w:szCs w:val="18"/>
                <w:color w:val="auto"/>
              </w:rPr>
              <w:t>Notes: 1.250% due March 31, 2028</w:t>
            </w:r>
          </w:p>
        </w:tc>
      </w:tr>
      <w:tr>
        <w:trPr>
          <w:trHeight w:val="230"/>
        </w:trPr>
        <w:tc>
          <w:tcPr>
            <w:tcW w:w="3360" w:type="dxa"/>
            <w:vAlign w:val="bottom"/>
          </w:tcPr>
          <w:p>
            <w:pPr>
              <w:spacing w:after="0"/>
              <w:rPr>
                <w:sz w:val="20"/>
                <w:szCs w:val="20"/>
                <w:color w:val="auto"/>
              </w:rPr>
            </w:pPr>
          </w:p>
        </w:tc>
        <w:tc>
          <w:tcPr>
            <w:tcW w:w="1760" w:type="dxa"/>
            <w:vAlign w:val="bottom"/>
          </w:tcPr>
          <w:p>
            <w:pPr>
              <w:ind w:left="1380"/>
              <w:spacing w:after="0"/>
              <w:rPr>
                <w:sz w:val="20"/>
                <w:szCs w:val="20"/>
                <w:color w:val="auto"/>
              </w:rPr>
            </w:pPr>
            <w:r>
              <w:rPr>
                <w:rFonts w:ascii="Arial" w:cs="Arial" w:eastAsia="Arial" w:hAnsi="Arial"/>
                <w:sz w:val="18"/>
                <w:szCs w:val="18"/>
                <w:color w:val="auto"/>
                <w:w w:val="89"/>
              </w:rPr>
              <w:t>2041</w:t>
            </w:r>
          </w:p>
        </w:tc>
        <w:tc>
          <w:tcPr>
            <w:tcW w:w="6120" w:type="dxa"/>
            <w:vAlign w:val="bottom"/>
          </w:tcPr>
          <w:p>
            <w:pPr>
              <w:ind w:left="20"/>
              <w:spacing w:after="0"/>
              <w:rPr>
                <w:sz w:val="20"/>
                <w:szCs w:val="20"/>
                <w:color w:val="auto"/>
              </w:rPr>
            </w:pPr>
            <w:r>
              <w:rPr>
                <w:rFonts w:ascii="Arial" w:cs="Arial" w:eastAsia="Arial" w:hAnsi="Arial"/>
                <w:sz w:val="18"/>
                <w:szCs w:val="18"/>
                <w:color w:val="auto"/>
              </w:rPr>
              <w:t>Notes: 1.875% due February 15, 2041</w:t>
            </w:r>
          </w:p>
        </w:tc>
      </w:tr>
      <w:tr>
        <w:trPr>
          <w:trHeight w:val="418"/>
        </w:trPr>
        <w:tc>
          <w:tcPr>
            <w:tcW w:w="3360" w:type="dxa"/>
            <w:vAlign w:val="bottom"/>
          </w:tcPr>
          <w:p>
            <w:pPr>
              <w:spacing w:after="0"/>
              <w:rPr>
                <w:sz w:val="20"/>
                <w:szCs w:val="20"/>
                <w:color w:val="auto"/>
              </w:rPr>
            </w:pPr>
            <w:r>
              <w:rPr>
                <w:rFonts w:ascii="Arial" w:cs="Arial" w:eastAsia="Arial" w:hAnsi="Arial"/>
                <w:sz w:val="18"/>
                <w:szCs w:val="18"/>
                <w:color w:val="auto"/>
              </w:rPr>
              <w:t>Benchmark Treasury Price and Yield:</w:t>
            </w:r>
          </w:p>
        </w:tc>
        <w:tc>
          <w:tcPr>
            <w:tcW w:w="1760" w:type="dxa"/>
            <w:vAlign w:val="bottom"/>
          </w:tcPr>
          <w:p>
            <w:pPr>
              <w:ind w:left="1380"/>
              <w:spacing w:after="0"/>
              <w:rPr>
                <w:sz w:val="20"/>
                <w:szCs w:val="20"/>
                <w:color w:val="auto"/>
              </w:rPr>
            </w:pPr>
            <w:r>
              <w:rPr>
                <w:rFonts w:ascii="Arial" w:cs="Arial" w:eastAsia="Arial" w:hAnsi="Arial"/>
                <w:sz w:val="18"/>
                <w:szCs w:val="18"/>
                <w:color w:val="auto"/>
                <w:w w:val="89"/>
              </w:rPr>
              <w:t>2029</w:t>
            </w:r>
          </w:p>
        </w:tc>
        <w:tc>
          <w:tcPr>
            <w:tcW w:w="6120" w:type="dxa"/>
            <w:vAlign w:val="bottom"/>
          </w:tcPr>
          <w:p>
            <w:pPr>
              <w:ind w:left="20"/>
              <w:spacing w:after="0"/>
              <w:rPr>
                <w:sz w:val="20"/>
                <w:szCs w:val="20"/>
                <w:color w:val="auto"/>
              </w:rPr>
            </w:pPr>
            <w:r>
              <w:rPr>
                <w:rFonts w:ascii="Arial" w:cs="Arial" w:eastAsia="Arial" w:hAnsi="Arial"/>
                <w:sz w:val="18"/>
                <w:szCs w:val="18"/>
                <w:color w:val="auto"/>
              </w:rPr>
              <w:t>Notes: 99-21 ¼ / 1.301%</w:t>
            </w:r>
          </w:p>
        </w:tc>
      </w:tr>
      <w:tr>
        <w:trPr>
          <w:trHeight w:val="230"/>
        </w:trPr>
        <w:tc>
          <w:tcPr>
            <w:tcW w:w="3360" w:type="dxa"/>
            <w:vAlign w:val="bottom"/>
          </w:tcPr>
          <w:p>
            <w:pPr>
              <w:spacing w:after="0"/>
              <w:rPr>
                <w:sz w:val="20"/>
                <w:szCs w:val="20"/>
                <w:color w:val="auto"/>
              </w:rPr>
            </w:pPr>
          </w:p>
        </w:tc>
        <w:tc>
          <w:tcPr>
            <w:tcW w:w="1760" w:type="dxa"/>
            <w:vAlign w:val="bottom"/>
          </w:tcPr>
          <w:p>
            <w:pPr>
              <w:ind w:left="1380"/>
              <w:spacing w:after="0"/>
              <w:rPr>
                <w:sz w:val="20"/>
                <w:szCs w:val="20"/>
                <w:color w:val="auto"/>
              </w:rPr>
            </w:pPr>
            <w:r>
              <w:rPr>
                <w:rFonts w:ascii="Arial" w:cs="Arial" w:eastAsia="Arial" w:hAnsi="Arial"/>
                <w:sz w:val="18"/>
                <w:szCs w:val="18"/>
                <w:color w:val="auto"/>
                <w:w w:val="89"/>
              </w:rPr>
              <w:t>2041</w:t>
            </w:r>
          </w:p>
        </w:tc>
        <w:tc>
          <w:tcPr>
            <w:tcW w:w="6120" w:type="dxa"/>
            <w:vAlign w:val="bottom"/>
          </w:tcPr>
          <w:p>
            <w:pPr>
              <w:ind w:left="20"/>
              <w:spacing w:after="0"/>
              <w:rPr>
                <w:sz w:val="20"/>
                <w:szCs w:val="20"/>
                <w:color w:val="auto"/>
              </w:rPr>
            </w:pPr>
            <w:r>
              <w:rPr>
                <w:rFonts w:ascii="Arial" w:cs="Arial" w:eastAsia="Arial" w:hAnsi="Arial"/>
                <w:sz w:val="18"/>
                <w:szCs w:val="18"/>
                <w:color w:val="auto"/>
              </w:rPr>
              <w:t>Notes: 95-01+ / 2.184%</w:t>
            </w:r>
          </w:p>
        </w:tc>
      </w:tr>
      <w:tr>
        <w:trPr>
          <w:trHeight w:val="418"/>
        </w:trPr>
        <w:tc>
          <w:tcPr>
            <w:tcW w:w="336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1760" w:type="dxa"/>
            <w:vAlign w:val="bottom"/>
          </w:tcPr>
          <w:p>
            <w:pPr>
              <w:ind w:left="1380"/>
              <w:spacing w:after="0"/>
              <w:rPr>
                <w:sz w:val="20"/>
                <w:szCs w:val="20"/>
                <w:color w:val="auto"/>
              </w:rPr>
            </w:pPr>
            <w:r>
              <w:rPr>
                <w:rFonts w:ascii="Arial" w:cs="Arial" w:eastAsia="Arial" w:hAnsi="Arial"/>
                <w:sz w:val="18"/>
                <w:szCs w:val="18"/>
                <w:color w:val="auto"/>
                <w:w w:val="89"/>
              </w:rPr>
              <w:t>2029</w:t>
            </w:r>
          </w:p>
        </w:tc>
        <w:tc>
          <w:tcPr>
            <w:tcW w:w="6120" w:type="dxa"/>
            <w:vAlign w:val="bottom"/>
          </w:tcPr>
          <w:p>
            <w:pPr>
              <w:ind w:left="20"/>
              <w:spacing w:after="0"/>
              <w:rPr>
                <w:sz w:val="20"/>
                <w:szCs w:val="20"/>
                <w:color w:val="auto"/>
              </w:rPr>
            </w:pPr>
            <w:r>
              <w:rPr>
                <w:rFonts w:ascii="Arial" w:cs="Arial" w:eastAsia="Arial" w:hAnsi="Arial"/>
                <w:sz w:val="18"/>
                <w:szCs w:val="18"/>
                <w:color w:val="auto"/>
              </w:rPr>
              <w:t>Notes: +70 basis points</w:t>
            </w:r>
          </w:p>
        </w:tc>
      </w:tr>
      <w:tr>
        <w:trPr>
          <w:trHeight w:val="230"/>
        </w:trPr>
        <w:tc>
          <w:tcPr>
            <w:tcW w:w="3360" w:type="dxa"/>
            <w:vAlign w:val="bottom"/>
          </w:tcPr>
          <w:p>
            <w:pPr>
              <w:spacing w:after="0"/>
              <w:rPr>
                <w:sz w:val="20"/>
                <w:szCs w:val="20"/>
                <w:color w:val="auto"/>
              </w:rPr>
            </w:pPr>
          </w:p>
        </w:tc>
        <w:tc>
          <w:tcPr>
            <w:tcW w:w="1760" w:type="dxa"/>
            <w:vAlign w:val="bottom"/>
          </w:tcPr>
          <w:p>
            <w:pPr>
              <w:ind w:left="1380"/>
              <w:spacing w:after="0"/>
              <w:rPr>
                <w:sz w:val="20"/>
                <w:szCs w:val="20"/>
                <w:color w:val="auto"/>
              </w:rPr>
            </w:pPr>
            <w:r>
              <w:rPr>
                <w:rFonts w:ascii="Arial" w:cs="Arial" w:eastAsia="Arial" w:hAnsi="Arial"/>
                <w:sz w:val="18"/>
                <w:szCs w:val="18"/>
                <w:color w:val="auto"/>
                <w:w w:val="89"/>
              </w:rPr>
              <w:t>2041</w:t>
            </w:r>
          </w:p>
        </w:tc>
        <w:tc>
          <w:tcPr>
            <w:tcW w:w="6120" w:type="dxa"/>
            <w:vAlign w:val="bottom"/>
          </w:tcPr>
          <w:p>
            <w:pPr>
              <w:ind w:left="20"/>
              <w:spacing w:after="0"/>
              <w:rPr>
                <w:sz w:val="20"/>
                <w:szCs w:val="20"/>
                <w:color w:val="auto"/>
              </w:rPr>
            </w:pPr>
            <w:r>
              <w:rPr>
                <w:rFonts w:ascii="Arial" w:cs="Arial" w:eastAsia="Arial" w:hAnsi="Arial"/>
                <w:sz w:val="18"/>
                <w:szCs w:val="18"/>
                <w:color w:val="auto"/>
              </w:rPr>
              <w:t>Notes: +80 basis points</w:t>
            </w:r>
          </w:p>
        </w:tc>
      </w:tr>
      <w:tr>
        <w:trPr>
          <w:trHeight w:val="418"/>
        </w:trPr>
        <w:tc>
          <w:tcPr>
            <w:tcW w:w="3360" w:type="dxa"/>
            <w:vAlign w:val="bottom"/>
          </w:tcPr>
          <w:p>
            <w:pPr>
              <w:spacing w:after="0"/>
              <w:rPr>
                <w:sz w:val="20"/>
                <w:szCs w:val="20"/>
                <w:color w:val="auto"/>
              </w:rPr>
            </w:pPr>
            <w:r>
              <w:rPr>
                <w:rFonts w:ascii="Arial" w:cs="Arial" w:eastAsia="Arial" w:hAnsi="Arial"/>
                <w:sz w:val="18"/>
                <w:szCs w:val="18"/>
                <w:color w:val="auto"/>
              </w:rPr>
              <w:t>Yield to Maturity:</w:t>
            </w:r>
          </w:p>
        </w:tc>
        <w:tc>
          <w:tcPr>
            <w:tcW w:w="1760" w:type="dxa"/>
            <w:vAlign w:val="bottom"/>
          </w:tcPr>
          <w:p>
            <w:pPr>
              <w:ind w:left="1380"/>
              <w:spacing w:after="0"/>
              <w:rPr>
                <w:sz w:val="20"/>
                <w:szCs w:val="20"/>
                <w:color w:val="auto"/>
              </w:rPr>
            </w:pPr>
            <w:r>
              <w:rPr>
                <w:rFonts w:ascii="Arial" w:cs="Arial" w:eastAsia="Arial" w:hAnsi="Arial"/>
                <w:sz w:val="18"/>
                <w:szCs w:val="18"/>
                <w:color w:val="auto"/>
                <w:w w:val="89"/>
              </w:rPr>
              <w:t>2029</w:t>
            </w:r>
          </w:p>
        </w:tc>
        <w:tc>
          <w:tcPr>
            <w:tcW w:w="6120" w:type="dxa"/>
            <w:vAlign w:val="bottom"/>
          </w:tcPr>
          <w:p>
            <w:pPr>
              <w:ind w:left="20"/>
              <w:spacing w:after="0"/>
              <w:rPr>
                <w:sz w:val="20"/>
                <w:szCs w:val="20"/>
                <w:color w:val="auto"/>
              </w:rPr>
            </w:pPr>
            <w:r>
              <w:rPr>
                <w:rFonts w:ascii="Arial" w:cs="Arial" w:eastAsia="Arial" w:hAnsi="Arial"/>
                <w:sz w:val="18"/>
                <w:szCs w:val="18"/>
                <w:color w:val="auto"/>
              </w:rPr>
              <w:t>Notes: 2.001%</w:t>
            </w:r>
          </w:p>
        </w:tc>
      </w:tr>
      <w:tr>
        <w:trPr>
          <w:trHeight w:val="230"/>
        </w:trPr>
        <w:tc>
          <w:tcPr>
            <w:tcW w:w="3360" w:type="dxa"/>
            <w:vAlign w:val="bottom"/>
          </w:tcPr>
          <w:p>
            <w:pPr>
              <w:spacing w:after="0"/>
              <w:rPr>
                <w:sz w:val="20"/>
                <w:szCs w:val="20"/>
                <w:color w:val="auto"/>
              </w:rPr>
            </w:pPr>
          </w:p>
        </w:tc>
        <w:tc>
          <w:tcPr>
            <w:tcW w:w="1760" w:type="dxa"/>
            <w:vAlign w:val="bottom"/>
          </w:tcPr>
          <w:p>
            <w:pPr>
              <w:ind w:left="1380"/>
              <w:spacing w:after="0"/>
              <w:rPr>
                <w:sz w:val="20"/>
                <w:szCs w:val="20"/>
                <w:color w:val="auto"/>
              </w:rPr>
            </w:pPr>
            <w:r>
              <w:rPr>
                <w:rFonts w:ascii="Arial" w:cs="Arial" w:eastAsia="Arial" w:hAnsi="Arial"/>
                <w:sz w:val="18"/>
                <w:szCs w:val="18"/>
                <w:color w:val="auto"/>
                <w:w w:val="89"/>
              </w:rPr>
              <w:t>2041</w:t>
            </w:r>
          </w:p>
        </w:tc>
        <w:tc>
          <w:tcPr>
            <w:tcW w:w="6120" w:type="dxa"/>
            <w:vAlign w:val="bottom"/>
          </w:tcPr>
          <w:p>
            <w:pPr>
              <w:ind w:left="20"/>
              <w:spacing w:after="0"/>
              <w:rPr>
                <w:sz w:val="20"/>
                <w:szCs w:val="20"/>
                <w:color w:val="auto"/>
              </w:rPr>
            </w:pPr>
            <w:r>
              <w:rPr>
                <w:rFonts w:ascii="Arial" w:cs="Arial" w:eastAsia="Arial" w:hAnsi="Arial"/>
                <w:sz w:val="18"/>
                <w:szCs w:val="18"/>
                <w:color w:val="auto"/>
              </w:rPr>
              <w:t>Notes: 2.984%</w:t>
            </w:r>
          </w:p>
        </w:tc>
      </w:tr>
      <w:tr>
        <w:trPr>
          <w:trHeight w:val="418"/>
        </w:trPr>
        <w:tc>
          <w:tcPr>
            <w:tcW w:w="3360" w:type="dxa"/>
            <w:vAlign w:val="bottom"/>
          </w:tcPr>
          <w:p>
            <w:pPr>
              <w:spacing w:after="0"/>
              <w:rPr>
                <w:sz w:val="20"/>
                <w:szCs w:val="20"/>
                <w:color w:val="auto"/>
              </w:rPr>
            </w:pPr>
            <w:r>
              <w:rPr>
                <w:rFonts w:ascii="Arial" w:cs="Arial" w:eastAsia="Arial" w:hAnsi="Arial"/>
                <w:sz w:val="18"/>
                <w:szCs w:val="18"/>
                <w:color w:val="auto"/>
              </w:rPr>
              <w:t>Price to Public:</w:t>
            </w:r>
          </w:p>
        </w:tc>
        <w:tc>
          <w:tcPr>
            <w:tcW w:w="1760" w:type="dxa"/>
            <w:vAlign w:val="bottom"/>
          </w:tcPr>
          <w:p>
            <w:pPr>
              <w:ind w:left="1380"/>
              <w:spacing w:after="0"/>
              <w:rPr>
                <w:sz w:val="20"/>
                <w:szCs w:val="20"/>
                <w:color w:val="auto"/>
              </w:rPr>
            </w:pPr>
            <w:r>
              <w:rPr>
                <w:rFonts w:ascii="Arial" w:cs="Arial" w:eastAsia="Arial" w:hAnsi="Arial"/>
                <w:sz w:val="18"/>
                <w:szCs w:val="18"/>
                <w:color w:val="auto"/>
                <w:w w:val="89"/>
              </w:rPr>
              <w:t>2029</w:t>
            </w:r>
          </w:p>
        </w:tc>
        <w:tc>
          <w:tcPr>
            <w:tcW w:w="6120" w:type="dxa"/>
            <w:vAlign w:val="bottom"/>
          </w:tcPr>
          <w:p>
            <w:pPr>
              <w:ind w:left="20"/>
              <w:spacing w:after="0"/>
              <w:rPr>
                <w:sz w:val="20"/>
                <w:szCs w:val="20"/>
                <w:color w:val="auto"/>
              </w:rPr>
            </w:pPr>
            <w:r>
              <w:rPr>
                <w:rFonts w:ascii="Arial" w:cs="Arial" w:eastAsia="Arial" w:hAnsi="Arial"/>
                <w:sz w:val="18"/>
                <w:szCs w:val="18"/>
                <w:color w:val="auto"/>
              </w:rPr>
              <w:t>Notes: 99.992% of face amount</w:t>
            </w:r>
          </w:p>
        </w:tc>
      </w:tr>
      <w:tr>
        <w:trPr>
          <w:trHeight w:val="230"/>
        </w:trPr>
        <w:tc>
          <w:tcPr>
            <w:tcW w:w="3360" w:type="dxa"/>
            <w:vAlign w:val="bottom"/>
          </w:tcPr>
          <w:p>
            <w:pPr>
              <w:spacing w:after="0"/>
              <w:rPr>
                <w:sz w:val="20"/>
                <w:szCs w:val="20"/>
                <w:color w:val="auto"/>
              </w:rPr>
            </w:pPr>
          </w:p>
        </w:tc>
        <w:tc>
          <w:tcPr>
            <w:tcW w:w="1760" w:type="dxa"/>
            <w:vAlign w:val="bottom"/>
          </w:tcPr>
          <w:p>
            <w:pPr>
              <w:ind w:left="1380"/>
              <w:spacing w:after="0"/>
              <w:rPr>
                <w:sz w:val="20"/>
                <w:szCs w:val="20"/>
                <w:color w:val="auto"/>
              </w:rPr>
            </w:pPr>
            <w:r>
              <w:rPr>
                <w:rFonts w:ascii="Arial" w:cs="Arial" w:eastAsia="Arial" w:hAnsi="Arial"/>
                <w:sz w:val="18"/>
                <w:szCs w:val="18"/>
                <w:color w:val="auto"/>
                <w:w w:val="89"/>
              </w:rPr>
              <w:t>2041</w:t>
            </w:r>
          </w:p>
        </w:tc>
        <w:tc>
          <w:tcPr>
            <w:tcW w:w="6120" w:type="dxa"/>
            <w:vAlign w:val="bottom"/>
          </w:tcPr>
          <w:p>
            <w:pPr>
              <w:ind w:left="20"/>
              <w:spacing w:after="0"/>
              <w:rPr>
                <w:sz w:val="20"/>
                <w:szCs w:val="20"/>
                <w:color w:val="auto"/>
              </w:rPr>
            </w:pPr>
            <w:r>
              <w:rPr>
                <w:rFonts w:ascii="Arial" w:cs="Arial" w:eastAsia="Arial" w:hAnsi="Arial"/>
                <w:sz w:val="18"/>
                <w:szCs w:val="18"/>
                <w:color w:val="auto"/>
              </w:rPr>
              <w:t>Notes: 99.488% of face amount</w:t>
            </w:r>
          </w:p>
        </w:tc>
      </w:tr>
      <w:tr>
        <w:trPr>
          <w:trHeight w:val="432"/>
        </w:trPr>
        <w:tc>
          <w:tcPr>
            <w:tcW w:w="3360" w:type="dxa"/>
            <w:vAlign w:val="bottom"/>
          </w:tcPr>
          <w:p>
            <w:pPr>
              <w:spacing w:after="0"/>
              <w:rPr>
                <w:sz w:val="20"/>
                <w:szCs w:val="20"/>
                <w:color w:val="auto"/>
              </w:rPr>
            </w:pPr>
            <w:r>
              <w:rPr>
                <w:rFonts w:ascii="Arial" w:cs="Arial" w:eastAsia="Arial" w:hAnsi="Arial"/>
                <w:sz w:val="18"/>
                <w:szCs w:val="18"/>
                <w:color w:val="auto"/>
              </w:rPr>
              <w:t>Net Proceeds (before expenses):</w:t>
            </w:r>
          </w:p>
        </w:tc>
        <w:tc>
          <w:tcPr>
            <w:tcW w:w="7880" w:type="dxa"/>
            <w:vAlign w:val="bottom"/>
            <w:gridSpan w:val="2"/>
          </w:tcPr>
          <w:p>
            <w:pPr>
              <w:ind w:left="1380"/>
              <w:spacing w:after="0"/>
              <w:rPr>
                <w:sz w:val="20"/>
                <w:szCs w:val="20"/>
                <w:color w:val="auto"/>
              </w:rPr>
            </w:pPr>
            <w:r>
              <w:rPr>
                <w:rFonts w:ascii="Arial" w:cs="Arial" w:eastAsia="Arial" w:hAnsi="Arial"/>
                <w:sz w:val="18"/>
                <w:szCs w:val="18"/>
                <w:color w:val="auto"/>
              </w:rPr>
              <w:t>$941,948,750</w:t>
            </w:r>
          </w:p>
        </w:tc>
      </w:tr>
      <w:tr>
        <w:trPr>
          <w:trHeight w:val="418"/>
        </w:trPr>
        <w:tc>
          <w:tcPr>
            <w:tcW w:w="3360" w:type="dxa"/>
            <w:vAlign w:val="bottom"/>
          </w:tcPr>
          <w:p>
            <w:pPr>
              <w:spacing w:after="0"/>
              <w:rPr>
                <w:sz w:val="20"/>
                <w:szCs w:val="20"/>
                <w:color w:val="auto"/>
              </w:rPr>
            </w:pPr>
            <w:r>
              <w:rPr>
                <w:rFonts w:ascii="Arial" w:cs="Arial" w:eastAsia="Arial" w:hAnsi="Arial"/>
                <w:sz w:val="18"/>
                <w:szCs w:val="18"/>
                <w:color w:val="auto"/>
              </w:rPr>
              <w:t>Interest Payment Dates:</w:t>
            </w:r>
          </w:p>
        </w:tc>
        <w:tc>
          <w:tcPr>
            <w:tcW w:w="1760" w:type="dxa"/>
            <w:vAlign w:val="bottom"/>
          </w:tcPr>
          <w:p>
            <w:pPr>
              <w:ind w:left="1380"/>
              <w:spacing w:after="0"/>
              <w:rPr>
                <w:sz w:val="20"/>
                <w:szCs w:val="20"/>
                <w:color w:val="auto"/>
              </w:rPr>
            </w:pPr>
            <w:r>
              <w:rPr>
                <w:rFonts w:ascii="Arial" w:cs="Arial" w:eastAsia="Arial" w:hAnsi="Arial"/>
                <w:sz w:val="18"/>
                <w:szCs w:val="18"/>
                <w:color w:val="auto"/>
                <w:w w:val="89"/>
              </w:rPr>
              <w:t>2029</w:t>
            </w:r>
          </w:p>
        </w:tc>
        <w:tc>
          <w:tcPr>
            <w:tcW w:w="6120" w:type="dxa"/>
            <w:vAlign w:val="bottom"/>
          </w:tcPr>
          <w:p>
            <w:pPr>
              <w:jc w:val="right"/>
              <w:spacing w:after="0"/>
              <w:rPr>
                <w:sz w:val="20"/>
                <w:szCs w:val="20"/>
                <w:color w:val="auto"/>
              </w:rPr>
            </w:pPr>
            <w:r>
              <w:rPr>
                <w:rFonts w:ascii="Arial" w:cs="Arial" w:eastAsia="Arial" w:hAnsi="Arial"/>
                <w:sz w:val="18"/>
                <w:szCs w:val="18"/>
                <w:color w:val="auto"/>
                <w:w w:val="95"/>
              </w:rPr>
              <w:t>Notes: Semi-annually on June 1 and December 1, commencing on December 1,</w:t>
            </w:r>
          </w:p>
        </w:tc>
      </w:tr>
      <w:tr>
        <w:trPr>
          <w:trHeight w:val="230"/>
        </w:trPr>
        <w:tc>
          <w:tcPr>
            <w:tcW w:w="3360" w:type="dxa"/>
            <w:vAlign w:val="bottom"/>
          </w:tcPr>
          <w:p>
            <w:pPr>
              <w:spacing w:after="0"/>
              <w:rPr>
                <w:sz w:val="20"/>
                <w:szCs w:val="20"/>
                <w:color w:val="auto"/>
              </w:rPr>
            </w:pPr>
          </w:p>
        </w:tc>
        <w:tc>
          <w:tcPr>
            <w:tcW w:w="1760" w:type="dxa"/>
            <w:vAlign w:val="bottom"/>
          </w:tcPr>
          <w:p>
            <w:pPr>
              <w:ind w:left="1380"/>
              <w:spacing w:after="0"/>
              <w:rPr>
                <w:sz w:val="20"/>
                <w:szCs w:val="20"/>
                <w:color w:val="auto"/>
              </w:rPr>
            </w:pPr>
            <w:r>
              <w:rPr>
                <w:rFonts w:ascii="Arial" w:cs="Arial" w:eastAsia="Arial" w:hAnsi="Arial"/>
                <w:sz w:val="18"/>
                <w:szCs w:val="18"/>
                <w:color w:val="auto"/>
                <w:w w:val="89"/>
              </w:rPr>
              <w:t>2021</w:t>
            </w:r>
          </w:p>
        </w:tc>
        <w:tc>
          <w:tcPr>
            <w:tcW w:w="61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left="4740"/>
        <w:spacing w:after="0"/>
        <w:rPr>
          <w:sz w:val="20"/>
          <w:szCs w:val="20"/>
          <w:color w:val="auto"/>
        </w:rPr>
      </w:pPr>
      <w:r>
        <w:rPr>
          <w:rFonts w:ascii="Arial" w:cs="Arial" w:eastAsia="Arial" w:hAnsi="Arial"/>
          <w:sz w:val="16"/>
          <w:szCs w:val="16"/>
          <w:color w:val="auto"/>
        </w:rPr>
        <w:t>2041 Notes: Semi-annually on June 1 and December 1, commencing on December 1,</w:t>
      </w:r>
    </w:p>
    <w:p>
      <w:pPr>
        <w:spacing w:after="0" w:line="4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2021</w:t>
      </w:r>
    </w:p>
    <w:p>
      <w:pPr>
        <w:sectPr>
          <w:pgSz w:w="11900" w:h="16838" w:orient="portrait"/>
          <w:cols w:equalWidth="0" w:num="1">
            <w:col w:w="11240"/>
          </w:cols>
          <w:pgMar w:left="320" w:top="935" w:right="3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2029 Notes are redeemable at any time prior to April 1, 2029 (two months prior to the maturity date), in whole or from time to time in part, at the option of the Company, at a make whole redemption price using the applicable Treasury rate plus 12.5 basis points (as defined and described in further detail in the Preliminary Prospectus Supplement). The 2029 Notes are redeemable on or after April 1, 2029 (two months prior to the maturity date), in whole or from time to time in part, at the option of the Company, at par.</w:t>
      </w:r>
    </w:p>
    <w:p>
      <w:pPr>
        <w:spacing w:after="0" w:line="164" w:lineRule="exact"/>
        <w:rPr>
          <w:sz w:val="20"/>
          <w:szCs w:val="20"/>
          <w:color w:val="auto"/>
        </w:rPr>
      </w:pPr>
    </w:p>
    <w:p>
      <w:pPr>
        <w:sectPr>
          <w:pgSz w:w="11900" w:h="16838" w:orient="portrait"/>
          <w:cols w:equalWidth="0" w:num="2">
            <w:col w:w="4020" w:space="720"/>
            <w:col w:w="6500"/>
          </w:cols>
          <w:pgMar w:left="320" w:top="935" w:right="339" w:bottom="1440" w:gutter="0" w:footer="0" w:header="0"/>
          <w:type w:val="continuous"/>
        </w:sectPr>
      </w:pPr>
    </w:p>
    <w:p>
      <w:pPr>
        <w:jc w:val="both"/>
        <w:ind w:left="4740"/>
        <w:spacing w:after="0" w:line="293" w:lineRule="auto"/>
        <w:rPr>
          <w:sz w:val="20"/>
          <w:szCs w:val="20"/>
          <w:color w:val="auto"/>
        </w:rPr>
      </w:pPr>
      <w:r>
        <w:rPr>
          <w:rFonts w:ascii="Arial" w:cs="Arial" w:eastAsia="Arial" w:hAnsi="Arial"/>
          <w:sz w:val="16"/>
          <w:szCs w:val="16"/>
          <w:color w:val="auto"/>
        </w:rPr>
        <w:t>The 2041 Notes are redeemable at any time prior to December 1, 2040 (six months prior to the maturity date), in whole or from time to time in part, at the option of the Company, at a make whole redemption price using the applicable Treasury rate plus 15 basis points (as defined and described in further detail in the Preliminary Prospectus Supplement). The 2041 Notes are redeemable on or after December 1, 2040 (six months prior to the maturity date), in whole or from time to time in part, at the option of the Company, at par.</w:t>
      </w:r>
    </w:p>
    <w:p>
      <w:pPr>
        <w:sectPr>
          <w:pgSz w:w="11900" w:h="16838" w:orient="portrait"/>
          <w:cols w:equalWidth="0" w:num="1">
            <w:col w:w="11240"/>
          </w:cols>
          <w:pgMar w:left="320" w:top="935" w:right="339" w:bottom="1440" w:gutter="0" w:footer="0" w:header="0"/>
          <w:type w:val="continuous"/>
        </w:sectPr>
      </w:pP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CUSIP/ISIN:</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2029 Notes: 94106L BQ1 / US94106LBQ14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2041 Notes: 94106L BR9 / US94106LBR96</w:t>
      </w:r>
    </w:p>
    <w:p>
      <w:pPr>
        <w:spacing w:after="0" w:line="200" w:lineRule="exact"/>
        <w:rPr>
          <w:sz w:val="20"/>
          <w:szCs w:val="20"/>
          <w:color w:val="auto"/>
        </w:rPr>
      </w:pPr>
    </w:p>
    <w:p>
      <w:pPr>
        <w:sectPr>
          <w:pgSz w:w="11900" w:h="16838" w:orient="portrait"/>
          <w:cols w:equalWidth="0" w:num="2">
            <w:col w:w="4020" w:space="720"/>
            <w:col w:w="6500"/>
          </w:cols>
          <w:pgMar w:left="320" w:top="935" w:right="3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Credit Suisse Securities (USA)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00" w:lineRule="exact"/>
        <w:rPr>
          <w:sz w:val="20"/>
          <w:szCs w:val="20"/>
          <w:color w:val="auto"/>
        </w:rPr>
      </w:pPr>
    </w:p>
    <w:p>
      <w:pPr>
        <w:sectPr>
          <w:pgSz w:w="11900" w:h="16838" w:orient="portrait"/>
          <w:cols w:equalWidth="0" w:num="2">
            <w:col w:w="4020" w:space="720"/>
            <w:col w:w="6500"/>
          </w:cols>
          <w:pgMar w:left="320" w:top="935"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Loop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Academy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Siebert Williams Shank &amp; Co.,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Stern Brothers &amp; Co.</w:t>
      </w:r>
    </w:p>
    <w:p>
      <w:pPr>
        <w:spacing w:after="0" w:line="200" w:lineRule="exact"/>
        <w:rPr>
          <w:sz w:val="20"/>
          <w:szCs w:val="20"/>
          <w:color w:val="auto"/>
        </w:rPr>
      </w:pPr>
    </w:p>
    <w:p>
      <w:pPr>
        <w:sectPr>
          <w:pgSz w:w="11900" w:h="16838" w:orient="portrait"/>
          <w:cols w:equalWidth="0" w:num="2">
            <w:col w:w="4020" w:space="720"/>
            <w:col w:w="6500"/>
          </w:cols>
          <w:pgMar w:left="320" w:top="935" w:right="339" w:bottom="1440" w:gutter="0" w:footer="0" w:header="0"/>
          <w:type w:val="continuous"/>
        </w:sectPr>
      </w:pPr>
    </w:p>
    <w:p>
      <w:pPr>
        <w:spacing w:after="0" w:line="227" w:lineRule="exact"/>
        <w:rPr>
          <w:sz w:val="20"/>
          <w:szCs w:val="20"/>
          <w:color w:val="auto"/>
        </w:rPr>
      </w:pPr>
    </w:p>
    <w:p>
      <w:pPr>
        <w:ind w:left="5160" w:right="1320" w:hanging="5152"/>
        <w:spacing w:after="0" w:line="778" w:lineRule="auto"/>
        <w:tabs>
          <w:tab w:leader="none" w:pos="136"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Note: A securities rating is not a recommendation to buy, sell or hold securities and may be subject to review or withdrawal at any time. Schedule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39" w:name="page40"/>
    <w:bookmarkEnd w:id="39"/>
    <w:p>
      <w:pPr>
        <w:ind w:right="60" w:firstLine="8"/>
        <w:spacing w:after="0" w:line="296" w:lineRule="auto"/>
        <w:tabs>
          <w:tab w:leader="none" w:pos="225"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issuer expects delivery of the notes will be made against payment therefor on or about May 12, 2021, which is the tenth business day following the date of pricing of the notes (such settlement being referred to as “T+10”). Under Rule 15c6-1 of the Exchange Act, trades in the secondary market generally are required to settle in two business days unless the parties to any such trade expressly agree otherwise. Accordingly, purchasers who wish to trade the notes on the date of pricing of the notes or the next succeeding seven business days will be required, by virtue of the fact that the notes initially will settle in T+10, to specify an alternate settlement cycle at the time of any such trade to prevent failed settlement and should consult their own advisers.</w:t>
      </w:r>
    </w:p>
    <w:p>
      <w:pPr>
        <w:spacing w:after="0" w:line="161"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MiFID II professionals/ECPs-only/No PRIIPs KID – in the European Economic Area (EEA), the manufacturer target market (MiFID II product governance) is eligible counterparties and professional clients only (all distribution channels). No PRIIPs key information document (KID) has been prepared as not available to retail in the EEA.</w:t>
      </w:r>
    </w:p>
    <w:p>
      <w:pPr>
        <w:spacing w:after="0" w:line="1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information in this term sheet supplements the information provided in the preliminary prospectus supplement dated April 28, 2021. To the extent information in this term sheet conflicts with information in the preliminary prospectus supplement, this term sheet controls.</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issuer has filed a registration statement (including a prospectus) and prospectus supplement with the SEC for the offering to which this communication relates. Before you invest, you should read the prospectus in that registration statement and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contacting: (1) Credit Suisse Securities (USA) LLC toll-free at 1-800-221-1037; (2) Goldman Sachs &amp; Co. LLC toll-free at 1-866-471-2526; or (3) Wells Fargo Securities, LLC toll-free at 1-800-645-3751.</w:t>
      </w:r>
    </w:p>
    <w:p>
      <w:pPr>
        <w:spacing w:after="0" w:line="17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Any disclaimers or other notices that may appear below are not applicable to this communication and should be disregarded. Such disclaimers were automatically generated as a result of this communication being sent via email or another communication system.</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Schedule 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Representatives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Underwriters</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1"/>
        </w:trPr>
        <w:tc>
          <w:tcPr>
            <w:tcW w:w="1040" w:type="dxa"/>
            <w:vAlign w:val="bottom"/>
            <w:tcBorders>
              <w:top w:val="single" w:sz="8" w:color="auto"/>
            </w:tcBorders>
          </w:tcPr>
          <w:p>
            <w:pPr>
              <w:spacing w:after="0"/>
              <w:rPr>
                <w:sz w:val="24"/>
                <w:szCs w:val="24"/>
                <w:color w:val="auto"/>
              </w:rPr>
            </w:pPr>
          </w:p>
        </w:tc>
        <w:tc>
          <w:tcPr>
            <w:tcW w:w="6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4"/>
              </w:rPr>
              <w:t>Principal</w:t>
            </w:r>
          </w:p>
        </w:tc>
        <w:tc>
          <w:tcPr>
            <w:tcW w:w="260" w:type="dxa"/>
            <w:vAlign w:val="bottom"/>
          </w:tcPr>
          <w:p>
            <w:pPr>
              <w:spacing w:after="0"/>
              <w:rPr>
                <w:sz w:val="24"/>
                <w:szCs w:val="2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Principal</w:t>
            </w:r>
          </w:p>
        </w:tc>
      </w:tr>
      <w:tr>
        <w:trPr>
          <w:trHeight w:val="216"/>
        </w:trPr>
        <w:tc>
          <w:tcPr>
            <w:tcW w:w="104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920" w:type="dxa"/>
            <w:vAlign w:val="bottom"/>
            <w:gridSpan w:val="3"/>
          </w:tcPr>
          <w:p>
            <w:pPr>
              <w:spacing w:after="0"/>
              <w:rPr>
                <w:sz w:val="20"/>
                <w:szCs w:val="20"/>
                <w:color w:val="auto"/>
              </w:rPr>
            </w:pPr>
            <w:r>
              <w:rPr>
                <w:rFonts w:ascii="Arial" w:cs="Arial" w:eastAsia="Arial" w:hAnsi="Arial"/>
                <w:sz w:val="18"/>
                <w:szCs w:val="18"/>
                <w:b w:val="1"/>
                <w:bCs w:val="1"/>
                <w:color w:val="auto"/>
                <w:w w:val="99"/>
              </w:rPr>
              <w:t>Amount of 2029 Notes</w:t>
            </w:r>
          </w:p>
        </w:tc>
        <w:tc>
          <w:tcPr>
            <w:tcW w:w="1800" w:type="dxa"/>
            <w:vAlign w:val="bottom"/>
            <w:gridSpan w:val="3"/>
          </w:tcPr>
          <w:p>
            <w:pPr>
              <w:spacing w:after="0"/>
              <w:rPr>
                <w:sz w:val="20"/>
                <w:szCs w:val="20"/>
                <w:color w:val="auto"/>
              </w:rPr>
            </w:pPr>
            <w:r>
              <w:rPr>
                <w:rFonts w:ascii="Arial" w:cs="Arial" w:eastAsia="Arial" w:hAnsi="Arial"/>
                <w:sz w:val="18"/>
                <w:szCs w:val="18"/>
                <w:b w:val="1"/>
                <w:bCs w:val="1"/>
                <w:color w:val="auto"/>
                <w:w w:val="93"/>
              </w:rPr>
              <w:t>Amount of 2041 Notes</w:t>
            </w:r>
          </w:p>
        </w:tc>
      </w:tr>
      <w:tr>
        <w:trPr>
          <w:trHeight w:val="216"/>
        </w:trPr>
        <w:tc>
          <w:tcPr>
            <w:tcW w:w="104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to be</w:t>
            </w:r>
          </w:p>
        </w:tc>
        <w:tc>
          <w:tcPr>
            <w:tcW w:w="26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3"/>
              </w:rPr>
              <w:t>to be</w:t>
            </w:r>
          </w:p>
        </w:tc>
      </w:tr>
      <w:tr>
        <w:trPr>
          <w:trHeight w:val="234"/>
        </w:trPr>
        <w:tc>
          <w:tcPr>
            <w:tcW w:w="104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6"/>
              </w:rPr>
              <w:t>Purchased</w:t>
            </w:r>
          </w:p>
        </w:tc>
        <w:tc>
          <w:tcPr>
            <w:tcW w:w="260" w:type="dxa"/>
            <w:vAlign w:val="bottom"/>
          </w:tcPr>
          <w:p>
            <w:pPr>
              <w:spacing w:after="0"/>
              <w:rPr>
                <w:sz w:val="20"/>
                <w:szCs w:val="20"/>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Purchased</w:t>
            </w:r>
          </w:p>
        </w:tc>
      </w:tr>
      <w:tr>
        <w:trPr>
          <w:trHeight w:val="210"/>
        </w:trPr>
        <w:tc>
          <w:tcPr>
            <w:tcW w:w="7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61,750,000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20" w:type="dxa"/>
            <w:vAlign w:val="bottom"/>
            <w:gridSpan w:val="2"/>
          </w:tcPr>
          <w:p>
            <w:pPr>
              <w:spacing w:after="0"/>
              <w:rPr>
                <w:sz w:val="20"/>
                <w:szCs w:val="20"/>
                <w:color w:val="auto"/>
              </w:rPr>
            </w:pPr>
            <w:r>
              <w:rPr>
                <w:rFonts w:ascii="Arial" w:cs="Arial" w:eastAsia="Arial" w:hAnsi="Arial"/>
                <w:sz w:val="18"/>
                <w:szCs w:val="18"/>
                <w:color w:val="auto"/>
              </w:rPr>
              <w:t>Goldman Sachs &amp; Co. LLC</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61,750,000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61,750,000</w:t>
            </w: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61,750,000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61,750,000</w:t>
            </w:r>
          </w:p>
        </w:tc>
      </w:tr>
      <w:tr>
        <w:trPr>
          <w:trHeight w:val="216"/>
        </w:trPr>
        <w:tc>
          <w:tcPr>
            <w:tcW w:w="7520" w:type="dxa"/>
            <w:vAlign w:val="bottom"/>
            <w:gridSpan w:val="2"/>
          </w:tcPr>
          <w:p>
            <w:pPr>
              <w:spacing w:after="0"/>
              <w:rPr>
                <w:sz w:val="20"/>
                <w:szCs w:val="20"/>
                <w:color w:val="auto"/>
              </w:rPr>
            </w:pPr>
            <w:r>
              <w:rPr>
                <w:rFonts w:ascii="Arial" w:cs="Arial" w:eastAsia="Arial" w:hAnsi="Arial"/>
                <w:sz w:val="18"/>
                <w:szCs w:val="18"/>
                <w:color w:val="auto"/>
              </w:rPr>
              <w:t>BofA Securities, Inc</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40,375,000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40,375,000</w:t>
            </w: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40,375,000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40,375,000</w:t>
            </w:r>
          </w:p>
        </w:tc>
      </w:tr>
      <w:tr>
        <w:trPr>
          <w:trHeight w:val="216"/>
        </w:trPr>
        <w:tc>
          <w:tcPr>
            <w:tcW w:w="752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40,375,000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40,375,000</w:t>
            </w: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Mizuho Securities USA LLC</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40,375,000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40,375,000</w:t>
            </w:r>
          </w:p>
        </w:tc>
      </w:tr>
      <w:tr>
        <w:trPr>
          <w:trHeight w:val="216"/>
        </w:trPr>
        <w:tc>
          <w:tcPr>
            <w:tcW w:w="7520" w:type="dxa"/>
            <w:vAlign w:val="bottom"/>
            <w:gridSpan w:val="2"/>
          </w:tcPr>
          <w:p>
            <w:pPr>
              <w:spacing w:after="0"/>
              <w:rPr>
                <w:sz w:val="20"/>
                <w:szCs w:val="20"/>
                <w:color w:val="auto"/>
              </w:rPr>
            </w:pPr>
            <w:r>
              <w:rPr>
                <w:rFonts w:ascii="Arial" w:cs="Arial" w:eastAsia="Arial" w:hAnsi="Arial"/>
                <w:sz w:val="18"/>
                <w:szCs w:val="18"/>
                <w:color w:val="auto"/>
              </w:rPr>
              <w:t>Scotia Capital (USA) Inc.</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40,375,000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40,375,000</w:t>
            </w: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PNC Capital Markets LLC</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30,875,000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30,875,000</w:t>
            </w:r>
          </w:p>
        </w:tc>
      </w:tr>
      <w:tr>
        <w:trPr>
          <w:trHeight w:val="216"/>
        </w:trPr>
        <w:tc>
          <w:tcPr>
            <w:tcW w:w="7520" w:type="dxa"/>
            <w:vAlign w:val="bottom"/>
            <w:gridSpan w:val="2"/>
          </w:tcPr>
          <w:p>
            <w:pPr>
              <w:spacing w:after="0"/>
              <w:rPr>
                <w:sz w:val="20"/>
                <w:szCs w:val="20"/>
                <w:color w:val="auto"/>
              </w:rPr>
            </w:pPr>
            <w:r>
              <w:rPr>
                <w:rFonts w:ascii="Arial" w:cs="Arial" w:eastAsia="Arial" w:hAnsi="Arial"/>
                <w:sz w:val="18"/>
                <w:szCs w:val="18"/>
                <w:color w:val="auto"/>
              </w:rPr>
              <w:t>Truist Securities, Inc</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30,875,000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30,875,000</w:t>
            </w: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Loop Capital Markets LLC</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11,875,000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11,875,000</w:t>
            </w:r>
          </w:p>
        </w:tc>
      </w:tr>
      <w:tr>
        <w:trPr>
          <w:trHeight w:val="216"/>
        </w:trPr>
        <w:tc>
          <w:tcPr>
            <w:tcW w:w="7520" w:type="dxa"/>
            <w:vAlign w:val="bottom"/>
            <w:gridSpan w:val="2"/>
          </w:tcPr>
          <w:p>
            <w:pPr>
              <w:spacing w:after="0"/>
              <w:rPr>
                <w:sz w:val="20"/>
                <w:szCs w:val="20"/>
                <w:color w:val="auto"/>
              </w:rPr>
            </w:pPr>
            <w:r>
              <w:rPr>
                <w:rFonts w:ascii="Arial" w:cs="Arial" w:eastAsia="Arial" w:hAnsi="Arial"/>
                <w:sz w:val="18"/>
                <w:szCs w:val="18"/>
                <w:color w:val="auto"/>
              </w:rPr>
              <w:t>Academy Securities, Inc</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4,750,000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4,750,000</w:t>
            </w: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Siebert Williams Shank &amp; Co., LLC</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4,750,000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4,750,000</w:t>
            </w: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rPr>
              <w:t>Stern Brothers &amp; Co.</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4,750,000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4,750,000</w:t>
            </w:r>
          </w:p>
        </w:tc>
      </w:tr>
      <w:tr>
        <w:trPr>
          <w:trHeight w:val="223"/>
        </w:trPr>
        <w:tc>
          <w:tcPr>
            <w:tcW w:w="75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475,000,000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475,000,000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0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center"/>
        <w:ind w:right="-1120"/>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7"/>
          <w:szCs w:val="17"/>
          <w:b w:val="1"/>
          <w:bCs w:val="1"/>
          <w:color w:val="auto"/>
        </w:rPr>
        <w:t>FREE WRITING PROSPECTUSES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Final Pricing Term Sheet, substantially in the form of Schedule I attached to this Agreement.</w:t>
      </w:r>
    </w:p>
    <w:p>
      <w:pPr>
        <w:spacing w:after="0" w:line="200" w:lineRule="exact"/>
        <w:rPr>
          <w:sz w:val="20"/>
          <w:szCs w:val="20"/>
          <w:color w:val="auto"/>
        </w:rPr>
      </w:pPr>
    </w:p>
    <w:p>
      <w:pPr>
        <w:spacing w:after="0" w:line="25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120" w:right="1440" w:bottom="1440" w:gutter="0" w:footer="0" w:header="0"/>
        </w:sectPr>
      </w:pPr>
    </w:p>
    <w:bookmarkStart w:id="42" w:name="page43"/>
    <w:bookmarkEnd w:id="42"/>
    <w:p>
      <w:pPr>
        <w:jc w:val="center"/>
        <w:ind w:right="-71"/>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REVIEWED AGREEMENTS</w:t>
      </w:r>
    </w:p>
    <w:p>
      <w:pPr>
        <w:spacing w:after="0" w:line="229" w:lineRule="exact"/>
        <w:rPr>
          <w:sz w:val="20"/>
          <w:szCs w:val="20"/>
          <w:color w:val="auto"/>
        </w:rPr>
      </w:pPr>
    </w:p>
    <w:p>
      <w:pPr>
        <w:ind w:left="652" w:right="40" w:hanging="652"/>
        <w:spacing w:after="0" w:line="342" w:lineRule="auto"/>
        <w:tabs>
          <w:tab w:leader="none" w:pos="652"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Indenture for Senior Debt Securities dated September 10, 1997, among Waste Management, Inc. (formerly known as USA Services Inc.) and The Bank of New York Mellon Trust Company, N.A. (the current successor to Texas Commerce Bank National Association), as Trustee</w:t>
      </w:r>
    </w:p>
    <w:p>
      <w:pPr>
        <w:spacing w:after="0" w:line="123" w:lineRule="exact"/>
        <w:rPr>
          <w:rFonts w:ascii="Arial" w:cs="Arial" w:eastAsia="Arial" w:hAnsi="Arial"/>
          <w:sz w:val="16"/>
          <w:szCs w:val="16"/>
          <w:color w:val="auto"/>
        </w:rPr>
      </w:pPr>
    </w:p>
    <w:p>
      <w:pPr>
        <w:ind w:left="652" w:hanging="652"/>
        <w:spacing w:after="0" w:line="254" w:lineRule="auto"/>
        <w:tabs>
          <w:tab w:leader="none" w:pos="6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of the Officers’ Certificates delivered pursuant to Section 301 of the Indenture dated September 10, 1997 by and between Waste Management, Inc. and The Bank of New York Mellon Trust Company, N.A., as Trustee, which established the terms and form of Waste Management, Inc.’s: (i) 7.00% Senior Notes due 2028, (ii) 7.375% Senior Notes due 2029, (iii) 7.75% Senior Notes due 2032, (iv) 6.125% Senior Notes due 2039, (v) 2.90% Senior Notes due 2022, (vi) 3.50% Senior Notes due 2024, (vii) 3.125% Senior Notes due 2025, (viii) 3.90% Senior Notes due 2035, (ix) 4.10% Senior Notes due 2045, (x) 2.40% Senior Notes due 2023, (xi) 3.15% Senior Notes due 2027, (xii) 4.15% Senior Notes due 2049, (xiii) 0.75% Senior Notes due 2025, (xiv) 1.15% Senior Notes due 2028, (xv) 1.50% Senior Notes due 2031 and (xvi) 2.50% Senior Notes due 2050</w:t>
      </w:r>
    </w:p>
    <w:p>
      <w:pPr>
        <w:spacing w:after="0" w:line="194" w:lineRule="exact"/>
        <w:rPr>
          <w:rFonts w:ascii="Arial" w:cs="Arial" w:eastAsia="Arial" w:hAnsi="Arial"/>
          <w:sz w:val="18"/>
          <w:szCs w:val="18"/>
          <w:color w:val="auto"/>
        </w:rPr>
      </w:pPr>
    </w:p>
    <w:p>
      <w:pPr>
        <w:ind w:left="652" w:hanging="652"/>
        <w:spacing w:after="0" w:line="255" w:lineRule="auto"/>
        <w:tabs>
          <w:tab w:leader="none" w:pos="6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Guarantee Agreement by Waste Management Holdings, Inc. in favor of The Bank of New York Mellon Trust Company, N.A., as Trustee for the holders of Waste Management, Inc.’s: (i) 7.00% Senior Notes due 2028, (ii) 7.375% Senior Notes due 2029, (iii) 7.75% Senior Notes due 2032, (iv) 6.125% Senior Notes due 2039, (v) 2.90% Senior Notes due 2022, (vi) 3.50% Senior Notes due 2024, (vii) 3.125% Senior Notes due 2025, (viii) 3.90% Senior Notes due 2035, (ix) 4.10% Senior Notes due 2045, (x) 2.40% Senior Notes due 2023, (xi) 3.15% Senior Notes due 2027, (xii) 4.15% Senior Notes due 2049, (xiii) 0.75% Senior Notes due 2025, (xiv) 1.15% Senior Notes due 2028, (xv) 1.50% Senior Notes due 2031 and (xvi) 2.50% Senior Notes due 2050</w:t>
      </w:r>
    </w:p>
    <w:p>
      <w:pPr>
        <w:spacing w:after="0" w:line="192" w:lineRule="exact"/>
        <w:rPr>
          <w:rFonts w:ascii="Arial" w:cs="Arial" w:eastAsia="Arial" w:hAnsi="Arial"/>
          <w:sz w:val="18"/>
          <w:szCs w:val="18"/>
          <w:color w:val="auto"/>
        </w:rPr>
      </w:pPr>
    </w:p>
    <w:p>
      <w:pPr>
        <w:jc w:val="both"/>
        <w:ind w:left="652" w:right="240" w:hanging="652"/>
        <w:spacing w:after="0" w:line="259" w:lineRule="auto"/>
        <w:tabs>
          <w:tab w:leader="none" w:pos="6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$3.5 Billion Fifth Amended and Restated Revolving Credit Agreement dated as of November 7, 2019 by and among Waste Management, Inc., Waste Management of Canada Corporation, WM Quebec Inc. and Waste Management Holdings, Inc., certain banks party thereto, and Bank of America, N.A., as Administrative Agent, which agreement is filed as Exhibit 10.1 to Waste Management, Inc.’s Form 8-K dated November 7, 2019 and filed on November 12, 2019</w:t>
      </w:r>
    </w:p>
    <w:p>
      <w:pPr>
        <w:spacing w:after="0" w:line="186" w:lineRule="exact"/>
        <w:rPr>
          <w:rFonts w:ascii="Arial" w:cs="Arial" w:eastAsia="Arial" w:hAnsi="Arial"/>
          <w:sz w:val="18"/>
          <w:szCs w:val="18"/>
          <w:color w:val="auto"/>
        </w:rPr>
      </w:pPr>
    </w:p>
    <w:p>
      <w:pPr>
        <w:ind w:left="652" w:right="260" w:hanging="652"/>
        <w:spacing w:after="0" w:line="286" w:lineRule="auto"/>
        <w:tabs>
          <w:tab w:leader="none" w:pos="652"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Commercial Paper Dealer Agreement, substantially in the form as executed with each of Mizuho Securities USA Inc., Merrill Lynch, Pierce, Fenner &amp; Smith Incorporated, and J.P. Morgan Securities LLC, as Dealer, dated August 22, 2016, which agreement is filed as Exhibit 10.11 to Waste Management, Inc.’s Annual Report on Form 10-K for the year ended December 31, 2016</w:t>
      </w:r>
    </w:p>
    <w:p>
      <w:pPr>
        <w:spacing w:after="0" w:line="165" w:lineRule="exact"/>
        <w:rPr>
          <w:rFonts w:ascii="Arial" w:cs="Arial" w:eastAsia="Arial" w:hAnsi="Arial"/>
          <w:sz w:val="17"/>
          <w:szCs w:val="17"/>
          <w:color w:val="auto"/>
        </w:rPr>
      </w:pPr>
    </w:p>
    <w:p>
      <w:pPr>
        <w:ind w:left="652" w:right="320" w:hanging="652"/>
        <w:spacing w:after="0" w:line="263" w:lineRule="auto"/>
        <w:tabs>
          <w:tab w:leader="none" w:pos="6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Commercial Paper Issuing and Paying Agent Agreement between Waste Management, Inc. and Bank of America, National Association dated August 15, 2016, which agreement is filed as Exhibit 10.12 to Waste Management, Inc.’s Annual Report on Form 10-K for the year ended December 31, 2016</w:t>
      </w:r>
    </w:p>
    <w:p>
      <w:pPr>
        <w:spacing w:after="0" w:line="400"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52"/>
          </w:cols>
          <w:pgMar w:left="328" w:top="904" w:right="419" w:bottom="1440" w:gutter="0" w:footer="0" w:header="0"/>
        </w:sectPr>
      </w:pPr>
    </w:p>
    <w:bookmarkStart w:id="43" w:name="page44"/>
    <w:bookmarkEnd w:id="43"/>
    <w:p>
      <w:pPr>
        <w:jc w:val="right"/>
        <w:spacing w:after="0"/>
        <w:rPr>
          <w:sz w:val="20"/>
          <w:szCs w:val="20"/>
          <w:color w:val="auto"/>
        </w:rPr>
      </w:pPr>
      <w:r>
        <w:rPr>
          <w:rFonts w:ascii="Arial" w:cs="Arial" w:eastAsia="Arial" w:hAnsi="Arial"/>
          <w:sz w:val="22"/>
          <w:szCs w:val="22"/>
          <w:b w:val="1"/>
          <w:bCs w:val="1"/>
          <w:color w:val="auto"/>
        </w:rPr>
        <w:t>Exhibit 4.2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301 of the Indenture dated as of September 10, 1997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12, 2021</w:t>
      </w:r>
    </w:p>
    <w:p>
      <w:pPr>
        <w:spacing w:after="0" w:line="229"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The undersigned, the Vice President and Treasurer, and the Vice President and Corporate Secretary of Waste Management, Inc. (the “Company”), hereby certify that:</w:t>
      </w:r>
    </w:p>
    <w:p>
      <w:pPr>
        <w:spacing w:after="0" w:line="170" w:lineRule="exact"/>
        <w:rPr>
          <w:sz w:val="20"/>
          <w:szCs w:val="20"/>
          <w:color w:val="auto"/>
        </w:rPr>
      </w:pPr>
    </w:p>
    <w:p>
      <w:pPr>
        <w:jc w:val="both"/>
        <w:ind w:firstLine="1304"/>
        <w:spacing w:after="0" w:line="301" w:lineRule="auto"/>
        <w:tabs>
          <w:tab w:leader="none" w:pos="1701"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in connection with the Company Order dated May 12, 2021 (the “Order”) for the authentication and delivery by the Trustee of $475,000,000 aggregate principal amount of 2.00% Senior Notes due 2029 (the “Notes”).</w:t>
      </w:r>
    </w:p>
    <w:p>
      <w:pPr>
        <w:spacing w:after="0" w:line="157" w:lineRule="exact"/>
        <w:rPr>
          <w:rFonts w:ascii="Arial" w:cs="Arial" w:eastAsia="Arial" w:hAnsi="Arial"/>
          <w:sz w:val="16"/>
          <w:szCs w:val="16"/>
          <w:color w:val="auto"/>
        </w:rPr>
      </w:pPr>
    </w:p>
    <w:p>
      <w:pPr>
        <w:ind w:left="1700" w:hanging="396"/>
        <w:spacing w:after="0"/>
        <w:tabs>
          <w:tab w:leader="none" w:pos="17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undersigned have read Sections 102, 103, 301 and 303 of the Indenture and the definitions in the Indenture relating thereto.</w:t>
      </w:r>
    </w:p>
    <w:p>
      <w:pPr>
        <w:spacing w:after="0" w:line="248" w:lineRule="exact"/>
        <w:rPr>
          <w:rFonts w:ascii="Arial" w:cs="Arial" w:eastAsia="Arial" w:hAnsi="Arial"/>
          <w:sz w:val="16"/>
          <w:szCs w:val="16"/>
          <w:color w:val="auto"/>
        </w:rPr>
      </w:pPr>
    </w:p>
    <w:p>
      <w:pPr>
        <w:jc w:val="both"/>
        <w:ind w:firstLine="1304"/>
        <w:spacing w:after="0" w:line="263" w:lineRule="auto"/>
        <w:tabs>
          <w:tab w:leader="none" w:pos="167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83" w:lineRule="exact"/>
        <w:rPr>
          <w:rFonts w:ascii="Arial" w:cs="Arial" w:eastAsia="Arial" w:hAnsi="Arial"/>
          <w:sz w:val="18"/>
          <w:szCs w:val="18"/>
          <w:color w:val="auto"/>
        </w:rPr>
      </w:pPr>
    </w:p>
    <w:p>
      <w:pPr>
        <w:ind w:left="1700" w:hanging="396"/>
        <w:spacing w:after="0"/>
        <w:tabs>
          <w:tab w:leader="none" w:pos="17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undersigned have examined the Order, and they have read the covenants, conditions and provisions of the Indenture relating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210" w:lineRule="exact"/>
        <w:rPr>
          <w:rFonts w:ascii="Arial" w:cs="Arial" w:eastAsia="Arial" w:hAnsi="Arial"/>
          <w:sz w:val="16"/>
          <w:szCs w:val="16"/>
          <w:color w:val="auto"/>
        </w:rPr>
      </w:pPr>
    </w:p>
    <w:p>
      <w:pPr>
        <w:jc w:val="both"/>
        <w:ind w:firstLine="1304"/>
        <w:spacing w:after="0" w:line="263" w:lineRule="auto"/>
        <w:tabs>
          <w:tab w:leader="none" w:pos="1701"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701"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covenants and conditions (including all conditions precedent) provided in the Indenture to the authentication and delivery by the Trustee of $475,000,000 aggregate principal amount of the Notes have been complied with, and such Notes may be delivered in accordance with the Order as provided in the Indenture.</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701"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terms of the Notes (including the Form of Note) as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Officers’ Certificate have been approved by officers of the Company as authorized by resolutions duly adopted on June 23, 2020 by the Board of Directors of the Company, which are in full force and effect as of the date hereof.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4" w:name="page45"/>
    <w:bookmarkEnd w:id="44"/>
    <w:p>
      <w:pPr>
        <w:ind w:left="180"/>
        <w:spacing w:after="0"/>
        <w:rPr>
          <w:sz w:val="20"/>
          <w:szCs w:val="20"/>
          <w:color w:val="auto"/>
        </w:rPr>
      </w:pPr>
      <w:r>
        <w:rPr>
          <w:rFonts w:ascii="Arial" w:cs="Arial" w:eastAsia="Arial" w:hAnsi="Arial"/>
          <w:sz w:val="16"/>
          <w:szCs w:val="16"/>
          <w:color w:val="auto"/>
        </w:rPr>
        <w:t>IN WITNESS WHEREOF, the undersigned has hereunto executed this Officers’ Certificate as of the date first written above.</w:t>
      </w:r>
    </w:p>
    <w:p>
      <w:pPr>
        <w:spacing w:after="0" w:line="200" w:lineRule="exact"/>
        <w:rPr>
          <w:sz w:val="20"/>
          <w:szCs w:val="20"/>
          <w:color w:val="auto"/>
        </w:rPr>
      </w:pPr>
    </w:p>
    <w:p>
      <w:pPr>
        <w:spacing w:after="0" w:line="27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-130175</wp:posOffset>
            </wp:positionV>
            <wp:extent cx="3566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4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-130175</wp:posOffset>
            </wp:positionV>
            <wp:extent cx="35661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Vice President and Corporate Secretary</w:t>
      </w:r>
    </w:p>
    <w:p>
      <w:pPr>
        <w:spacing w:after="0" w:line="21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Officers’ Certificate Delivered Pursuant to</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Section 301 of the Indenture dated as of September 10, 1997</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80"/>
          </w:cols>
          <w:pgMar w:left="1440" w:top="908" w:right="127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i w:val="1"/>
          <w:iCs w:val="1"/>
          <w:color w:val="auto"/>
        </w:rPr>
        <w:t>Annex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the Notes</w:t>
      </w:r>
    </w:p>
    <w:p>
      <w:pPr>
        <w:spacing w:after="0" w:line="211"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Pursuant to authority granted by the Board of Directors of the Company on June 23, 2020 and the Sole Director of Waste Management Holdings, Inc. on April 23, 2021,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61"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title of the series of Securities shall be “2.00% Senior Notes due 2029” (the “Notes”).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Notes shall be general unsecured, senior obligations of the Company.</w:t>
      </w:r>
    </w:p>
    <w:p>
      <w:pPr>
        <w:spacing w:after="0" w:line="225" w:lineRule="exact"/>
        <w:rPr>
          <w:rFonts w:ascii="Arial" w:cs="Arial" w:eastAsia="Arial" w:hAnsi="Arial"/>
          <w:sz w:val="18"/>
          <w:szCs w:val="18"/>
          <w:color w:val="auto"/>
        </w:rPr>
      </w:pPr>
    </w:p>
    <w:p>
      <w:pPr>
        <w:jc w:val="both"/>
        <w:ind w:left="660" w:hanging="652"/>
        <w:spacing w:after="0" w:line="301"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initial aggregate principal amount of the Notes that may be authenticated and delivered under the Indenture shall be $475,000,000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57" w:lineRule="exact"/>
        <w:rPr>
          <w:rFonts w:ascii="Arial" w:cs="Arial" w:eastAsia="Arial" w:hAnsi="Arial"/>
          <w:sz w:val="16"/>
          <w:szCs w:val="16"/>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principal amount of each Note shall be payable on June 1, 2029.</w:t>
      </w:r>
    </w:p>
    <w:p>
      <w:pPr>
        <w:spacing w:after="0" w:line="225" w:lineRule="exact"/>
        <w:rPr>
          <w:rFonts w:ascii="Arial" w:cs="Arial" w:eastAsia="Arial" w:hAnsi="Arial"/>
          <w:sz w:val="18"/>
          <w:szCs w:val="18"/>
          <w:color w:val="auto"/>
        </w:rPr>
      </w:pPr>
    </w:p>
    <w:p>
      <w:pPr>
        <w:jc w:val="both"/>
        <w:ind w:left="660" w:hanging="652"/>
        <w:spacing w:after="0" w:line="301"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Each Note shall bear interest from May 12, 2021 at the fixed rate of 2.00% per annum; the Interest Payment Dates on which such interest shall be payable shall be June 1 and December 1, of each year, commencing December 1, 2021, until maturity unless such date falls on a day that is not a Business Day, in which case, such payment shall be made on the next day that is a Business Day. The Regular Record Date for the determination of Holders to whom interest is payable shall be May 15 or November 15, respectively, immediately preceding such date, as the case may be.</w:t>
      </w:r>
    </w:p>
    <w:p>
      <w:pPr>
        <w:spacing w:after="0" w:line="157" w:lineRule="exact"/>
        <w:rPr>
          <w:rFonts w:ascii="Arial" w:cs="Arial" w:eastAsia="Arial" w:hAnsi="Arial"/>
          <w:sz w:val="16"/>
          <w:szCs w:val="16"/>
          <w:color w:val="auto"/>
        </w:rPr>
      </w:pPr>
    </w:p>
    <w:p>
      <w:pPr>
        <w:jc w:val="both"/>
        <w:ind w:left="660" w:hanging="652"/>
        <w:spacing w:after="0" w:line="263"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83"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186"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ind w:left="652" w:hanging="652"/>
        <w:spacing w:after="0"/>
        <w:tabs>
          <w:tab w:leader="none" w:pos="652" w:val="left"/>
        </w:tabs>
        <w:numPr>
          <w:ilvl w:val="0"/>
          <w:numId w:val="51"/>
        </w:numPr>
        <w:rPr>
          <w:rFonts w:ascii="Arial" w:cs="Arial" w:eastAsia="Arial" w:hAnsi="Arial"/>
          <w:sz w:val="16"/>
          <w:szCs w:val="16"/>
          <w:color w:val="auto"/>
        </w:rPr>
      </w:pPr>
      <w:r>
        <w:rPr>
          <w:rFonts w:ascii="Arial" w:cs="Arial" w:eastAsia="Arial" w:hAnsi="Arial"/>
          <w:sz w:val="16"/>
          <w:szCs w:val="16"/>
          <w:color w:val="auto"/>
        </w:rPr>
        <w:t>Before the Par Call Date, the Notes will be redeemable and repayable, at the option of the Company, at any time in whole, or from time to time in</w:t>
      </w:r>
    </w:p>
    <w:p>
      <w:pPr>
        <w:spacing w:after="0" w:line="46" w:lineRule="exact"/>
        <w:rPr>
          <w:sz w:val="20"/>
          <w:szCs w:val="20"/>
          <w:color w:val="auto"/>
        </w:rPr>
      </w:pPr>
    </w:p>
    <w:p>
      <w:pPr>
        <w:jc w:val="both"/>
        <w:ind w:left="652"/>
        <w:spacing w:after="0" w:line="251" w:lineRule="auto"/>
        <w:rPr>
          <w:sz w:val="20"/>
          <w:szCs w:val="20"/>
          <w:color w:val="auto"/>
        </w:rPr>
      </w:pPr>
      <w:r>
        <w:rPr>
          <w:rFonts w:ascii="Arial" w:cs="Arial" w:eastAsia="Arial" w:hAnsi="Arial"/>
          <w:sz w:val="18"/>
          <w:szCs w:val="18"/>
          <w:color w:val="auto"/>
        </w:rPr>
        <w:t>part, at a Redemption Price equal to the greater of (i) 100% of the principal amount of the Notes to be redeemed or (ii) the sum, as calculated by the Company, of the present values of the remaining scheduled payments of principal and interest thereon that would be due if the Notes matured on the Par Call Date (exclusive of interest accrued to the Redemption Date (as defined in the Notes) discounted to the Redemption Date on a semi-annual basis (assuming a 360-day year consisting of twelve 30-day months) at the applicable Treasury Yield (as defined in the Notes) plus 12.5 basis points; plus, in either case, accrued interest to the Redemption Date. On or after the Par Call Date, the Notes will be redeemable and repayable, at the option of the Company, at any time in whole, or from time to time in part, at a Redemption Price equal to 100% of the principal amount of the Notes to be redeemed plus accrued interest on the Notes to be redeemed to the Redemption Date. “Par Call Date” means April 1, 2029.</w:t>
      </w:r>
    </w:p>
    <w:p>
      <w:pPr>
        <w:spacing w:after="0" w:line="198" w:lineRule="exact"/>
        <w:rPr>
          <w:sz w:val="20"/>
          <w:szCs w:val="20"/>
          <w:color w:val="auto"/>
        </w:rPr>
      </w:pPr>
    </w:p>
    <w:p>
      <w:pPr>
        <w:ind w:left="652" w:hanging="652"/>
        <w:spacing w:after="0" w:line="277" w:lineRule="auto"/>
        <w:tabs>
          <w:tab w:leader="none" w:pos="6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shall have no obligation to redeem, purchase or repay the Notes pursuant to any mandatory redemption, sinking fund or analogous provisions or at the option of a Holder thereof.</w:t>
      </w:r>
    </w:p>
    <w:p>
      <w:pPr>
        <w:spacing w:after="0" w:line="170"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Notes will be subject to defeasance and discharge as contemplated by Section 1302 of the Indenture and to covenant defeasance under Section 1303 of the Indenture.</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Notes shall be entitled to the benefit of the covenants contained in Sections 1008 and 1009 of the Indenture.</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Bank of New York Mellon Trust Company, N.A. shall serve initially as Security Registrar for the Notes.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Notes shall be substantially in the form of Exhibit A hereto.</w:t>
      </w:r>
    </w:p>
    <w:p>
      <w:pPr>
        <w:spacing w:after="0" w:line="225" w:lineRule="exact"/>
        <w:rPr>
          <w:rFonts w:ascii="Arial" w:cs="Arial" w:eastAsia="Arial" w:hAnsi="Arial"/>
          <w:sz w:val="18"/>
          <w:szCs w:val="18"/>
          <w:color w:val="auto"/>
        </w:rPr>
      </w:pPr>
    </w:p>
    <w:p>
      <w:pPr>
        <w:jc w:val="both"/>
        <w:ind w:left="652" w:hanging="652"/>
        <w:spacing w:after="0" w:line="257" w:lineRule="auto"/>
        <w:tabs>
          <w:tab w:leader="none" w:pos="6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Notes will be fully and unconditionally guaranteed on a senior basis by the Company’s wholly owned subsidiary, Waste Management Holdings, Inc., pursuant to the terms and conditions of a Guarantee Agreement dated May 12, 2021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187" w:lineRule="exact"/>
        <w:rPr>
          <w:rFonts w:ascii="Arial" w:cs="Arial" w:eastAsia="Arial" w:hAnsi="Arial"/>
          <w:sz w:val="18"/>
          <w:szCs w:val="18"/>
          <w:color w:val="auto"/>
        </w:rPr>
      </w:pPr>
    </w:p>
    <w:p>
      <w:pPr>
        <w:ind w:left="652" w:right="20" w:hanging="652"/>
        <w:spacing w:after="0" w:line="277" w:lineRule="auto"/>
        <w:tabs>
          <w:tab w:leader="none" w:pos="6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408940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color w:val="auto"/>
        </w:rPr>
        <w:t>BOOK-ENTRY SECURITY</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1240"/>
          </w:cols>
          <w:pgMar w:left="320" w:top="908" w:right="339" w:bottom="1440" w:gutter="0" w:footer="0" w:header="0"/>
        </w:sectPr>
      </w:pP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RGN</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w:t>
      </w:r>
    </w:p>
    <w:p>
      <w:pPr>
        <w:spacing w:after="0" w:line="211" w:lineRule="exact"/>
        <w:rPr>
          <w:sz w:val="20"/>
          <w:szCs w:val="20"/>
          <w:color w:val="auto"/>
        </w:rPr>
      </w:pPr>
    </w:p>
    <w:p>
      <w:pPr>
        <w:sectPr>
          <w:pgSz w:w="11900" w:h="16838" w:orient="portrait"/>
          <w:cols w:equalWidth="0" w:num="2">
            <w:col w:w="9240" w:space="720"/>
            <w:col w:w="1280"/>
          </w:cols>
          <w:pgMar w:left="320" w:top="9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WASTE MANAGEMENT, INC.</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right"/>
        <w:ind w:right="40"/>
        <w:spacing w:after="0"/>
        <w:tabs>
          <w:tab w:leader="none" w:pos="60" w:val="left"/>
        </w:tabs>
        <w:rPr>
          <w:sz w:val="20"/>
          <w:szCs w:val="20"/>
          <w:color w:val="auto"/>
        </w:rPr>
      </w:pPr>
      <w:r>
        <w:rPr>
          <w:rFonts w:ascii="Arial" w:cs="Arial" w:eastAsia="Arial" w:hAnsi="Arial"/>
          <w:sz w:val="18"/>
          <w:szCs w:val="18"/>
          <w:color w:val="auto"/>
        </w:rPr>
        <w:t>U.S. $</w:t>
      </w:r>
      <w:r>
        <w:rPr>
          <w:sz w:val="20"/>
          <w:szCs w:val="20"/>
          <w:color w:val="auto"/>
        </w:rPr>
        <w:tab/>
      </w:r>
      <w:r>
        <w:rPr>
          <w:rFonts w:ascii="Arial" w:cs="Arial" w:eastAsia="Arial" w:hAnsi="Arial"/>
          <w:sz w:val="13"/>
          <w:szCs w:val="13"/>
          <w:color w:val="auto"/>
        </w:rPr>
        <w: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which may be decreased</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by the Schedule of</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Exchanges of Definitive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Security attached hereto</w:t>
      </w:r>
    </w:p>
    <w:p>
      <w:pPr>
        <w:spacing w:after="0" w:line="200" w:lineRule="exact"/>
        <w:rPr>
          <w:sz w:val="20"/>
          <w:szCs w:val="20"/>
          <w:color w:val="auto"/>
        </w:rPr>
      </w:pPr>
    </w:p>
    <w:p>
      <w:pPr>
        <w:sectPr>
          <w:pgSz w:w="11900" w:h="16838" w:orient="portrait"/>
          <w:cols w:equalWidth="0" w:num="2">
            <w:col w:w="8720" w:space="720"/>
            <w:col w:w="1800"/>
          </w:cols>
          <w:pgMar w:left="320" w:top="908" w:right="339" w:bottom="1440" w:gutter="0" w:footer="0" w:header="0"/>
          <w:type w:val="continuous"/>
        </w:sectPr>
      </w:pPr>
    </w:p>
    <w:p>
      <w:pPr>
        <w:spacing w:after="0" w:line="34"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2.00% SENIOR NOTES DUE 2029</w:t>
      </w:r>
    </w:p>
    <w:p>
      <w:pPr>
        <w:spacing w:after="0" w:line="23" w:lineRule="exact"/>
        <w:rPr>
          <w:sz w:val="20"/>
          <w:szCs w:val="20"/>
          <w:color w:val="auto"/>
        </w:rPr>
      </w:pPr>
    </w:p>
    <w:p>
      <w:pPr>
        <w:ind w:left="9740"/>
        <w:spacing w:after="0"/>
        <w:rPr>
          <w:sz w:val="20"/>
          <w:szCs w:val="20"/>
          <w:color w:val="auto"/>
        </w:rPr>
      </w:pPr>
      <w:r>
        <w:rPr>
          <w:rFonts w:ascii="Arial" w:cs="Arial" w:eastAsia="Arial" w:hAnsi="Arial"/>
          <w:sz w:val="16"/>
          <w:szCs w:val="16"/>
          <w:color w:val="auto"/>
        </w:rPr>
        <w:t>CUSIP 94106L BQ1</w:t>
      </w:r>
    </w:p>
    <w:p>
      <w:pPr>
        <w:spacing w:after="0" w:line="23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 of Million ($ ) U.S. dollars, or such lesser principal sum as is shown on the attached Schedule of Exchanges of Definitive Security, on June 1, 2029 in such coin or currency of the United States of America as at the time of payment shall be legal tender for the payment of public and private debts, and to pay interest at an annual rate of 2.00% payable on June 1 and December 1 of each year, to the person in whose name this Security is registered at the close of business on the record date for such interest, which shall be the preceding May 15 or November 15, respectively, payable commencing December 1, 2021, with interest accruing from May 12, 2021, or the most recent date to which interest has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48" w:name="page49"/>
    <w:bookmarkEnd w:id="48"/>
    <w:p>
      <w:pPr>
        <w:jc w:val="both"/>
        <w:ind w:firstLine="648"/>
        <w:spacing w:after="0" w:line="277" w:lineRule="auto"/>
        <w:rPr>
          <w:sz w:val="20"/>
          <w:szCs w:val="20"/>
          <w:color w:val="auto"/>
        </w:rPr>
      </w:pPr>
      <w:r>
        <w:rPr>
          <w:rFonts w:ascii="Arial" w:cs="Arial" w:eastAsia="Arial" w:hAnsi="Arial"/>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Security is issued in respect of a series of Securities of an initial aggregate of U.S. $475,000,000 in principal amount designated as the 2.00% Senior Notes due 2029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hereby irrevocably undertakes to the Holder hereof to exchange this Security in accordance with the terms of the Indenture without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ind w:firstLine="648"/>
        <w:spacing w:after="0" w:line="277" w:lineRule="auto"/>
        <w:rPr>
          <w:sz w:val="20"/>
          <w:szCs w:val="20"/>
          <w:color w:val="auto"/>
        </w:rPr>
      </w:pPr>
      <w:r>
        <w:rPr>
          <w:rFonts w:ascii="Arial" w:cs="Arial" w:eastAsia="Arial" w:hAnsi="Arial"/>
          <w:sz w:val="18"/>
          <w:szCs w:val="18"/>
          <w:color w:val="auto"/>
        </w:rPr>
        <w:t>This Security shall not be valid or become obligatory for any purpose until the Certificate of Authentication hereon shall have been manually signed by the Trustee under the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Company has caused this instrument to be duly executed under its corporate seal.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Dated:</w:t>
            </w:r>
          </w:p>
        </w:tc>
        <w:tc>
          <w:tcPr>
            <w:tcW w:w="6920" w:type="dxa"/>
            <w:vAlign w:val="bottom"/>
            <w:gridSpan w:val="2"/>
          </w:tcPr>
          <w:p>
            <w:pPr>
              <w:ind w:left="1320"/>
              <w:spacing w:after="0"/>
              <w:rPr>
                <w:sz w:val="20"/>
                <w:szCs w:val="20"/>
                <w:color w:val="auto"/>
              </w:rPr>
            </w:pPr>
            <w:r>
              <w:rPr>
                <w:rFonts w:ascii="Arial" w:cs="Arial" w:eastAsia="Arial" w:hAnsi="Arial"/>
                <w:sz w:val="18"/>
                <w:szCs w:val="18"/>
                <w:color w:val="auto"/>
              </w:rPr>
              <w:t>WASTE MANAGEMENT, INC.,</w:t>
            </w:r>
          </w:p>
        </w:tc>
      </w:tr>
      <w:tr>
        <w:trPr>
          <w:trHeight w:val="230"/>
        </w:trPr>
        <w:tc>
          <w:tcPr>
            <w:tcW w:w="4320" w:type="dxa"/>
            <w:vAlign w:val="bottom"/>
          </w:tcPr>
          <w:p>
            <w:pPr>
              <w:spacing w:after="0"/>
              <w:rPr>
                <w:sz w:val="20"/>
                <w:szCs w:val="20"/>
                <w:color w:val="auto"/>
              </w:rPr>
            </w:pPr>
          </w:p>
        </w:tc>
        <w:tc>
          <w:tcPr>
            <w:tcW w:w="6920" w:type="dxa"/>
            <w:vAlign w:val="bottom"/>
            <w:gridSpan w:val="2"/>
          </w:tcPr>
          <w:p>
            <w:pPr>
              <w:ind w:left="1320"/>
              <w:spacing w:after="0"/>
              <w:rPr>
                <w:sz w:val="20"/>
                <w:szCs w:val="20"/>
                <w:color w:val="auto"/>
              </w:rPr>
            </w:pPr>
            <w:r>
              <w:rPr>
                <w:rFonts w:ascii="Arial" w:cs="Arial" w:eastAsia="Arial" w:hAnsi="Arial"/>
                <w:sz w:val="18"/>
                <w:szCs w:val="18"/>
                <w:color w:val="auto"/>
              </w:rPr>
              <w:t>a Delaware corporation</w:t>
            </w:r>
          </w:p>
        </w:tc>
      </w:tr>
      <w:tr>
        <w:trPr>
          <w:trHeight w:val="432"/>
        </w:trPr>
        <w:tc>
          <w:tcPr>
            <w:tcW w:w="4320" w:type="dxa"/>
            <w:vAlign w:val="bottom"/>
          </w:tcPr>
          <w:p>
            <w:pPr>
              <w:spacing w:after="0"/>
              <w:rPr>
                <w:sz w:val="24"/>
                <w:szCs w:val="24"/>
                <w:color w:val="auto"/>
              </w:rPr>
            </w:pPr>
          </w:p>
        </w:tc>
        <w:tc>
          <w:tcPr>
            <w:tcW w:w="6920" w:type="dxa"/>
            <w:vAlign w:val="bottom"/>
            <w:gridSpan w:val="2"/>
          </w:tcPr>
          <w:p>
            <w:pPr>
              <w:ind w:left="1320"/>
              <w:spacing w:after="0"/>
              <w:rPr>
                <w:sz w:val="20"/>
                <w:szCs w:val="20"/>
                <w:color w:val="auto"/>
              </w:rPr>
            </w:pPr>
            <w:r>
              <w:rPr>
                <w:rFonts w:ascii="Arial" w:cs="Arial" w:eastAsia="Arial" w:hAnsi="Arial"/>
                <w:sz w:val="18"/>
                <w:szCs w:val="18"/>
                <w:color w:val="auto"/>
              </w:rPr>
              <w:t>By:</w:t>
            </w:r>
          </w:p>
        </w:tc>
      </w:tr>
      <w:tr>
        <w:trPr>
          <w:trHeight w:val="195"/>
        </w:trPr>
        <w:tc>
          <w:tcPr>
            <w:tcW w:w="4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L. Reed</w:t>
            </w:r>
          </w:p>
        </w:tc>
      </w:tr>
      <w:tr>
        <w:trPr>
          <w:trHeight w:val="230"/>
        </w:trPr>
        <w:tc>
          <w:tcPr>
            <w:tcW w:w="4320" w:type="dxa"/>
            <w:vAlign w:val="bottom"/>
          </w:tcPr>
          <w:p>
            <w:pPr>
              <w:spacing w:after="0"/>
              <w:rPr>
                <w:sz w:val="20"/>
                <w:szCs w:val="20"/>
                <w:color w:val="auto"/>
              </w:rPr>
            </w:pPr>
          </w:p>
        </w:tc>
        <w:tc>
          <w:tcPr>
            <w:tcW w:w="6920" w:type="dxa"/>
            <w:vAlign w:val="bottom"/>
            <w:gridSpan w:val="2"/>
          </w:tcPr>
          <w:p>
            <w:pPr>
              <w:ind w:left="1640"/>
              <w:spacing w:after="0"/>
              <w:rPr>
                <w:sz w:val="20"/>
                <w:szCs w:val="20"/>
                <w:color w:val="auto"/>
              </w:rPr>
            </w:pPr>
            <w:r>
              <w:rPr>
                <w:rFonts w:ascii="Arial" w:cs="Arial" w:eastAsia="Arial" w:hAnsi="Arial"/>
                <w:sz w:val="18"/>
                <w:szCs w:val="18"/>
                <w:color w:val="auto"/>
              </w:rPr>
              <w:t>Vice President and Treasurer</w:t>
            </w:r>
          </w:p>
        </w:tc>
      </w:tr>
      <w:tr>
        <w:trPr>
          <w:trHeight w:val="432"/>
        </w:trPr>
        <w:tc>
          <w:tcPr>
            <w:tcW w:w="4320" w:type="dxa"/>
            <w:vAlign w:val="bottom"/>
          </w:tcPr>
          <w:p>
            <w:pPr>
              <w:spacing w:after="0"/>
              <w:rPr>
                <w:sz w:val="24"/>
                <w:szCs w:val="24"/>
                <w:color w:val="auto"/>
              </w:rPr>
            </w:pPr>
          </w:p>
        </w:tc>
        <w:tc>
          <w:tcPr>
            <w:tcW w:w="6920" w:type="dxa"/>
            <w:vAlign w:val="bottom"/>
            <w:gridSpan w:val="2"/>
          </w:tcPr>
          <w:p>
            <w:pPr>
              <w:ind w:left="1320"/>
              <w:spacing w:after="0"/>
              <w:rPr>
                <w:sz w:val="20"/>
                <w:szCs w:val="20"/>
                <w:color w:val="auto"/>
              </w:rPr>
            </w:pPr>
            <w:r>
              <w:rPr>
                <w:rFonts w:ascii="Arial" w:cs="Arial" w:eastAsia="Arial" w:hAnsi="Arial"/>
                <w:sz w:val="18"/>
                <w:szCs w:val="18"/>
                <w:color w:val="auto"/>
              </w:rPr>
              <w:t>Attest:</w:t>
            </w:r>
          </w:p>
        </w:tc>
      </w:tr>
      <w:tr>
        <w:trPr>
          <w:trHeight w:val="432"/>
        </w:trPr>
        <w:tc>
          <w:tcPr>
            <w:tcW w:w="4320" w:type="dxa"/>
            <w:vAlign w:val="bottom"/>
          </w:tcPr>
          <w:p>
            <w:pPr>
              <w:spacing w:after="0"/>
              <w:rPr>
                <w:sz w:val="24"/>
                <w:szCs w:val="24"/>
                <w:color w:val="auto"/>
              </w:rPr>
            </w:pPr>
          </w:p>
        </w:tc>
        <w:tc>
          <w:tcPr>
            <w:tcW w:w="6920" w:type="dxa"/>
            <w:vAlign w:val="bottom"/>
            <w:gridSpan w:val="2"/>
          </w:tcPr>
          <w:p>
            <w:pPr>
              <w:ind w:left="1320"/>
              <w:spacing w:after="0"/>
              <w:rPr>
                <w:sz w:val="20"/>
                <w:szCs w:val="20"/>
                <w:color w:val="auto"/>
              </w:rPr>
            </w:pPr>
            <w:r>
              <w:rPr>
                <w:rFonts w:ascii="Arial" w:cs="Arial" w:eastAsia="Arial" w:hAnsi="Arial"/>
                <w:sz w:val="18"/>
                <w:szCs w:val="18"/>
                <w:color w:val="auto"/>
              </w:rPr>
              <w:t>By:</w:t>
            </w:r>
          </w:p>
        </w:tc>
      </w:tr>
      <w:tr>
        <w:trPr>
          <w:trHeight w:val="195"/>
        </w:trPr>
        <w:tc>
          <w:tcPr>
            <w:tcW w:w="4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Courtney A. Tippy</w:t>
            </w:r>
          </w:p>
        </w:tc>
      </w:tr>
      <w:tr>
        <w:trPr>
          <w:trHeight w:val="230"/>
        </w:trPr>
        <w:tc>
          <w:tcPr>
            <w:tcW w:w="4320" w:type="dxa"/>
            <w:vAlign w:val="bottom"/>
          </w:tcPr>
          <w:p>
            <w:pPr>
              <w:spacing w:after="0"/>
              <w:rPr>
                <w:sz w:val="20"/>
                <w:szCs w:val="20"/>
                <w:color w:val="auto"/>
              </w:rPr>
            </w:pPr>
          </w:p>
        </w:tc>
        <w:tc>
          <w:tcPr>
            <w:tcW w:w="6920" w:type="dxa"/>
            <w:vAlign w:val="bottom"/>
            <w:gridSpan w:val="2"/>
          </w:tcPr>
          <w:p>
            <w:pPr>
              <w:ind w:left="1640"/>
              <w:spacing w:after="0"/>
              <w:rPr>
                <w:sz w:val="20"/>
                <w:szCs w:val="20"/>
                <w:color w:val="auto"/>
              </w:rPr>
            </w:pPr>
            <w:r>
              <w:rPr>
                <w:rFonts w:ascii="Arial" w:cs="Arial" w:eastAsia="Arial" w:hAnsi="Arial"/>
                <w:sz w:val="18"/>
                <w:szCs w:val="18"/>
                <w:color w:val="auto"/>
              </w:rPr>
              <w:t>Vice President and Corporate Secretary</w:t>
            </w:r>
          </w:p>
        </w:tc>
      </w:tr>
      <w:tr>
        <w:trPr>
          <w:trHeight w:val="432"/>
        </w:trPr>
        <w:tc>
          <w:tcPr>
            <w:tcW w:w="4320" w:type="dxa"/>
            <w:vAlign w:val="bottom"/>
          </w:tcPr>
          <w:p>
            <w:pPr>
              <w:spacing w:after="0"/>
              <w:rPr>
                <w:sz w:val="20"/>
                <w:szCs w:val="20"/>
                <w:color w:val="auto"/>
              </w:rPr>
            </w:pPr>
            <w:r>
              <w:rPr>
                <w:rFonts w:ascii="Arial" w:cs="Arial" w:eastAsia="Arial" w:hAnsi="Arial"/>
                <w:sz w:val="18"/>
                <w:szCs w:val="18"/>
                <w:color w:val="auto"/>
              </w:rPr>
              <w:t>CERTIFICATE OF AUTHENTICATION</w:t>
            </w:r>
          </w:p>
        </w:tc>
        <w:tc>
          <w:tcPr>
            <w:tcW w:w="1640" w:type="dxa"/>
            <w:vAlign w:val="bottom"/>
          </w:tcPr>
          <w:p>
            <w:pPr>
              <w:spacing w:after="0"/>
              <w:rPr>
                <w:sz w:val="24"/>
                <w:szCs w:val="24"/>
                <w:color w:val="auto"/>
              </w:rPr>
            </w:pPr>
          </w:p>
        </w:tc>
        <w:tc>
          <w:tcPr>
            <w:tcW w:w="5280" w:type="dxa"/>
            <w:vAlign w:val="bottom"/>
          </w:tcPr>
          <w:p>
            <w:pPr>
              <w:spacing w:after="0"/>
              <w:rPr>
                <w:sz w:val="24"/>
                <w:szCs w:val="24"/>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00" w:lineRule="exact"/>
        <w:rPr>
          <w:sz w:val="20"/>
          <w:szCs w:val="20"/>
          <w:color w:val="auto"/>
        </w:rPr>
      </w:pPr>
    </w:p>
    <w:p>
      <w:pPr>
        <w:spacing w:after="0" w:line="241"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of Authentication:</w:t>
      </w:r>
      <w:r>
        <w:rPr>
          <w:sz w:val="20"/>
          <w:szCs w:val="20"/>
          <w:color w:val="auto"/>
        </w:rPr>
        <w:tab/>
      </w:r>
      <w:r>
        <w:rPr>
          <w:rFonts w:ascii="Arial" w:cs="Arial" w:eastAsia="Arial" w:hAnsi="Arial"/>
          <w:sz w:val="16"/>
          <w:szCs w:val="16"/>
          <w:color w:val="auto"/>
        </w:rPr>
        <w:t>The Bank of New York Mellon Trust Company, N.A., as Trustee</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color w:val="auto"/>
        </w:rPr>
        <w:t>REVERSE OF BOOK-ENTRY SECURITY</w:t>
      </w: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 SENIOR NOTES DUE 2029</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2.00% Senior Notes due 2029 of the Company, in initial aggregate principal amount of $475,000,000 (the “Securities”).</w:t>
      </w:r>
    </w:p>
    <w:p>
      <w:pPr>
        <w:spacing w:after="0" w:line="195" w:lineRule="exact"/>
        <w:rPr>
          <w:sz w:val="20"/>
          <w:szCs w:val="20"/>
          <w:color w:val="auto"/>
        </w:rPr>
      </w:pPr>
    </w:p>
    <w:p>
      <w:pPr>
        <w:ind w:left="1060" w:hanging="404"/>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Interest.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promises to pay interest on the principal amount of this Security at the rate of 2.00% per annum.</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will pay interest semi-annually on June 1 and December 1 of each year (each an “Interest Payment Date”), commencing December 1, 2021. Interest on the Securities will accrue from the most recent date to which interest has been paid or, if no interest has been paid on the Securities, from May 12, 2021.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2.00% per annum, in each case to the extent lawful.</w:t>
      </w:r>
    </w:p>
    <w:p>
      <w:pPr>
        <w:spacing w:after="0" w:line="192" w:lineRule="exact"/>
        <w:rPr>
          <w:sz w:val="20"/>
          <w:szCs w:val="20"/>
          <w:color w:val="auto"/>
        </w:rPr>
      </w:pPr>
    </w:p>
    <w:p>
      <w:pPr>
        <w:ind w:left="1060" w:hanging="404"/>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Method of Payment.</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240 Greenwich Street,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1" w:name="page52"/>
    <w:bookmarkEnd w:id="51"/>
    <w:p>
      <w:pPr>
        <w:ind w:left="1060" w:hanging="404"/>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84" w:lineRule="exact"/>
        <w:rPr>
          <w:sz w:val="20"/>
          <w:szCs w:val="20"/>
          <w:color w:val="auto"/>
        </w:rPr>
      </w:pPr>
    </w:p>
    <w:p>
      <w:pPr>
        <w:ind w:left="1060" w:hanging="404"/>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Indenture.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Security is one of a duly authorized issue of Debt Securities of the Company issued and to be issued in one or more series under the Indenture.</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June 23, 2020 (the “Resolutions”) and the written consent of the Sole Director of Waste Management Holdings, Inc. on April 23, 2021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$475,000,000.</w:t>
      </w:r>
    </w:p>
    <w:p>
      <w:pPr>
        <w:spacing w:after="0" w:line="177" w:lineRule="exact"/>
        <w:rPr>
          <w:sz w:val="20"/>
          <w:szCs w:val="20"/>
          <w:color w:val="auto"/>
        </w:rPr>
      </w:pPr>
    </w:p>
    <w:p>
      <w:pPr>
        <w:ind w:left="1060" w:hanging="404"/>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Redemption.</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Before the Par Call Date, the Securities will be redeemable and repayable, at the option of the Company, at any time in whole, or from time to time in part, at a Redemption Price (the “Make-Whole Price”) equal to the greater of: (i) 100% of the principal amount of the Securities to be redeemed; or</w:t>
      </w:r>
    </w:p>
    <w:p>
      <w:pPr>
        <w:jc w:val="both"/>
        <w:ind w:firstLine="8"/>
        <w:spacing w:after="0" w:line="253" w:lineRule="auto"/>
        <w:tabs>
          <w:tab w:leader="none" w:pos="24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sum, as calculated by the Company, of the present values of the remaining scheduled payments of principal and interest on the Securities that would be due if such Securities matured on the Par Call Date (exclusive of interest accrued to the Redemption Date) discounted to the Redemption Date on a semi-annual basis (assuming a 360-day year consisting of twelve 30-day months) at the applicable Treasury Yield plus 12.5 basis points; plus, in either case, accrued interest to the Redemption Date.</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or after the Par Call Date, the Securities will be redeemable and repayable, at the option of the Company, at any time in whole, or from time to time in part, at a Redemption Price equal to 100% of the principal amount of the Securities to be redeemed plus accrued interest on the Securities to be redeemed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both"/>
        <w:ind w:firstLine="648"/>
        <w:spacing w:after="0" w:line="291" w:lineRule="auto"/>
        <w:rPr>
          <w:sz w:val="20"/>
          <w:szCs w:val="20"/>
          <w:color w:val="auto"/>
        </w:rPr>
      </w:pPr>
      <w:r>
        <w:rPr>
          <w:rFonts w:ascii="Arial" w:cs="Arial" w:eastAsia="Arial" w:hAnsi="Arial"/>
          <w:sz w:val="16"/>
          <w:szCs w:val="16"/>
          <w:color w:val="auto"/>
        </w:rPr>
        <w:t>Securities called for redemption become due on the Redemption Date. Notices of redemption will be mailed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 (or with respect to Securities in global form, by such method as the Depository may require).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determining the Make-Whole Price, the following definitions are applicable: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“Comparable Treasury Issue” means the United States Treasury security selected by an Independent Investment Banker as having a maturity comparable to the remaining term of the Securities, calculated as if the maturity date of such Securities were the Par Call Date (the “Remaining Life”), that would be utilized, at the time of selection and in accordance with customary financial practice, in pricing new issues of corporate debt securities of comparable maturity to the Remaining Life of the Securities.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“Independent Investment Banker” means one of the Reference Treasury Dealers appointed by us to act as the Independent Investment Banker from time to time.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“Comparable Treasury Price” means, with respect to any Redemption Date, (i) the average of the Reference Treasury Dealer Quotations for the Redemption Date, after excluding the highest and lowest of all Reference Treasury Dealer Quotations obtained, or (ii) if the Independent Investment Banker obtains fewer than four such Reference Treasury Dealer Quotations, the average of all Reference Treasury Dealer Quotations.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 Call Date” means April 1, 2029.</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“Reference Treasury Dealer” means (i) each of Credit Suisse Securities (USA) LLC, Goldman Sachs &amp; Co. LLC and Wells Fargo Securities, LLC (and their respective successors or affiliates),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jc w:val="both"/>
        <w:ind w:firstLine="648"/>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for the Securities, an average, as determined by the Independent Investment Banker, of the bid and asked prices for the Comparable Treasury Issue for the Securities (expressed in each case as a percentage of its principal amount) quoted in writing to the Independent Investment Banker by such Reference Treasury Dealer at 5:00 p.m., New York City time, on the third Business Day preceding such Redemption Date.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as set forth above, the Securities will not be redeemable prior to their Stated Maturity and will not be entitled to the benefit of any sinking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fund.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Securities may be redeemed in part in a minimum principal amount of $2,000, or any integral multiple of $1,000 in excess thereof.</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such redemption will also comply with Article Eleven of the Indenture.</w:t>
      </w:r>
    </w:p>
    <w:p>
      <w:pPr>
        <w:spacing w:after="0" w:line="225" w:lineRule="exact"/>
        <w:rPr>
          <w:sz w:val="20"/>
          <w:szCs w:val="20"/>
          <w:color w:val="auto"/>
        </w:rPr>
      </w:pPr>
    </w:p>
    <w:p>
      <w:pPr>
        <w:ind w:left="1060" w:hanging="404"/>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Change of Control Offer.</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Change of Control Payment Date, the Company shall, to the extent lawful:</w:t>
      </w:r>
    </w:p>
    <w:p>
      <w:pPr>
        <w:spacing w:after="0" w:line="225" w:lineRule="exact"/>
        <w:rPr>
          <w:sz w:val="20"/>
          <w:szCs w:val="20"/>
          <w:color w:val="auto"/>
        </w:rPr>
      </w:pPr>
    </w:p>
    <w:p>
      <w:pPr>
        <w:ind w:left="1300" w:hanging="644"/>
        <w:spacing w:after="0"/>
        <w:tabs>
          <w:tab w:leader="none" w:pos="13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accept for payment all Securities or portions of Securities properly tendered and not withdrawn pursuant to the Change of Control Offer;</w:t>
      </w:r>
    </w:p>
    <w:p>
      <w:pPr>
        <w:spacing w:after="0" w:line="248" w:lineRule="exact"/>
        <w:rPr>
          <w:rFonts w:ascii="Arial" w:cs="Arial" w:eastAsia="Arial" w:hAnsi="Arial"/>
          <w:sz w:val="16"/>
          <w:szCs w:val="16"/>
          <w:color w:val="auto"/>
        </w:rPr>
      </w:pPr>
    </w:p>
    <w:p>
      <w:pPr>
        <w:ind w:left="1300" w:right="20" w:hanging="644"/>
        <w:spacing w:after="0" w:line="277"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Securities or portions of Securities properly tendered;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ind w:left="1300" w:hanging="644"/>
        <w:spacing w:after="0" w:line="277"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the Change of Control Offer provisions of the Securities, the following terms are applicable: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jc w:val="both"/>
        <w:ind w:firstLine="648"/>
        <w:spacing w:after="0" w:line="255" w:lineRule="auto"/>
        <w:rPr>
          <w:sz w:val="20"/>
          <w:szCs w:val="20"/>
          <w:color w:val="auto"/>
        </w:rPr>
      </w:pPr>
      <w:r>
        <w:rPr>
          <w:rFonts w:ascii="Arial" w:cs="Arial" w:eastAsia="Arial" w:hAnsi="Arial"/>
          <w:sz w:val="18"/>
          <w:szCs w:val="18"/>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 of Control Triggering Event” means the occurrence of both a Change of Control and a Rating Event.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“Fitch” means Fitch Inc. and its successors.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“Moody’s” means Moody’s Investors Service, Inc. and its successors.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our Board of Directors) as a replacement agency for Fitch, Moody’s or S&amp;P, or all of them, as the case may be.</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“S&amp;P” means S&amp;P Global Ratings, a division of S&amp;P Global Inc., and its successors.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70" w:lineRule="exact"/>
        <w:rPr>
          <w:sz w:val="20"/>
          <w:szCs w:val="20"/>
          <w:color w:val="auto"/>
        </w:rPr>
      </w:pPr>
    </w:p>
    <w:p>
      <w:pPr>
        <w:ind w:left="1060" w:hanging="40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Denominations; Transfer; Exchange.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ind w:left="1060" w:hanging="404"/>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Person Deemed Owners.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Holder of a Security may be treated as the owner of it for all purposes.</w:t>
      </w:r>
    </w:p>
    <w:p>
      <w:pPr>
        <w:spacing w:after="0" w:line="225" w:lineRule="exact"/>
        <w:rPr>
          <w:sz w:val="20"/>
          <w:szCs w:val="20"/>
          <w:color w:val="auto"/>
        </w:rPr>
      </w:pPr>
    </w:p>
    <w:p>
      <w:pPr>
        <w:ind w:left="1060" w:hanging="404"/>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Amendment; Supplement; Waiver.</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77" w:lineRule="exact"/>
        <w:rPr>
          <w:sz w:val="20"/>
          <w:szCs w:val="20"/>
          <w:color w:val="auto"/>
        </w:rPr>
      </w:pPr>
    </w:p>
    <w:p>
      <w:pPr>
        <w:ind w:left="1120" w:hanging="464"/>
        <w:spacing w:after="0"/>
        <w:tabs>
          <w:tab w:leader="none" w:pos="112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Defaults and Remedies.</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w:t>
      </w:r>
    </w:p>
    <w:p>
      <w:pPr>
        <w:spacing w:after="0" w:line="4" w:lineRule="exact"/>
        <w:rPr>
          <w:sz w:val="20"/>
          <w:szCs w:val="20"/>
          <w:color w:val="auto"/>
        </w:rPr>
      </w:pPr>
    </w:p>
    <w:p>
      <w:pPr>
        <w:jc w:val="both"/>
        <w:ind w:firstLine="8"/>
        <w:spacing w:after="0" w:line="281" w:lineRule="auto"/>
        <w:tabs>
          <w:tab w:leader="none" w:pos="262"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ind w:left="1140" w:hanging="484"/>
        <w:spacing w:after="0"/>
        <w:tabs>
          <w:tab w:leader="none" w:pos="114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Trustee Dealings with Company.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84" w:lineRule="exact"/>
        <w:rPr>
          <w:sz w:val="20"/>
          <w:szCs w:val="20"/>
          <w:color w:val="auto"/>
        </w:rPr>
      </w:pPr>
    </w:p>
    <w:p>
      <w:pPr>
        <w:ind w:left="1160" w:hanging="504"/>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Security shall not be valid until the Trustee or authenticating agent signs the certificate of authentication on the other side of this Security.</w:t>
      </w:r>
    </w:p>
    <w:p>
      <w:pPr>
        <w:spacing w:after="0" w:line="248" w:lineRule="exact"/>
        <w:rPr>
          <w:sz w:val="20"/>
          <w:szCs w:val="20"/>
          <w:color w:val="auto"/>
        </w:rPr>
      </w:pPr>
    </w:p>
    <w:p>
      <w:pPr>
        <w:ind w:left="1160" w:hanging="504"/>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Abbreviations and Defined Terms.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84" w:lineRule="exact"/>
        <w:rPr>
          <w:sz w:val="20"/>
          <w:szCs w:val="20"/>
          <w:color w:val="auto"/>
        </w:rPr>
      </w:pPr>
    </w:p>
    <w:p>
      <w:pPr>
        <w:ind w:left="1160" w:hanging="504"/>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CUSIP Numbers.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84" w:lineRule="exact"/>
        <w:rPr>
          <w:sz w:val="20"/>
          <w:szCs w:val="20"/>
          <w:color w:val="auto"/>
        </w:rPr>
      </w:pPr>
    </w:p>
    <w:p>
      <w:pPr>
        <w:ind w:left="1160" w:hanging="504"/>
        <w:spacing w:after="0"/>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Absolute Obligation.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184" w:lineRule="exact"/>
        <w:rPr>
          <w:sz w:val="20"/>
          <w:szCs w:val="20"/>
          <w:color w:val="auto"/>
        </w:rPr>
      </w:pPr>
    </w:p>
    <w:p>
      <w:pPr>
        <w:ind w:left="1160" w:hanging="504"/>
        <w:spacing w:after="0"/>
        <w:tabs>
          <w:tab w:leader="none" w:pos="116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No Recourse.</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ind w:left="1160" w:hanging="504"/>
        <w:spacing w:after="0"/>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Security shall be construed in accordance with and governed by the laws of the State of New York.</w:t>
      </w:r>
    </w:p>
    <w:p>
      <w:pPr>
        <w:spacing w:after="0" w:line="225" w:lineRule="exact"/>
        <w:rPr>
          <w:sz w:val="20"/>
          <w:szCs w:val="20"/>
          <w:color w:val="auto"/>
        </w:rPr>
      </w:pPr>
    </w:p>
    <w:p>
      <w:pPr>
        <w:ind w:left="1160" w:hanging="504"/>
        <w:spacing w:after="0"/>
        <w:tabs>
          <w:tab w:leader="none" w:pos="116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Guarantee.</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Securities will be fully and unconditionally guaranteed on a senior basis by the Company’s wholly owned subsidiary, Waste Management Holdings, Inc., pursuant to the terms and conditions of a Guarantee, dated as of May 12, 2021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57" w:lineRule="exact"/>
        <w:rPr>
          <w:sz w:val="20"/>
          <w:szCs w:val="20"/>
          <w:color w:val="auto"/>
        </w:rPr>
      </w:pPr>
    </w:p>
    <w:p>
      <w:pPr>
        <w:ind w:left="1160" w:hanging="504"/>
        <w:spacing w:after="0"/>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Satisfaction and Discharge.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Securities will be subject to Section 401 of the Indenture; provided, however, that solely with respect to the Securities, the following sentence shall be added to the end of Section 401(1)(B) of the Indenture: “(provided that, upon any redemption that requires the payment of any make-whole or other premium, (x) the amount of cash that must be deposited shall be determined using an assumed applicable premium calculated as of the date of such deposit and (y) the Company shall deposit any deficit in trust on or prior to the Redemption Date as necessary to pay the applicable premium as determined by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40" w:type="dxa"/>
            <w:vAlign w:val="bottom"/>
            <w:gridSpan w:val="6"/>
          </w:tcPr>
          <w:p>
            <w:pPr>
              <w:ind w:left="1160"/>
              <w:spacing w:after="0"/>
              <w:rPr>
                <w:sz w:val="20"/>
                <w:szCs w:val="20"/>
                <w:color w:val="auto"/>
              </w:rPr>
            </w:pPr>
            <w:r>
              <w:rPr>
                <w:rFonts w:ascii="Arial" w:cs="Arial" w:eastAsia="Arial" w:hAnsi="Arial"/>
                <w:sz w:val="18"/>
                <w:szCs w:val="18"/>
                <w:color w:val="auto"/>
              </w:rPr>
              <w:t>SCHEDULE OF EXCHANGES OF DEFINITIVE SECURITY</w:t>
            </w:r>
          </w:p>
        </w:tc>
        <w:tc>
          <w:tcPr>
            <w:tcW w:w="2140" w:type="dxa"/>
            <w:vAlign w:val="bottom"/>
          </w:tcPr>
          <w:p>
            <w:pPr>
              <w:spacing w:after="0"/>
              <w:rPr>
                <w:sz w:val="20"/>
                <w:szCs w:val="20"/>
                <w:color w:val="auto"/>
              </w:rPr>
            </w:pPr>
          </w:p>
        </w:tc>
      </w:tr>
      <w:tr>
        <w:trPr>
          <w:trHeight w:val="432"/>
        </w:trPr>
        <w:tc>
          <w:tcPr>
            <w:tcW w:w="9100" w:type="dxa"/>
            <w:vAlign w:val="bottom"/>
            <w:gridSpan w:val="8"/>
          </w:tcPr>
          <w:p>
            <w:pPr>
              <w:ind w:left="660"/>
              <w:spacing w:after="0"/>
              <w:rPr>
                <w:sz w:val="20"/>
                <w:szCs w:val="20"/>
                <w:color w:val="auto"/>
              </w:rPr>
            </w:pPr>
            <w:r>
              <w:rPr>
                <w:rFonts w:ascii="Arial" w:cs="Arial" w:eastAsia="Arial" w:hAnsi="Arial"/>
                <w:sz w:val="18"/>
                <w:szCs w:val="18"/>
                <w:color w:val="auto"/>
              </w:rPr>
              <w:t>The following exchanges of a part of this Book-Entry Security for definitive Securities have been made:</w:t>
            </w:r>
          </w:p>
        </w:tc>
        <w:tc>
          <w:tcPr>
            <w:tcW w:w="2140" w:type="dxa"/>
            <w:vAlign w:val="bottom"/>
          </w:tcPr>
          <w:p>
            <w:pPr>
              <w:spacing w:after="0"/>
              <w:rPr>
                <w:sz w:val="24"/>
                <w:szCs w:val="24"/>
                <w:color w:val="auto"/>
              </w:rPr>
            </w:pPr>
          </w:p>
        </w:tc>
      </w:tr>
      <w:tr>
        <w:trPr>
          <w:trHeight w:val="414"/>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Amount of</w:t>
            </w:r>
          </w:p>
        </w:tc>
        <w:tc>
          <w:tcPr>
            <w:tcW w:w="2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Amount of increase</w:t>
            </w:r>
          </w:p>
        </w:tc>
        <w:tc>
          <w:tcPr>
            <w:tcW w:w="2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Principal Amount</w:t>
            </w:r>
          </w:p>
        </w:tc>
        <w:tc>
          <w:tcPr>
            <w:tcW w:w="2140" w:type="dxa"/>
            <w:vAlign w:val="bottom"/>
          </w:tcPr>
          <w:p>
            <w:pPr>
              <w:spacing w:after="0"/>
              <w:rPr>
                <w:sz w:val="24"/>
                <w:szCs w:val="24"/>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4"/>
              </w:rPr>
              <w:t>decrease in</w:t>
            </w:r>
          </w:p>
        </w:tc>
        <w:tc>
          <w:tcPr>
            <w:tcW w:w="2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in Principal</w:t>
            </w:r>
          </w:p>
        </w:tc>
        <w:tc>
          <w:tcPr>
            <w:tcW w:w="2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of this Book-Entry</w:t>
            </w:r>
          </w:p>
        </w:tc>
        <w:tc>
          <w:tcPr>
            <w:tcW w:w="214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Signature of</w:t>
            </w: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Principal Amount</w:t>
            </w:r>
          </w:p>
        </w:tc>
        <w:tc>
          <w:tcPr>
            <w:tcW w:w="2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Amount of this</w:t>
            </w:r>
          </w:p>
        </w:tc>
        <w:tc>
          <w:tcPr>
            <w:tcW w:w="2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Security following</w:t>
            </w:r>
          </w:p>
        </w:tc>
        <w:tc>
          <w:tcPr>
            <w:tcW w:w="214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authorized officer</w:t>
            </w: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of this Book-Entry</w:t>
            </w:r>
          </w:p>
        </w:tc>
        <w:tc>
          <w:tcPr>
            <w:tcW w:w="2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Book-Entry</w:t>
            </w:r>
          </w:p>
        </w:tc>
        <w:tc>
          <w:tcPr>
            <w:tcW w:w="2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such decrease (or</w:t>
            </w:r>
          </w:p>
        </w:tc>
        <w:tc>
          <w:tcPr>
            <w:tcW w:w="214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of Trustee or</w:t>
            </w:r>
          </w:p>
        </w:tc>
      </w:tr>
      <w:tr>
        <w:trPr>
          <w:trHeight w:val="241"/>
        </w:trPr>
        <w:tc>
          <w:tcPr>
            <w:tcW w:w="2160" w:type="dxa"/>
            <w:vAlign w:val="bottom"/>
            <w:gridSpan w:val="2"/>
          </w:tcPr>
          <w:p>
            <w:pPr>
              <w:ind w:left="340"/>
              <w:spacing w:after="0"/>
              <w:rPr>
                <w:sz w:val="20"/>
                <w:szCs w:val="20"/>
                <w:color w:val="auto"/>
              </w:rPr>
            </w:pPr>
            <w:r>
              <w:rPr>
                <w:rFonts w:ascii="Arial" w:cs="Arial" w:eastAsia="Arial" w:hAnsi="Arial"/>
                <w:sz w:val="18"/>
                <w:szCs w:val="18"/>
                <w:b w:val="1"/>
                <w:bCs w:val="1"/>
                <w:color w:val="auto"/>
              </w:rPr>
              <w:t>Date of Exchange</w:t>
            </w:r>
          </w:p>
        </w:tc>
        <w:tc>
          <w:tcPr>
            <w:tcW w:w="24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Security</w:t>
            </w:r>
          </w:p>
        </w:tc>
        <w:tc>
          <w:tcPr>
            <w:tcW w:w="2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2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increase)</w:t>
            </w:r>
          </w:p>
        </w:tc>
        <w:tc>
          <w:tcPr>
            <w:tcW w:w="214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Security Custodian</w:t>
            </w:r>
          </w:p>
        </w:tc>
      </w:tr>
      <w:tr>
        <w:trPr>
          <w:trHeight w:val="891"/>
        </w:trPr>
        <w:tc>
          <w:tcPr>
            <w:tcW w:w="20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301 of the Indenture dated as of September 10, 1997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12, 2021</w:t>
      </w:r>
    </w:p>
    <w:p>
      <w:pPr>
        <w:spacing w:after="0" w:line="229"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The undersigned, the Vice President and Treasurer, and the Vice President and Corporate Secretary of Waste Management, Inc. (the “Company”), hereby certify that:</w:t>
      </w:r>
    </w:p>
    <w:p>
      <w:pPr>
        <w:spacing w:after="0" w:line="170" w:lineRule="exact"/>
        <w:rPr>
          <w:sz w:val="20"/>
          <w:szCs w:val="20"/>
          <w:color w:val="auto"/>
        </w:rPr>
      </w:pPr>
    </w:p>
    <w:p>
      <w:pPr>
        <w:jc w:val="both"/>
        <w:ind w:firstLine="1304"/>
        <w:spacing w:after="0" w:line="301" w:lineRule="auto"/>
        <w:tabs>
          <w:tab w:leader="none" w:pos="1675"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in connection with the Company Order dated May 12, 2021 (the “Order”) for the authentication and delivery by the Trustee of $475,000,000 aggregate principal amount of 2.95% Senior Notes due 2041 (the “Notes”).</w:t>
      </w:r>
    </w:p>
    <w:p>
      <w:pPr>
        <w:spacing w:after="0" w:line="157" w:lineRule="exact"/>
        <w:rPr>
          <w:rFonts w:ascii="Arial" w:cs="Arial" w:eastAsia="Arial" w:hAnsi="Arial"/>
          <w:sz w:val="16"/>
          <w:szCs w:val="16"/>
          <w:color w:val="auto"/>
        </w:rPr>
      </w:pPr>
    </w:p>
    <w:p>
      <w:pPr>
        <w:ind w:left="1680" w:hanging="376"/>
        <w:spacing w:after="0"/>
        <w:tabs>
          <w:tab w:leader="none" w:pos="16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undersigned have read Sections 102, 103, 301 and 303 of the Indenture and the definitions in the Indenture relating thereto.</w:t>
      </w:r>
    </w:p>
    <w:p>
      <w:pPr>
        <w:spacing w:after="0" w:line="248" w:lineRule="exact"/>
        <w:rPr>
          <w:rFonts w:ascii="Arial" w:cs="Arial" w:eastAsia="Arial" w:hAnsi="Arial"/>
          <w:sz w:val="16"/>
          <w:szCs w:val="16"/>
          <w:color w:val="auto"/>
        </w:rPr>
      </w:pPr>
    </w:p>
    <w:p>
      <w:pPr>
        <w:jc w:val="both"/>
        <w:ind w:firstLine="1304"/>
        <w:spacing w:after="0" w:line="263" w:lineRule="auto"/>
        <w:tabs>
          <w:tab w:leader="none" w:pos="167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83" w:lineRule="exact"/>
        <w:rPr>
          <w:rFonts w:ascii="Arial" w:cs="Arial" w:eastAsia="Arial" w:hAnsi="Arial"/>
          <w:sz w:val="18"/>
          <w:szCs w:val="18"/>
          <w:color w:val="auto"/>
        </w:rPr>
      </w:pPr>
    </w:p>
    <w:p>
      <w:pPr>
        <w:ind w:left="1700" w:hanging="396"/>
        <w:spacing w:after="0"/>
        <w:tabs>
          <w:tab w:leader="none" w:pos="17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undersigned have examined the Order, and they have read the covenants, conditions and provisions of the Indenture relating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210" w:lineRule="exact"/>
        <w:rPr>
          <w:rFonts w:ascii="Arial" w:cs="Arial" w:eastAsia="Arial" w:hAnsi="Arial"/>
          <w:sz w:val="16"/>
          <w:szCs w:val="16"/>
          <w:color w:val="auto"/>
        </w:rPr>
      </w:pPr>
    </w:p>
    <w:p>
      <w:pPr>
        <w:jc w:val="both"/>
        <w:ind w:firstLine="1304"/>
        <w:spacing w:after="0" w:line="263" w:lineRule="auto"/>
        <w:tabs>
          <w:tab w:leader="none" w:pos="1701"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678"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covenants and conditions (including all conditions precedent) provided in the Indenture to the authentication and delivery by the Trustee of $475,000,000 aggregate principal amount of the Notes have been complied with, and such Notes may be delivered in accordance with the Order as provided in the Indenture.</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698"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The terms of the Notes (including the Form of Note) as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Officers’ Certificate have been approved by officers of the Company as authorized by resolutions duly adopted on June 23, 2020 by the Board of Directors of the Company, which are in full force and effect as of the date hereof.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1" w:name="page62"/>
    <w:bookmarkEnd w:id="61"/>
    <w:p>
      <w:pPr>
        <w:ind w:left="180"/>
        <w:spacing w:after="0"/>
        <w:rPr>
          <w:sz w:val="20"/>
          <w:szCs w:val="20"/>
          <w:color w:val="auto"/>
        </w:rPr>
      </w:pPr>
      <w:r>
        <w:rPr>
          <w:rFonts w:ascii="Arial" w:cs="Arial" w:eastAsia="Arial" w:hAnsi="Arial"/>
          <w:sz w:val="16"/>
          <w:szCs w:val="16"/>
          <w:color w:val="auto"/>
        </w:rPr>
        <w:t>IN WITNESS WHEREOF, the undersigned has hereunto executed this Officers’ Certificate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-130175</wp:posOffset>
            </wp:positionV>
            <wp:extent cx="3566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4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-130175</wp:posOffset>
            </wp:positionV>
            <wp:extent cx="3566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Vice President and Corporate Secretary</w:t>
      </w:r>
    </w:p>
    <w:p>
      <w:pPr>
        <w:spacing w:after="0" w:line="21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Officers’ Certificate Delivered Pursuant to</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Section 301 of the Indenture dated as of September 10, 1997</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80"/>
          </w:cols>
          <w:pgMar w:left="1440" w:top="908" w:right="127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i w:val="1"/>
          <w:iCs w:val="1"/>
          <w:color w:val="auto"/>
        </w:rPr>
        <w:t>Annex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the Notes</w:t>
      </w:r>
    </w:p>
    <w:p>
      <w:pPr>
        <w:spacing w:after="0" w:line="211"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Pursuant to authority granted by the Board of Directors of the Company on June 23, 2020 and the Sole Director of Waste Management Holdings, Inc. on April 23, 2021,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61"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title of the series of Securities shall be “2.95% Senior Notes due 2041” (the “Notes”).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Notes shall be general unsecured, senior obligations of the Company.</w:t>
      </w:r>
    </w:p>
    <w:p>
      <w:pPr>
        <w:spacing w:after="0" w:line="225" w:lineRule="exact"/>
        <w:rPr>
          <w:rFonts w:ascii="Arial" w:cs="Arial" w:eastAsia="Arial" w:hAnsi="Arial"/>
          <w:sz w:val="18"/>
          <w:szCs w:val="18"/>
          <w:color w:val="auto"/>
        </w:rPr>
      </w:pPr>
    </w:p>
    <w:p>
      <w:pPr>
        <w:jc w:val="both"/>
        <w:ind w:left="660" w:hanging="652"/>
        <w:spacing w:after="0" w:line="301"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initial aggregate principal amount of the Notes that may be authenticated and delivered under the Indenture shall be $475,000,000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57" w:lineRule="exact"/>
        <w:rPr>
          <w:rFonts w:ascii="Arial" w:cs="Arial" w:eastAsia="Arial" w:hAnsi="Arial"/>
          <w:sz w:val="16"/>
          <w:szCs w:val="16"/>
          <w:color w:val="auto"/>
        </w:rPr>
      </w:pPr>
    </w:p>
    <w:p>
      <w:pPr>
        <w:ind w:left="660" w:hanging="652"/>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principal amount of each Note shall be payable on June 1, 2041.</w:t>
      </w:r>
    </w:p>
    <w:p>
      <w:pPr>
        <w:spacing w:after="0" w:line="225" w:lineRule="exact"/>
        <w:rPr>
          <w:rFonts w:ascii="Arial" w:cs="Arial" w:eastAsia="Arial" w:hAnsi="Arial"/>
          <w:sz w:val="18"/>
          <w:szCs w:val="18"/>
          <w:color w:val="auto"/>
        </w:rPr>
      </w:pPr>
    </w:p>
    <w:p>
      <w:pPr>
        <w:jc w:val="both"/>
        <w:ind w:left="660" w:hanging="652"/>
        <w:spacing w:after="0" w:line="301"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Each Note shall bear interest from May 12, 2021 at the fixed rate of 2.95% per annum; the Interest Payment Dates on which such interest shall be payable shall be June 1 and December 1, of each year, commencing December 1, 2021, until maturity unless such date falls on a day that is not a Business Day, in which case, such payment shall be made on the next day that is a Business Day. The Regular Record Date for the determination of Holders to whom interest is payable shall be May 15 or November 15, respectively, immediately preceding such date, as the case may be.</w:t>
      </w:r>
    </w:p>
    <w:p>
      <w:pPr>
        <w:spacing w:after="0" w:line="157" w:lineRule="exact"/>
        <w:rPr>
          <w:rFonts w:ascii="Arial" w:cs="Arial" w:eastAsia="Arial" w:hAnsi="Arial"/>
          <w:sz w:val="16"/>
          <w:szCs w:val="16"/>
          <w:color w:val="auto"/>
        </w:rPr>
      </w:pPr>
    </w:p>
    <w:p>
      <w:pPr>
        <w:jc w:val="both"/>
        <w:ind w:left="660" w:hanging="652"/>
        <w:spacing w:after="0" w:line="263"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83"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3" w:name="page64"/>
    <w:bookmarkEnd w:id="63"/>
    <w:p>
      <w:pPr>
        <w:jc w:val="both"/>
        <w:ind w:left="652" w:hanging="652"/>
        <w:spacing w:after="0" w:line="259" w:lineRule="auto"/>
        <w:tabs>
          <w:tab w:leader="none" w:pos="652" w:val="left"/>
        </w:tabs>
        <w:numPr>
          <w:ilvl w:val="0"/>
          <w:numId w:val="78"/>
        </w:numPr>
        <w:rPr>
          <w:rFonts w:ascii="Arial" w:cs="Arial" w:eastAsia="Arial" w:hAnsi="Arial"/>
          <w:sz w:val="18"/>
          <w:szCs w:val="18"/>
          <w:color w:val="auto"/>
        </w:rPr>
      </w:pPr>
      <w:r>
        <w:rPr>
          <w:rFonts w:ascii="Arial" w:cs="Arial" w:eastAsia="Arial" w:hAnsi="Arial"/>
          <w:sz w:val="18"/>
          <w:szCs w:val="18"/>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186" w:lineRule="exact"/>
        <w:rPr>
          <w:rFonts w:ascii="Arial" w:cs="Arial" w:eastAsia="Arial" w:hAnsi="Arial"/>
          <w:sz w:val="18"/>
          <w:szCs w:val="18"/>
          <w:color w:val="auto"/>
        </w:rPr>
      </w:pPr>
    </w:p>
    <w:p>
      <w:pPr>
        <w:ind w:left="652" w:hanging="652"/>
        <w:spacing w:after="0"/>
        <w:tabs>
          <w:tab w:leader="none" w:pos="652" w:val="left"/>
        </w:tabs>
        <w:numPr>
          <w:ilvl w:val="0"/>
          <w:numId w:val="78"/>
        </w:numPr>
        <w:rPr>
          <w:rFonts w:ascii="Arial" w:cs="Arial" w:eastAsia="Arial" w:hAnsi="Arial"/>
          <w:sz w:val="16"/>
          <w:szCs w:val="16"/>
          <w:color w:val="auto"/>
        </w:rPr>
      </w:pPr>
      <w:r>
        <w:rPr>
          <w:rFonts w:ascii="Arial" w:cs="Arial" w:eastAsia="Arial" w:hAnsi="Arial"/>
          <w:sz w:val="16"/>
          <w:szCs w:val="16"/>
          <w:color w:val="auto"/>
        </w:rPr>
        <w:t>Before the Par Call Date, the Notes will be redeemable and repayable, at the option of the Company, at any time in whole, or from time to time in</w:t>
      </w:r>
    </w:p>
    <w:p>
      <w:pPr>
        <w:spacing w:after="0" w:line="46" w:lineRule="exact"/>
        <w:rPr>
          <w:sz w:val="20"/>
          <w:szCs w:val="20"/>
          <w:color w:val="auto"/>
        </w:rPr>
      </w:pPr>
    </w:p>
    <w:p>
      <w:pPr>
        <w:jc w:val="both"/>
        <w:ind w:left="652"/>
        <w:spacing w:after="0" w:line="288" w:lineRule="auto"/>
        <w:rPr>
          <w:sz w:val="20"/>
          <w:szCs w:val="20"/>
          <w:color w:val="auto"/>
        </w:rPr>
      </w:pPr>
      <w:r>
        <w:rPr>
          <w:rFonts w:ascii="Arial" w:cs="Arial" w:eastAsia="Arial" w:hAnsi="Arial"/>
          <w:sz w:val="16"/>
          <w:szCs w:val="16"/>
          <w:color w:val="auto"/>
        </w:rPr>
        <w:t>part, at a Redemption Price equal to the greater of (i) 100% of the principal amount of the Notes to be redeemed or (ii) the sum, as calculated by the Company, of the present values of the remaining scheduled payments of principal and interest thereon that would be due if the Notes matured on the Par Call Date (exclusive of interest accrued to the Redemption Date (as defined in the Notes) discounted to the Redemption Date on a semi-annual basis (assuming a 360-day year consisting of twelve 30-day months) at the applicable Treasury Yield (as defined in the Notes) plus 15 basis points; plus, in either case, accrued interest to the Redemption Date. On or after the Par Call Date, the Notes will be redeemable and repayable, at the option of the Company, at any time in whole, or from time to time in part, at a Redemption Price equal to 100% of the principal amount of the Notes to be redeemed plus accrued interest on the Notes to be redeemed to the Redemption Date. “Par Call Date” means December 1, 2040.</w:t>
      </w:r>
    </w:p>
    <w:p>
      <w:pPr>
        <w:spacing w:after="0" w:line="168" w:lineRule="exact"/>
        <w:rPr>
          <w:sz w:val="20"/>
          <w:szCs w:val="20"/>
          <w:color w:val="auto"/>
        </w:rPr>
      </w:pPr>
    </w:p>
    <w:p>
      <w:pPr>
        <w:ind w:left="652" w:hanging="652"/>
        <w:spacing w:after="0" w:line="277" w:lineRule="auto"/>
        <w:tabs>
          <w:tab w:leader="none" w:pos="65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Company shall have no obligation to redeem, purchase or repay the Notes pursuant to any mandatory redemption, sinking fund or analogous provisions or at the option of a Holder thereof.</w:t>
      </w:r>
    </w:p>
    <w:p>
      <w:pPr>
        <w:spacing w:after="0" w:line="170"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Notes will be subject to defeasance and discharge as contemplated by Section 1302 of the Indenture and to covenant defeasance under Section 1303 of the Indenture.</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Notes shall be entitled to the benefit of the covenants contained in Sections 1008 and 1009 of the Indenture.</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Bank of New York Mellon Trust Company, N.A. shall serve initially as Security Registrar for the Notes.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Notes shall be substantially in the form of Exhibit A hereto.</w:t>
      </w:r>
    </w:p>
    <w:p>
      <w:pPr>
        <w:spacing w:after="0" w:line="225" w:lineRule="exact"/>
        <w:rPr>
          <w:rFonts w:ascii="Arial" w:cs="Arial" w:eastAsia="Arial" w:hAnsi="Arial"/>
          <w:sz w:val="18"/>
          <w:szCs w:val="18"/>
          <w:color w:val="auto"/>
        </w:rPr>
      </w:pPr>
    </w:p>
    <w:p>
      <w:pPr>
        <w:jc w:val="both"/>
        <w:ind w:left="652" w:hanging="652"/>
        <w:spacing w:after="0" w:line="257" w:lineRule="auto"/>
        <w:tabs>
          <w:tab w:leader="none" w:pos="65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Notes will be fully and unconditionally guaranteed on a senior basis by the Company’s wholly owned subsidiary, Waste Management Holdings, Inc., pursuant to the terms and conditions of a Guarantee Agreement dated May 12, 2021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187" w:lineRule="exact"/>
        <w:rPr>
          <w:rFonts w:ascii="Arial" w:cs="Arial" w:eastAsia="Arial" w:hAnsi="Arial"/>
          <w:sz w:val="18"/>
          <w:szCs w:val="18"/>
          <w:color w:val="auto"/>
        </w:rPr>
      </w:pPr>
    </w:p>
    <w:p>
      <w:pPr>
        <w:ind w:left="652" w:right="20" w:hanging="652"/>
        <w:spacing w:after="0" w:line="277" w:lineRule="auto"/>
        <w:tabs>
          <w:tab w:leader="none" w:pos="65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408940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color w:val="auto"/>
        </w:rPr>
        <w:t>BOOK-ENTRY SECURITY</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1240"/>
          </w:cols>
          <w:pgMar w:left="320" w:top="908" w:right="339" w:bottom="1440" w:gutter="0" w:footer="0" w:header="0"/>
        </w:sectPr>
      </w:pP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RGN</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w:t>
      </w:r>
    </w:p>
    <w:p>
      <w:pPr>
        <w:spacing w:after="0" w:line="211" w:lineRule="exact"/>
        <w:rPr>
          <w:sz w:val="20"/>
          <w:szCs w:val="20"/>
          <w:color w:val="auto"/>
        </w:rPr>
      </w:pPr>
    </w:p>
    <w:p>
      <w:pPr>
        <w:sectPr>
          <w:pgSz w:w="11900" w:h="16838" w:orient="portrait"/>
          <w:cols w:equalWidth="0" w:num="2">
            <w:col w:w="9240" w:space="720"/>
            <w:col w:w="1280"/>
          </w:cols>
          <w:pgMar w:left="320" w:top="9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WASTE MANAGEMENT, INC.</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right"/>
        <w:spacing w:after="0" w:line="279" w:lineRule="auto"/>
        <w:rPr>
          <w:sz w:val="20"/>
          <w:szCs w:val="20"/>
          <w:color w:val="auto"/>
        </w:rPr>
      </w:pPr>
      <w:r>
        <w:rPr>
          <w:rFonts w:ascii="Arial" w:cs="Arial" w:eastAsia="Arial" w:hAnsi="Arial"/>
          <w:sz w:val="17"/>
          <w:szCs w:val="17"/>
          <w:color w:val="auto"/>
        </w:rPr>
        <w:t>U.S. $     , which may be decreased by the Schedule of Exchanges of Definitive Security attached hereto</w:t>
      </w:r>
    </w:p>
    <w:p>
      <w:pPr>
        <w:spacing w:after="0" w:line="171" w:lineRule="exact"/>
        <w:rPr>
          <w:sz w:val="20"/>
          <w:szCs w:val="20"/>
          <w:color w:val="auto"/>
        </w:rPr>
      </w:pPr>
    </w:p>
    <w:p>
      <w:pPr>
        <w:sectPr>
          <w:pgSz w:w="11900" w:h="16838" w:orient="portrait"/>
          <w:cols w:equalWidth="0" w:num="2">
            <w:col w:w="8420" w:space="720"/>
            <w:col w:w="2100"/>
          </w:cols>
          <w:pgMar w:left="320" w:top="908" w:right="339" w:bottom="1440" w:gutter="0" w:footer="0" w:header="0"/>
          <w:type w:val="continuous"/>
        </w:sectPr>
      </w:pPr>
    </w:p>
    <w:p>
      <w:pPr>
        <w:ind w:left="4620"/>
        <w:spacing w:after="0"/>
        <w:rPr>
          <w:sz w:val="20"/>
          <w:szCs w:val="20"/>
          <w:color w:val="auto"/>
        </w:rPr>
      </w:pPr>
      <w:r>
        <w:rPr>
          <w:rFonts w:ascii="Arial" w:cs="Arial" w:eastAsia="Arial" w:hAnsi="Arial"/>
          <w:sz w:val="18"/>
          <w:szCs w:val="18"/>
          <w:color w:val="auto"/>
        </w:rPr>
        <w:t>2.95% SENIOR NOTES DUE 2041</w:t>
      </w:r>
    </w:p>
    <w:p>
      <w:pPr>
        <w:spacing w:after="0" w:line="225" w:lineRule="exact"/>
        <w:rPr>
          <w:sz w:val="20"/>
          <w:szCs w:val="20"/>
          <w:color w:val="auto"/>
        </w:rPr>
      </w:pPr>
    </w:p>
    <w:p>
      <w:pPr>
        <w:ind w:left="9760"/>
        <w:spacing w:after="0"/>
        <w:rPr>
          <w:sz w:val="20"/>
          <w:szCs w:val="20"/>
          <w:color w:val="auto"/>
        </w:rPr>
      </w:pPr>
      <w:r>
        <w:rPr>
          <w:rFonts w:ascii="Arial" w:cs="Arial" w:eastAsia="Arial" w:hAnsi="Arial"/>
          <w:sz w:val="16"/>
          <w:szCs w:val="16"/>
          <w:color w:val="auto"/>
        </w:rPr>
        <w:t>CUSIP 94106L BR9</w:t>
      </w:r>
    </w:p>
    <w:p>
      <w:pPr>
        <w:spacing w:after="0" w:line="24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 of</w:t>
      </w:r>
    </w:p>
    <w:p>
      <w:pPr>
        <w:jc w:val="both"/>
        <w:ind w:firstLine="360"/>
        <w:spacing w:after="0" w:line="271" w:lineRule="auto"/>
        <w:rPr>
          <w:sz w:val="20"/>
          <w:szCs w:val="20"/>
          <w:color w:val="auto"/>
        </w:rPr>
      </w:pPr>
      <w:r>
        <w:rPr>
          <w:rFonts w:ascii="Arial" w:cs="Arial" w:eastAsia="Arial" w:hAnsi="Arial"/>
          <w:sz w:val="17"/>
          <w:szCs w:val="17"/>
          <w:color w:val="auto"/>
        </w:rPr>
        <w:t>Million ($ ) U.S. dollars, or such lesser principal sum as is shown on the attached Schedule of Exchanges of Definitive Security, on June 1, 2041 in such coin or currency of the United States of America as at the time of payment shall be legal tender for the payment of public and private debts, and to pay interest at an annual rate of 2.95% payable on June 1 and December 1 of each year, to the person in whose name this Security is registered at the close of business on the record date for such interest, which shall be the preceding May 15 or November 15, respectively, payable commencing December 1, 2021, with interest accruing from May 12, 2021, or the most recent date to which interest has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65" w:name="page66"/>
    <w:bookmarkEnd w:id="65"/>
    <w:p>
      <w:pPr>
        <w:jc w:val="both"/>
        <w:ind w:firstLine="648"/>
        <w:spacing w:after="0" w:line="277" w:lineRule="auto"/>
        <w:rPr>
          <w:sz w:val="20"/>
          <w:szCs w:val="20"/>
          <w:color w:val="auto"/>
        </w:rPr>
      </w:pPr>
      <w:r>
        <w:rPr>
          <w:rFonts w:ascii="Arial" w:cs="Arial" w:eastAsia="Arial" w:hAnsi="Arial"/>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Security is issued in respect of a series of Securities of an initial aggregate of U.S. $475,000,000 in principal amount designated as the 2.95% Senior Notes due 2041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hereby irrevocably undertakes to the Holder hereof to exchange this Security in accordance with the terms of the Indenture without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ind w:firstLine="648"/>
        <w:spacing w:after="0" w:line="277" w:lineRule="auto"/>
        <w:rPr>
          <w:sz w:val="20"/>
          <w:szCs w:val="20"/>
          <w:color w:val="auto"/>
        </w:rPr>
      </w:pPr>
      <w:r>
        <w:rPr>
          <w:rFonts w:ascii="Arial" w:cs="Arial" w:eastAsia="Arial" w:hAnsi="Arial"/>
          <w:sz w:val="18"/>
          <w:szCs w:val="18"/>
          <w:color w:val="auto"/>
        </w:rPr>
        <w:t>This Security shall not be valid or become obligatory for any purpose until the Certificate of Authentication hereon shall have been manually signed by the Trustee under the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Company has caused this instrument to be duly executed under its corporate seal.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Dated:</w:t>
            </w:r>
          </w:p>
        </w:tc>
        <w:tc>
          <w:tcPr>
            <w:tcW w:w="6920" w:type="dxa"/>
            <w:vAlign w:val="bottom"/>
            <w:gridSpan w:val="2"/>
          </w:tcPr>
          <w:p>
            <w:pPr>
              <w:ind w:left="1320"/>
              <w:spacing w:after="0"/>
              <w:rPr>
                <w:sz w:val="20"/>
                <w:szCs w:val="20"/>
                <w:color w:val="auto"/>
              </w:rPr>
            </w:pPr>
            <w:r>
              <w:rPr>
                <w:rFonts w:ascii="Arial" w:cs="Arial" w:eastAsia="Arial" w:hAnsi="Arial"/>
                <w:sz w:val="18"/>
                <w:szCs w:val="18"/>
                <w:color w:val="auto"/>
              </w:rPr>
              <w:t>WASTE MANAGEMENT, INC.,</w:t>
            </w:r>
          </w:p>
        </w:tc>
      </w:tr>
      <w:tr>
        <w:trPr>
          <w:trHeight w:val="230"/>
        </w:trPr>
        <w:tc>
          <w:tcPr>
            <w:tcW w:w="4320" w:type="dxa"/>
            <w:vAlign w:val="bottom"/>
          </w:tcPr>
          <w:p>
            <w:pPr>
              <w:spacing w:after="0"/>
              <w:rPr>
                <w:sz w:val="20"/>
                <w:szCs w:val="20"/>
                <w:color w:val="auto"/>
              </w:rPr>
            </w:pPr>
          </w:p>
        </w:tc>
        <w:tc>
          <w:tcPr>
            <w:tcW w:w="6920" w:type="dxa"/>
            <w:vAlign w:val="bottom"/>
            <w:gridSpan w:val="2"/>
          </w:tcPr>
          <w:p>
            <w:pPr>
              <w:ind w:left="1320"/>
              <w:spacing w:after="0"/>
              <w:rPr>
                <w:sz w:val="20"/>
                <w:szCs w:val="20"/>
                <w:color w:val="auto"/>
              </w:rPr>
            </w:pPr>
            <w:r>
              <w:rPr>
                <w:rFonts w:ascii="Arial" w:cs="Arial" w:eastAsia="Arial" w:hAnsi="Arial"/>
                <w:sz w:val="18"/>
                <w:szCs w:val="18"/>
                <w:color w:val="auto"/>
              </w:rPr>
              <w:t>a Delaware corporation</w:t>
            </w:r>
          </w:p>
        </w:tc>
      </w:tr>
      <w:tr>
        <w:trPr>
          <w:trHeight w:val="432"/>
        </w:trPr>
        <w:tc>
          <w:tcPr>
            <w:tcW w:w="4320" w:type="dxa"/>
            <w:vAlign w:val="bottom"/>
          </w:tcPr>
          <w:p>
            <w:pPr>
              <w:spacing w:after="0"/>
              <w:rPr>
                <w:sz w:val="24"/>
                <w:szCs w:val="24"/>
                <w:color w:val="auto"/>
              </w:rPr>
            </w:pPr>
          </w:p>
        </w:tc>
        <w:tc>
          <w:tcPr>
            <w:tcW w:w="6920" w:type="dxa"/>
            <w:vAlign w:val="bottom"/>
            <w:gridSpan w:val="2"/>
          </w:tcPr>
          <w:p>
            <w:pPr>
              <w:ind w:left="1320"/>
              <w:spacing w:after="0"/>
              <w:rPr>
                <w:sz w:val="20"/>
                <w:szCs w:val="20"/>
                <w:color w:val="auto"/>
              </w:rPr>
            </w:pPr>
            <w:r>
              <w:rPr>
                <w:rFonts w:ascii="Arial" w:cs="Arial" w:eastAsia="Arial" w:hAnsi="Arial"/>
                <w:sz w:val="18"/>
                <w:szCs w:val="18"/>
                <w:color w:val="auto"/>
              </w:rPr>
              <w:t>By:</w:t>
            </w:r>
          </w:p>
        </w:tc>
      </w:tr>
      <w:tr>
        <w:trPr>
          <w:trHeight w:val="195"/>
        </w:trPr>
        <w:tc>
          <w:tcPr>
            <w:tcW w:w="43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L. Reed</w:t>
            </w:r>
          </w:p>
        </w:tc>
      </w:tr>
      <w:tr>
        <w:trPr>
          <w:trHeight w:val="230"/>
        </w:trPr>
        <w:tc>
          <w:tcPr>
            <w:tcW w:w="4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Vice President and Treasurer</w:t>
            </w:r>
          </w:p>
        </w:tc>
      </w:tr>
      <w:tr>
        <w:trPr>
          <w:trHeight w:val="648"/>
        </w:trPr>
        <w:tc>
          <w:tcPr>
            <w:tcW w:w="4320" w:type="dxa"/>
            <w:vAlign w:val="bottom"/>
          </w:tcPr>
          <w:p>
            <w:pPr>
              <w:spacing w:after="0"/>
              <w:rPr>
                <w:sz w:val="24"/>
                <w:szCs w:val="24"/>
                <w:color w:val="auto"/>
              </w:rPr>
            </w:pPr>
          </w:p>
        </w:tc>
        <w:tc>
          <w:tcPr>
            <w:tcW w:w="6920" w:type="dxa"/>
            <w:vAlign w:val="bottom"/>
            <w:gridSpan w:val="2"/>
          </w:tcPr>
          <w:p>
            <w:pPr>
              <w:ind w:left="1320"/>
              <w:spacing w:after="0"/>
              <w:rPr>
                <w:sz w:val="20"/>
                <w:szCs w:val="20"/>
                <w:color w:val="auto"/>
              </w:rPr>
            </w:pPr>
            <w:r>
              <w:rPr>
                <w:rFonts w:ascii="Arial" w:cs="Arial" w:eastAsia="Arial" w:hAnsi="Arial"/>
                <w:sz w:val="18"/>
                <w:szCs w:val="18"/>
                <w:color w:val="auto"/>
              </w:rPr>
              <w:t>Attest:</w:t>
            </w:r>
          </w:p>
        </w:tc>
      </w:tr>
      <w:tr>
        <w:trPr>
          <w:trHeight w:val="432"/>
        </w:trPr>
        <w:tc>
          <w:tcPr>
            <w:tcW w:w="4320" w:type="dxa"/>
            <w:vAlign w:val="bottom"/>
          </w:tcPr>
          <w:p>
            <w:pPr>
              <w:spacing w:after="0"/>
              <w:rPr>
                <w:sz w:val="24"/>
                <w:szCs w:val="24"/>
                <w:color w:val="auto"/>
              </w:rPr>
            </w:pPr>
          </w:p>
        </w:tc>
        <w:tc>
          <w:tcPr>
            <w:tcW w:w="6920" w:type="dxa"/>
            <w:vAlign w:val="bottom"/>
            <w:gridSpan w:val="2"/>
          </w:tcPr>
          <w:p>
            <w:pPr>
              <w:ind w:left="1320"/>
              <w:spacing w:after="0"/>
              <w:rPr>
                <w:sz w:val="20"/>
                <w:szCs w:val="20"/>
                <w:color w:val="auto"/>
              </w:rPr>
            </w:pPr>
            <w:r>
              <w:rPr>
                <w:rFonts w:ascii="Arial" w:cs="Arial" w:eastAsia="Arial" w:hAnsi="Arial"/>
                <w:sz w:val="18"/>
                <w:szCs w:val="18"/>
                <w:color w:val="auto"/>
              </w:rPr>
              <w:t>By:</w:t>
            </w:r>
          </w:p>
        </w:tc>
      </w:tr>
      <w:tr>
        <w:trPr>
          <w:trHeight w:val="195"/>
        </w:trPr>
        <w:tc>
          <w:tcPr>
            <w:tcW w:w="43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Courtney A. Tippy</w:t>
            </w:r>
          </w:p>
        </w:tc>
      </w:tr>
      <w:tr>
        <w:trPr>
          <w:trHeight w:val="230"/>
        </w:trPr>
        <w:tc>
          <w:tcPr>
            <w:tcW w:w="4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Vice President and Corporate Secretary</w:t>
            </w:r>
          </w:p>
        </w:tc>
      </w:tr>
      <w:tr>
        <w:trPr>
          <w:trHeight w:val="432"/>
        </w:trPr>
        <w:tc>
          <w:tcPr>
            <w:tcW w:w="4320" w:type="dxa"/>
            <w:vAlign w:val="bottom"/>
          </w:tcPr>
          <w:p>
            <w:pPr>
              <w:spacing w:after="0"/>
              <w:rPr>
                <w:sz w:val="20"/>
                <w:szCs w:val="20"/>
                <w:color w:val="auto"/>
              </w:rPr>
            </w:pPr>
            <w:r>
              <w:rPr>
                <w:rFonts w:ascii="Arial" w:cs="Arial" w:eastAsia="Arial" w:hAnsi="Arial"/>
                <w:sz w:val="18"/>
                <w:szCs w:val="18"/>
                <w:color w:val="auto"/>
              </w:rPr>
              <w:t>CERTIFICATE OF AUTHENTICATION</w:t>
            </w:r>
          </w:p>
        </w:tc>
        <w:tc>
          <w:tcPr>
            <w:tcW w:w="1880" w:type="dxa"/>
            <w:vAlign w:val="bottom"/>
          </w:tcPr>
          <w:p>
            <w:pPr>
              <w:spacing w:after="0"/>
              <w:rPr>
                <w:sz w:val="24"/>
                <w:szCs w:val="24"/>
                <w:color w:val="auto"/>
              </w:rPr>
            </w:pPr>
          </w:p>
        </w:tc>
        <w:tc>
          <w:tcPr>
            <w:tcW w:w="5040" w:type="dxa"/>
            <w:vAlign w:val="bottom"/>
          </w:tcPr>
          <w:p>
            <w:pPr>
              <w:spacing w:after="0"/>
              <w:rPr>
                <w:sz w:val="24"/>
                <w:szCs w:val="24"/>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of Authentication:</w:t>
      </w:r>
      <w:r>
        <w:rPr>
          <w:sz w:val="20"/>
          <w:szCs w:val="20"/>
          <w:color w:val="auto"/>
        </w:rPr>
        <w:tab/>
      </w:r>
      <w:r>
        <w:rPr>
          <w:rFonts w:ascii="Arial" w:cs="Arial" w:eastAsia="Arial" w:hAnsi="Arial"/>
          <w:sz w:val="16"/>
          <w:szCs w:val="16"/>
          <w:color w:val="auto"/>
        </w:rPr>
        <w:t>The Bank of New York Mellon Trust Company, N.A., as Trustee</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color w:val="auto"/>
        </w:rPr>
        <w:t>REVERSE OF BOOK-ENTRY SECURITY</w:t>
      </w: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2.95% SENIOR NOTES DUE 2041</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2.95% Senior Notes due 2041 of the Company, in initial aggregate principal amount of $475,000,000 (the “Securities”).</w:t>
      </w:r>
    </w:p>
    <w:p>
      <w:pPr>
        <w:spacing w:after="0" w:line="195" w:lineRule="exact"/>
        <w:rPr>
          <w:sz w:val="20"/>
          <w:szCs w:val="20"/>
          <w:color w:val="auto"/>
        </w:rPr>
      </w:pPr>
    </w:p>
    <w:p>
      <w:pPr>
        <w:ind w:left="1300" w:hanging="644"/>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Interest.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promises to pay interest on the principal amount of this Security at the rate of 2.95% per annum.</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will pay interest semi-annually on June 1 and December 1 of each year (each an “Interest Payment Date”), commencing December 1, 2021. Interest on the Securities will accrue from the most recent date to which interest has been paid or, if no interest has been paid on the Securities, from May 12, 2021.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2.95% per annum, in each case to the extent lawful.</w:t>
      </w:r>
    </w:p>
    <w:p>
      <w:pPr>
        <w:spacing w:after="0" w:line="192" w:lineRule="exact"/>
        <w:rPr>
          <w:sz w:val="20"/>
          <w:szCs w:val="20"/>
          <w:color w:val="auto"/>
        </w:rPr>
      </w:pPr>
    </w:p>
    <w:p>
      <w:pPr>
        <w:ind w:left="1300" w:hanging="64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Method of Payment.</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240 Greenwich Street,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84" w:lineRule="exact"/>
        <w:rPr>
          <w:sz w:val="20"/>
          <w:szCs w:val="20"/>
          <w:color w:val="auto"/>
        </w:rPr>
      </w:pPr>
    </w:p>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Indenture.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Security is one of a duly authorized issue of Debt Securities of the Company issued and to be issued in one or more series under the Indenture.</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June 23, 2020 (the “Resolutions”) and the written consent of the Sole Director of Waste Management Holdings, Inc. on April 23, 2021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$475,000,000.</w:t>
      </w:r>
    </w:p>
    <w:p>
      <w:pPr>
        <w:spacing w:after="0" w:line="177" w:lineRule="exact"/>
        <w:rPr>
          <w:sz w:val="20"/>
          <w:szCs w:val="20"/>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Redemption.</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Before the Par Call Date, the Securities will be redeemable and repayable, at the option of the Company, at any time in whole, or from time to time in part, at a Redemption Price (the “Make-Whole Price”) equal to the greater of: (i) 100% of the principal amount of the Securities to be redeemed; or</w:t>
      </w:r>
    </w:p>
    <w:p>
      <w:pPr>
        <w:jc w:val="both"/>
        <w:ind w:firstLine="8"/>
        <w:spacing w:after="0" w:line="253" w:lineRule="auto"/>
        <w:tabs>
          <w:tab w:leader="none" w:pos="242"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sum, as calculated by the Company, of the present values of the remaining scheduled payments of principal and interest on the Securities that would be due if such Securities matured on the Par Call Date (exclusive of interest accrued to the Redemption Date) discounted to the Redemption Date on a semi-annual basis (assuming a 360-day year consisting of twelve 30-day months) at the applicable Treasury Yield plus 15 basis points; plus, in either case, accrued interest to the Redemption Date.</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or after the Par Call Date, the Securities will be redeemable and repayable, at the option of the Company, at any time in whole, or from time to time in part, at a Redemption Price equal to 100% of the principal amount of the Securities to be redeemed plus accrued interest on the Securities to be redeemed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jc w:val="both"/>
        <w:ind w:firstLine="648"/>
        <w:spacing w:after="0" w:line="291" w:lineRule="auto"/>
        <w:rPr>
          <w:sz w:val="20"/>
          <w:szCs w:val="20"/>
          <w:color w:val="auto"/>
        </w:rPr>
      </w:pPr>
      <w:r>
        <w:rPr>
          <w:rFonts w:ascii="Arial" w:cs="Arial" w:eastAsia="Arial" w:hAnsi="Arial"/>
          <w:sz w:val="16"/>
          <w:szCs w:val="16"/>
          <w:color w:val="auto"/>
        </w:rPr>
        <w:t>Securities called for redemption become due on the Redemption Date. Notices of redemption will be mailed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 (or with respect to Securities in global form, by such method as the Depository may require).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determining the Make-Whole Price, the following definitions are applicable: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“Comparable Treasury Issue” means the United States Treasury security selected by an Independent Investment Banker as having a maturity comparable to the remaining term of the Securities, calculated as if the maturity date of such Securities were the Par Call Date (the “Remaining Life”), that would be utilized, at the time of selection and in accordance with customary financial practice, in pricing new issues of corporate debt securities of comparable maturity to the Remaining Life of the Securities.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“Independent Investment Banker” means one of the Reference Treasury Dealers appointed by us to act as the Independent Investment Banker from time to time.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“Comparable Treasury Price” means, with respect to any Redemption Date, (i) the average of the Reference Treasury Dealer Quotations for the Redemption Date, after excluding the highest and lowest of all Reference Treasury Dealer Quotations obtained, or (ii) if the Independent Investment Banker obtains fewer than four such Reference Treasury Dealer Quotations, the average of all Reference Treasury Dealer Quotations.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 Call Date” means December 1, 2040.</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“Reference Treasury Dealer” means (i) each of Credit Suisse Securities (USA) LLC, Goldman Sachs &amp; Co. LLC and Wells Fargo Securities, LLC (and their respective successors or affiliates),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jc w:val="both"/>
        <w:ind w:firstLine="648"/>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for the Securities, an average, as determined by the Independent Investment Banker, of the bid and asked prices for the Comparable Treasury Issue for the Securities (expressed in each case as a percentage of its principal amount) quoted in writing to the Independent Investment Banker by such Reference Treasury Dealer at 5:00 p.m., New York City time, on the third Business Day preceding such Redemption Date.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as set forth above, the Securities will not be redeemable prior to their Stated Maturity and will not be entitled to the benefit of any sinking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fund.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Securities may be redeemed in part in a minimum principal amount of $2,000, or any integral multiple of $1,000 in excess thereof.</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such redemption will also comply with Article Eleven of the Indenture.</w:t>
      </w:r>
    </w:p>
    <w:p>
      <w:pPr>
        <w:spacing w:after="0" w:line="225" w:lineRule="exact"/>
        <w:rPr>
          <w:sz w:val="20"/>
          <w:szCs w:val="20"/>
          <w:color w:val="auto"/>
        </w:rPr>
      </w:pPr>
    </w:p>
    <w:p>
      <w:pPr>
        <w:ind w:left="1300" w:hanging="644"/>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Change of Control Offer.</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Change of Control Payment Date, the Company shall, to the extent lawful:</w:t>
      </w:r>
    </w:p>
    <w:p>
      <w:pPr>
        <w:spacing w:after="0" w:line="225" w:lineRule="exact"/>
        <w:rPr>
          <w:sz w:val="20"/>
          <w:szCs w:val="20"/>
          <w:color w:val="auto"/>
        </w:rPr>
      </w:pPr>
    </w:p>
    <w:p>
      <w:pPr>
        <w:ind w:left="1300" w:hanging="644"/>
        <w:spacing w:after="0"/>
        <w:tabs>
          <w:tab w:leader="none" w:pos="13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accept for payment all Securities or portions of Securities properly tendered and not withdrawn pursuant to the Change of Control Offer;</w:t>
      </w:r>
    </w:p>
    <w:p>
      <w:pPr>
        <w:spacing w:after="0" w:line="248" w:lineRule="exact"/>
        <w:rPr>
          <w:rFonts w:ascii="Arial" w:cs="Arial" w:eastAsia="Arial" w:hAnsi="Arial"/>
          <w:sz w:val="16"/>
          <w:szCs w:val="16"/>
          <w:color w:val="auto"/>
        </w:rPr>
      </w:pPr>
    </w:p>
    <w:p>
      <w:pPr>
        <w:ind w:left="1300" w:right="20" w:hanging="644"/>
        <w:spacing w:after="0" w:line="277" w:lineRule="auto"/>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Securities or portions of Securities properly tendered;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ind w:left="1300" w:hanging="644"/>
        <w:spacing w:after="0" w:line="277" w:lineRule="auto"/>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the Change of Control Offer provisions of the Securities, the following terms are applicable: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jc w:val="both"/>
        <w:ind w:firstLine="648"/>
        <w:spacing w:after="0" w:line="255" w:lineRule="auto"/>
        <w:rPr>
          <w:sz w:val="20"/>
          <w:szCs w:val="20"/>
          <w:color w:val="auto"/>
        </w:rPr>
      </w:pPr>
      <w:r>
        <w:rPr>
          <w:rFonts w:ascii="Arial" w:cs="Arial" w:eastAsia="Arial" w:hAnsi="Arial"/>
          <w:sz w:val="18"/>
          <w:szCs w:val="18"/>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 of Control Triggering Event” means the occurrence of both a Change of Control and a Rating Event.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“Fitch” means Fitch Inc. and its successors.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“Moody’s” means Moody’s Investors Service, Inc. and its successors.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our Board of Directors) as a replacement agency for Fitch, Moody’s or S&amp;P, or all of them, as the case may be.</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“S&amp;P” means S&amp;P Global Ratings, a division of S&amp;P Global Inc., and its successors.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70" w:lineRule="exact"/>
        <w:rPr>
          <w:sz w:val="20"/>
          <w:szCs w:val="20"/>
          <w:color w:val="auto"/>
        </w:rPr>
      </w:pPr>
    </w:p>
    <w:p>
      <w:pPr>
        <w:ind w:left="1300" w:hanging="644"/>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Denominations; Transfer; Exchange.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ind w:left="1300" w:hanging="644"/>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Person Deemed Owners.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Holder of a Security may be treated as the owner of it for all purposes.</w:t>
      </w:r>
    </w:p>
    <w:p>
      <w:pPr>
        <w:spacing w:after="0" w:line="225" w:lineRule="exact"/>
        <w:rPr>
          <w:sz w:val="20"/>
          <w:szCs w:val="20"/>
          <w:color w:val="auto"/>
        </w:rPr>
      </w:pPr>
    </w:p>
    <w:p>
      <w:pPr>
        <w:ind w:left="1300" w:hanging="644"/>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Amendment; Supplement; Waiver.</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77" w:lineRule="exact"/>
        <w:rPr>
          <w:sz w:val="20"/>
          <w:szCs w:val="20"/>
          <w:color w:val="auto"/>
        </w:rPr>
      </w:pPr>
    </w:p>
    <w:p>
      <w:pPr>
        <w:ind w:left="1300" w:hanging="644"/>
        <w:spacing w:after="0"/>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Defaults and Remedies.</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w:t>
      </w:r>
    </w:p>
    <w:p>
      <w:pPr>
        <w:spacing w:after="0" w:line="4" w:lineRule="exact"/>
        <w:rPr>
          <w:sz w:val="20"/>
          <w:szCs w:val="20"/>
          <w:color w:val="auto"/>
        </w:rPr>
      </w:pPr>
    </w:p>
    <w:p>
      <w:pPr>
        <w:jc w:val="both"/>
        <w:ind w:firstLine="8"/>
        <w:spacing w:after="0" w:line="281" w:lineRule="auto"/>
        <w:tabs>
          <w:tab w:leader="none" w:pos="262"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ind w:left="1300" w:hanging="644"/>
        <w:spacing w:after="0"/>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Trustee Dealings with Company.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84" w:lineRule="exact"/>
        <w:rPr>
          <w:sz w:val="20"/>
          <w:szCs w:val="20"/>
          <w:color w:val="auto"/>
        </w:rPr>
      </w:pPr>
    </w:p>
    <w:p>
      <w:pPr>
        <w:ind w:left="1300" w:hanging="644"/>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Security shall not be valid until the Trustee or authenticating agent signs the certificate of authentication on the other side of this Security.</w:t>
      </w:r>
    </w:p>
    <w:p>
      <w:pPr>
        <w:spacing w:after="0" w:line="248" w:lineRule="exact"/>
        <w:rPr>
          <w:sz w:val="20"/>
          <w:szCs w:val="20"/>
          <w:color w:val="auto"/>
        </w:rPr>
      </w:pPr>
    </w:p>
    <w:p>
      <w:pPr>
        <w:ind w:left="1300" w:hanging="644"/>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Abbreviations and Defined Terms.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84" w:lineRule="exact"/>
        <w:rPr>
          <w:sz w:val="20"/>
          <w:szCs w:val="20"/>
          <w:color w:val="auto"/>
        </w:rPr>
      </w:pPr>
    </w:p>
    <w:p>
      <w:pPr>
        <w:ind w:left="1300" w:hanging="644"/>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CUSIP Numbers.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84" w:lineRule="exact"/>
        <w:rPr>
          <w:sz w:val="20"/>
          <w:szCs w:val="20"/>
          <w:color w:val="auto"/>
        </w:rPr>
      </w:pPr>
    </w:p>
    <w:p>
      <w:pPr>
        <w:ind w:left="1300" w:hanging="644"/>
        <w:spacing w:after="0"/>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Absolute Obligation.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184" w:lineRule="exact"/>
        <w:rPr>
          <w:sz w:val="20"/>
          <w:szCs w:val="20"/>
          <w:color w:val="auto"/>
        </w:rPr>
      </w:pPr>
    </w:p>
    <w:p>
      <w:pPr>
        <w:ind w:left="1300" w:hanging="644"/>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No Recourse.</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61" w:lineRule="exact"/>
        <w:rPr>
          <w:sz w:val="20"/>
          <w:szCs w:val="20"/>
          <w:color w:val="auto"/>
        </w:rPr>
      </w:pPr>
    </w:p>
    <w:p>
      <w:pPr>
        <w:ind w:left="1300" w:hanging="644"/>
        <w:spacing w:after="0"/>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Security shall be construed in accordance with and governed by the laws of the State of New York.</w:t>
      </w:r>
    </w:p>
    <w:p>
      <w:pPr>
        <w:spacing w:after="0" w:line="225" w:lineRule="exact"/>
        <w:rPr>
          <w:sz w:val="20"/>
          <w:szCs w:val="20"/>
          <w:color w:val="auto"/>
        </w:rPr>
      </w:pPr>
    </w:p>
    <w:p>
      <w:pPr>
        <w:ind w:left="1300" w:hanging="644"/>
        <w:spacing w:after="0"/>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Guarantee.</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Securities will be fully and unconditionally guaranteed on a senior basis by the Company’s wholly owned subsidiary, Waste Management Holdings, Inc., pursuant to the terms and conditions of a Guarantee, dated as of May 12, 2021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57" w:lineRule="exact"/>
        <w:rPr>
          <w:sz w:val="20"/>
          <w:szCs w:val="20"/>
          <w:color w:val="auto"/>
        </w:rPr>
      </w:pPr>
    </w:p>
    <w:p>
      <w:pPr>
        <w:ind w:left="1300" w:hanging="644"/>
        <w:spacing w:after="0"/>
        <w:tabs>
          <w:tab w:leader="none" w:pos="130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Satisfaction and Discharge.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Securities will be subject to Section 401 of the Indenture; provided, however, that solely with respect to the Securities, the following sentence shall be added to the end of Section 401(1)(B) of the Indenture: “(provided that, upon any redemption that requires the payment of any make-whole or other premium, (x) the amount of cash that must be deposited shall be determined using an assumed applicable premium calculated as of the date of such deposit and (y) the Company shall deposit any deficit in trust on or prior to the Redemption Date as necessary to pay the applicable premium as determined by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0"/>
        </w:trPr>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20" w:type="dxa"/>
            <w:vAlign w:val="bottom"/>
            <w:gridSpan w:val="6"/>
          </w:tcPr>
          <w:p>
            <w:pPr>
              <w:jc w:val="center"/>
              <w:ind w:right="140"/>
              <w:spacing w:after="0"/>
              <w:rPr>
                <w:sz w:val="20"/>
                <w:szCs w:val="20"/>
                <w:color w:val="auto"/>
              </w:rPr>
            </w:pPr>
            <w:r>
              <w:rPr>
                <w:rFonts w:ascii="Arial" w:cs="Arial" w:eastAsia="Arial" w:hAnsi="Arial"/>
                <w:sz w:val="18"/>
                <w:szCs w:val="18"/>
                <w:color w:val="auto"/>
                <w:w w:val="96"/>
              </w:rPr>
              <w:t>SCHEDULE OF EXCHANGES OF DEFINITIVE SECURITY</w:t>
            </w:r>
          </w:p>
        </w:tc>
        <w:tc>
          <w:tcPr>
            <w:tcW w:w="2140" w:type="dxa"/>
            <w:vAlign w:val="bottom"/>
          </w:tcPr>
          <w:p>
            <w:pPr>
              <w:spacing w:after="0"/>
              <w:rPr>
                <w:sz w:val="20"/>
                <w:szCs w:val="20"/>
                <w:color w:val="auto"/>
              </w:rPr>
            </w:pPr>
          </w:p>
        </w:tc>
      </w:tr>
      <w:tr>
        <w:trPr>
          <w:trHeight w:val="432"/>
        </w:trPr>
        <w:tc>
          <w:tcPr>
            <w:tcW w:w="9100" w:type="dxa"/>
            <w:vAlign w:val="bottom"/>
            <w:gridSpan w:val="8"/>
          </w:tcPr>
          <w:p>
            <w:pPr>
              <w:ind w:left="660"/>
              <w:spacing w:after="0"/>
              <w:rPr>
                <w:sz w:val="20"/>
                <w:szCs w:val="20"/>
                <w:color w:val="auto"/>
              </w:rPr>
            </w:pPr>
            <w:r>
              <w:rPr>
                <w:rFonts w:ascii="Arial" w:cs="Arial" w:eastAsia="Arial" w:hAnsi="Arial"/>
                <w:sz w:val="18"/>
                <w:szCs w:val="18"/>
                <w:color w:val="auto"/>
              </w:rPr>
              <w:t>The following exchanges of a part of this Book-Entry Security for definitive Securities have been made:</w:t>
            </w:r>
          </w:p>
        </w:tc>
        <w:tc>
          <w:tcPr>
            <w:tcW w:w="2140" w:type="dxa"/>
            <w:vAlign w:val="bottom"/>
          </w:tcPr>
          <w:p>
            <w:pPr>
              <w:spacing w:after="0"/>
              <w:rPr>
                <w:sz w:val="24"/>
                <w:szCs w:val="24"/>
                <w:color w:val="auto"/>
              </w:rPr>
            </w:pPr>
          </w:p>
        </w:tc>
      </w:tr>
      <w:tr>
        <w:trPr>
          <w:trHeight w:val="414"/>
        </w:trPr>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Amount of</w:t>
            </w:r>
          </w:p>
        </w:tc>
        <w:tc>
          <w:tcPr>
            <w:tcW w:w="2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Amount of increase</w:t>
            </w:r>
          </w:p>
        </w:tc>
        <w:tc>
          <w:tcPr>
            <w:tcW w:w="2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Principal Amount</w:t>
            </w:r>
          </w:p>
        </w:tc>
        <w:tc>
          <w:tcPr>
            <w:tcW w:w="214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decrease in</w:t>
            </w:r>
          </w:p>
        </w:tc>
        <w:tc>
          <w:tcPr>
            <w:tcW w:w="23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in Principal</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of this Book-Entry</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 of</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Principal Amount</w:t>
            </w:r>
          </w:p>
        </w:tc>
        <w:tc>
          <w:tcPr>
            <w:tcW w:w="23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Amount of this</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Security following</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1"/>
              </w:rPr>
              <w:t>authorized officer</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of this Book-Entry</w:t>
            </w:r>
          </w:p>
        </w:tc>
        <w:tc>
          <w:tcPr>
            <w:tcW w:w="2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Book-Entry</w:t>
            </w:r>
          </w:p>
        </w:tc>
        <w:tc>
          <w:tcPr>
            <w:tcW w:w="2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such decrease (or</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9"/>
              </w:rPr>
              <w:t>of Trustee or</w:t>
            </w:r>
          </w:p>
        </w:tc>
      </w:tr>
      <w:tr>
        <w:trPr>
          <w:trHeight w:val="234"/>
        </w:trPr>
        <w:tc>
          <w:tcPr>
            <w:tcW w:w="2280" w:type="dxa"/>
            <w:vAlign w:val="bottom"/>
            <w:gridSpan w:val="2"/>
          </w:tcPr>
          <w:p>
            <w:pPr>
              <w:ind w:left="400"/>
              <w:spacing w:after="0"/>
              <w:rPr>
                <w:sz w:val="20"/>
                <w:szCs w:val="20"/>
                <w:color w:val="auto"/>
              </w:rPr>
            </w:pPr>
            <w:r>
              <w:rPr>
                <w:rFonts w:ascii="Arial" w:cs="Arial" w:eastAsia="Arial" w:hAnsi="Arial"/>
                <w:sz w:val="18"/>
                <w:szCs w:val="18"/>
                <w:b w:val="1"/>
                <w:bCs w:val="1"/>
                <w:color w:val="auto"/>
              </w:rPr>
              <w:t>Date of Exchange</w:t>
            </w: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Security</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Security</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increase)</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0"/>
              </w:rPr>
              <w:t>Security Custodian</w:t>
            </w:r>
          </w:p>
        </w:tc>
      </w:tr>
      <w:tr>
        <w:trPr>
          <w:trHeight w:val="668"/>
        </w:trPr>
        <w:tc>
          <w:tcPr>
            <w:tcW w:w="21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22"/>
          <w:szCs w:val="22"/>
          <w:b w:val="1"/>
          <w:bCs w:val="1"/>
          <w:color w:val="auto"/>
        </w:rPr>
        <w:t>Exhibit 4.6</w:t>
      </w:r>
    </w:p>
    <w:p>
      <w:pPr>
        <w:spacing w:after="0" w:line="24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GUARANTEE</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BY WASTE MANAGEMENT HOLDINGS, INC.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(formerly known as Waste Management, Inc.)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in Favor of The Bank of New York Mellon Trust Company, N.A., as Trustee for the Holders</w:t>
      </w:r>
    </w:p>
    <w:p>
      <w:pPr>
        <w:spacing w:after="0" w:line="46"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of Certain Debt Securities of</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$475,000,000</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2.00% Senior Notes due 2029</w:t>
      </w:r>
    </w:p>
    <w:p>
      <w:pPr>
        <w:spacing w:after="0" w:line="21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May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77" w:name="page78"/>
    <w:bookmarkEnd w:id="77"/>
    <w:p>
      <w:pPr>
        <w:jc w:val="both"/>
        <w:ind w:firstLine="648"/>
        <w:spacing w:after="0" w:line="259" w:lineRule="auto"/>
        <w:rPr>
          <w:sz w:val="20"/>
          <w:szCs w:val="20"/>
          <w:color w:val="auto"/>
        </w:rPr>
      </w:pPr>
      <w:r>
        <w:rPr>
          <w:rFonts w:ascii="Arial" w:cs="Arial" w:eastAsia="Arial" w:hAnsi="Arial"/>
          <w:sz w:val="18"/>
          <w:szCs w:val="18"/>
          <w:color w:val="auto"/>
        </w:rPr>
        <w:t>GUARANTEE, dated as of May 12, 2021 (as amended from time to time, this “Guarantee”), made by Waste Management Holdings, Inc. (formerly known as Waste Management, Inc.), a Delaware corporation (the “Guarantor”), in favor of The Bank of New York Mellon Trust Company, N.A., as trustee for the holders of the $475 million aggregate principal amount of 2.00% Senior Notes due 2029 (the “Debt Securities”) of Waste Management, Inc. (formerly known as USA Waste Services, Inc.), a Delaware corporation (the “Issuer”).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Guarantee</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5" w:lineRule="auto"/>
        <w:tabs>
          <w:tab w:leader="none" w:pos="181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92" w:lineRule="exact"/>
        <w:rPr>
          <w:rFonts w:ascii="Arial" w:cs="Arial" w:eastAsia="Arial" w:hAnsi="Arial"/>
          <w:sz w:val="18"/>
          <w:szCs w:val="18"/>
          <w:color w:val="auto"/>
        </w:rPr>
      </w:pPr>
    </w:p>
    <w:p>
      <w:pPr>
        <w:jc w:val="both"/>
        <w:ind w:firstLine="1304"/>
        <w:spacing w:after="0" w:line="254" w:lineRule="auto"/>
        <w:tabs>
          <w:tab w:leader="none" w:pos="203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Guarantee Absolute</w:t>
      </w:r>
      <w:r>
        <w:rPr>
          <w:rFonts w:ascii="Arial" w:cs="Arial" w:eastAsia="Arial" w:hAnsi="Arial"/>
          <w:sz w:val="17"/>
          <w:szCs w:val="17"/>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65" w:lineRule="exact"/>
        <w:rPr>
          <w:sz w:val="20"/>
          <w:szCs w:val="20"/>
          <w:color w:val="auto"/>
        </w:rPr>
      </w:pPr>
    </w:p>
    <w:p>
      <w:pPr>
        <w:ind w:left="1840" w:hanging="536"/>
        <w:spacing w:after="0"/>
        <w:tabs>
          <w:tab w:leader="none" w:pos="18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any lack of validity or enforceability of the Indenture, the Debt Securities or any other agreement or instrument relating thereto;</w:t>
      </w:r>
    </w:p>
    <w:p>
      <w:pPr>
        <w:spacing w:after="0" w:line="248" w:lineRule="exact"/>
        <w:rPr>
          <w:rFonts w:ascii="Arial" w:cs="Arial" w:eastAsia="Arial" w:hAnsi="Arial"/>
          <w:sz w:val="16"/>
          <w:szCs w:val="16"/>
          <w:color w:val="auto"/>
        </w:rPr>
      </w:pPr>
    </w:p>
    <w:p>
      <w:pPr>
        <w:ind w:left="340" w:firstLine="964"/>
        <w:spacing w:after="0" w:line="277" w:lineRule="auto"/>
        <w:tabs>
          <w:tab w:leader="none" w:pos="199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Obligations, or any other amendment or waiver of or any consent to departure from the Indenture;</w:t>
      </w:r>
    </w:p>
    <w:p>
      <w:pPr>
        <w:spacing w:after="0" w:line="170" w:lineRule="exact"/>
        <w:rPr>
          <w:rFonts w:ascii="Arial" w:cs="Arial" w:eastAsia="Arial" w:hAnsi="Arial"/>
          <w:sz w:val="18"/>
          <w:szCs w:val="18"/>
          <w:color w:val="auto"/>
        </w:rPr>
      </w:pPr>
    </w:p>
    <w:p>
      <w:pPr>
        <w:ind w:left="340" w:firstLine="964"/>
        <w:spacing w:after="0" w:line="277" w:lineRule="auto"/>
        <w:tabs>
          <w:tab w:leader="none" w:pos="187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exchange, release or non-perfection of any collateral, or any release or amendment or waiver of or consent to departure from any other guaranty, for all or any of the Obligations;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p>
      <w:pPr>
        <w:ind w:left="1840" w:hanging="536"/>
        <w:spacing w:after="0"/>
        <w:tabs>
          <w:tab w:leader="none" w:pos="18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any other circumstance which might otherwise constitute a defense available to, or a discharge of, the Issuer or a guarantor.</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Subordination</w:t>
      </w:r>
      <w:r>
        <w:rPr>
          <w:rFonts w:ascii="Arial" w:cs="Arial" w:eastAsia="Arial" w:hAnsi="Arial"/>
          <w:sz w:val="18"/>
          <w:szCs w:val="18"/>
          <w:color w:val="auto"/>
        </w:rPr>
        <w:t xml:space="preserve">. The Guarantor covenants and agrees that its obligation to make payments of the Obligations hereunder constitutes an unsecured obligation of the Guarantor ranking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existing and future senior indebtedness of the Guarantor and (b) senior in right of payment to all existing and future subordinated indebtedness of the Guarantor.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Waiver; Subrogation</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3" w:lineRule="auto"/>
        <w:tabs>
          <w:tab w:leader="none" w:pos="182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83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No Waiver, Remedies</w:t>
      </w:r>
      <w:r>
        <w:rPr>
          <w:rFonts w:ascii="Arial" w:cs="Arial" w:eastAsia="Arial" w:hAnsi="Arial"/>
          <w:sz w:val="16"/>
          <w:szCs w:val="16"/>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4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Continuing Guarantee; Transfer of Interest</w:t>
      </w:r>
      <w:r>
        <w:rPr>
          <w:rFonts w:ascii="Arial" w:cs="Arial" w:eastAsia="Arial" w:hAnsi="Arial"/>
          <w:sz w:val="17"/>
          <w:szCs w:val="17"/>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the Fifth Amended and Restated Revolving Credit Agreement dated as of November 7, 2019 by and among the Issuer, Waste Management of Canada Corporation, WM Quebec Inc., the Guarantor (as guarantor), certain banks party thereto, and Bank of America, N.A., as administrative agent (or under any replacement or new principal credit facility of the Issuer) of the guarantee of the Guarantor thereunder, (ii) be binding upon the Guarantor, its successors and assigns, and (iii) inure to the benefit of and be enforceable by any holder of Debt Securities, the Trustee, and by their respective successors, transferees, and assigns.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Reinstatement</w:t>
      </w:r>
      <w:r>
        <w:rPr>
          <w:rFonts w:ascii="Arial" w:cs="Arial" w:eastAsia="Arial" w:hAnsi="Arial"/>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jc w:val="both"/>
        <w:ind w:firstLine="648"/>
        <w:spacing w:after="0" w:line="263"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Amendment</w:t>
      </w:r>
      <w:r>
        <w:rPr>
          <w:rFonts w:ascii="Arial" w:cs="Arial" w:eastAsia="Arial" w:hAnsi="Arial"/>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ind w:firstLine="648"/>
        <w:spacing w:after="0" w:line="277" w:lineRule="auto"/>
        <w:rPr>
          <w:sz w:val="20"/>
          <w:szCs w:val="20"/>
          <w:color w:val="auto"/>
        </w:rPr>
      </w:pPr>
      <w:r>
        <w:rPr>
          <w:rFonts w:ascii="Arial" w:cs="Arial" w:eastAsia="Arial" w:hAnsi="Arial"/>
          <w:sz w:val="18"/>
          <w:szCs w:val="18"/>
          <w:color w:val="auto"/>
        </w:rPr>
        <w:t>IN WITNESS WHEREOF, the Guarantor has caused this Guarantee to be duly executed and delivered by its officer thereunto duly authorized as of the date first above written.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WASTE MANAGEMENT HOLDINGS,INC.</w:t>
      </w:r>
    </w:p>
    <w:p>
      <w:pPr>
        <w:spacing w:after="0" w:line="200" w:lineRule="exact"/>
        <w:rPr>
          <w:sz w:val="20"/>
          <w:szCs w:val="20"/>
          <w:color w:val="auto"/>
        </w:rPr>
      </w:pPr>
    </w:p>
    <w:p>
      <w:pPr>
        <w:spacing w:after="0" w:line="25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6350</wp:posOffset>
            </wp:positionV>
            <wp:extent cx="327469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L. Reed</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4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6350</wp:posOffset>
            </wp:positionV>
            <wp:extent cx="327469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Jeff Bennett</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Assistant Treasurer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Guarantee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(2.00% Senior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1" w:name="page82"/>
    <w:bookmarkEnd w:id="81"/>
    <w:p>
      <w:pPr>
        <w:jc w:val="right"/>
        <w:spacing w:after="0"/>
        <w:rPr>
          <w:sz w:val="20"/>
          <w:szCs w:val="20"/>
          <w:color w:val="auto"/>
        </w:rPr>
      </w:pPr>
      <w:r>
        <w:rPr>
          <w:rFonts w:ascii="Arial" w:cs="Arial" w:eastAsia="Arial" w:hAnsi="Arial"/>
          <w:sz w:val="22"/>
          <w:szCs w:val="22"/>
          <w:b w:val="1"/>
          <w:bCs w:val="1"/>
          <w:color w:val="auto"/>
        </w:rPr>
        <w:t>Exhibit 4.7</w:t>
      </w:r>
    </w:p>
    <w:p>
      <w:pPr>
        <w:spacing w:after="0" w:line="24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GUARANTEE</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BY WASTE MANAGEMENT HOLDINGS, INC.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(formerly known as Waste Management, Inc.)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in Favor of The Bank of New York Mellon Trust Company, N.A., as Trustee for the Holders</w:t>
      </w:r>
    </w:p>
    <w:p>
      <w:pPr>
        <w:spacing w:after="0" w:line="46"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of Certain Debt Securities of</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$475,000,000</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2.95% Senior Notes due 2041</w:t>
      </w:r>
    </w:p>
    <w:p>
      <w:pPr>
        <w:spacing w:after="0" w:line="21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May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82" w:name="page83"/>
    <w:bookmarkEnd w:id="82"/>
    <w:p>
      <w:pPr>
        <w:jc w:val="both"/>
        <w:ind w:firstLine="648"/>
        <w:spacing w:after="0" w:line="259" w:lineRule="auto"/>
        <w:rPr>
          <w:sz w:val="20"/>
          <w:szCs w:val="20"/>
          <w:color w:val="auto"/>
        </w:rPr>
      </w:pPr>
      <w:r>
        <w:rPr>
          <w:rFonts w:ascii="Arial" w:cs="Arial" w:eastAsia="Arial" w:hAnsi="Arial"/>
          <w:sz w:val="18"/>
          <w:szCs w:val="18"/>
          <w:color w:val="auto"/>
        </w:rPr>
        <w:t>GUARANTEE, dated as of May 12, 2021 (as amended from time to time, this “Guarantee”), made by Waste Management Holdings, Inc. (formerly known as Waste Management, Inc.), a Delaware corporation (the “Guarantor”), in favor of The Bank of New York Mellon Trust Company, N.A., as trustee for the holders of the $475 million aggregate principal amount of 2.95% Senior Notes due 2041 (the “Debt Securities”) of Waste Management, Inc. (formerly known as USA Waste Services, Inc.), a Delaware corporation (the “Issuer”).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Guarantee</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5" w:lineRule="auto"/>
        <w:tabs>
          <w:tab w:leader="none" w:pos="208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92" w:lineRule="exact"/>
        <w:rPr>
          <w:rFonts w:ascii="Arial" w:cs="Arial" w:eastAsia="Arial" w:hAnsi="Arial"/>
          <w:sz w:val="18"/>
          <w:szCs w:val="18"/>
          <w:color w:val="auto"/>
        </w:rPr>
      </w:pPr>
    </w:p>
    <w:p>
      <w:pPr>
        <w:jc w:val="both"/>
        <w:ind w:firstLine="1304"/>
        <w:spacing w:after="0" w:line="254" w:lineRule="auto"/>
        <w:tabs>
          <w:tab w:leader="none" w:pos="188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Guarantee Absolute</w:t>
      </w:r>
      <w:r>
        <w:rPr>
          <w:rFonts w:ascii="Arial" w:cs="Arial" w:eastAsia="Arial" w:hAnsi="Arial"/>
          <w:sz w:val="17"/>
          <w:szCs w:val="17"/>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65" w:lineRule="exact"/>
        <w:rPr>
          <w:sz w:val="20"/>
          <w:szCs w:val="20"/>
          <w:color w:val="auto"/>
        </w:rPr>
      </w:pPr>
    </w:p>
    <w:p>
      <w:pPr>
        <w:ind w:left="2360" w:hanging="1056"/>
        <w:spacing w:after="0"/>
        <w:tabs>
          <w:tab w:leader="none" w:pos="23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any lack of validity or enforceability of the Indenture, the Debt Securities or any other agreement or instrument relating</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ind w:left="340" w:firstLine="964"/>
        <w:spacing w:after="0" w:line="277" w:lineRule="auto"/>
        <w:tabs>
          <w:tab w:leader="none" w:pos="191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Obligations, or any other amendment or waiver of or any consent to departure from the Indenture;</w:t>
      </w:r>
    </w:p>
    <w:p>
      <w:pPr>
        <w:spacing w:after="0" w:line="170" w:lineRule="exact"/>
        <w:rPr>
          <w:rFonts w:ascii="Arial" w:cs="Arial" w:eastAsia="Arial" w:hAnsi="Arial"/>
          <w:sz w:val="18"/>
          <w:szCs w:val="18"/>
          <w:color w:val="auto"/>
        </w:rPr>
      </w:pPr>
    </w:p>
    <w:p>
      <w:pPr>
        <w:ind w:left="340" w:firstLine="964"/>
        <w:spacing w:after="0" w:line="277" w:lineRule="auto"/>
        <w:tabs>
          <w:tab w:leader="none" w:pos="221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exchange, release or non-perfection of any collateral, or any release or amendment or waiver of or consent to departure from any other guaranty, for all or any of the Obligations;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p>
      <w:pPr>
        <w:ind w:left="2100" w:hanging="796"/>
        <w:spacing w:after="0"/>
        <w:tabs>
          <w:tab w:leader="none" w:pos="21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any other circumstance which might otherwise constitute a defense available to, or a discharge of, the Issuer or a guarantor.</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Subordination</w:t>
      </w:r>
      <w:r>
        <w:rPr>
          <w:rFonts w:ascii="Arial" w:cs="Arial" w:eastAsia="Arial" w:hAnsi="Arial"/>
          <w:sz w:val="18"/>
          <w:szCs w:val="18"/>
          <w:color w:val="auto"/>
        </w:rPr>
        <w:t xml:space="preserve">. The Guarantor covenants and agrees that its obligation to make payments of the Obligations hereunder constitutes an unsecured obligation of the Guarantor ranking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existing and future senior indebtedness of the Guarantor and (b) senior in right of payment to all existing and future subordinated indebtedness of the Guarantor.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Waiver; Subrogation</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3" w:lineRule="auto"/>
        <w:tabs>
          <w:tab w:leader="none" w:pos="218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207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No Waiver, Remedies</w:t>
      </w:r>
      <w:r>
        <w:rPr>
          <w:rFonts w:ascii="Arial" w:cs="Arial" w:eastAsia="Arial" w:hAnsi="Arial"/>
          <w:sz w:val="16"/>
          <w:szCs w:val="16"/>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4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Continuing Guarantee; Transfer of Interest</w:t>
      </w:r>
      <w:r>
        <w:rPr>
          <w:rFonts w:ascii="Arial" w:cs="Arial" w:eastAsia="Arial" w:hAnsi="Arial"/>
          <w:sz w:val="17"/>
          <w:szCs w:val="17"/>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the Fifth Amended and Restated Revolving Credit Agreement dated as of November 7, 2019 by and among the Issuer, Waste Management of Canada Corporation, WM Quebec Inc., the Guarantor (as guarantor), certain banks party thereto, and Bank of America, N.A., as administrative agent (or under any replacement or new principal credit facility of the Issuer) of the guarantee of the Guarantor thereunder, (ii) be binding upon the Guarantor, its successors and assigns, and (iii) inure to the benefit of and be enforceable by any holder of Debt Securities, the Trustee, and by their respective successors, transferees, and assigns.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Reinstatement</w:t>
      </w:r>
      <w:r>
        <w:rPr>
          <w:rFonts w:ascii="Arial" w:cs="Arial" w:eastAsia="Arial" w:hAnsi="Arial"/>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jc w:val="both"/>
        <w:ind w:firstLine="648"/>
        <w:spacing w:after="0" w:line="263"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Amendment</w:t>
      </w:r>
      <w:r>
        <w:rPr>
          <w:rFonts w:ascii="Arial" w:cs="Arial" w:eastAsia="Arial" w:hAnsi="Arial"/>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ind w:firstLine="648"/>
        <w:spacing w:after="0" w:line="277" w:lineRule="auto"/>
        <w:rPr>
          <w:sz w:val="20"/>
          <w:szCs w:val="20"/>
          <w:color w:val="auto"/>
        </w:rPr>
      </w:pPr>
      <w:r>
        <w:rPr>
          <w:rFonts w:ascii="Arial" w:cs="Arial" w:eastAsia="Arial" w:hAnsi="Arial"/>
          <w:sz w:val="18"/>
          <w:szCs w:val="18"/>
          <w:color w:val="auto"/>
        </w:rPr>
        <w:t>IN WITNESS WHEREOF, the Guarantor has caused this Guarantee to be duly executed and delivered by its officer thereunto duly authorized as of the date first above written.</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WASTE MANAGEMENT HOLDINGS, INC.</w:t>
      </w:r>
    </w:p>
    <w:p>
      <w:pPr>
        <w:spacing w:after="0" w:line="25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David L. Reed</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and Treasurer</w:t>
      </w:r>
    </w:p>
    <w:p>
      <w:pPr>
        <w:spacing w:after="0" w:line="23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Jeff Bennett</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Assistant Treasurer</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Guarantee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(2.95% Senior Notes due 2041)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6" w:name="page87"/>
    <w:bookmarkEnd w:id="86"/>
    <w:tbl>
      <w:tblPr>
        <w:tblLayout w:type="fixed"/>
        <w:tblInd w:w="5640" w:type="dxa"/>
        <w:tblCellMar>
          <w:top w:w="0" w:type="dxa"/>
          <w:left w:w="0" w:type="dxa"/>
          <w:bottom w:w="0" w:type="dxa"/>
          <w:right w:w="0" w:type="dxa"/>
        </w:tblCellMar>
      </w:tblPr>
      <w:tr>
        <w:trPr>
          <w:trHeight w:val="281"/>
        </w:trPr>
        <w:tc>
          <w:tcPr>
            <w:tcW w:w="18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20" w:type="dxa"/>
            <w:vAlign w:val="bottom"/>
          </w:tcPr>
          <w:p>
            <w:pPr>
              <w:ind w:left="1020"/>
              <w:spacing w:after="0"/>
              <w:rPr>
                <w:sz w:val="20"/>
                <w:szCs w:val="20"/>
                <w:color w:val="auto"/>
              </w:rPr>
            </w:pPr>
            <w:r>
              <w:rPr>
                <w:rFonts w:ascii="Arial" w:cs="Arial" w:eastAsia="Arial" w:hAnsi="Arial"/>
                <w:sz w:val="22"/>
                <w:szCs w:val="22"/>
                <w:b w:val="1"/>
                <w:bCs w:val="1"/>
                <w:color w:val="auto"/>
                <w:w w:val="89"/>
              </w:rPr>
              <w:t>Exhibit 5.1</w:t>
            </w:r>
          </w:p>
        </w:tc>
      </w:tr>
      <w:tr>
        <w:trPr>
          <w:trHeight w:val="435"/>
        </w:trPr>
        <w:tc>
          <w:tcPr>
            <w:tcW w:w="1820" w:type="dxa"/>
            <w:vAlign w:val="bottom"/>
          </w:tcPr>
          <w:p>
            <w:pPr>
              <w:spacing w:after="0"/>
              <w:rPr>
                <w:sz w:val="20"/>
                <w:szCs w:val="20"/>
                <w:color w:val="auto"/>
              </w:rPr>
            </w:pPr>
            <w:r>
              <w:rPr>
                <w:rFonts w:ascii="Arial" w:cs="Arial" w:eastAsia="Arial" w:hAnsi="Arial"/>
                <w:sz w:val="18"/>
                <w:szCs w:val="18"/>
                <w:color w:val="auto"/>
              </w:rPr>
              <w:t>910 LOUISIANA</w:t>
            </w:r>
          </w:p>
        </w:tc>
        <w:tc>
          <w:tcPr>
            <w:tcW w:w="1760" w:type="dxa"/>
            <w:vAlign w:val="bottom"/>
          </w:tcPr>
          <w:p>
            <w:pPr>
              <w:ind w:left="200"/>
              <w:spacing w:after="0"/>
              <w:rPr>
                <w:sz w:val="20"/>
                <w:szCs w:val="20"/>
                <w:color w:val="auto"/>
              </w:rPr>
            </w:pPr>
            <w:r>
              <w:rPr>
                <w:rFonts w:ascii="Arial" w:cs="Arial" w:eastAsia="Arial" w:hAnsi="Arial"/>
                <w:sz w:val="18"/>
                <w:szCs w:val="18"/>
                <w:color w:val="auto"/>
              </w:rPr>
              <w:t>AUSTIN</w:t>
            </w:r>
          </w:p>
        </w:tc>
        <w:tc>
          <w:tcPr>
            <w:tcW w:w="2020" w:type="dxa"/>
            <w:vAlign w:val="bottom"/>
          </w:tcPr>
          <w:p>
            <w:pPr>
              <w:ind w:left="460"/>
              <w:spacing w:after="0"/>
              <w:rPr>
                <w:sz w:val="20"/>
                <w:szCs w:val="20"/>
                <w:color w:val="auto"/>
              </w:rPr>
            </w:pPr>
            <w:r>
              <w:rPr>
                <w:rFonts w:ascii="Arial" w:cs="Arial" w:eastAsia="Arial" w:hAnsi="Arial"/>
                <w:sz w:val="18"/>
                <w:szCs w:val="18"/>
                <w:color w:val="auto"/>
              </w:rPr>
              <w:t>MOSCOW</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HOUSTON, TEXAS</w:t>
            </w:r>
          </w:p>
        </w:tc>
        <w:tc>
          <w:tcPr>
            <w:tcW w:w="1760" w:type="dxa"/>
            <w:vAlign w:val="bottom"/>
          </w:tcPr>
          <w:p>
            <w:pPr>
              <w:ind w:left="200"/>
              <w:spacing w:after="0"/>
              <w:rPr>
                <w:sz w:val="20"/>
                <w:szCs w:val="20"/>
                <w:color w:val="auto"/>
              </w:rPr>
            </w:pPr>
            <w:r>
              <w:rPr>
                <w:rFonts w:ascii="Arial" w:cs="Arial" w:eastAsia="Arial" w:hAnsi="Arial"/>
                <w:sz w:val="18"/>
                <w:szCs w:val="18"/>
                <w:color w:val="auto"/>
              </w:rPr>
              <w:t>BRUSSELS</w:t>
            </w:r>
          </w:p>
        </w:tc>
        <w:tc>
          <w:tcPr>
            <w:tcW w:w="2020" w:type="dxa"/>
            <w:vAlign w:val="bottom"/>
          </w:tcPr>
          <w:p>
            <w:pPr>
              <w:ind w:left="460"/>
              <w:spacing w:after="0"/>
              <w:rPr>
                <w:sz w:val="20"/>
                <w:szCs w:val="20"/>
                <w:color w:val="auto"/>
              </w:rPr>
            </w:pPr>
            <w:r>
              <w:rPr>
                <w:rFonts w:ascii="Arial" w:cs="Arial" w:eastAsia="Arial" w:hAnsi="Arial"/>
                <w:sz w:val="18"/>
                <w:szCs w:val="18"/>
                <w:color w:val="auto"/>
              </w:rPr>
              <w:t>NEW YORK</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77002-4995</w:t>
            </w:r>
          </w:p>
        </w:tc>
        <w:tc>
          <w:tcPr>
            <w:tcW w:w="1760" w:type="dxa"/>
            <w:vAlign w:val="bottom"/>
          </w:tcPr>
          <w:p>
            <w:pPr>
              <w:ind w:left="200"/>
              <w:spacing w:after="0"/>
              <w:rPr>
                <w:sz w:val="20"/>
                <w:szCs w:val="20"/>
                <w:color w:val="auto"/>
              </w:rPr>
            </w:pPr>
            <w:r>
              <w:rPr>
                <w:rFonts w:ascii="Arial" w:cs="Arial" w:eastAsia="Arial" w:hAnsi="Arial"/>
                <w:sz w:val="18"/>
                <w:szCs w:val="18"/>
                <w:color w:val="auto"/>
              </w:rPr>
              <w:t>DALLAS</w:t>
            </w:r>
          </w:p>
        </w:tc>
        <w:tc>
          <w:tcPr>
            <w:tcW w:w="2020" w:type="dxa"/>
            <w:vAlign w:val="bottom"/>
          </w:tcPr>
          <w:p>
            <w:pPr>
              <w:ind w:left="460"/>
              <w:spacing w:after="0"/>
              <w:rPr>
                <w:sz w:val="20"/>
                <w:szCs w:val="20"/>
                <w:color w:val="auto"/>
              </w:rPr>
            </w:pPr>
            <w:r>
              <w:rPr>
                <w:rFonts w:ascii="Arial" w:cs="Arial" w:eastAsia="Arial" w:hAnsi="Arial"/>
                <w:sz w:val="18"/>
                <w:szCs w:val="18"/>
                <w:color w:val="auto"/>
              </w:rPr>
              <w:t>PALO ALTO</w:t>
            </w:r>
          </w:p>
        </w:tc>
      </w:tr>
      <w:tr>
        <w:trPr>
          <w:trHeight w:val="216"/>
        </w:trPr>
        <w:tc>
          <w:tcPr>
            <w:tcW w:w="1820" w:type="dxa"/>
            <w:vAlign w:val="bottom"/>
          </w:tcPr>
          <w:p>
            <w:pPr>
              <w:spacing w:after="0"/>
              <w:rPr>
                <w:sz w:val="18"/>
                <w:szCs w:val="18"/>
                <w:color w:val="auto"/>
              </w:rPr>
            </w:pPr>
          </w:p>
        </w:tc>
        <w:tc>
          <w:tcPr>
            <w:tcW w:w="1760" w:type="dxa"/>
            <w:vAlign w:val="bottom"/>
          </w:tcPr>
          <w:p>
            <w:pPr>
              <w:ind w:left="200"/>
              <w:spacing w:after="0"/>
              <w:rPr>
                <w:sz w:val="20"/>
                <w:szCs w:val="20"/>
                <w:color w:val="auto"/>
              </w:rPr>
            </w:pPr>
            <w:r>
              <w:rPr>
                <w:rFonts w:ascii="Arial" w:cs="Arial" w:eastAsia="Arial" w:hAnsi="Arial"/>
                <w:sz w:val="18"/>
                <w:szCs w:val="18"/>
                <w:color w:val="auto"/>
              </w:rPr>
              <w:t>DUBAI</w:t>
            </w:r>
          </w:p>
        </w:tc>
        <w:tc>
          <w:tcPr>
            <w:tcW w:w="2020" w:type="dxa"/>
            <w:vAlign w:val="bottom"/>
          </w:tcPr>
          <w:p>
            <w:pPr>
              <w:ind w:left="460"/>
              <w:spacing w:after="0"/>
              <w:rPr>
                <w:sz w:val="20"/>
                <w:szCs w:val="20"/>
                <w:color w:val="auto"/>
              </w:rPr>
            </w:pPr>
            <w:r>
              <w:rPr>
                <w:rFonts w:ascii="Arial" w:cs="Arial" w:eastAsia="Arial" w:hAnsi="Arial"/>
                <w:sz w:val="18"/>
                <w:szCs w:val="18"/>
                <w:color w:val="auto"/>
              </w:rPr>
              <w:t>RIYADH</w:t>
            </w:r>
          </w:p>
        </w:tc>
      </w:tr>
      <w:tr>
        <w:trPr>
          <w:trHeight w:val="212"/>
        </w:trPr>
        <w:tc>
          <w:tcPr>
            <w:tcW w:w="1820" w:type="dxa"/>
            <w:vAlign w:val="bottom"/>
          </w:tcPr>
          <w:p>
            <w:pPr>
              <w:spacing w:after="0"/>
              <w:rPr>
                <w:sz w:val="20"/>
                <w:szCs w:val="20"/>
                <w:color w:val="auto"/>
              </w:rPr>
            </w:pPr>
            <w:r>
              <w:rPr>
                <w:rFonts w:ascii="Arial" w:cs="Arial" w:eastAsia="Arial" w:hAnsi="Arial"/>
                <w:sz w:val="18"/>
                <w:szCs w:val="18"/>
                <w:color w:val="auto"/>
              </w:rPr>
              <w:t>TEL +1 713.229.1234</w:t>
            </w:r>
          </w:p>
        </w:tc>
        <w:tc>
          <w:tcPr>
            <w:tcW w:w="1760" w:type="dxa"/>
            <w:vAlign w:val="bottom"/>
          </w:tcPr>
          <w:p>
            <w:pPr>
              <w:ind w:left="200"/>
              <w:spacing w:after="0"/>
              <w:rPr>
                <w:sz w:val="20"/>
                <w:szCs w:val="20"/>
                <w:color w:val="auto"/>
              </w:rPr>
            </w:pPr>
            <w:r>
              <w:rPr>
                <w:rFonts w:ascii="Arial" w:cs="Arial" w:eastAsia="Arial" w:hAnsi="Arial"/>
                <w:sz w:val="18"/>
                <w:szCs w:val="18"/>
                <w:color w:val="auto"/>
              </w:rPr>
              <w:t>HONG KONG</w:t>
            </w:r>
          </w:p>
        </w:tc>
        <w:tc>
          <w:tcPr>
            <w:tcW w:w="2020" w:type="dxa"/>
            <w:vAlign w:val="bottom"/>
          </w:tcPr>
          <w:p>
            <w:pPr>
              <w:ind w:left="460"/>
              <w:spacing w:after="0"/>
              <w:rPr>
                <w:sz w:val="20"/>
                <w:szCs w:val="20"/>
                <w:color w:val="auto"/>
              </w:rPr>
            </w:pPr>
            <w:r>
              <w:rPr>
                <w:rFonts w:ascii="Arial" w:cs="Arial" w:eastAsia="Arial" w:hAnsi="Arial"/>
                <w:sz w:val="18"/>
                <w:szCs w:val="18"/>
                <w:color w:val="auto"/>
              </w:rPr>
              <w:t>SAN FRANCISCO</w:t>
            </w:r>
          </w:p>
        </w:tc>
      </w:tr>
      <w:tr>
        <w:trPr>
          <w:trHeight w:val="220"/>
        </w:trPr>
        <w:tc>
          <w:tcPr>
            <w:tcW w:w="1820" w:type="dxa"/>
            <w:vAlign w:val="bottom"/>
          </w:tcPr>
          <w:p>
            <w:pPr>
              <w:spacing w:after="0"/>
              <w:rPr>
                <w:sz w:val="20"/>
                <w:szCs w:val="20"/>
                <w:color w:val="auto"/>
              </w:rPr>
            </w:pPr>
            <w:r>
              <w:rPr>
                <w:rFonts w:ascii="Arial" w:cs="Arial" w:eastAsia="Arial" w:hAnsi="Arial"/>
                <w:sz w:val="18"/>
                <w:szCs w:val="18"/>
                <w:color w:val="auto"/>
              </w:rPr>
              <w:t>FAX +1 713.229.1522</w:t>
            </w:r>
          </w:p>
        </w:tc>
        <w:tc>
          <w:tcPr>
            <w:tcW w:w="1760" w:type="dxa"/>
            <w:vAlign w:val="bottom"/>
          </w:tcPr>
          <w:p>
            <w:pPr>
              <w:ind w:left="200"/>
              <w:spacing w:after="0"/>
              <w:rPr>
                <w:sz w:val="20"/>
                <w:szCs w:val="20"/>
                <w:color w:val="auto"/>
              </w:rPr>
            </w:pPr>
            <w:r>
              <w:rPr>
                <w:rFonts w:ascii="Arial" w:cs="Arial" w:eastAsia="Arial" w:hAnsi="Arial"/>
                <w:sz w:val="18"/>
                <w:szCs w:val="18"/>
                <w:b w:val="1"/>
                <w:bCs w:val="1"/>
                <w:color w:val="auto"/>
              </w:rPr>
              <w:t>HOUSTON</w:t>
            </w:r>
          </w:p>
        </w:tc>
        <w:tc>
          <w:tcPr>
            <w:tcW w:w="2020" w:type="dxa"/>
            <w:vAlign w:val="bottom"/>
          </w:tcPr>
          <w:p>
            <w:pPr>
              <w:ind w:left="460"/>
              <w:spacing w:after="0"/>
              <w:rPr>
                <w:sz w:val="20"/>
                <w:szCs w:val="20"/>
                <w:color w:val="auto"/>
              </w:rPr>
            </w:pPr>
            <w:r>
              <w:rPr>
                <w:rFonts w:ascii="Arial" w:cs="Arial" w:eastAsia="Arial" w:hAnsi="Arial"/>
                <w:sz w:val="18"/>
                <w:szCs w:val="18"/>
                <w:color w:val="auto"/>
              </w:rPr>
              <w:t>WASHINGTON</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BakerBotts.com</w:t>
            </w:r>
          </w:p>
        </w:tc>
        <w:tc>
          <w:tcPr>
            <w:tcW w:w="1760" w:type="dxa"/>
            <w:vAlign w:val="bottom"/>
          </w:tcPr>
          <w:p>
            <w:pPr>
              <w:ind w:left="200"/>
              <w:spacing w:after="0"/>
              <w:rPr>
                <w:sz w:val="20"/>
                <w:szCs w:val="20"/>
                <w:color w:val="auto"/>
              </w:rPr>
            </w:pPr>
            <w:r>
              <w:rPr>
                <w:rFonts w:ascii="Arial" w:cs="Arial" w:eastAsia="Arial" w:hAnsi="Arial"/>
                <w:sz w:val="18"/>
                <w:szCs w:val="18"/>
                <w:color w:val="auto"/>
              </w:rPr>
              <w:t>LONDON</w:t>
            </w:r>
          </w:p>
        </w:tc>
        <w:tc>
          <w:tcPr>
            <w:tcW w:w="20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-616585</wp:posOffset>
            </wp:positionV>
            <wp:extent cx="1731645" cy="2317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731645" cy="23177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May 4,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800 Capitol Street, Suite 3000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Waste Management, Inc., a Delaware corporation (the “Company”), and Waste Management Holdings, Inc., a Delaware corporation (“Holdings”), have engaged us to render the opinions expressed below in connection with the Company’s proposed issuance of $475,000,000 aggregate principal amount of its 2.00% Senior Notes due 2029 and $475,000,000 aggregate principal amount of its 2.95% Senior Notes due 2041 (collectively, the “Notes”) and the issuance of the related guarantees of the Notes by Holdings (the “Guarantees”), as contemplated by the Registration Statement on Form S-3 (Registration No. 333-231027) (the “Registration Statement”), filed with the Securities and Exchange Commission (the “Commission”) under the Securities Act of 1933, as amended (the “Act”), relating to the offering of securities of the Company and of Holdings from time to time pursuant to Rule 415 under the Act.</w:t>
      </w:r>
    </w:p>
    <w:p>
      <w:pPr>
        <w:spacing w:after="0" w:line="19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Registration Statement has been filed with the Commission and became effective upon filing. The Company’s prospectus dated April 25, 2019 and prospectus supplement dated April 28, 2021 relating to the Notes (collectively, the “Prospectus”) have been filed with the Commission pursuant to Rule 424(b) under the Act.</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The Company and Holdings entered into an Underwriting Agreement (the “Underwriting Agreement”), dated April 28, 2021, with Credit Suisse Securities (USA) LLC, Goldman Sachs &amp; Co. LLC and Wells Fargo Securities, LLC, as representatives of the underwriters named therein (the “Underwriters”), relating to the issuance and sale by the Company to the Underwriters of the Notes to be issued pursuant to an Indenture (the “Indenture”) dated as of September 10, 1997 between the Company, formerly known as USA Waste Services, Inc., and The Bank of New York Mellon Trust Company, N.A., as the current successor to Texas Commerce Bank National Association,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Waste Management, Inc.</w:t>
            </w:r>
          </w:p>
        </w:tc>
        <w:tc>
          <w:tcPr>
            <w:tcW w:w="408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Waste Management Holdings, Inc.</w:t>
            </w:r>
          </w:p>
        </w:tc>
        <w:tc>
          <w:tcPr>
            <w:tcW w:w="4080" w:type="dxa"/>
            <w:vAlign w:val="bottom"/>
          </w:tcPr>
          <w:p>
            <w:pPr>
              <w:jc w:val="right"/>
              <w:ind w:right="2190"/>
              <w:spacing w:after="0"/>
              <w:rPr>
                <w:sz w:val="20"/>
                <w:szCs w:val="20"/>
                <w:color w:val="auto"/>
              </w:rPr>
            </w:pPr>
            <w:r>
              <w:rPr>
                <w:rFonts w:ascii="Arial" w:cs="Arial" w:eastAsia="Arial" w:hAnsi="Arial"/>
                <w:sz w:val="18"/>
                <w:szCs w:val="18"/>
                <w:color w:val="auto"/>
              </w:rPr>
              <w:t>- 2 -</w:t>
            </w:r>
          </w:p>
        </w:tc>
        <w:tc>
          <w:tcPr>
            <w:tcW w:w="3180" w:type="dxa"/>
            <w:vAlign w:val="bottom"/>
          </w:tcPr>
          <w:p>
            <w:pPr>
              <w:ind w:left="2260"/>
              <w:spacing w:after="0"/>
              <w:rPr>
                <w:sz w:val="20"/>
                <w:szCs w:val="20"/>
                <w:color w:val="auto"/>
              </w:rPr>
            </w:pPr>
            <w:r>
              <w:rPr>
                <w:rFonts w:ascii="Arial" w:cs="Arial" w:eastAsia="Arial" w:hAnsi="Arial"/>
                <w:sz w:val="18"/>
                <w:szCs w:val="18"/>
                <w:color w:val="auto"/>
                <w:w w:val="90"/>
              </w:rPr>
              <w:t>May 4, 2021</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156970" cy="162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1156970" cy="1625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In our capacity as counsel to the Company and Holdings in connection with the matters referred to above, we have examined the following: (i) the Third Restated Certificate of Incorporation and the Amended and Restated Bylaws of the Company, each as amended to date; (ii) the Third Restated Certificate of Incorporation and the Amended and Restated Bylaws of Holdings, each as amended to date; (iii) the Indenture; (iv) the Officers’ Certificates to be delivered pursuant to Section 301 of the Indenture; (v) the Guarantees to be entered into by Holdings in favor of the holders of the Notes concurrently with the issuance of the Notes under the Indenture (the “Guarantee Agreements”); (vi) the Underwriting Agreement; (vii) the Registration Statement and the Prospectus; and (viii) originals, or copies certified or otherwise identified, of corporate records of the Company and Holdings, certificates of public officials and of representatives of the Company and Holdings, statutes and other instruments and documents as we have deemed necessary or advisable as a basis for the opinions hereinafter expressed. In giving the opinions below, we have relied, with your consent and without independent investigation or verification, to the extent we deemed appropriate, upon certificates, statements or other representations of officers or other representatives of the Company and Holdings and of governmental and public officials with respect to the accuracy and completeness of the factual matters contained in or covered by such certificates, statements or representations. In making our examination, we have assumed, with your consent and without independent investigation or verification, the legal capacity and competency of all natural persons, that all signatures on documents examined by us are genuine, all documents submitted to us as originals are authentic and complete and all documents submitted to us as copies are true and correct copies of the originals of such documents.</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In connection with this opinion, we have assumed that the Notes will be issued and sold in compliance with applicable federal and state securities laws and in the manner stated in the Registration Statement and the Prospectus.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 the basis of the foregoing, and subject to the assumptions, limitations and qualifications set forth herein, we are of the opinion that</w:t>
      </w:r>
    </w:p>
    <w:p>
      <w:pPr>
        <w:spacing w:after="0" w:line="23" w:lineRule="exact"/>
        <w:rPr>
          <w:sz w:val="20"/>
          <w:szCs w:val="20"/>
          <w:color w:val="auto"/>
        </w:rPr>
      </w:pPr>
    </w:p>
    <w:p>
      <w:pPr>
        <w:jc w:val="both"/>
        <w:ind w:firstLine="8"/>
        <w:spacing w:after="0" w:line="285" w:lineRule="auto"/>
        <w:tabs>
          <w:tab w:leader="none" w:pos="22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Notes will, when they have been duly authorized, executed, authenticated, issued and delivered in accordance with the provisions of the Indenture and duly purchased and paid for in accordance with the terms of the Underwriting Agreement, constitute legal, valid and binding obligations of the Company, enforceable against it in accordance with their terms, except to the extent that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and (ii) the Guarantees will, when Holdings has duly authorized, executed and delivered the Guarantee Agreements and the Notes have been duly authorized, executed, authenticated, issued and delivered in accordance with the provisions of the Indenture and duly purchased and paid for in accordance with the terms of the Underwriting Agreement, constitute legal, valid and binding obligations of Holdings, enforceable against it in accordance with their terms, except to the extent that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and except for provisions purporting to waive rights to notice, legal defenses, statutes of limitation or other benefits that cannot be waived under applicable law.</w:t>
      </w:r>
    </w:p>
    <w:p>
      <w:pPr>
        <w:spacing w:after="0" w:line="172"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The opinions set forth above are limited in all respects to matters of the General Corporation Law of the State of Delaware and the contract law of the State of New York, each as currently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Waste Management, Inc.</w:t>
            </w:r>
          </w:p>
        </w:tc>
        <w:tc>
          <w:tcPr>
            <w:tcW w:w="408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Waste Management Holdings, Inc.</w:t>
            </w:r>
          </w:p>
        </w:tc>
        <w:tc>
          <w:tcPr>
            <w:tcW w:w="4080" w:type="dxa"/>
            <w:vAlign w:val="bottom"/>
          </w:tcPr>
          <w:p>
            <w:pPr>
              <w:jc w:val="right"/>
              <w:ind w:right="2190"/>
              <w:spacing w:after="0"/>
              <w:rPr>
                <w:sz w:val="20"/>
                <w:szCs w:val="20"/>
                <w:color w:val="auto"/>
              </w:rPr>
            </w:pPr>
            <w:r>
              <w:rPr>
                <w:rFonts w:ascii="Arial" w:cs="Arial" w:eastAsia="Arial" w:hAnsi="Arial"/>
                <w:sz w:val="18"/>
                <w:szCs w:val="18"/>
                <w:color w:val="auto"/>
              </w:rPr>
              <w:t>- 3 -</w:t>
            </w:r>
          </w:p>
        </w:tc>
        <w:tc>
          <w:tcPr>
            <w:tcW w:w="3180" w:type="dxa"/>
            <w:vAlign w:val="bottom"/>
          </w:tcPr>
          <w:p>
            <w:pPr>
              <w:ind w:left="2260"/>
              <w:spacing w:after="0"/>
              <w:rPr>
                <w:sz w:val="20"/>
                <w:szCs w:val="20"/>
                <w:color w:val="auto"/>
              </w:rPr>
            </w:pPr>
            <w:r>
              <w:rPr>
                <w:rFonts w:ascii="Arial" w:cs="Arial" w:eastAsia="Arial" w:hAnsi="Arial"/>
                <w:sz w:val="18"/>
                <w:szCs w:val="18"/>
                <w:color w:val="auto"/>
                <w:w w:val="90"/>
              </w:rPr>
              <w:t>May 4, 2021</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156970" cy="162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1156970" cy="1625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We hereby consent to the filing of this opinion of counsel as Exhibit 5.1 to the Current Report on Form 8-K and to the incorporation by reference of this opinion of counsel into the Registration Statement. We also consent to the reference to our Firm under the heading “Legal Matters” in the Prospectus. In giving this consent, we do not thereby admit that we are in the category of persons whose consent is required under Section 7 of the Act and the rules and regulations of the Commission thereunder.</w:t>
      </w:r>
    </w:p>
    <w:p>
      <w:pPr>
        <w:spacing w:after="0" w:line="1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Baker Botts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7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1)"/>
      <w:numFmt w:val="lowerLetter"/>
      <w:start w:val="4"/>
    </w:lvl>
  </w:abstractNum>
  <w:abstractNum w:abstractNumId="2">
    <w:nsid w:val="180115BE"/>
    <w:multiLevelType w:val="hybridMultilevel"/>
    <w:lvl w:ilvl="0">
      <w:lvlJc w:val="left"/>
      <w:lvlText w:val="%1."/>
      <w:numFmt w:val="decimal"/>
      <w:start w:val="1"/>
    </w:lvl>
    <w:lvl w:ilvl="1">
      <w:lvlJc w:val="left"/>
      <w:lvlText w:val="(%2)"/>
      <w:numFmt w:val="lowerLetter"/>
      <w:start w:val="1"/>
    </w:lvl>
  </w:abstractNum>
  <w:abstractNum w:abstractNumId="3">
    <w:nsid w:val="235BA861"/>
    <w:multiLevelType w:val="hybridMultilevel"/>
    <w:lvl w:ilvl="0">
      <w:lvlJc w:val="left"/>
      <w:lvlText w:val="%1"/>
      <w:numFmt w:val="lowerLetter"/>
      <w:start w:val="1"/>
    </w:lvl>
    <w:lvl w:ilvl="1">
      <w:lvlJc w:val="left"/>
      <w:lvlText w:val="(%2)"/>
      <w:numFmt w:val="lowerLetter"/>
      <w:start w:val="3"/>
    </w:lvl>
  </w:abstractNum>
  <w:abstractNum w:abstractNumId="4">
    <w:nsid w:val="47398C89"/>
    <w:multiLevelType w:val="hybridMultilevel"/>
    <w:lvl w:ilvl="0">
      <w:lvlJc w:val="left"/>
      <w:lvlText w:val="(%1)"/>
      <w:numFmt w:val="lowerLetter"/>
      <w:start w:val="35"/>
    </w:lvl>
    <w:lvl w:ilvl="1">
      <w:lvlJc w:val="left"/>
      <w:lvlText w:val="%2"/>
      <w:numFmt w:val="lowerLetter"/>
      <w:start w:val="1"/>
    </w:lvl>
  </w:abstractNum>
  <w:abstractNum w:abstractNumId="5">
    <w:nsid w:val="354FE9F9"/>
    <w:multiLevelType w:val="hybridMultilevel"/>
    <w:lvl w:ilvl="0">
      <w:lvlJc w:val="left"/>
      <w:lvlText w:val="(%1)"/>
      <w:numFmt w:val="lowerLetter"/>
      <w:start w:val="5"/>
    </w:lvl>
  </w:abstractNum>
  <w:abstractNum w:abstractNumId="6">
    <w:nsid w:val="15B5AF5C"/>
    <w:multiLevelType w:val="hybridMultilevel"/>
    <w:lvl w:ilvl="0">
      <w:lvlJc w:val="left"/>
      <w:lvlText w:val="(%1)"/>
      <w:numFmt w:val="lowerLetter"/>
      <w:start w:val="9"/>
    </w:lvl>
  </w:abstractNum>
  <w:abstractNum w:abstractNumId="7">
    <w:nsid w:val="741226BB"/>
    <w:multiLevelType w:val="hybridMultilevel"/>
    <w:lvl w:ilvl="0">
      <w:lvlJc w:val="left"/>
      <w:lvlText w:val="(%1)"/>
      <w:numFmt w:val="lowerLetter"/>
      <w:start w:val="14"/>
    </w:lvl>
  </w:abstractNum>
  <w:abstractNum w:abstractNumId="8">
    <w:nsid w:val="D34B6A8"/>
    <w:multiLevelType w:val="hybridMultilevel"/>
    <w:lvl w:ilvl="0">
      <w:lvlJc w:val="left"/>
      <w:lvlText w:val="(%1)"/>
      <w:numFmt w:val="lowerLetter"/>
      <w:start w:val="17"/>
    </w:lvl>
  </w:abstractNum>
  <w:abstractNum w:abstractNumId="9">
    <w:nsid w:val="10233C99"/>
    <w:multiLevelType w:val="hybridMultilevel"/>
    <w:lvl w:ilvl="0">
      <w:lvlJc w:val="left"/>
      <w:lvlText w:val="(%1)"/>
      <w:numFmt w:val="lowerLetter"/>
      <w:start w:val="23"/>
    </w:lvl>
  </w:abstractNum>
  <w:abstractNum w:abstractNumId="10">
    <w:nsid w:val="3F6AB60F"/>
    <w:multiLevelType w:val="hybridMultilevel"/>
    <w:lvl w:ilvl="0">
      <w:lvlJc w:val="left"/>
      <w:lvlText w:val="%1"/>
      <w:numFmt w:val="lowerRoman"/>
      <w:start w:val="1"/>
    </w:lvl>
    <w:lvl w:ilvl="1">
      <w:lvlJc w:val="left"/>
      <w:lvlText w:val="(%2)"/>
      <w:numFmt w:val="lowerLetter"/>
      <w:start w:val="27"/>
    </w:lvl>
  </w:abstractNum>
  <w:abstractNum w:abstractNumId="11">
    <w:nsid w:val="61574095"/>
    <w:multiLevelType w:val="hybridMultilevel"/>
    <w:lvl w:ilvl="0">
      <w:lvlJc w:val="left"/>
      <w:lvlText w:val="(%1)"/>
      <w:numFmt w:val="lowerRoman"/>
      <w:start w:val="4"/>
    </w:lvl>
    <w:lvl w:ilvl="1">
      <w:lvlJc w:val="left"/>
      <w:lvlText w:val="%2"/>
      <w:numFmt w:val="lowerLetter"/>
      <w:start w:val="1"/>
    </w:lvl>
  </w:abstractNum>
  <w:abstractNum w:abstractNumId="12">
    <w:nsid w:val="7E0C57B1"/>
    <w:multiLevelType w:val="hybridMultilevel"/>
    <w:lvl w:ilvl="0">
      <w:lvlJc w:val="left"/>
      <w:lvlText w:val="%1"/>
      <w:numFmt w:val="lowerRoman"/>
      <w:start w:val="1"/>
    </w:lvl>
    <w:lvl w:ilvl="1">
      <w:lvlJc w:val="left"/>
      <w:lvlText w:val="(%2)"/>
      <w:numFmt w:val="lowerLetter"/>
      <w:start w:val="28"/>
    </w:lvl>
  </w:abstractNum>
  <w:abstractNum w:abstractNumId="13">
    <w:nsid w:val="77AE35EB"/>
    <w:multiLevelType w:val="hybridMultilevel"/>
    <w:lvl w:ilvl="0">
      <w:lvlJc w:val="left"/>
      <w:lvlText w:val="(%1)"/>
      <w:numFmt w:val="lowerRoman"/>
      <w:start w:val="4"/>
    </w:lvl>
    <w:lvl w:ilvl="1">
      <w:lvlJc w:val="left"/>
      <w:lvlText w:val="(%2)"/>
      <w:numFmt w:val="lowerLetter"/>
      <w:start w:val="31"/>
    </w:lvl>
  </w:abstractNum>
  <w:abstractNum w:abstractNumId="14">
    <w:nsid w:val="579BE4F1"/>
    <w:multiLevelType w:val="hybridMultilevel"/>
    <w:lvl w:ilvl="0">
      <w:lvlJc w:val="left"/>
      <w:lvlText w:val="(%1)"/>
      <w:numFmt w:val="lowerLetter"/>
      <w:start w:val="32"/>
    </w:lvl>
  </w:abstractNum>
  <w:abstractNum w:abstractNumId="15">
    <w:nsid w:val="310C50B3"/>
    <w:multiLevelType w:val="hybridMultilevel"/>
    <w:lvl w:ilvl="0">
      <w:lvlJc w:val="left"/>
      <w:lvlText w:val="(%1)"/>
      <w:numFmt w:val="lowerLetter"/>
      <w:start w:val="36"/>
    </w:lvl>
  </w:abstractNum>
  <w:abstractNum w:abstractNumId="16">
    <w:nsid w:val="5FF87E05"/>
    <w:multiLevelType w:val="hybridMultilevel"/>
    <w:lvl w:ilvl="0">
      <w:lvlJc w:val="left"/>
      <w:lvlText w:val="%1"/>
      <w:numFmt w:val="lowerLetter"/>
      <w:start w:val="1"/>
    </w:lvl>
    <w:lvl w:ilvl="1">
      <w:lvlJc w:val="left"/>
      <w:lvlText w:val="(%2)"/>
      <w:numFmt w:val="lowerLetter"/>
      <w:start w:val="40"/>
    </w:lvl>
  </w:abstractNum>
  <w:abstractNum w:abstractNumId="17">
    <w:nsid w:val="2F305DEF"/>
    <w:multiLevelType w:val="hybridMultilevel"/>
    <w:lvl w:ilvl="0">
      <w:lvlJc w:val="left"/>
      <w:lvlText w:val="(%1)"/>
      <w:numFmt w:val="lowerLetter"/>
      <w:start w:val="35"/>
    </w:lvl>
    <w:lvl w:ilvl="1">
      <w:lvlJc w:val="left"/>
      <w:lvlText w:val="%2"/>
      <w:numFmt w:val="lowerLetter"/>
      <w:start w:val="1"/>
    </w:lvl>
  </w:abstractNum>
  <w:abstractNum w:abstractNumId="18">
    <w:nsid w:val="25A70BF7"/>
    <w:multiLevelType w:val="hybridMultilevel"/>
    <w:lvl w:ilvl="0">
      <w:lvlJc w:val="left"/>
      <w:lvlText w:val="(%1)"/>
      <w:numFmt w:val="lowerLetter"/>
      <w:start w:val="45"/>
    </w:lvl>
  </w:abstractNum>
  <w:abstractNum w:abstractNumId="19">
    <w:nsid w:val="1DBABF00"/>
    <w:multiLevelType w:val="hybridMultilevel"/>
    <w:lvl w:ilvl="0">
      <w:lvlJc w:val="left"/>
      <w:lvlText w:val="%1."/>
      <w:numFmt w:val="decimal"/>
      <w:start w:val="2"/>
    </w:lvl>
  </w:abstractNum>
  <w:abstractNum w:abstractNumId="20">
    <w:nsid w:val="4AD084E9"/>
    <w:multiLevelType w:val="hybridMultilevel"/>
    <w:lvl w:ilvl="0">
      <w:lvlJc w:val="left"/>
      <w:lvlText w:val="%1."/>
      <w:numFmt w:val="decimal"/>
      <w:start w:val="3"/>
    </w:lvl>
    <w:lvl w:ilvl="1">
      <w:lvlJc w:val="left"/>
      <w:lvlText w:val="(%2)"/>
      <w:numFmt w:val="lowerLetter"/>
      <w:start w:val="1"/>
    </w:lvl>
  </w:abstractNum>
  <w:abstractNum w:abstractNumId="21">
    <w:nsid w:val="1F48EAA1"/>
    <w:multiLevelType w:val="hybridMultilevel"/>
    <w:lvl w:ilvl="0">
      <w:lvlJc w:val="left"/>
      <w:lvlText w:val="%1"/>
      <w:numFmt w:val="lowerRoman"/>
      <w:start w:val="1"/>
    </w:lvl>
    <w:lvl w:ilvl="1">
      <w:lvlJc w:val="left"/>
      <w:lvlText w:val="(%2)"/>
      <w:numFmt w:val="lowerLetter"/>
      <w:start w:val="3"/>
    </w:lvl>
  </w:abstractNum>
  <w:abstractNum w:abstractNumId="22">
    <w:nsid w:val="1381823A"/>
    <w:multiLevelType w:val="hybridMultilevel"/>
    <w:lvl w:ilvl="0">
      <w:lvlJc w:val="left"/>
      <w:lvlText w:val="(%1)"/>
      <w:numFmt w:val="lowerRoman"/>
      <w:start w:val="6"/>
    </w:lvl>
    <w:lvl w:ilvl="1">
      <w:lvlJc w:val="left"/>
      <w:lvlText w:val="(%2)"/>
      <w:numFmt w:val="lowerLetter"/>
      <w:start w:val="4"/>
    </w:lvl>
  </w:abstractNum>
  <w:abstractNum w:abstractNumId="23">
    <w:nsid w:val="5DB70AE5"/>
    <w:multiLevelType w:val="hybridMultilevel"/>
    <w:lvl w:ilvl="0">
      <w:lvlJc w:val="left"/>
      <w:lvlText w:val="(%1)"/>
      <w:numFmt w:val="lowerLetter"/>
      <w:start w:val="6"/>
    </w:lvl>
  </w:abstractNum>
  <w:abstractNum w:abstractNumId="24">
    <w:nsid w:val="100F8FCA"/>
    <w:multiLevelType w:val="hybridMultilevel"/>
    <w:lvl w:ilvl="0">
      <w:lvlJc w:val="left"/>
      <w:lvlText w:val="%1"/>
      <w:numFmt w:val="decimal"/>
      <w:start w:val="1"/>
    </w:lvl>
    <w:lvl w:ilvl="1">
      <w:lvlJc w:val="left"/>
      <w:lvlText w:val="(%2)"/>
      <w:numFmt w:val="lowerLetter"/>
      <w:start w:val="11"/>
    </w:lvl>
  </w:abstractNum>
  <w:abstractNum w:abstractNumId="25">
    <w:nsid w:val="6590700B"/>
    <w:multiLevelType w:val="hybridMultilevel"/>
    <w:lvl w:ilvl="0">
      <w:lvlJc w:val="left"/>
      <w:lvlText w:val="%1."/>
      <w:numFmt w:val="decimal"/>
      <w:start w:val="6"/>
    </w:lvl>
    <w:lvl w:ilvl="1">
      <w:lvlJc w:val="left"/>
      <w:lvlText w:val="(%2)"/>
      <w:numFmt w:val="lowerLetter"/>
      <w:start w:val="1"/>
    </w:lvl>
  </w:abstractNum>
  <w:abstractNum w:abstractNumId="26">
    <w:nsid w:val="15014ACB"/>
    <w:multiLevelType w:val="hybridMultilevel"/>
    <w:lvl w:ilvl="0">
      <w:lvlJc w:val="left"/>
      <w:lvlText w:val="(%1)"/>
      <w:numFmt w:val="lowerRoman"/>
      <w:start w:val="1"/>
    </w:lvl>
  </w:abstractNum>
  <w:abstractNum w:abstractNumId="27">
    <w:nsid w:val="5F5E7FD0"/>
    <w:multiLevelType w:val="hybridMultilevel"/>
    <w:lvl w:ilvl="0">
      <w:lvlJc w:val="left"/>
      <w:lvlText w:val="(%1)"/>
      <w:numFmt w:val="lowerRoman"/>
      <w:start w:val="6"/>
    </w:lvl>
  </w:abstractNum>
  <w:abstractNum w:abstractNumId="28">
    <w:nsid w:val="98A3148"/>
    <w:multiLevelType w:val="hybridMultilevel"/>
    <w:lvl w:ilvl="0">
      <w:lvlJc w:val="left"/>
      <w:lvlText w:val="(%1)"/>
      <w:numFmt w:val="lowerLetter"/>
      <w:start w:val="3"/>
    </w:lvl>
  </w:abstractNum>
  <w:abstractNum w:abstractNumId="29">
    <w:nsid w:val="799D0247"/>
    <w:multiLevelType w:val="hybridMultilevel"/>
    <w:lvl w:ilvl="0">
      <w:lvlJc w:val="left"/>
      <w:lvlText w:val="(%1)"/>
      <w:numFmt w:val="lowerRoman"/>
      <w:start w:val="1"/>
    </w:lvl>
  </w:abstractNum>
  <w:abstractNum w:abstractNumId="30">
    <w:nsid w:val="6B94764"/>
    <w:multiLevelType w:val="hybridMultilevel"/>
    <w:lvl w:ilvl="0">
      <w:lvlJc w:val="left"/>
      <w:lvlText w:val="(%1)"/>
      <w:numFmt w:val="lowerLetter"/>
      <w:start w:val="4"/>
    </w:lvl>
    <w:lvl w:ilvl="1">
      <w:lvlJc w:val="left"/>
      <w:lvlText w:val="(%2)"/>
      <w:numFmt w:val="lowerRoman"/>
      <w:start w:val="1"/>
    </w:lvl>
  </w:abstractNum>
  <w:abstractNum w:abstractNumId="31">
    <w:nsid w:val="42C296BD"/>
    <w:multiLevelType w:val="hybridMultilevel"/>
    <w:lvl w:ilvl="0">
      <w:lvlJc w:val="left"/>
      <w:lvlText w:val="(%1)"/>
      <w:numFmt w:val="lowerLetter"/>
      <w:start w:val="6"/>
    </w:lvl>
    <w:lvl w:ilvl="1">
      <w:lvlJc w:val="left"/>
      <w:lvlText w:val="(%2)"/>
      <w:numFmt w:val="lowerRoman"/>
      <w:start w:val="1"/>
    </w:lvl>
  </w:abstractNum>
  <w:abstractNum w:abstractNumId="32">
    <w:nsid w:val="168E121F"/>
    <w:multiLevelType w:val="hybridMultilevel"/>
    <w:lvl w:ilvl="0">
      <w:lvlJc w:val="left"/>
      <w:lvlText w:val="(%1)"/>
      <w:numFmt w:val="lowerLetter"/>
      <w:start w:val="7"/>
    </w:lvl>
  </w:abstractNum>
  <w:abstractNum w:abstractNumId="33">
    <w:nsid w:val="1EBA5D23"/>
    <w:multiLevelType w:val="hybridMultilevel"/>
    <w:lvl w:ilvl="0">
      <w:lvlJc w:val="left"/>
      <w:lvlText w:val="%1."/>
      <w:numFmt w:val="decimal"/>
      <w:start w:val="8"/>
    </w:lvl>
  </w:abstractNum>
  <w:abstractNum w:abstractNumId="34">
    <w:nsid w:val="661E3F1E"/>
    <w:multiLevelType w:val="hybridMultilevel"/>
    <w:lvl w:ilvl="0">
      <w:lvlJc w:val="left"/>
      <w:lvlText w:val="%1"/>
      <w:numFmt w:val="lowerLetter"/>
      <w:start w:val="1"/>
    </w:lvl>
    <w:lvl w:ilvl="1">
      <w:lvlJc w:val="left"/>
      <w:lvlText w:val="(%2)"/>
      <w:numFmt w:val="lowerLetter"/>
      <w:start w:val="2"/>
    </w:lvl>
  </w:abstractNum>
  <w:abstractNum w:abstractNumId="35">
    <w:nsid w:val="5DC79EA8"/>
    <w:multiLevelType w:val="hybridMultilevel"/>
    <w:lvl w:ilvl="0">
      <w:lvlJc w:val="left"/>
      <w:lvlText w:val="(%1)"/>
      <w:numFmt w:val="lowerLetter"/>
      <w:start w:val="2"/>
    </w:lvl>
    <w:lvl w:ilvl="1">
      <w:lvlJc w:val="left"/>
      <w:lvlText w:val="%2"/>
      <w:numFmt w:val="lowerLetter"/>
      <w:start w:val="1"/>
    </w:lvl>
  </w:abstractNum>
  <w:abstractNum w:abstractNumId="36">
    <w:nsid w:val="540A471C"/>
    <w:multiLevelType w:val="hybridMultilevel"/>
    <w:lvl w:ilvl="0">
      <w:lvlJc w:val="left"/>
      <w:lvlText w:val="%1"/>
      <w:numFmt w:val="decimal"/>
      <w:start w:val="1"/>
    </w:lvl>
    <w:lvl w:ilvl="1">
      <w:lvlJc w:val="left"/>
      <w:lvlText w:val="(%2)"/>
      <w:numFmt w:val="lowerLetter"/>
      <w:start w:val="4"/>
    </w:lvl>
  </w:abstractNum>
  <w:abstractNum w:abstractNumId="37">
    <w:nsid w:val="7BD3EE7B"/>
    <w:multiLevelType w:val="hybridMultilevel"/>
    <w:lvl w:ilvl="0">
      <w:lvlJc w:val="left"/>
      <w:lvlText w:val="%1."/>
      <w:numFmt w:val="decimal"/>
      <w:start w:val="10"/>
    </w:lvl>
    <w:lvl w:ilvl="1">
      <w:lvlJc w:val="left"/>
      <w:lvlText w:val="%2"/>
      <w:numFmt w:val="lowerLetter"/>
      <w:start w:val="1"/>
    </w:lvl>
  </w:abstractNum>
  <w:abstractNum w:abstractNumId="38">
    <w:nsid w:val="51D9C564"/>
    <w:multiLevelType w:val="hybridMultilevel"/>
    <w:lvl w:ilvl="0">
      <w:lvlJc w:val="left"/>
      <w:lvlText w:val="%1"/>
      <w:numFmt w:val="lowerRoman"/>
      <w:start w:val="1"/>
    </w:lvl>
    <w:lvl w:ilvl="1">
      <w:lvlJc w:val="left"/>
      <w:lvlText w:val="%2."/>
      <w:numFmt w:val="decimal"/>
      <w:start w:val="11"/>
    </w:lvl>
  </w:abstractNum>
  <w:abstractNum w:abstractNumId="39">
    <w:nsid w:val="613EFDC5"/>
    <w:multiLevelType w:val="hybridMultilevel"/>
    <w:lvl w:ilvl="0">
      <w:lvlJc w:val="left"/>
      <w:lvlText w:val="(%1)"/>
      <w:numFmt w:val="lowerRoman"/>
      <w:start w:val="4"/>
    </w:lvl>
    <w:lvl w:ilvl="1">
      <w:lvlJc w:val="left"/>
      <w:lvlText w:val="%2."/>
      <w:numFmt w:val="decimal"/>
      <w:start w:val="12"/>
    </w:lvl>
  </w:abstractNum>
  <w:abstractNum w:abstractNumId="40">
    <w:nsid w:val="BF72B14"/>
    <w:multiLevelType w:val="hybridMultilevel"/>
    <w:lvl w:ilvl="0">
      <w:lvlJc w:val="left"/>
      <w:lvlText w:val="%1."/>
      <w:numFmt w:val="decimal"/>
      <w:start w:val="15"/>
    </w:lvl>
    <w:lvl w:ilvl="1">
      <w:lvlJc w:val="left"/>
      <w:lvlText w:val="(%2)"/>
      <w:numFmt w:val="lowerLetter"/>
      <w:start w:val="1"/>
    </w:lvl>
  </w:abstractNum>
  <w:abstractNum w:abstractNumId="41">
    <w:nsid w:val="11447B73"/>
    <w:multiLevelType w:val="hybridMultilevel"/>
    <w:lvl w:ilvl="0">
      <w:lvlJc w:val="left"/>
      <w:lvlText w:val="(%1)"/>
      <w:numFmt w:val="lowerRoman"/>
      <w:start w:val="1"/>
    </w:lvl>
  </w:abstractNum>
  <w:abstractNum w:abstractNumId="42">
    <w:nsid w:val="42963E5A"/>
    <w:multiLevelType w:val="hybridMultilevel"/>
    <w:lvl w:ilvl="0">
      <w:lvlJc w:val="left"/>
      <w:lvlText w:val="(%1)"/>
      <w:numFmt w:val="upperLetter"/>
      <w:start w:val="2"/>
    </w:lvl>
  </w:abstractNum>
  <w:abstractNum w:abstractNumId="43">
    <w:nsid w:val="A0382C5"/>
    <w:multiLevelType w:val="hybridMultilevel"/>
    <w:lvl w:ilvl="0">
      <w:lvlJc w:val="left"/>
      <w:lvlText w:val="%1."/>
      <w:numFmt w:val="decimal"/>
      <w:start w:val="17"/>
    </w:lvl>
  </w:abstractNum>
  <w:abstractNum w:abstractNumId="44">
    <w:nsid w:val="8F2B15E"/>
    <w:multiLevelType w:val="hybridMultilevel"/>
    <w:lvl w:ilvl="0">
      <w:lvlJc w:val="left"/>
      <w:lvlText w:val="%1."/>
      <w:numFmt w:val="decimal"/>
      <w:start w:val="20"/>
    </w:lvl>
  </w:abstractNum>
  <w:abstractNum w:abstractNumId="45">
    <w:nsid w:val="1A32234B"/>
    <w:multiLevelType w:val="hybridMultilevel"/>
    <w:lvl w:ilvl="0">
      <w:lvlJc w:val="left"/>
      <w:lvlText w:val="*"/>
      <w:numFmt w:val="bullet"/>
      <w:start w:val="1"/>
    </w:lvl>
  </w:abstractNum>
  <w:abstractNum w:abstractNumId="46">
    <w:nsid w:val="3B0FD379"/>
    <w:multiLevelType w:val="hybridMultilevel"/>
    <w:lvl w:ilvl="0">
      <w:lvlJc w:val="left"/>
      <w:lvlText w:val="**"/>
      <w:numFmt w:val="bullet"/>
      <w:start w:val="1"/>
    </w:lvl>
  </w:abstractNum>
  <w:abstractNum w:abstractNumId="47">
    <w:nsid w:val="68EB2F63"/>
    <w:multiLevelType w:val="hybridMultilevel"/>
    <w:lvl w:ilvl="0">
      <w:lvlJc w:val="left"/>
      <w:lvlText w:val="%1."/>
      <w:numFmt w:val="decimal"/>
      <w:start w:val="1"/>
    </w:lvl>
  </w:abstractNum>
  <w:abstractNum w:abstractNumId="48">
    <w:nsid w:val="4962813B"/>
    <w:multiLevelType w:val="hybridMultilevel"/>
    <w:lvl w:ilvl="0">
      <w:lvlJc w:val="left"/>
      <w:lvlText w:val="%1."/>
      <w:numFmt w:val="decimal"/>
      <w:start w:val="1"/>
    </w:lvl>
  </w:abstractNum>
  <w:abstractNum w:abstractNumId="49">
    <w:nsid w:val="60B6DF70"/>
    <w:multiLevelType w:val="hybridMultilevel"/>
    <w:lvl w:ilvl="0">
      <w:lvlJc w:val="left"/>
      <w:lvlText w:val="(%1)"/>
      <w:numFmt w:val="decimal"/>
      <w:start w:val="1"/>
    </w:lvl>
  </w:abstractNum>
  <w:abstractNum w:abstractNumId="50">
    <w:nsid w:val="6A5EE64"/>
    <w:multiLevelType w:val="hybridMultilevel"/>
    <w:lvl w:ilvl="0">
      <w:lvlJc w:val="left"/>
      <w:lvlText w:val="(%1)"/>
      <w:numFmt w:val="decimal"/>
      <w:start w:val="9"/>
    </w:lvl>
  </w:abstractNum>
  <w:abstractNum w:abstractNumId="51">
    <w:nsid w:val="14330624"/>
    <w:multiLevelType w:val="hybridMultilevel"/>
    <w:lvl w:ilvl="0">
      <w:lvlJc w:val="left"/>
      <w:lvlText w:val="(%1)"/>
      <w:numFmt w:val="decimal"/>
      <w:start w:val="10"/>
    </w:lvl>
  </w:abstractNum>
  <w:abstractNum w:abstractNumId="52">
    <w:nsid w:val="7FFFCA11"/>
    <w:multiLevelType w:val="hybridMultilevel"/>
    <w:lvl w:ilvl="0">
      <w:lvlJc w:val="left"/>
      <w:lvlText w:val="%1."/>
      <w:numFmt w:val="decimal"/>
      <w:start w:val="1"/>
    </w:lvl>
  </w:abstractNum>
  <w:abstractNum w:abstractNumId="53">
    <w:nsid w:val="1A27709E"/>
    <w:multiLevelType w:val="hybridMultilevel"/>
    <w:lvl w:ilvl="0">
      <w:lvlJc w:val="left"/>
      <w:lvlText w:val="%1."/>
      <w:numFmt w:val="decimal"/>
      <w:start w:val="2"/>
    </w:lvl>
  </w:abstractNum>
  <w:abstractNum w:abstractNumId="54">
    <w:nsid w:val="71EA1109"/>
    <w:multiLevelType w:val="hybridMultilevel"/>
    <w:lvl w:ilvl="0">
      <w:lvlJc w:val="left"/>
      <w:lvlText w:val="%1."/>
      <w:numFmt w:val="decimal"/>
      <w:start w:val="3"/>
    </w:lvl>
  </w:abstractNum>
  <w:abstractNum w:abstractNumId="55">
    <w:nsid w:val="100F59DC"/>
    <w:multiLevelType w:val="hybridMultilevel"/>
    <w:lvl w:ilvl="0">
      <w:lvlJc w:val="left"/>
      <w:lvlText w:val="%1."/>
      <w:numFmt w:val="decimal"/>
      <w:start w:val="4"/>
    </w:lvl>
  </w:abstractNum>
  <w:abstractNum w:abstractNumId="56">
    <w:nsid w:val="7FB7E0AA"/>
    <w:multiLevelType w:val="hybridMultilevel"/>
    <w:lvl w:ilvl="0">
      <w:lvlJc w:val="left"/>
      <w:lvlText w:val="%1."/>
      <w:numFmt w:val="decimal"/>
      <w:start w:val="5"/>
    </w:lvl>
  </w:abstractNum>
  <w:abstractNum w:abstractNumId="57">
    <w:nsid w:val="6EB5BD4"/>
    <w:multiLevelType w:val="hybridMultilevel"/>
    <w:lvl w:ilvl="0">
      <w:lvlJc w:val="left"/>
      <w:lvlText w:val="(%1)"/>
      <w:numFmt w:val="lowerRoman"/>
      <w:start w:val="2"/>
    </w:lvl>
  </w:abstractNum>
  <w:abstractNum w:abstractNumId="58">
    <w:nsid w:val="6F6DD9AC"/>
    <w:multiLevelType w:val="hybridMultilevel"/>
    <w:lvl w:ilvl="0">
      <w:lvlJc w:val="left"/>
      <w:lvlText w:val="%1."/>
      <w:numFmt w:val="decimal"/>
      <w:start w:val="6"/>
    </w:lvl>
  </w:abstractNum>
  <w:abstractNum w:abstractNumId="59">
    <w:nsid w:val="94211F2"/>
    <w:multiLevelType w:val="hybridMultilevel"/>
    <w:lvl w:ilvl="0">
      <w:lvlJc w:val="left"/>
      <w:lvlText w:val="·"/>
      <w:numFmt w:val="bullet"/>
      <w:start w:val="1"/>
    </w:lvl>
  </w:abstractNum>
  <w:abstractNum w:abstractNumId="60">
    <w:nsid w:val="885E1B"/>
    <w:multiLevelType w:val="hybridMultilevel"/>
    <w:lvl w:ilvl="0">
      <w:lvlJc w:val="left"/>
      <w:lvlText w:val="·"/>
      <w:numFmt w:val="bullet"/>
      <w:start w:val="1"/>
    </w:lvl>
  </w:abstractNum>
  <w:abstractNum w:abstractNumId="61">
    <w:nsid w:val="76272110"/>
    <w:multiLevelType w:val="hybridMultilevel"/>
    <w:lvl w:ilvl="0">
      <w:lvlJc w:val="left"/>
      <w:lvlText w:val="%1."/>
      <w:numFmt w:val="decimal"/>
      <w:start w:val="7"/>
    </w:lvl>
  </w:abstractNum>
  <w:abstractNum w:abstractNumId="62">
    <w:nsid w:val="4C04A8AF"/>
    <w:multiLevelType w:val="hybridMultilevel"/>
    <w:lvl w:ilvl="0">
      <w:lvlJc w:val="left"/>
      <w:lvlText w:val="%1."/>
      <w:numFmt w:val="decimal"/>
      <w:start w:val="8"/>
    </w:lvl>
  </w:abstractNum>
  <w:abstractNum w:abstractNumId="63">
    <w:nsid w:val="1716703B"/>
    <w:multiLevelType w:val="hybridMultilevel"/>
    <w:lvl w:ilvl="0">
      <w:lvlJc w:val="left"/>
      <w:lvlText w:val="%1."/>
      <w:numFmt w:val="decimal"/>
      <w:start w:val="9"/>
    </w:lvl>
  </w:abstractNum>
  <w:abstractNum w:abstractNumId="64">
    <w:nsid w:val="14E17E33"/>
    <w:multiLevelType w:val="hybridMultilevel"/>
    <w:lvl w:ilvl="0">
      <w:lvlJc w:val="left"/>
      <w:lvlText w:val="%1."/>
      <w:numFmt w:val="decimal"/>
      <w:start w:val="10"/>
    </w:lvl>
  </w:abstractNum>
  <w:abstractNum w:abstractNumId="65">
    <w:nsid w:val="3222E7CD"/>
    <w:multiLevelType w:val="hybridMultilevel"/>
    <w:lvl w:ilvl="0">
      <w:lvlJc w:val="left"/>
      <w:lvlText w:val="(%1)"/>
      <w:numFmt w:val="upperLetter"/>
      <w:start w:val="2"/>
    </w:lvl>
  </w:abstractNum>
  <w:abstractNum w:abstractNumId="66">
    <w:nsid w:val="74DE0EE3"/>
    <w:multiLevelType w:val="hybridMultilevel"/>
    <w:lvl w:ilvl="0">
      <w:lvlJc w:val="left"/>
      <w:lvlText w:val="%1."/>
      <w:numFmt w:val="decimal"/>
      <w:start w:val="11"/>
    </w:lvl>
  </w:abstractNum>
  <w:abstractNum w:abstractNumId="67">
    <w:nsid w:val="68EBC550"/>
    <w:multiLevelType w:val="hybridMultilevel"/>
    <w:lvl w:ilvl="0">
      <w:lvlJc w:val="left"/>
      <w:lvlText w:val="%1."/>
      <w:numFmt w:val="decimal"/>
      <w:start w:val="12"/>
    </w:lvl>
  </w:abstractNum>
  <w:abstractNum w:abstractNumId="68">
    <w:nsid w:val="2DF6D648"/>
    <w:multiLevelType w:val="hybridMultilevel"/>
    <w:lvl w:ilvl="0">
      <w:lvlJc w:val="left"/>
      <w:lvlText w:val="%1."/>
      <w:numFmt w:val="decimal"/>
      <w:start w:val="13"/>
    </w:lvl>
  </w:abstractNum>
  <w:abstractNum w:abstractNumId="69">
    <w:nsid w:val="46B7D447"/>
    <w:multiLevelType w:val="hybridMultilevel"/>
    <w:lvl w:ilvl="0">
      <w:lvlJc w:val="left"/>
      <w:lvlText w:val="%1."/>
      <w:numFmt w:val="decimal"/>
      <w:start w:val="14"/>
    </w:lvl>
  </w:abstractNum>
  <w:abstractNum w:abstractNumId="70">
    <w:nsid w:val="4A2AC315"/>
    <w:multiLevelType w:val="hybridMultilevel"/>
    <w:lvl w:ilvl="0">
      <w:lvlJc w:val="left"/>
      <w:lvlText w:val="%1."/>
      <w:numFmt w:val="decimal"/>
      <w:start w:val="15"/>
    </w:lvl>
  </w:abstractNum>
  <w:abstractNum w:abstractNumId="71">
    <w:nsid w:val="39EE015C"/>
    <w:multiLevelType w:val="hybridMultilevel"/>
    <w:lvl w:ilvl="0">
      <w:lvlJc w:val="left"/>
      <w:lvlText w:val="%1."/>
      <w:numFmt w:val="decimal"/>
      <w:start w:val="16"/>
    </w:lvl>
  </w:abstractNum>
  <w:abstractNum w:abstractNumId="72">
    <w:nsid w:val="57FC4FBB"/>
    <w:multiLevelType w:val="hybridMultilevel"/>
    <w:lvl w:ilvl="0">
      <w:lvlJc w:val="left"/>
      <w:lvlText w:val="%1."/>
      <w:numFmt w:val="decimal"/>
      <w:start w:val="17"/>
    </w:lvl>
  </w:abstractNum>
  <w:abstractNum w:abstractNumId="73">
    <w:nsid w:val="CC1016F"/>
    <w:multiLevelType w:val="hybridMultilevel"/>
    <w:lvl w:ilvl="0">
      <w:lvlJc w:val="left"/>
      <w:lvlText w:val="%1."/>
      <w:numFmt w:val="decimal"/>
      <w:start w:val="18"/>
    </w:lvl>
  </w:abstractNum>
  <w:abstractNum w:abstractNumId="74">
    <w:nsid w:val="43F18422"/>
    <w:multiLevelType w:val="hybridMultilevel"/>
    <w:lvl w:ilvl="0">
      <w:lvlJc w:val="left"/>
      <w:lvlText w:val="%1."/>
      <w:numFmt w:val="decimal"/>
      <w:start w:val="19"/>
    </w:lvl>
  </w:abstractNum>
  <w:abstractNum w:abstractNumId="75">
    <w:nsid w:val="60EF0119"/>
    <w:multiLevelType w:val="hybridMultilevel"/>
    <w:lvl w:ilvl="0">
      <w:lvlJc w:val="left"/>
      <w:lvlText w:val="%1."/>
      <w:numFmt w:val="decimal"/>
      <w:start w:val="1"/>
    </w:lvl>
  </w:abstractNum>
  <w:abstractNum w:abstractNumId="76">
    <w:nsid w:val="26F324BA"/>
    <w:multiLevelType w:val="hybridMultilevel"/>
    <w:lvl w:ilvl="0">
      <w:lvlJc w:val="left"/>
      <w:lvlText w:val="(%1)"/>
      <w:numFmt w:val="decimal"/>
      <w:start w:val="1"/>
    </w:lvl>
  </w:abstractNum>
  <w:abstractNum w:abstractNumId="77">
    <w:nsid w:val="7F01579B"/>
    <w:multiLevelType w:val="hybridMultilevel"/>
    <w:lvl w:ilvl="0">
      <w:lvlJc w:val="left"/>
      <w:lvlText w:val="(%1)"/>
      <w:numFmt w:val="decimal"/>
      <w:start w:val="8"/>
    </w:lvl>
  </w:abstractNum>
  <w:abstractNum w:abstractNumId="78">
    <w:nsid w:val="49DA307D"/>
    <w:multiLevelType w:val="hybridMultilevel"/>
    <w:lvl w:ilvl="0">
      <w:lvlJc w:val="left"/>
      <w:lvlText w:val="(%1)"/>
      <w:numFmt w:val="decimal"/>
      <w:start w:val="10"/>
    </w:lvl>
  </w:abstractNum>
  <w:abstractNum w:abstractNumId="79">
    <w:nsid w:val="7055A5F5"/>
    <w:multiLevelType w:val="hybridMultilevel"/>
    <w:lvl w:ilvl="0">
      <w:lvlJc w:val="left"/>
      <w:lvlText w:val="%1."/>
      <w:numFmt w:val="decimal"/>
      <w:start w:val="1"/>
    </w:lvl>
  </w:abstractNum>
  <w:abstractNum w:abstractNumId="80">
    <w:nsid w:val="5FB8370B"/>
    <w:multiLevelType w:val="hybridMultilevel"/>
    <w:lvl w:ilvl="0">
      <w:lvlJc w:val="left"/>
      <w:lvlText w:val="%1."/>
      <w:numFmt w:val="decimal"/>
      <w:start w:val="2"/>
    </w:lvl>
  </w:abstractNum>
  <w:abstractNum w:abstractNumId="81">
    <w:nsid w:val="50801EE1"/>
    <w:multiLevelType w:val="hybridMultilevel"/>
    <w:lvl w:ilvl="0">
      <w:lvlJc w:val="left"/>
      <w:lvlText w:val="%1."/>
      <w:numFmt w:val="decimal"/>
      <w:start w:val="3"/>
    </w:lvl>
  </w:abstractNum>
  <w:abstractNum w:abstractNumId="82">
    <w:nsid w:val="488AC1A"/>
    <w:multiLevelType w:val="hybridMultilevel"/>
    <w:lvl w:ilvl="0">
      <w:lvlJc w:val="left"/>
      <w:lvlText w:val="%1."/>
      <w:numFmt w:val="decimal"/>
      <w:start w:val="4"/>
    </w:lvl>
  </w:abstractNum>
  <w:abstractNum w:abstractNumId="83">
    <w:nsid w:val="5FB8011C"/>
    <w:multiLevelType w:val="hybridMultilevel"/>
    <w:lvl w:ilvl="0">
      <w:lvlJc w:val="left"/>
      <w:lvlText w:val="%1."/>
      <w:numFmt w:val="decimal"/>
      <w:start w:val="5"/>
    </w:lvl>
  </w:abstractNum>
  <w:abstractNum w:abstractNumId="84">
    <w:nsid w:val="6AA78F7F"/>
    <w:multiLevelType w:val="hybridMultilevel"/>
    <w:lvl w:ilvl="0">
      <w:lvlJc w:val="left"/>
      <w:lvlText w:val="(%1)"/>
      <w:numFmt w:val="lowerRoman"/>
      <w:start w:val="2"/>
    </w:lvl>
  </w:abstractNum>
  <w:abstractNum w:abstractNumId="85">
    <w:nsid w:val="7672BD23"/>
    <w:multiLevelType w:val="hybridMultilevel"/>
    <w:lvl w:ilvl="0">
      <w:lvlJc w:val="left"/>
      <w:lvlText w:val="%1."/>
      <w:numFmt w:val="decimal"/>
      <w:start w:val="6"/>
    </w:lvl>
  </w:abstractNum>
  <w:abstractNum w:abstractNumId="86">
    <w:nsid w:val="6FC75AF8"/>
    <w:multiLevelType w:val="hybridMultilevel"/>
    <w:lvl w:ilvl="0">
      <w:lvlJc w:val="left"/>
      <w:lvlText w:val="·"/>
      <w:numFmt w:val="bullet"/>
      <w:start w:val="1"/>
    </w:lvl>
  </w:abstractNum>
  <w:abstractNum w:abstractNumId="87">
    <w:nsid w:val="6A5F7029"/>
    <w:multiLevelType w:val="hybridMultilevel"/>
    <w:lvl w:ilvl="0">
      <w:lvlJc w:val="left"/>
      <w:lvlText w:val="·"/>
      <w:numFmt w:val="bullet"/>
      <w:start w:val="1"/>
    </w:lvl>
  </w:abstractNum>
  <w:abstractNum w:abstractNumId="88">
    <w:nsid w:val="7D5E18F8"/>
    <w:multiLevelType w:val="hybridMultilevel"/>
    <w:lvl w:ilvl="0">
      <w:lvlJc w:val="left"/>
      <w:lvlText w:val="%1."/>
      <w:numFmt w:val="decimal"/>
      <w:start w:val="7"/>
    </w:lvl>
  </w:abstractNum>
  <w:abstractNum w:abstractNumId="89">
    <w:nsid w:val="5F3534A4"/>
    <w:multiLevelType w:val="hybridMultilevel"/>
    <w:lvl w:ilvl="0">
      <w:lvlJc w:val="left"/>
      <w:lvlText w:val="%1."/>
      <w:numFmt w:val="decimal"/>
      <w:start w:val="8"/>
    </w:lvl>
  </w:abstractNum>
  <w:abstractNum w:abstractNumId="90">
    <w:nsid w:val="73A1821B"/>
    <w:multiLevelType w:val="hybridMultilevel"/>
    <w:lvl w:ilvl="0">
      <w:lvlJc w:val="left"/>
      <w:lvlText w:val="%1."/>
      <w:numFmt w:val="decimal"/>
      <w:start w:val="9"/>
    </w:lvl>
  </w:abstractNum>
  <w:abstractNum w:abstractNumId="91">
    <w:nsid w:val="7DE67713"/>
    <w:multiLevelType w:val="hybridMultilevel"/>
    <w:lvl w:ilvl="0">
      <w:lvlJc w:val="left"/>
      <w:lvlText w:val="%1."/>
      <w:numFmt w:val="decimal"/>
      <w:start w:val="10"/>
    </w:lvl>
  </w:abstractNum>
  <w:abstractNum w:abstractNumId="92">
    <w:nsid w:val="555C55B5"/>
    <w:multiLevelType w:val="hybridMultilevel"/>
    <w:lvl w:ilvl="0">
      <w:lvlJc w:val="left"/>
      <w:lvlText w:val="(%1)"/>
      <w:numFmt w:val="upperLetter"/>
      <w:start w:val="2"/>
    </w:lvl>
  </w:abstractNum>
  <w:abstractNum w:abstractNumId="93">
    <w:nsid w:val="3FA62ACA"/>
    <w:multiLevelType w:val="hybridMultilevel"/>
    <w:lvl w:ilvl="0">
      <w:lvlJc w:val="left"/>
      <w:lvlText w:val="%1."/>
      <w:numFmt w:val="decimal"/>
      <w:start w:val="11"/>
    </w:lvl>
  </w:abstractNum>
  <w:abstractNum w:abstractNumId="94">
    <w:nsid w:val="14FCE74E"/>
    <w:multiLevelType w:val="hybridMultilevel"/>
    <w:lvl w:ilvl="0">
      <w:lvlJc w:val="left"/>
      <w:lvlText w:val="%1."/>
      <w:numFmt w:val="decimal"/>
      <w:start w:val="12"/>
    </w:lvl>
  </w:abstractNum>
  <w:abstractNum w:abstractNumId="95">
    <w:nsid w:val="6A3DD3E8"/>
    <w:multiLevelType w:val="hybridMultilevel"/>
    <w:lvl w:ilvl="0">
      <w:lvlJc w:val="left"/>
      <w:lvlText w:val="%1."/>
      <w:numFmt w:val="decimal"/>
      <w:start w:val="13"/>
    </w:lvl>
  </w:abstractNum>
  <w:abstractNum w:abstractNumId="96">
    <w:nsid w:val="71C91298"/>
    <w:multiLevelType w:val="hybridMultilevel"/>
    <w:lvl w:ilvl="0">
      <w:lvlJc w:val="left"/>
      <w:lvlText w:val="%1."/>
      <w:numFmt w:val="decimal"/>
      <w:start w:val="14"/>
    </w:lvl>
  </w:abstractNum>
  <w:abstractNum w:abstractNumId="97">
    <w:nsid w:val="9DAF632"/>
    <w:multiLevelType w:val="hybridMultilevel"/>
    <w:lvl w:ilvl="0">
      <w:lvlJc w:val="left"/>
      <w:lvlText w:val="%1."/>
      <w:numFmt w:val="decimal"/>
      <w:start w:val="15"/>
    </w:lvl>
  </w:abstractNum>
  <w:abstractNum w:abstractNumId="98">
    <w:nsid w:val="53299938"/>
    <w:multiLevelType w:val="hybridMultilevel"/>
    <w:lvl w:ilvl="0">
      <w:lvlJc w:val="left"/>
      <w:lvlText w:val="%1."/>
      <w:numFmt w:val="decimal"/>
      <w:start w:val="16"/>
    </w:lvl>
  </w:abstractNum>
  <w:abstractNum w:abstractNumId="99">
    <w:nsid w:val="1FBFE8E0"/>
    <w:multiLevelType w:val="hybridMultilevel"/>
    <w:lvl w:ilvl="0">
      <w:lvlJc w:val="left"/>
      <w:lvlText w:val="%1."/>
      <w:numFmt w:val="decimal"/>
      <w:start w:val="17"/>
    </w:lvl>
  </w:abstractNum>
  <w:abstractNum w:abstractNumId="100">
    <w:nsid w:val="5092CA79"/>
    <w:multiLevelType w:val="hybridMultilevel"/>
    <w:lvl w:ilvl="0">
      <w:lvlJc w:val="left"/>
      <w:lvlText w:val="%1."/>
      <w:numFmt w:val="decimal"/>
      <w:start w:val="18"/>
    </w:lvl>
  </w:abstractNum>
  <w:abstractNum w:abstractNumId="101">
    <w:nsid w:val="1D545C4D"/>
    <w:multiLevelType w:val="hybridMultilevel"/>
    <w:lvl w:ilvl="0">
      <w:lvlJc w:val="left"/>
      <w:lvlText w:val="%1."/>
      <w:numFmt w:val="decimal"/>
      <w:start w:val="19"/>
    </w:lvl>
  </w:abstractNum>
  <w:abstractNum w:abstractNumId="102">
    <w:nsid w:val="59ADEA3D"/>
    <w:multiLevelType w:val="hybridMultilevel"/>
    <w:lvl w:ilvl="0">
      <w:lvlJc w:val="left"/>
      <w:lvlText w:val="(%1)"/>
      <w:numFmt w:val="lowerLetter"/>
      <w:start w:val="1"/>
    </w:lvl>
  </w:abstractNum>
  <w:abstractNum w:abstractNumId="103">
    <w:nsid w:val="288F1A34"/>
    <w:multiLevelType w:val="hybridMultilevel"/>
    <w:lvl w:ilvl="0">
      <w:lvlJc w:val="left"/>
      <w:lvlText w:val="(%1)"/>
      <w:numFmt w:val="lowerRoman"/>
      <w:start w:val="1"/>
    </w:lvl>
  </w:abstractNum>
  <w:abstractNum w:abstractNumId="104">
    <w:nsid w:val="2A155DBC"/>
    <w:multiLevelType w:val="hybridMultilevel"/>
    <w:lvl w:ilvl="0">
      <w:lvlJc w:val="left"/>
      <w:lvlText w:val="(%1)"/>
      <w:numFmt w:val="lowerRoman"/>
      <w:start w:val="4"/>
    </w:lvl>
  </w:abstractNum>
  <w:abstractNum w:abstractNumId="105">
    <w:nsid w:val="1D9F6E5F"/>
    <w:multiLevelType w:val="hybridMultilevel"/>
    <w:lvl w:ilvl="0">
      <w:lvlJc w:val="left"/>
      <w:lvlText w:val="(%1)"/>
      <w:numFmt w:val="lowerLetter"/>
      <w:start w:val="1"/>
    </w:lvl>
  </w:abstractNum>
  <w:abstractNum w:abstractNumId="106">
    <w:nsid w:val="97E1B4E"/>
    <w:multiLevelType w:val="hybridMultilevel"/>
    <w:lvl w:ilvl="0">
      <w:lvlJc w:val="left"/>
      <w:lvlText w:val="(%1)"/>
      <w:numFmt w:val="lowerLetter"/>
      <w:start w:val="1"/>
    </w:lvl>
  </w:abstractNum>
  <w:abstractNum w:abstractNumId="107">
    <w:nsid w:val="51088277"/>
    <w:multiLevelType w:val="hybridMultilevel"/>
    <w:lvl w:ilvl="0">
      <w:lvlJc w:val="left"/>
      <w:lvlText w:val="(%1)"/>
      <w:numFmt w:val="lowerRoman"/>
      <w:start w:val="1"/>
    </w:lvl>
  </w:abstractNum>
  <w:abstractNum w:abstractNumId="108">
    <w:nsid w:val="1CA0C5FA"/>
    <w:multiLevelType w:val="hybridMultilevel"/>
    <w:lvl w:ilvl="0">
      <w:lvlJc w:val="left"/>
      <w:lvlText w:val="(%1)"/>
      <w:numFmt w:val="lowerRoman"/>
      <w:start w:val="2"/>
    </w:lvl>
  </w:abstractNum>
  <w:abstractNum w:abstractNumId="109">
    <w:nsid w:val="53584BCB"/>
    <w:multiLevelType w:val="hybridMultilevel"/>
    <w:lvl w:ilvl="0">
      <w:lvlJc w:val="left"/>
      <w:lvlText w:val="(%1)"/>
      <w:numFmt w:val="lowerRoman"/>
      <w:start w:val="4"/>
    </w:lvl>
  </w:abstractNum>
  <w:abstractNum w:abstractNumId="110">
    <w:nsid w:val="415E286C"/>
    <w:multiLevelType w:val="hybridMultilevel"/>
    <w:lvl w:ilvl="0">
      <w:lvlJc w:val="left"/>
      <w:lvlText w:val="(%1)"/>
      <w:numFmt w:val="lowerLetter"/>
      <w:start w:val="1"/>
    </w:lvl>
  </w:abstractNum>
  <w:abstractNum w:abstractNumId="111">
    <w:nsid w:val="7C58FD0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jpeg"/><Relationship Id="rId114" Type="http://schemas.openxmlformats.org/officeDocument/2006/relationships/image" Target="media/image106.png"/><Relationship Id="rId115" Type="http://schemas.openxmlformats.org/officeDocument/2006/relationships/image" Target="media/image107.jpeg"/><Relationship Id="rId116" Type="http://schemas.openxmlformats.org/officeDocument/2006/relationships/image" Target="media/image108.png"/><Relationship Id="rId117" Type="http://schemas.openxmlformats.org/officeDocument/2006/relationships/image" Target="media/image109.jpeg"/><Relationship Id="rId118" Type="http://schemas.openxmlformats.org/officeDocument/2006/relationships/image" Target="media/image110.png"/><Relationship Id="rId15" Type="http://schemas.openxmlformats.org/officeDocument/2006/relationships/hyperlink" Target="https://www.sec.gov/Archives/edgar/data/823768/0000950129-97-003909-index.html"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2021-05-04T15:23:52Z</dcterms:created>
  <dcterms:modified xsi:type="dcterms:W3CDTF">2021-05-04T15:23:52Z</dcterms:modified>
</cp:coreProperties>
</file>