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333-162059</w:t>
      </w:r>
    </w:p>
    <w:p>
      <w:pPr>
        <w:spacing w:after="0" w:line="145" w:lineRule="exact"/>
        <w:rPr>
          <w:sz w:val="24"/>
          <w:szCs w:val="24"/>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prospectus are not an offer to sell these securities and we are not soliciting an offer to buy these securities in any jurisdiction where the offer or sale is not permitted.</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5, 2012</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22, 2009)</w:t>
      </w:r>
    </w:p>
    <w:p>
      <w:pPr>
        <w:spacing w:after="0" w:line="51" w:lineRule="exact"/>
        <w:rPr>
          <w:sz w:val="24"/>
          <w:szCs w:val="24"/>
          <w:color w:val="auto"/>
        </w:rPr>
      </w:pPr>
    </w:p>
    <w:p>
      <w:pPr>
        <w:ind w:left="5300"/>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2921000</wp:posOffset>
            </wp:positionH>
            <wp:positionV relativeFrom="paragraph">
              <wp:posOffset>255270</wp:posOffset>
            </wp:positionV>
            <wp:extent cx="141478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left="260"/>
        <w:spacing w:after="0"/>
        <w:rPr>
          <w:sz w:val="20"/>
          <w:szCs w:val="20"/>
          <w:color w:val="auto"/>
        </w:rPr>
      </w:pPr>
      <w:r>
        <w:rPr>
          <w:rFonts w:ascii="Arial" w:cs="Arial" w:eastAsia="Arial" w:hAnsi="Arial"/>
          <w:sz w:val="24"/>
          <w:szCs w:val="24"/>
          <w:b w:val="1"/>
          <w:bCs w:val="1"/>
          <w:color w:val="auto"/>
        </w:rPr>
        <w:t>% Senior Notes due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134620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98" w:lineRule="exact"/>
        <w:rPr>
          <w:sz w:val="24"/>
          <w:szCs w:val="24"/>
          <w:color w:val="auto"/>
        </w:rPr>
      </w:pPr>
    </w:p>
    <w:p>
      <w:pPr>
        <w:ind w:left="460"/>
        <w:spacing w:after="0"/>
        <w:tabs>
          <w:tab w:leader="none" w:pos="206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6"/>
          <w:szCs w:val="16"/>
          <w:color w:val="auto"/>
        </w:rPr>
        <w:t>of our</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5"/>
          <w:szCs w:val="15"/>
          <w:color w:val="auto"/>
        </w:rPr>
        <w:t>% senior notes due 2022. Interest on the notes will accrue from</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6"/>
          <w:szCs w:val="16"/>
          <w:color w:val="auto"/>
        </w:rPr>
        <w:t>, 2012 and will be payable 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4"/>
          <w:szCs w:val="14"/>
          <w:color w:val="auto"/>
        </w:rPr>
        <w:t>and</w:t>
      </w:r>
    </w:p>
    <w:p>
      <w:pPr>
        <w:spacing w:after="0" w:line="60" w:lineRule="exact"/>
        <w:rPr>
          <w:sz w:val="24"/>
          <w:szCs w:val="24"/>
          <w:color w:val="auto"/>
        </w:rPr>
      </w:pPr>
    </w:p>
    <w:p>
      <w:pPr>
        <w:sectPr>
          <w:pgSz w:w="11900" w:h="16838" w:orient="portrait"/>
          <w:cols w:equalWidth="0" w:num="4">
            <w:col w:w="2500" w:space="220"/>
            <w:col w:w="4640" w:space="720"/>
            <w:col w:w="2080" w:space="620"/>
            <w:col w:w="640"/>
          </w:cols>
          <w:pgMar w:left="240" w:top="230" w:right="23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of each year, beginning</w:t>
      </w:r>
    </w:p>
    <w:p>
      <w:pPr>
        <w:spacing w:after="0" w:line="20" w:lineRule="exact"/>
        <w:rPr>
          <w:sz w:val="24"/>
          <w:szCs w:val="24"/>
          <w:color w:val="auto"/>
        </w:rPr>
      </w:pPr>
      <w:r>
        <w:rPr>
          <w:sz w:val="24"/>
          <w:szCs w:val="24"/>
          <w:color w:val="auto"/>
        </w:rPr>
        <w:br w:type="column"/>
      </w:r>
    </w:p>
    <w:p>
      <w:pPr>
        <w:spacing w:after="0"/>
        <w:tabs>
          <w:tab w:leader="none" w:pos="3180" w:val="left"/>
        </w:tabs>
        <w:rPr>
          <w:sz w:val="20"/>
          <w:szCs w:val="20"/>
          <w:color w:val="auto"/>
        </w:rPr>
      </w:pPr>
      <w:r>
        <w:rPr>
          <w:rFonts w:ascii="Arial" w:cs="Arial" w:eastAsia="Arial" w:hAnsi="Arial"/>
          <w:sz w:val="18"/>
          <w:szCs w:val="18"/>
          <w:color w:val="auto"/>
        </w:rPr>
        <w:t>, 2013. The notes will mature on</w:t>
      </w:r>
      <w:r>
        <w:rPr>
          <w:sz w:val="20"/>
          <w:szCs w:val="20"/>
          <w:color w:val="auto"/>
        </w:rPr>
        <w:tab/>
      </w:r>
      <w:r>
        <w:rPr>
          <w:rFonts w:ascii="Arial" w:cs="Arial" w:eastAsia="Arial" w:hAnsi="Arial"/>
          <w:sz w:val="15"/>
          <w:szCs w:val="15"/>
          <w:color w:val="auto"/>
        </w:rPr>
        <w:t>, 2022.</w:t>
      </w:r>
    </w:p>
    <w:p>
      <w:pPr>
        <w:spacing w:after="0" w:line="165" w:lineRule="exact"/>
        <w:rPr>
          <w:sz w:val="24"/>
          <w:szCs w:val="24"/>
          <w:color w:val="auto"/>
        </w:rPr>
      </w:pPr>
    </w:p>
    <w:p>
      <w:pPr>
        <w:sectPr>
          <w:pgSz w:w="11900" w:h="16838" w:orient="portrait"/>
          <w:cols w:equalWidth="0" w:num="2">
            <w:col w:w="2420" w:space="720"/>
            <w:col w:w="8280"/>
          </w:cols>
          <w:pgMar w:left="240" w:top="230" w:right="239" w:bottom="1440" w:gutter="0" w:footer="0" w:header="0"/>
          <w:type w:val="continuous"/>
        </w:sectPr>
      </w:pPr>
    </w:p>
    <w:p>
      <w:pPr>
        <w:ind w:right="80" w:firstLine="456"/>
        <w:spacing w:after="0" w:line="259" w:lineRule="auto"/>
        <w:rPr>
          <w:sz w:val="20"/>
          <w:szCs w:val="20"/>
          <w:color w:val="auto"/>
        </w:rPr>
      </w:pPr>
      <w:r>
        <w:rPr>
          <w:rFonts w:ascii="Arial" w:cs="Arial" w:eastAsia="Arial" w:hAnsi="Arial"/>
          <w:sz w:val="18"/>
          <w:szCs w:val="18"/>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40" w:lineRule="exact"/>
        <w:rPr>
          <w:sz w:val="24"/>
          <w:szCs w:val="24"/>
          <w:color w:val="auto"/>
        </w:rPr>
      </w:pPr>
    </w:p>
    <w:p>
      <w:pPr>
        <w:ind w:right="380" w:firstLine="456"/>
        <w:spacing w:after="0" w:line="268" w:lineRule="auto"/>
        <w:rPr>
          <w:sz w:val="20"/>
          <w:szCs w:val="20"/>
          <w:color w:val="auto"/>
        </w:rPr>
      </w:pPr>
      <w:r>
        <w:rPr>
          <w:rFonts w:ascii="Arial" w:cs="Arial" w:eastAsia="Arial" w:hAnsi="Arial"/>
          <w:sz w:val="18"/>
          <w:szCs w:val="18"/>
          <w:color w:val="auto"/>
        </w:rPr>
        <w:t>We may redeem the notes, in whole or in part, at any time at the redemption prices described beginning on page S-12. If a change of control triggering event as described beginning on page S-15 occurs, we may be required to offer to purchase the notes from holders.</w:t>
      </w:r>
    </w:p>
    <w:p>
      <w:pPr>
        <w:spacing w:after="0" w:line="113" w:lineRule="exact"/>
        <w:rPr>
          <w:sz w:val="24"/>
          <w:szCs w:val="24"/>
          <w:color w:val="auto"/>
        </w:rPr>
      </w:pPr>
    </w:p>
    <w:p>
      <w:pPr>
        <w:ind w:left="4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7">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w:t>
      </w:r>
    </w:p>
    <w:p>
      <w:pPr>
        <w:spacing w:after="0" w:line="200" w:lineRule="exact"/>
        <w:rPr>
          <w:sz w:val="24"/>
          <w:szCs w:val="24"/>
          <w:color w:val="auto"/>
        </w:rPr>
      </w:pPr>
    </w:p>
    <w:p>
      <w:pPr>
        <w:ind w:right="60" w:firstLine="456"/>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8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w w:val="97"/>
              </w:rPr>
              <w:t>Per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Note</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Price(1)</w:t>
            </w:r>
          </w:p>
        </w:tc>
        <w:tc>
          <w:tcPr>
            <w:tcW w:w="7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7800" w:type="dxa"/>
            <w:vAlign w:val="bottom"/>
            <w:gridSpan w:val="3"/>
          </w:tcPr>
          <w:p>
            <w:pPr>
              <w:jc w:val="right"/>
              <w:ind w:right="29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Proceeds to Us (excluding expenses)</w:t>
            </w:r>
          </w:p>
        </w:tc>
        <w:tc>
          <w:tcPr>
            <w:tcW w:w="78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7800" w:type="dxa"/>
            <w:vAlign w:val="bottom"/>
            <w:gridSpan w:val="3"/>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2900" w:type="dxa"/>
            <w:vAlign w:val="bottom"/>
            <w:gridSpan w:val="2"/>
          </w:tcPr>
          <w:p>
            <w:pPr>
              <w:spacing w:after="0"/>
              <w:rPr>
                <w:sz w:val="20"/>
                <w:szCs w:val="20"/>
                <w:color w:val="auto"/>
              </w:rPr>
            </w:pPr>
            <w:r>
              <w:rPr>
                <w:rFonts w:ascii="Arial" w:cs="Arial" w:eastAsia="Arial" w:hAnsi="Arial"/>
                <w:sz w:val="18"/>
                <w:szCs w:val="18"/>
                <w:color w:val="auto"/>
              </w:rPr>
              <w:t>(1)   Plus accrued interest from</w:t>
            </w:r>
          </w:p>
        </w:tc>
        <w:tc>
          <w:tcPr>
            <w:tcW w:w="7800" w:type="dxa"/>
            <w:vAlign w:val="bottom"/>
            <w:gridSpan w:val="3"/>
          </w:tcPr>
          <w:p>
            <w:pPr>
              <w:jc w:val="right"/>
              <w:ind w:right="4632"/>
              <w:spacing w:after="0"/>
              <w:rPr>
                <w:sz w:val="20"/>
                <w:szCs w:val="20"/>
                <w:color w:val="auto"/>
              </w:rPr>
            </w:pPr>
            <w:r>
              <w:rPr>
                <w:rFonts w:ascii="Arial" w:cs="Arial" w:eastAsia="Arial" w:hAnsi="Arial"/>
                <w:sz w:val="18"/>
                <w:szCs w:val="18"/>
                <w:color w:val="auto"/>
                <w:w w:val="98"/>
              </w:rPr>
              <w:t>, 2012 if delivery occurs after that date.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5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171" w:lineRule="exact"/>
        <w:rPr>
          <w:sz w:val="24"/>
          <w:szCs w:val="24"/>
          <w:color w:val="auto"/>
        </w:rPr>
      </w:pPr>
    </w:p>
    <w:p>
      <w:pPr>
        <w:ind w:right="240" w:firstLine="456"/>
        <w:spacing w:after="0" w:line="332" w:lineRule="auto"/>
        <w:rPr>
          <w:sz w:val="20"/>
          <w:szCs w:val="20"/>
          <w:color w:val="auto"/>
        </w:rPr>
      </w:pPr>
      <w:r>
        <w:rPr>
          <w:rFonts w:ascii="Arial" w:cs="Arial" w:eastAsia="Arial" w:hAnsi="Arial"/>
          <w:sz w:val="16"/>
          <w:szCs w:val="16"/>
          <w:color w:val="auto"/>
        </w:rPr>
        <w:t>The underwriters expect to deliver the notes to investors on or about , 2012 only in book-entry form through the facilities of The Depository Trust Company and its participants, including Clearstream Banking, société anonyme, and Euroclear Bank S.A./N.V., as operator of the Euroclear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59690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Joint Book-Running and Joint Lead Managers</w:t>
      </w:r>
    </w:p>
    <w:p>
      <w:pPr>
        <w:sectPr>
          <w:pgSz w:w="11900" w:h="16838" w:orient="portrait"/>
          <w:cols w:equalWidth="0" w:num="1">
            <w:col w:w="11420"/>
          </w:cols>
          <w:pgMar w:left="240" w:top="230" w:right="239" w:bottom="1440" w:gutter="0" w:footer="0" w:header="0"/>
          <w:type w:val="continuous"/>
        </w:sectPr>
      </w:pPr>
    </w:p>
    <w:p>
      <w:pPr>
        <w:spacing w:after="0" w:line="179"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Barclays</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30"/>
          <w:szCs w:val="30"/>
          <w:b w:val="1"/>
          <w:bCs w:val="1"/>
          <w:color w:val="auto"/>
        </w:rPr>
        <w:t>BNP PARIBAS</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197" w:lineRule="exact"/>
        <w:rPr>
          <w:sz w:val="24"/>
          <w:szCs w:val="24"/>
          <w:color w:val="auto"/>
        </w:rPr>
      </w:pPr>
    </w:p>
    <w:p>
      <w:pPr>
        <w:sectPr>
          <w:pgSz w:w="11900" w:h="16838" w:orient="portrait"/>
          <w:cols w:equalWidth="0" w:num="3">
            <w:col w:w="4220" w:space="720"/>
            <w:col w:w="3000" w:space="720"/>
            <w:col w:w="2760"/>
          </w:cols>
          <w:pgMar w:left="240" w:top="230" w:right="239" w:bottom="1440" w:gutter="0" w:footer="0" w:header="0"/>
          <w:type w:val="continuous"/>
        </w:sectPr>
      </w:pPr>
    </w:p>
    <w:p>
      <w:pPr>
        <w:ind w:left="5940"/>
        <w:spacing w:after="0"/>
        <w:rPr>
          <w:sz w:val="20"/>
          <w:szCs w:val="20"/>
          <w:color w:val="auto"/>
        </w:rPr>
      </w:pPr>
      <w:r>
        <w:rPr>
          <w:rFonts w:ascii="Arial" w:cs="Arial" w:eastAsia="Arial" w:hAnsi="Arial"/>
          <w:sz w:val="15"/>
          <w:szCs w:val="15"/>
          <w:b w:val="1"/>
          <w:bCs w:val="1"/>
          <w:color w:val="auto"/>
        </w:rPr>
        <w:t>, 2012</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2"/>
          </w:tcPr>
          <w:p>
            <w:pPr>
              <w:jc w:val="right"/>
              <w:ind w:right="4574"/>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80" w:type="dxa"/>
            <w:vAlign w:val="bottom"/>
            <w:vMerge w:val="restart"/>
          </w:tcPr>
          <w:p>
            <w:pPr>
              <w:jc w:val="right"/>
              <w:ind w:right="4312"/>
              <w:spacing w:after="0"/>
              <w:rPr>
                <w:sz w:val="20"/>
                <w:szCs w:val="20"/>
                <w:color w:val="auto"/>
              </w:rPr>
            </w:pPr>
            <w:r>
              <w:rPr>
                <w:rFonts w:ascii="Arial" w:cs="Arial" w:eastAsia="Arial" w:hAnsi="Arial"/>
                <w:sz w:val="18"/>
                <w:szCs w:val="18"/>
                <w:b w:val="1"/>
                <w:bCs w:val="1"/>
                <w:color w:val="auto"/>
              </w:rPr>
              <w:t>Prospectus supplement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4"/>
        </w:trPr>
        <w:tc>
          <w:tcPr>
            <w:tcW w:w="700" w:type="dxa"/>
            <w:vAlign w:val="bottom"/>
            <w:gridSpan w:val="2"/>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Summary</w:t>
              </w:r>
            </w:hyperlink>
          </w:p>
        </w:tc>
        <w:tc>
          <w:tcPr>
            <w:tcW w:w="3460" w:type="dxa"/>
            <w:vAlign w:val="bottom"/>
            <w:gridSpan w:val="18"/>
            <w:vMerge w:val="restart"/>
          </w:tcPr>
          <w:p>
            <w:pPr>
              <w:spacing w:after="0"/>
              <w:rPr>
                <w:sz w:val="16"/>
                <w:szCs w:val="16"/>
                <w:color w:val="auto"/>
              </w:rPr>
            </w:pPr>
          </w:p>
        </w:tc>
        <w:tc>
          <w:tcPr>
            <w:tcW w:w="6780" w:type="dxa"/>
            <w:vAlign w:val="bottom"/>
            <w:vMerge w:val="continue"/>
          </w:tcPr>
          <w:p>
            <w:pPr>
              <w:spacing w:after="0"/>
              <w:rPr>
                <w:sz w:val="16"/>
                <w:szCs w:val="16"/>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700" w:type="dxa"/>
            <w:vAlign w:val="bottom"/>
            <w:tcBorders>
              <w:bottom w:val="single" w:sz="8" w:color="0000EE"/>
            </w:tcBorders>
            <w:gridSpan w:val="2"/>
            <w:vMerge w:val="continue"/>
          </w:tcPr>
          <w:p>
            <w:pPr>
              <w:spacing w:after="0"/>
              <w:rPr>
                <w:sz w:val="15"/>
                <w:szCs w:val="15"/>
                <w:color w:val="auto"/>
              </w:rPr>
            </w:pPr>
          </w:p>
        </w:tc>
        <w:tc>
          <w:tcPr>
            <w:tcW w:w="3460" w:type="dxa"/>
            <w:vAlign w:val="bottom"/>
            <w:gridSpan w:val="18"/>
            <w:vMerge w:val="continue"/>
          </w:tcPr>
          <w:p>
            <w:pPr>
              <w:spacing w:after="0"/>
              <w:rPr>
                <w:sz w:val="15"/>
                <w:szCs w:val="15"/>
                <w:color w:val="auto"/>
              </w:rPr>
            </w:pPr>
          </w:p>
        </w:tc>
        <w:tc>
          <w:tcPr>
            <w:tcW w:w="67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3260" w:type="dxa"/>
            <w:vAlign w:val="bottom"/>
            <w:gridSpan w:val="17"/>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3020" w:type="dxa"/>
            <w:vAlign w:val="bottom"/>
            <w:gridSpan w:val="13"/>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Notes</w:t>
              </w:r>
            </w:hyperlink>
          </w:p>
        </w:tc>
        <w:tc>
          <w:tcPr>
            <w:tcW w:w="2680" w:type="dxa"/>
            <w:vAlign w:val="bottom"/>
            <w:gridSpan w:val="11"/>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Underwriting</w:t>
              </w:r>
            </w:hyperlink>
          </w:p>
        </w:tc>
        <w:tc>
          <w:tcPr>
            <w:tcW w:w="3200" w:type="dxa"/>
            <w:vAlign w:val="bottom"/>
            <w:gridSpan w:val="16"/>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S-23</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3180" w:type="dxa"/>
            <w:vAlign w:val="bottom"/>
            <w:gridSpan w:val="15"/>
          </w:tcPr>
          <w:p>
            <w:pPr>
              <w:spacing w:after="0"/>
              <w:rPr>
                <w:sz w:val="17"/>
                <w:szCs w:val="17"/>
                <w:color w:val="auto"/>
              </w:rPr>
            </w:pPr>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Incorporation of Certain Documents by Reference</w:t>
              </w:r>
            </w:hyperlink>
          </w:p>
        </w:tc>
        <w:tc>
          <w:tcPr>
            <w:tcW w:w="6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S-26</w:t>
            </w:r>
          </w:p>
        </w:tc>
        <w:tc>
          <w:tcPr>
            <w:tcW w:w="0" w:type="dxa"/>
            <w:vAlign w:val="bottom"/>
          </w:tcPr>
          <w:p>
            <w:pPr>
              <w:spacing w:after="0"/>
              <w:rPr>
                <w:sz w:val="1"/>
                <w:szCs w:val="1"/>
                <w:color w:val="auto"/>
              </w:rPr>
            </w:pPr>
          </w:p>
        </w:tc>
      </w:tr>
      <w:tr>
        <w:trPr>
          <w:trHeight w:val="444"/>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7160" w:type="dxa"/>
            <w:vAlign w:val="bottom"/>
            <w:gridSpan w:val="2"/>
          </w:tcPr>
          <w:p>
            <w:pPr>
              <w:jc w:val="right"/>
              <w:ind w:right="5154"/>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184"/>
        </w:trPr>
        <w:tc>
          <w:tcPr>
            <w:tcW w:w="2080" w:type="dxa"/>
            <w:vAlign w:val="bottom"/>
            <w:tcBorders>
              <w:bottom w:val="single" w:sz="8" w:color="0000EE"/>
            </w:tcBorders>
            <w:gridSpan w:val="14"/>
          </w:tcPr>
          <w:p>
            <w:pPr>
              <w:spacing w:after="0" w:line="184"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Forward-Looking Statements</w:t>
              </w:r>
            </w:hyperlink>
          </w:p>
        </w:tc>
        <w:tc>
          <w:tcPr>
            <w:tcW w:w="2080" w:type="dxa"/>
            <w:vAlign w:val="bottom"/>
            <w:gridSpan w:val="6"/>
          </w:tcPr>
          <w:p>
            <w:pPr>
              <w:spacing w:after="0"/>
              <w:rPr>
                <w:sz w:val="15"/>
                <w:szCs w:val="15"/>
                <w:color w:val="auto"/>
              </w:rPr>
            </w:pPr>
          </w:p>
        </w:tc>
        <w:tc>
          <w:tcPr>
            <w:tcW w:w="716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Incorporation of Certain Documents by Reference</w:t>
              </w:r>
            </w:hyperlink>
          </w:p>
        </w:tc>
        <w:tc>
          <w:tcPr>
            <w:tcW w:w="620" w:type="dxa"/>
            <w:vAlign w:val="bottom"/>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The Company</w:t>
              </w:r>
            </w:hyperlink>
          </w:p>
        </w:tc>
        <w:tc>
          <w:tcPr>
            <w:tcW w:w="1360" w:type="dxa"/>
            <w:vAlign w:val="bottom"/>
            <w:gridSpan w:val="2"/>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100" w:type="dxa"/>
            <w:vAlign w:val="bottom"/>
            <w:tcBorders>
              <w:top w:val="single" w:sz="8" w:color="0000EE"/>
            </w:tcBorders>
            <w:gridSpan w:val="3"/>
          </w:tcPr>
          <w:p>
            <w:pPr>
              <w:spacing w:after="0"/>
              <w:rPr>
                <w:sz w:val="17"/>
                <w:szCs w:val="17"/>
                <w:color w:val="auto"/>
              </w:rPr>
            </w:pPr>
          </w:p>
        </w:tc>
        <w:tc>
          <w:tcPr>
            <w:tcW w:w="3160" w:type="dxa"/>
            <w:vAlign w:val="bottom"/>
            <w:gridSpan w:val="1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Ratio of Earnings to Fixed Charges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1680" w:type="dxa"/>
            <w:vAlign w:val="bottom"/>
            <w:gridSpan w:val="3"/>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the Debt Securities</w:t>
              </w:r>
            </w:hyperlink>
          </w:p>
        </w:tc>
        <w:tc>
          <w:tcPr>
            <w:tcW w:w="1760" w:type="dxa"/>
            <w:vAlign w:val="bottom"/>
            <w:gridSpan w:val="4"/>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Description of Guarantees</w:t>
              </w:r>
            </w:hyperlink>
          </w:p>
        </w:tc>
        <w:tc>
          <w:tcPr>
            <w:tcW w:w="2300" w:type="dxa"/>
            <w:vAlign w:val="bottom"/>
            <w:gridSpan w:val="8"/>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Description of Capital Stock</w:t>
              </w:r>
            </w:hyperlink>
          </w:p>
        </w:tc>
        <w:tc>
          <w:tcPr>
            <w:tcW w:w="2140" w:type="dxa"/>
            <w:vAlign w:val="bottom"/>
            <w:gridSpan w:val="7"/>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Other Securities</w:t>
              </w:r>
            </w:hyperlink>
          </w:p>
        </w:tc>
        <w:tc>
          <w:tcPr>
            <w:tcW w:w="1960" w:type="dxa"/>
            <w:vAlign w:val="bottom"/>
            <w:gridSpan w:val="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400" w:type="dxa"/>
            <w:vAlign w:val="bottom"/>
            <w:gridSpan w:val="8"/>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Selling Securityholders</w:t>
              </w:r>
            </w:hyperlink>
          </w:p>
        </w:tc>
        <w:tc>
          <w:tcPr>
            <w:tcW w:w="2500" w:type="dxa"/>
            <w:vAlign w:val="bottom"/>
            <w:gridSpan w:val="9"/>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16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Legal Matters</w:t>
              </w:r>
            </w:hyperlink>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3180" w:type="dxa"/>
            <w:vAlign w:val="bottom"/>
            <w:gridSpan w:val="15"/>
          </w:tcPr>
          <w:p>
            <w:pPr>
              <w:spacing w:after="0"/>
              <w:rPr>
                <w:sz w:val="17"/>
                <w:szCs w:val="17"/>
                <w:color w:val="auto"/>
              </w:rPr>
            </w:pPr>
          </w:p>
        </w:tc>
        <w:tc>
          <w:tcPr>
            <w:tcW w:w="7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459"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62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562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documents incorporated by reference, in their entirety before making an investment decision.</w:t>
      </w:r>
    </w:p>
    <w:p>
      <w:pPr>
        <w:spacing w:after="0" w:line="143" w:lineRule="exact"/>
        <w:rPr>
          <w:sz w:val="20"/>
          <w:szCs w:val="20"/>
          <w:color w:val="auto"/>
        </w:rPr>
      </w:pPr>
    </w:p>
    <w:p>
      <w:pPr>
        <w:ind w:left="200" w:right="180" w:firstLine="443"/>
        <w:spacing w:after="0" w:line="268"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Inc.</w:t>
      </w:r>
    </w:p>
    <w:p>
      <w:pPr>
        <w:spacing w:after="0" w:line="96" w:lineRule="exact"/>
        <w:rPr>
          <w:sz w:val="20"/>
          <w:szCs w:val="20"/>
          <w:color w:val="auto"/>
        </w:rPr>
      </w:pPr>
    </w:p>
    <w:p>
      <w:pPr>
        <w:jc w:val="both"/>
        <w:ind w:left="200" w:right="120" w:firstLine="443"/>
        <w:spacing w:after="0" w:line="306" w:lineRule="auto"/>
        <w:rPr>
          <w:sz w:val="20"/>
          <w:szCs w:val="20"/>
          <w:color w:val="auto"/>
        </w:rPr>
      </w:pPr>
      <w:r>
        <w:rPr>
          <w:rFonts w:ascii="Arial" w:cs="Arial" w:eastAsia="Arial" w:hAnsi="Arial"/>
          <w:sz w:val="16"/>
          <w:szCs w:val="16"/>
          <w:color w:val="auto"/>
        </w:rPr>
        <w:t>We are the leading provider of comprehensive waste management services in North America. Our subsidiaries provide collection, transfer, recycling and disposal services. We are also a leading developer, operator and owner of waste-to-energy and landfill gas-to-energy facilities in the United States. Our customers include residential, commercial, industrial and municipal customers throughout North America.</w:t>
      </w:r>
    </w:p>
    <w:p>
      <w:pPr>
        <w:spacing w:after="0" w:line="107"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Our principal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them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Waste Management Holdings, Inc.</w:t>
      </w:r>
    </w:p>
    <w:p>
      <w:pPr>
        <w:spacing w:after="0" w:line="96" w:lineRule="exact"/>
        <w:rPr>
          <w:sz w:val="20"/>
          <w:szCs w:val="20"/>
          <w:color w:val="auto"/>
        </w:rPr>
      </w:pPr>
    </w:p>
    <w:p>
      <w:pPr>
        <w:ind w:left="200" w:right="60" w:firstLine="443"/>
        <w:spacing w:after="0" w:line="332" w:lineRule="auto"/>
        <w:rPr>
          <w:sz w:val="20"/>
          <w:szCs w:val="20"/>
          <w:color w:val="auto"/>
        </w:rPr>
      </w:pPr>
      <w:r>
        <w:rPr>
          <w:rFonts w:ascii="Arial" w:cs="Arial" w:eastAsia="Arial" w:hAnsi="Arial"/>
          <w:sz w:val="16"/>
          <w:szCs w:val="16"/>
          <w:color w:val="auto"/>
        </w:rPr>
        <w:t>Waste Management Holdings, Inc., which we refer to in this prospectus supplement as “WM Holdings,” is a direct wholly owned subsidiary of Waste Management. WM Holdings is a holding company, the only assets of which are the equity interests of our operating subsidiaries.</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380" w:firstLine="443"/>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Issuer</w:t>
            </w:r>
          </w:p>
        </w:tc>
        <w:tc>
          <w:tcPr>
            <w:tcW w:w="4500" w:type="dxa"/>
            <w:vAlign w:val="bottom"/>
            <w:gridSpan w:val="3"/>
          </w:tcPr>
          <w:p>
            <w:pPr>
              <w:ind w:left="1240"/>
              <w:spacing w:after="0"/>
              <w:rPr>
                <w:sz w:val="20"/>
                <w:szCs w:val="20"/>
                <w:color w:val="auto"/>
              </w:rPr>
            </w:pPr>
            <w:r>
              <w:rPr>
                <w:rFonts w:ascii="Arial" w:cs="Arial" w:eastAsia="Arial" w:hAnsi="Arial"/>
                <w:sz w:val="18"/>
                <w:szCs w:val="18"/>
                <w:color w:val="auto"/>
              </w:rPr>
              <w:t>Waste Management, Inc.</w:t>
            </w:r>
          </w:p>
        </w:tc>
        <w:tc>
          <w:tcPr>
            <w:tcW w:w="3600" w:type="dxa"/>
            <w:vAlign w:val="bottom"/>
          </w:tcPr>
          <w:p>
            <w:pPr>
              <w:spacing w:after="0"/>
              <w:rPr>
                <w:sz w:val="19"/>
                <w:szCs w:val="19"/>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Securities Offered</w:t>
            </w:r>
          </w:p>
        </w:tc>
        <w:tc>
          <w:tcPr>
            <w:tcW w:w="1360" w:type="dxa"/>
            <w:vAlign w:val="bottom"/>
          </w:tcPr>
          <w:p>
            <w:pPr>
              <w:ind w:left="1240"/>
              <w:spacing w:after="0"/>
              <w:rPr>
                <w:sz w:val="20"/>
                <w:szCs w:val="20"/>
                <w:color w:val="auto"/>
              </w:rPr>
            </w:pPr>
            <w:r>
              <w:rPr>
                <w:rFonts w:ascii="Arial" w:cs="Arial" w:eastAsia="Arial" w:hAnsi="Arial"/>
                <w:sz w:val="18"/>
                <w:szCs w:val="18"/>
                <w:color w:val="auto"/>
                <w:w w:val="99"/>
              </w:rPr>
              <w:t>$</w:t>
            </w:r>
          </w:p>
        </w:tc>
        <w:tc>
          <w:tcPr>
            <w:tcW w:w="3140" w:type="dxa"/>
            <w:vAlign w:val="bottom"/>
            <w:gridSpan w:val="2"/>
          </w:tcPr>
          <w:p>
            <w:pPr>
              <w:ind w:left="360"/>
              <w:spacing w:after="0"/>
              <w:rPr>
                <w:sz w:val="20"/>
                <w:szCs w:val="20"/>
                <w:color w:val="auto"/>
              </w:rPr>
            </w:pPr>
            <w:r>
              <w:rPr>
                <w:rFonts w:ascii="Arial" w:cs="Arial" w:eastAsia="Arial" w:hAnsi="Arial"/>
                <w:sz w:val="18"/>
                <w:szCs w:val="18"/>
                <w:color w:val="auto"/>
                <w:w w:val="93"/>
              </w:rPr>
              <w:t>million aggregate principal amount of</w:t>
            </w:r>
          </w:p>
        </w:tc>
        <w:tc>
          <w:tcPr>
            <w:tcW w:w="3600" w:type="dxa"/>
            <w:vAlign w:val="bottom"/>
          </w:tcPr>
          <w:p>
            <w:pPr>
              <w:jc w:val="right"/>
              <w:ind w:right="1572"/>
              <w:spacing w:after="0"/>
              <w:rPr>
                <w:sz w:val="20"/>
                <w:szCs w:val="20"/>
                <w:color w:val="auto"/>
              </w:rPr>
            </w:pPr>
            <w:r>
              <w:rPr>
                <w:rFonts w:ascii="Arial" w:cs="Arial" w:eastAsia="Arial" w:hAnsi="Arial"/>
                <w:sz w:val="18"/>
                <w:szCs w:val="18"/>
                <w:color w:val="auto"/>
                <w:w w:val="91"/>
              </w:rPr>
              <w:t>% Senior Notes due 2022.</w:t>
            </w: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rPr>
              <w:t>Subsidiary Guarantee</w:t>
            </w: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90"/>
              </w:rPr>
              <w:t>WM Holdings will fully and unconditionally guarantee, on a senior unsecured basis, the full and</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91"/>
              </w:rPr>
              <w:t>prompt payment of the principal and any premium and interest on the notes, when and as they</w:t>
            </w:r>
          </w:p>
        </w:tc>
      </w:tr>
      <w:tr>
        <w:trPr>
          <w:trHeight w:val="222"/>
        </w:trPr>
        <w:tc>
          <w:tcPr>
            <w:tcW w:w="2960" w:type="dxa"/>
            <w:vAlign w:val="bottom"/>
          </w:tcPr>
          <w:p>
            <w:pPr>
              <w:spacing w:after="0"/>
              <w:rPr>
                <w:sz w:val="19"/>
                <w:szCs w:val="19"/>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rPr>
              <w:t>become due and payable, whether at maturity or otherwise.</w:t>
            </w:r>
          </w:p>
        </w:tc>
      </w:tr>
      <w:tr>
        <w:trPr>
          <w:trHeight w:val="419"/>
        </w:trPr>
        <w:tc>
          <w:tcPr>
            <w:tcW w:w="2960" w:type="dxa"/>
            <w:vAlign w:val="bottom"/>
          </w:tcPr>
          <w:p>
            <w:pPr>
              <w:spacing w:after="0"/>
              <w:rPr>
                <w:sz w:val="20"/>
                <w:szCs w:val="20"/>
                <w:color w:val="auto"/>
              </w:rPr>
            </w:pPr>
            <w:r>
              <w:rPr>
                <w:rFonts w:ascii="Arial" w:cs="Arial" w:eastAsia="Arial" w:hAnsi="Arial"/>
                <w:sz w:val="18"/>
                <w:szCs w:val="18"/>
                <w:color w:val="auto"/>
              </w:rPr>
              <w:t>Maturity Date</w:t>
            </w:r>
          </w:p>
        </w:tc>
        <w:tc>
          <w:tcPr>
            <w:tcW w:w="1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2022.</w:t>
            </w:r>
          </w:p>
        </w:tc>
        <w:tc>
          <w:tcPr>
            <w:tcW w:w="18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Interest Rate</w:t>
            </w:r>
          </w:p>
        </w:tc>
        <w:tc>
          <w:tcPr>
            <w:tcW w:w="1360" w:type="dxa"/>
            <w:vAlign w:val="bottom"/>
          </w:tcPr>
          <w:p>
            <w:pPr>
              <w:spacing w:after="0"/>
              <w:rPr>
                <w:sz w:val="24"/>
                <w:szCs w:val="24"/>
                <w:color w:val="auto"/>
              </w:rPr>
            </w:pPr>
          </w:p>
        </w:tc>
        <w:tc>
          <w:tcPr>
            <w:tcW w:w="1280" w:type="dxa"/>
            <w:vAlign w:val="bottom"/>
          </w:tcPr>
          <w:p>
            <w:pPr>
              <w:jc w:val="right"/>
              <w:ind w:right="352"/>
              <w:spacing w:after="0"/>
              <w:rPr>
                <w:sz w:val="20"/>
                <w:szCs w:val="20"/>
                <w:color w:val="auto"/>
              </w:rPr>
            </w:pPr>
            <w:r>
              <w:rPr>
                <w:rFonts w:ascii="Arial" w:cs="Arial" w:eastAsia="Arial" w:hAnsi="Arial"/>
                <w:sz w:val="18"/>
                <w:szCs w:val="18"/>
                <w:color w:val="auto"/>
                <w:w w:val="89"/>
              </w:rPr>
              <w:t>% per year.</w:t>
            </w:r>
          </w:p>
        </w:tc>
        <w:tc>
          <w:tcPr>
            <w:tcW w:w="186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360" w:type="dxa"/>
            <w:vAlign w:val="bottom"/>
          </w:tcPr>
          <w:p>
            <w:pPr>
              <w:spacing w:after="0"/>
              <w:rPr>
                <w:sz w:val="24"/>
                <w:szCs w:val="24"/>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color w:val="auto"/>
              </w:rPr>
              <w:t>and</w:t>
            </w:r>
          </w:p>
        </w:tc>
        <w:tc>
          <w:tcPr>
            <w:tcW w:w="1860" w:type="dxa"/>
            <w:vAlign w:val="bottom"/>
          </w:tcPr>
          <w:p>
            <w:pPr>
              <w:ind w:left="40"/>
              <w:spacing w:after="0"/>
              <w:rPr>
                <w:sz w:val="20"/>
                <w:szCs w:val="20"/>
                <w:color w:val="auto"/>
              </w:rPr>
            </w:pPr>
            <w:r>
              <w:rPr>
                <w:rFonts w:ascii="Arial" w:cs="Arial" w:eastAsia="Arial" w:hAnsi="Arial"/>
                <w:sz w:val="18"/>
                <w:szCs w:val="18"/>
                <w:color w:val="auto"/>
                <w:w w:val="96"/>
              </w:rPr>
              <w:t>of each year, beginning</w:t>
            </w:r>
          </w:p>
        </w:tc>
        <w:tc>
          <w:tcPr>
            <w:tcW w:w="3600" w:type="dxa"/>
            <w:vAlign w:val="bottom"/>
          </w:tcPr>
          <w:p>
            <w:pPr>
              <w:jc w:val="right"/>
              <w:ind w:right="2292"/>
              <w:spacing w:after="0"/>
              <w:rPr>
                <w:sz w:val="20"/>
                <w:szCs w:val="20"/>
                <w:color w:val="auto"/>
              </w:rPr>
            </w:pPr>
            <w:r>
              <w:rPr>
                <w:rFonts w:ascii="Arial" w:cs="Arial" w:eastAsia="Arial" w:hAnsi="Arial"/>
                <w:sz w:val="18"/>
                <w:szCs w:val="18"/>
                <w:color w:val="auto"/>
              </w:rPr>
              <w:t>, 2013.</w:t>
            </w:r>
          </w:p>
        </w:tc>
      </w:tr>
      <w:tr>
        <w:trPr>
          <w:trHeight w:val="426"/>
        </w:trPr>
        <w:tc>
          <w:tcPr>
            <w:tcW w:w="2960" w:type="dxa"/>
            <w:vAlign w:val="bottom"/>
          </w:tcPr>
          <w:p>
            <w:pPr>
              <w:spacing w:after="0"/>
              <w:rPr>
                <w:sz w:val="20"/>
                <w:szCs w:val="20"/>
                <w:color w:val="auto"/>
              </w:rPr>
            </w:pPr>
            <w:r>
              <w:rPr>
                <w:rFonts w:ascii="Arial" w:cs="Arial" w:eastAsia="Arial" w:hAnsi="Arial"/>
                <w:sz w:val="18"/>
                <w:szCs w:val="18"/>
                <w:color w:val="auto"/>
              </w:rPr>
              <w:t>Optional Redemption</w:t>
            </w: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95"/>
              </w:rPr>
              <w:t>We may elect to redeem and repay any or all of the notes at any time in minimum principal</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89"/>
              </w:rPr>
              <w:t>amounts of $2,000 or any integral multiple of $1,000 in excess thereof. If we elect to redeem and</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93"/>
              </w:rPr>
              <w:t>repay the notes before the date that is three months prior to the maturity date, we will pay an</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87"/>
              </w:rPr>
              <w:t>amount equal to the greater of 100% of the principal amount of the notes redeemed and repaid, or</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90"/>
              </w:rPr>
              <w:t>the sum of the present values of the remaining scheduled payments of principal and interest on</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88"/>
              </w:rPr>
              <w:t>the notes. If we elect to redeem and repay the notes on or after the date that is three months prior</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91"/>
              </w:rPr>
              <w:t>to the maturity date, we will pay an amount equal to 100% of the principal amount of the notes</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87"/>
              </w:rPr>
              <w:t>redeemed and repaid. We will pay accrued interest on the notes redeemed to the redemption date.</w:t>
            </w:r>
          </w:p>
        </w:tc>
      </w:tr>
      <w:tr>
        <w:trPr>
          <w:trHeight w:val="222"/>
        </w:trPr>
        <w:tc>
          <w:tcPr>
            <w:tcW w:w="2960" w:type="dxa"/>
            <w:vAlign w:val="bottom"/>
          </w:tcPr>
          <w:p>
            <w:pPr>
              <w:spacing w:after="0"/>
              <w:rPr>
                <w:sz w:val="19"/>
                <w:szCs w:val="19"/>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rPr>
              <w:t>See “Description of Notes — Optional Redemption” in this prospectus supplement.</w:t>
            </w:r>
          </w:p>
        </w:tc>
      </w:tr>
      <w:tr>
        <w:trPr>
          <w:trHeight w:val="412"/>
        </w:trPr>
        <w:tc>
          <w:tcPr>
            <w:tcW w:w="296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88"/>
              </w:rPr>
              <w:t>If a change of control triggering event occurs, holders of the notes may require us to purchase all</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88"/>
              </w:rPr>
              <w:t>or a portion of such holders’ notes at a price equal to 101% of the principal amount, plus accrued</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89"/>
              </w:rPr>
              <w:t>interest, if any, to the date of purchase. See “Description of Notes — Change of Control Offer” in</w:t>
            </w:r>
          </w:p>
        </w:tc>
      </w:tr>
      <w:tr>
        <w:trPr>
          <w:trHeight w:val="222"/>
        </w:trPr>
        <w:tc>
          <w:tcPr>
            <w:tcW w:w="2960" w:type="dxa"/>
            <w:vAlign w:val="bottom"/>
          </w:tcPr>
          <w:p>
            <w:pPr>
              <w:spacing w:after="0"/>
              <w:rPr>
                <w:sz w:val="19"/>
                <w:szCs w:val="19"/>
                <w:color w:val="auto"/>
              </w:rPr>
            </w:pPr>
          </w:p>
        </w:tc>
        <w:tc>
          <w:tcPr>
            <w:tcW w:w="4500" w:type="dxa"/>
            <w:vAlign w:val="bottom"/>
            <w:gridSpan w:val="3"/>
          </w:tcPr>
          <w:p>
            <w:pPr>
              <w:ind w:left="1240"/>
              <w:spacing w:after="0"/>
              <w:rPr>
                <w:sz w:val="20"/>
                <w:szCs w:val="20"/>
                <w:color w:val="auto"/>
              </w:rPr>
            </w:pPr>
            <w:r>
              <w:rPr>
                <w:rFonts w:ascii="Arial" w:cs="Arial" w:eastAsia="Arial" w:hAnsi="Arial"/>
                <w:sz w:val="18"/>
                <w:szCs w:val="18"/>
                <w:color w:val="auto"/>
              </w:rPr>
              <w:t>this prospectus supplement.</w:t>
            </w:r>
          </w:p>
        </w:tc>
        <w:tc>
          <w:tcPr>
            <w:tcW w:w="3600" w:type="dxa"/>
            <w:vAlign w:val="bottom"/>
          </w:tcPr>
          <w:p>
            <w:pPr>
              <w:spacing w:after="0"/>
              <w:rPr>
                <w:sz w:val="19"/>
                <w:szCs w:val="19"/>
                <w:color w:val="auto"/>
              </w:rPr>
            </w:pPr>
          </w:p>
        </w:tc>
      </w:tr>
      <w:tr>
        <w:trPr>
          <w:trHeight w:val="412"/>
        </w:trPr>
        <w:tc>
          <w:tcPr>
            <w:tcW w:w="2960" w:type="dxa"/>
            <w:vAlign w:val="bottom"/>
          </w:tcPr>
          <w:p>
            <w:pPr>
              <w:spacing w:after="0"/>
              <w:rPr>
                <w:sz w:val="20"/>
                <w:szCs w:val="20"/>
                <w:color w:val="auto"/>
              </w:rPr>
            </w:pPr>
            <w:r>
              <w:rPr>
                <w:rFonts w:ascii="Arial" w:cs="Arial" w:eastAsia="Arial" w:hAnsi="Arial"/>
                <w:sz w:val="18"/>
                <w:szCs w:val="18"/>
                <w:color w:val="auto"/>
              </w:rPr>
              <w:t>Ranking</w:t>
            </w: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90"/>
              </w:rPr>
              <w:t>The notes and the guarantees will constitute the senior unsecured debt of Waste Management,</w:t>
            </w:r>
          </w:p>
        </w:tc>
      </w:tr>
      <w:tr>
        <w:trPr>
          <w:trHeight w:val="216"/>
        </w:trPr>
        <w:tc>
          <w:tcPr>
            <w:tcW w:w="2960" w:type="dxa"/>
            <w:vAlign w:val="bottom"/>
          </w:tcPr>
          <w:p>
            <w:pPr>
              <w:spacing w:after="0"/>
              <w:rPr>
                <w:sz w:val="18"/>
                <w:szCs w:val="18"/>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93"/>
              </w:rPr>
              <w:t>Inc. and WM Holdings, respectively, and will rank equally with all of our and its other existing</w:t>
            </w:r>
          </w:p>
        </w:tc>
      </w:tr>
      <w:tr>
        <w:trPr>
          <w:trHeight w:val="222"/>
        </w:trPr>
        <w:tc>
          <w:tcPr>
            <w:tcW w:w="2960" w:type="dxa"/>
            <w:vAlign w:val="bottom"/>
          </w:tcPr>
          <w:p>
            <w:pPr>
              <w:spacing w:after="0"/>
              <w:rPr>
                <w:sz w:val="19"/>
                <w:szCs w:val="19"/>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rPr>
              <w:t>and future senior indebtedness from time to time outstanding.</w:t>
            </w:r>
          </w:p>
        </w:tc>
      </w:tr>
      <w:tr>
        <w:trPr>
          <w:trHeight w:val="412"/>
        </w:trPr>
        <w:tc>
          <w:tcPr>
            <w:tcW w:w="2960" w:type="dxa"/>
            <w:vAlign w:val="bottom"/>
          </w:tcPr>
          <w:p>
            <w:pPr>
              <w:spacing w:after="0"/>
              <w:rPr>
                <w:sz w:val="20"/>
                <w:szCs w:val="20"/>
                <w:color w:val="auto"/>
              </w:rPr>
            </w:pPr>
            <w:r>
              <w:rPr>
                <w:rFonts w:ascii="Arial" w:cs="Arial" w:eastAsia="Arial" w:hAnsi="Arial"/>
                <w:sz w:val="18"/>
                <w:szCs w:val="18"/>
                <w:color w:val="auto"/>
              </w:rPr>
              <w:t>Covenants</w:t>
            </w: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w w:val="97"/>
              </w:rPr>
              <w:t>We will issue the notes under an indenture containing covenants for your benefit. These</w:t>
            </w:r>
          </w:p>
        </w:tc>
      </w:tr>
      <w:tr>
        <w:trPr>
          <w:trHeight w:val="222"/>
        </w:trPr>
        <w:tc>
          <w:tcPr>
            <w:tcW w:w="2960" w:type="dxa"/>
            <w:vAlign w:val="bottom"/>
          </w:tcPr>
          <w:p>
            <w:pPr>
              <w:spacing w:after="0"/>
              <w:rPr>
                <w:sz w:val="19"/>
                <w:szCs w:val="19"/>
                <w:color w:val="auto"/>
              </w:rPr>
            </w:pPr>
          </w:p>
        </w:tc>
        <w:tc>
          <w:tcPr>
            <w:tcW w:w="8100" w:type="dxa"/>
            <w:vAlign w:val="bottom"/>
            <w:gridSpan w:val="4"/>
          </w:tcPr>
          <w:p>
            <w:pPr>
              <w:ind w:left="1240"/>
              <w:spacing w:after="0"/>
              <w:rPr>
                <w:sz w:val="20"/>
                <w:szCs w:val="20"/>
                <w:color w:val="auto"/>
              </w:rPr>
            </w:pPr>
            <w:r>
              <w:rPr>
                <w:rFonts w:ascii="Arial" w:cs="Arial" w:eastAsia="Arial" w:hAnsi="Arial"/>
                <w:sz w:val="18"/>
                <w:szCs w:val="18"/>
                <w:color w:val="auto"/>
              </w:rPr>
              <w:t>covenants restrict our ability, with certain exceptions, to:</w:t>
            </w:r>
          </w:p>
        </w:tc>
      </w:tr>
    </w:tbl>
    <w:p>
      <w:pPr>
        <w:spacing w:after="0" w:line="75" w:lineRule="exact"/>
        <w:rPr>
          <w:sz w:val="20"/>
          <w:szCs w:val="20"/>
          <w:color w:val="auto"/>
        </w:rPr>
      </w:pPr>
    </w:p>
    <w:p>
      <w:pPr>
        <w:ind w:left="5600" w:right="3460" w:hanging="1156"/>
        <w:spacing w:after="0" w:line="644" w:lineRule="auto"/>
        <w:tabs>
          <w:tab w:leader="none" w:pos="4621"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create, incur or assume debt secured by liens; S-2</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288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32886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620" w:hanging="176"/>
        <w:spacing w:after="0"/>
        <w:tabs>
          <w:tab w:leader="none" w:pos="4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engage in sale and leaseback transactions; and</w:t>
      </w:r>
    </w:p>
    <w:p>
      <w:pPr>
        <w:spacing w:after="0" w:line="90" w:lineRule="exact"/>
        <w:rPr>
          <w:rFonts w:ascii="Arial" w:cs="Arial" w:eastAsia="Arial" w:hAnsi="Arial"/>
          <w:sz w:val="18"/>
          <w:szCs w:val="18"/>
          <w:color w:val="auto"/>
        </w:rPr>
      </w:pPr>
    </w:p>
    <w:p>
      <w:pPr>
        <w:ind w:left="4620" w:hanging="176"/>
        <w:spacing w:after="0"/>
        <w:tabs>
          <w:tab w:leader="none" w:pos="4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Use of Proceeds</w:t>
            </w:r>
          </w:p>
        </w:tc>
        <w:tc>
          <w:tcPr>
            <w:tcW w:w="6300" w:type="dxa"/>
            <w:vAlign w:val="bottom"/>
          </w:tcPr>
          <w:p>
            <w:pPr>
              <w:ind w:left="1480"/>
              <w:spacing w:after="0"/>
              <w:rPr>
                <w:sz w:val="20"/>
                <w:szCs w:val="20"/>
                <w:color w:val="auto"/>
              </w:rPr>
            </w:pPr>
            <w:r>
              <w:rPr>
                <w:rFonts w:ascii="Arial" w:cs="Arial" w:eastAsia="Arial" w:hAnsi="Arial"/>
                <w:sz w:val="18"/>
                <w:szCs w:val="18"/>
                <w:color w:val="auto"/>
                <w:w w:val="92"/>
              </w:rPr>
              <w:t>We expect the net proceeds from the offering of the notes to be $</w:t>
            </w:r>
          </w:p>
        </w:tc>
        <w:tc>
          <w:tcPr>
            <w:tcW w:w="2040" w:type="dxa"/>
            <w:vAlign w:val="bottom"/>
          </w:tcPr>
          <w:p>
            <w:pPr>
              <w:ind w:left="120"/>
              <w:spacing w:after="0"/>
              <w:rPr>
                <w:sz w:val="20"/>
                <w:szCs w:val="20"/>
                <w:color w:val="auto"/>
              </w:rPr>
            </w:pPr>
            <w:r>
              <w:rPr>
                <w:rFonts w:ascii="Arial" w:cs="Arial" w:eastAsia="Arial" w:hAnsi="Arial"/>
                <w:sz w:val="18"/>
                <w:szCs w:val="18"/>
                <w:color w:val="auto"/>
                <w:w w:val="90"/>
              </w:rPr>
              <w:t>million, after deducting the</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0"/>
              </w:rPr>
              <w:t>underwriting discount and estimated expenses of the offering that we will pay. We intend to use</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3"/>
              </w:rPr>
              <w:t>the net proceeds from the offering of the notes to repay $400 million principal amount of our</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88"/>
              </w:rPr>
              <w:t>outstanding 6.375% Senior Notes when they mature in November 2012, plus accrued and unpaid</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2"/>
              </w:rPr>
              <w:t>interest of $12.75 million. All remaining proceeds will be used for general corporate purposes,</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2"/>
              </w:rPr>
              <w:t>including additions to working capital and capital expenditures. Pending application of the net</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4"/>
              </w:rPr>
              <w:t>proceeds as described immediately above, we anticipate that we will temporarily pay down</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1"/>
              </w:rPr>
              <w:t>approximately $200 million of short-term borrowings under our revolving credit facility used for</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0"/>
              </w:rPr>
              <w:t>working capital, and we may temporarily invest the remainder of the net proceeds in short-term</w:t>
            </w:r>
          </w:p>
        </w:tc>
      </w:tr>
      <w:tr>
        <w:trPr>
          <w:trHeight w:val="222"/>
        </w:trPr>
        <w:tc>
          <w:tcPr>
            <w:tcW w:w="2720" w:type="dxa"/>
            <w:vAlign w:val="bottom"/>
          </w:tcPr>
          <w:p>
            <w:pPr>
              <w:spacing w:after="0"/>
              <w:rPr>
                <w:sz w:val="19"/>
                <w:szCs w:val="19"/>
                <w:color w:val="auto"/>
              </w:rPr>
            </w:pPr>
          </w:p>
        </w:tc>
        <w:tc>
          <w:tcPr>
            <w:tcW w:w="6300" w:type="dxa"/>
            <w:vAlign w:val="bottom"/>
          </w:tcPr>
          <w:p>
            <w:pPr>
              <w:ind w:left="1480"/>
              <w:spacing w:after="0"/>
              <w:rPr>
                <w:sz w:val="20"/>
                <w:szCs w:val="20"/>
                <w:color w:val="auto"/>
              </w:rPr>
            </w:pPr>
            <w:r>
              <w:rPr>
                <w:rFonts w:ascii="Arial" w:cs="Arial" w:eastAsia="Arial" w:hAnsi="Arial"/>
                <w:sz w:val="18"/>
                <w:szCs w:val="18"/>
                <w:color w:val="auto"/>
                <w:w w:val="89"/>
              </w:rPr>
              <w:t>investments. See “Use of Proceeds” in this prospectus supplement.</w:t>
            </w:r>
          </w:p>
        </w:tc>
        <w:tc>
          <w:tcPr>
            <w:tcW w:w="2040" w:type="dxa"/>
            <w:vAlign w:val="bottom"/>
          </w:tcPr>
          <w:p>
            <w:pPr>
              <w:spacing w:after="0"/>
              <w:rPr>
                <w:sz w:val="19"/>
                <w:szCs w:val="19"/>
                <w:color w:val="auto"/>
              </w:rPr>
            </w:pPr>
          </w:p>
        </w:tc>
      </w:tr>
      <w:tr>
        <w:trPr>
          <w:trHeight w:val="419"/>
        </w:trPr>
        <w:tc>
          <w:tcPr>
            <w:tcW w:w="2720" w:type="dxa"/>
            <w:vAlign w:val="bottom"/>
          </w:tcPr>
          <w:p>
            <w:pPr>
              <w:spacing w:after="0"/>
              <w:rPr>
                <w:sz w:val="20"/>
                <w:szCs w:val="20"/>
                <w:color w:val="auto"/>
              </w:rPr>
            </w:pPr>
            <w:r>
              <w:rPr>
                <w:rFonts w:ascii="Arial" w:cs="Arial" w:eastAsia="Arial" w:hAnsi="Arial"/>
                <w:sz w:val="18"/>
                <w:szCs w:val="18"/>
                <w:color w:val="auto"/>
              </w:rPr>
              <w:t>Trustee</w:t>
            </w:r>
          </w:p>
        </w:tc>
        <w:tc>
          <w:tcPr>
            <w:tcW w:w="6300" w:type="dxa"/>
            <w:vAlign w:val="bottom"/>
          </w:tcPr>
          <w:p>
            <w:pPr>
              <w:ind w:left="1480"/>
              <w:spacing w:after="0"/>
              <w:rPr>
                <w:sz w:val="20"/>
                <w:szCs w:val="20"/>
                <w:color w:val="auto"/>
              </w:rPr>
            </w:pPr>
            <w:r>
              <w:rPr>
                <w:rFonts w:ascii="Arial" w:cs="Arial" w:eastAsia="Arial" w:hAnsi="Arial"/>
                <w:sz w:val="18"/>
                <w:szCs w:val="18"/>
                <w:color w:val="auto"/>
              </w:rPr>
              <w:t>The Bank of New York Mellon Trust Company, N.A.</w:t>
            </w:r>
          </w:p>
        </w:tc>
        <w:tc>
          <w:tcPr>
            <w:tcW w:w="2040" w:type="dxa"/>
            <w:vAlign w:val="bottom"/>
          </w:tcPr>
          <w:p>
            <w:pPr>
              <w:spacing w:after="0"/>
              <w:rPr>
                <w:sz w:val="24"/>
                <w:szCs w:val="24"/>
                <w:color w:val="auto"/>
              </w:rPr>
            </w:pPr>
          </w:p>
        </w:tc>
      </w:tr>
      <w:tr>
        <w:trPr>
          <w:trHeight w:val="426"/>
        </w:trPr>
        <w:tc>
          <w:tcPr>
            <w:tcW w:w="2720" w:type="dxa"/>
            <w:vAlign w:val="bottom"/>
          </w:tcPr>
          <w:p>
            <w:pPr>
              <w:spacing w:after="0"/>
              <w:rPr>
                <w:sz w:val="20"/>
                <w:szCs w:val="20"/>
                <w:color w:val="auto"/>
              </w:rPr>
            </w:pPr>
            <w:r>
              <w:rPr>
                <w:rFonts w:ascii="Arial" w:cs="Arial" w:eastAsia="Arial" w:hAnsi="Arial"/>
                <w:sz w:val="18"/>
                <w:szCs w:val="18"/>
                <w:color w:val="auto"/>
              </w:rPr>
              <w:t>Additional Issues</w:t>
            </w: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90"/>
              </w:rPr>
              <w:t>We may create and issue additional notes ranking equally and ratably with the notes offered by</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89"/>
              </w:rPr>
              <w:t>this prospectus supplement in all respects, so that such additional notes will be consolidated and</w:t>
            </w:r>
          </w:p>
        </w:tc>
      </w:tr>
      <w:tr>
        <w:trPr>
          <w:trHeight w:val="216"/>
        </w:trPr>
        <w:tc>
          <w:tcPr>
            <w:tcW w:w="2720" w:type="dxa"/>
            <w:vAlign w:val="bottom"/>
          </w:tcPr>
          <w:p>
            <w:pPr>
              <w:spacing w:after="0"/>
              <w:rPr>
                <w:sz w:val="18"/>
                <w:szCs w:val="18"/>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88"/>
              </w:rPr>
              <w:t>form a single series with the notes offered by this prospectus supplement and will have the same</w:t>
            </w:r>
          </w:p>
        </w:tc>
      </w:tr>
      <w:tr>
        <w:trPr>
          <w:trHeight w:val="222"/>
        </w:trPr>
        <w:tc>
          <w:tcPr>
            <w:tcW w:w="2720" w:type="dxa"/>
            <w:vAlign w:val="bottom"/>
          </w:tcPr>
          <w:p>
            <w:pPr>
              <w:spacing w:after="0"/>
              <w:rPr>
                <w:sz w:val="19"/>
                <w:szCs w:val="19"/>
                <w:color w:val="auto"/>
              </w:rPr>
            </w:pPr>
          </w:p>
        </w:tc>
        <w:tc>
          <w:tcPr>
            <w:tcW w:w="8340" w:type="dxa"/>
            <w:vAlign w:val="bottom"/>
            <w:gridSpan w:val="2"/>
          </w:tcPr>
          <w:p>
            <w:pPr>
              <w:ind w:left="1480"/>
              <w:spacing w:after="0"/>
              <w:rPr>
                <w:sz w:val="20"/>
                <w:szCs w:val="20"/>
                <w:color w:val="auto"/>
              </w:rPr>
            </w:pPr>
            <w:r>
              <w:rPr>
                <w:rFonts w:ascii="Arial" w:cs="Arial" w:eastAsia="Arial" w:hAnsi="Arial"/>
                <w:sz w:val="18"/>
                <w:szCs w:val="18"/>
                <w:color w:val="auto"/>
                <w:w w:val="88"/>
              </w:rPr>
              <w:t>terms, as to status, redemption or otherwise except for the issue date, the initial interest payment</w:t>
            </w:r>
          </w:p>
        </w:tc>
      </w:tr>
    </w:tbl>
    <w:p>
      <w:pPr>
        <w:ind w:left="4400" w:right="100"/>
        <w:spacing w:after="0" w:line="261" w:lineRule="auto"/>
        <w:rPr>
          <w:sz w:val="20"/>
          <w:szCs w:val="20"/>
          <w:color w:val="auto"/>
        </w:rPr>
      </w:pPr>
      <w:r>
        <w:rPr>
          <w:rFonts w:ascii="Arial" w:cs="Arial" w:eastAsia="Arial" w:hAnsi="Arial"/>
          <w:sz w:val="18"/>
          <w:szCs w:val="18"/>
          <w:color w:val="auto"/>
        </w:rPr>
        <w:t>date, if applicable, and the payment of interest accruing prior to the issue date of such additional notes.</w:t>
      </w: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63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4634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 (dollars in millions):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Six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losses in equity investments(a)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1,557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1,656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1,475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1,801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1,792</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Implicit interest in rents</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860"/>
              <w:spacing w:after="0"/>
              <w:rPr>
                <w:sz w:val="20"/>
                <w:szCs w:val="20"/>
                <w:color w:val="auto"/>
              </w:rPr>
            </w:pPr>
            <w:r>
              <w:rPr>
                <w:rFonts w:ascii="Arial" w:cs="Arial" w:eastAsia="Arial" w:hAnsi="Arial"/>
                <w:sz w:val="18"/>
                <w:szCs w:val="18"/>
                <w:color w:val="auto"/>
              </w:rPr>
              <w:t>Earnings available for fixed charges(b)</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897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2,083</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2,169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1,939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2,294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2,357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fixed charges(b)</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548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510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Ratio of earnings to fixed charges(a)</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3.8x</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4.1x</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4.0x</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4.0x</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right="200" w:hanging="423"/>
        <w:spacing w:after="0" w:line="252"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“Income before income taxes and losses in equity investments” for the periods presented has been significantly affected by restructurings, asset impairments, divestitures and other items that management believes are not representative of our results. The effect of these items on our “Income before income taxes and losses in equity investments” should be considered when comparing the “Ratio of earnings to fixed charges” for the periods presented.</w:t>
      </w:r>
    </w:p>
    <w:p>
      <w:pPr>
        <w:spacing w:after="0" w:line="1" w:lineRule="exact"/>
        <w:rPr>
          <w:rFonts w:ascii="Arial" w:cs="Arial" w:eastAsia="Arial" w:hAnsi="Arial"/>
          <w:sz w:val="18"/>
          <w:szCs w:val="18"/>
          <w:color w:val="auto"/>
        </w:rPr>
      </w:pPr>
    </w:p>
    <w:p>
      <w:pPr>
        <w:ind w:left="620" w:right="80" w:hanging="423"/>
        <w:spacing w:after="0" w:line="302" w:lineRule="auto"/>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w:t>
      </w:r>
    </w:p>
    <w:p>
      <w:pPr>
        <w:spacing w:after="0" w:line="109"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i w:val="1"/>
          <w:iCs w:val="1"/>
          <w:color w:val="auto"/>
        </w:rPr>
        <w:t>You should carefully consider the risk factors identified in Part 1, Item 1A, “Risk Factors,” of our Annual Report on Form 10-K for the year ended December 31, 2011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decision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substantial indebtedness could impair our financial condition and our ability to fulfill our debt obligations, including our obligations under the notes.</w:t>
      </w:r>
    </w:p>
    <w:p>
      <w:pPr>
        <w:spacing w:after="0" w:line="125"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We have substantial indebtedness. At June 30, 2012, our ratio of total debt to total capitalization was 60.2% and our total consolidated indebtedness was $9.83 billion. In addition, as of June 30, 2012, we had approximately $1.5 billion of letters of credit outstanding under our $2.0 billion revolving credit facility and letter of credit facilities. Our level of indebtedness and the covenants contained in the agreements governing our debt could have important consequences, including:</w:t>
      </w:r>
    </w:p>
    <w:p>
      <w:pPr>
        <w:spacing w:after="0" w:line="62" w:lineRule="exact"/>
        <w:rPr>
          <w:sz w:val="20"/>
          <w:szCs w:val="20"/>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us vulnerable to increases in interest rates, as $1.6 billion of our total debt as of June 30, 2012 is exposed to changes in market interest rates within the next twelve months.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$2.0 billion revolving credit facility requires us to comply with specified ratios of Total Debt to EBITDA and EBIT to Consolidated Total Interest Expense (each as defined in our revolving credit facility), as of June 30, 2012 and after giving effect to the offering of the notes,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our secured debt.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June 30, 2012 was $164 million. As of June 30, 2012, our operating subsidiaries had $3.25 billion of indebtedness and WM Holdings had $449 million of indebtedness (excluding guarantees of $5.68 billion of our senior debt), in each case excluding intercompany loans. For a description of the ranking of the notes, see “Description of Notes — Ranking” in this prospectus supplement.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funds to purchase the notes upon a change of control triggering event, and this covenant provides limited protection to investors.</w:t>
      </w:r>
    </w:p>
    <w:p>
      <w:pPr>
        <w:spacing w:after="0" w:line="12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 existing debt.</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their respective initial offering prices. Factors that could cause the notes to trade at a discount are:</w:t>
      </w:r>
    </w:p>
    <w:p>
      <w:pPr>
        <w:spacing w:after="0" w:line="6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expect the net proceeds from the offering of the notes to be $ million, after deducting the underwriting discount and estimated expenses of the offering that we will pay. We intend to use the net proceeds from the offering of the notes to repay $400 million principal amount of our outstanding 6.375% Senior Notes when they mature in November 2012, plus accrued and unpaid interest of $12.75 million. All remaining proceeds will be used for general corporate purposes, including additions to working capital and capital expenditures.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Pending application of the net proceeds as described in the paragraph immediately above, we anticipate that we will temporarily pay down approximately $200 million of short-term borrowings under our revolving credit facility used for working capital, and we may temporarily invest the remainder of the net proceeds in short-term investments. As of August 30, 2012, the outstanding balance on our revolving credit facility was $200 million and bore an interest rate of 1.42%. The maturity date of the revolving credit facility is May 9, 2016. Affiliates of certain of the underwriters are lenders under our revolving credit facility and, accordingly, will receive a portion of the net proceeds from this offering. See “Underwriting” in this prospectus supplement.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June 30, 2012 on an actual basis and as adjusted to give effect to the offering of the notes and the application of the estimated net proceeds as described under “Use of Proceeds” in this prospectus supplement.</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4"/>
                <w:szCs w:val="14"/>
                <w:b w:val="1"/>
                <w:bCs w:val="1"/>
                <w:color w:val="auto"/>
                <w:w w:val="90"/>
              </w:rPr>
              <w:t>June 30, 2012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32"/>
              <w:spacing w:after="0" w:line="142" w:lineRule="exact"/>
              <w:rPr>
                <w:sz w:val="20"/>
                <w:szCs w:val="20"/>
                <w:color w:val="auto"/>
              </w:rPr>
            </w:pPr>
            <w:r>
              <w:rPr>
                <w:rFonts w:ascii="Arial" w:cs="Arial" w:eastAsia="Arial" w:hAnsi="Arial"/>
                <w:sz w:val="14"/>
                <w:szCs w:val="14"/>
                <w:b w:val="1"/>
                <w:bCs w:val="1"/>
                <w:color w:val="auto"/>
                <w:w w:val="84"/>
              </w:rPr>
              <w:t>Actual</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As Adjusted</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right"/>
              <w:ind w:right="352"/>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Revolving credit facility(a)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Letter of credit facilities(a)</w:t>
            </w:r>
          </w:p>
        </w:tc>
        <w:tc>
          <w:tcPr>
            <w:tcW w:w="100" w:type="dxa"/>
            <w:vAlign w:val="bottom"/>
          </w:tcPr>
          <w:p>
            <w:pPr>
              <w:spacing w:after="0"/>
              <w:rPr>
                <w:sz w:val="18"/>
                <w:szCs w:val="18"/>
                <w:color w:val="auto"/>
              </w:rPr>
            </w:pP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Canadian credit facility, net of discount (weighted average interest rate of 2.0% at June 30, 2012)(b)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Senior notes and debentures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6"/>
              </w:rPr>
              <w:t>Maturing through 2039, interest rates ranging from 2.60% to 7.75% (weighted average interest rate of 6.0% at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June 30, 2012)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5,820</w:t>
            </w: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 Senior Notes due 2022 offered hereby (net of any unamortized discount)</w:t>
            </w:r>
          </w:p>
        </w:tc>
        <w:tc>
          <w:tcPr>
            <w:tcW w:w="100" w:type="dxa"/>
            <w:vAlign w:val="bottom"/>
          </w:tcPr>
          <w:p>
            <w:pPr>
              <w:spacing w:after="0"/>
              <w:rPr>
                <w:sz w:val="18"/>
                <w:szCs w:val="18"/>
                <w:color w:val="auto"/>
              </w:rPr>
            </w:pPr>
          </w:p>
        </w:tc>
        <w:tc>
          <w:tcPr>
            <w:tcW w:w="88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Tax-exempt bonds maturing through 2041, fixed and variable interest rates ranging from 0.2% to 7.4% (weighted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average interest rate of 2.9% at June 30, 2012)(c)</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w:t>
            </w:r>
          </w:p>
        </w:tc>
      </w:tr>
      <w:tr>
        <w:trPr>
          <w:trHeight w:val="208"/>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w w:val="99"/>
              </w:rPr>
              <w:t>Tax-exempt project bonds, principal payable in periodic installments, maturing through 2029, fixed and variable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640"/>
              <w:spacing w:after="0"/>
              <w:rPr>
                <w:sz w:val="20"/>
                <w:szCs w:val="20"/>
                <w:color w:val="auto"/>
              </w:rPr>
            </w:pPr>
            <w:r>
              <w:rPr>
                <w:rFonts w:ascii="Arial" w:cs="Arial" w:eastAsia="Arial" w:hAnsi="Arial"/>
                <w:sz w:val="18"/>
                <w:szCs w:val="18"/>
                <w:color w:val="auto"/>
              </w:rPr>
              <w:t>interest rates ranging from 0.2% to 3.4% (weighted average interest rate of 1.4% at June 30, 2012)(d)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86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9,826</w:t>
            </w:r>
          </w:p>
        </w:tc>
        <w:tc>
          <w:tcPr>
            <w:tcW w:w="400" w:type="dxa"/>
            <w:vAlign w:val="bottom"/>
          </w:tcPr>
          <w:p>
            <w:pPr>
              <w:spacing w:after="0"/>
              <w:rPr>
                <w:sz w:val="20"/>
                <w:szCs w:val="20"/>
                <w:color w:val="auto"/>
              </w:rPr>
            </w:pPr>
          </w:p>
        </w:tc>
        <w:tc>
          <w:tcPr>
            <w:tcW w:w="52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 1,500,000,000 shares authorized; 630,282,461 shares issued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4,540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4,540</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6,771</w:t>
            </w: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167,283,574 shares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1"/>
              </w:rPr>
              <w:t>(5,312)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(5,312)</w:t>
            </w:r>
          </w:p>
        </w:tc>
      </w:tr>
      <w:tr>
        <w:trPr>
          <w:trHeight w:val="221"/>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Total Waste Management, Inc. stockholders’ equity</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86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debt and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16,313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$2.0 billion revolving credit facility matures May 9, 2016. Our revolving credit facility can be used for either cash borrowings or to support letters of credit and is our primary source of letter of credit capacity. Our remaining letter of credit capacity is provided under facilities with terms that extend from June 2013 to June 2015. As of June 30, 2012, we had an aggregate committed capacity of $2.5 billion for letters of credit under various credit facilities, and we had an aggregate of $1.5 billion of letters of credit outstanding thereunder. Approximately $1.0 billion of these letters of credit have been issued under our revolving credit facility.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84" w:lineRule="auto"/>
        <w:rPr>
          <w:sz w:val="20"/>
          <w:szCs w:val="20"/>
          <w:color w:val="auto"/>
        </w:rPr>
      </w:pPr>
      <w:r>
        <w:rPr>
          <w:rFonts w:ascii="Arial" w:cs="Arial" w:eastAsia="Arial" w:hAnsi="Arial"/>
          <w:sz w:val="16"/>
          <w:szCs w:val="16"/>
          <w:color w:val="auto"/>
        </w:rPr>
        <w:t>As of August 30, 2012, the outstanding balance on our revolving credit facility was $200 million. Pending application of the net proceeds as described in “Use of Proceeds,” we anticipate that we will temporarily pay down approximately $200 million of short-term borrowings under our revolving credit facility used for working capital, and we may temporarily invest the remainder of the net proceeds in short-term investments.</w:t>
      </w:r>
    </w:p>
    <w:p>
      <w:pPr>
        <w:spacing w:after="0" w:line="1" w:lineRule="exact"/>
        <w:rPr>
          <w:sz w:val="20"/>
          <w:szCs w:val="20"/>
          <w:color w:val="auto"/>
        </w:rPr>
      </w:pP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Waste Management of Canada Corporation, our wholly-owned subsidiary, is party to a Cdn$340 million credit facility with a maturity of November 2012 that is guaranteed by Waste Management, Inc. and WM Holdings.</w:t>
      </w: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Tax-exempt project bonds are used by our Wheelabrator Group, which owns and operates waste-to-energy facilities and independent power production plants, to finance the development of the waste-to-energy facilities.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The notes will be issued under and pursuant to an Indenture dated as of September 10, 1997, between us and The Bank of New York Mellon Trust Company, N.A. (the current successor to the initial trustee, Texas Commerce Bank National Association), as Trustee. We will issue the notes pursuant to a resolution of our Board of Directors and accompanying officers’ certificate setting forth the specific terms applicable to the notes.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and the notes, a copy of which is available from us, for a complete description of our obligations and your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The Notes. </w:t>
      </w:r>
      <w:r>
        <w:rPr>
          <w:rFonts w:ascii="Arial" w:cs="Arial" w:eastAsia="Arial" w:hAnsi="Arial"/>
          <w:sz w:val="18"/>
          <w:szCs w:val="18"/>
          <w:color w:val="auto"/>
        </w:rPr>
        <w:t>The notes will:</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ectPr>
          <w:pgSz w:w="11900" w:h="16838" w:orient="portrait"/>
          <w:cols w:equalWidth="0" w:num="1">
            <w:col w:w="11400"/>
          </w:cols>
          <w:pgMar w:left="240" w:top="459" w:right="259" w:bottom="1440" w:gutter="0" w:footer="0" w:header="0"/>
        </w:sectPr>
      </w:pP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constitute a new series of debt securities issued under the Indenture and will be initially limited to an aggregate principal amount of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million;</w:t>
      </w:r>
    </w:p>
    <w:p>
      <w:pPr>
        <w:spacing w:after="0" w:line="113" w:lineRule="exact"/>
        <w:rPr>
          <w:sz w:val="20"/>
          <w:szCs w:val="20"/>
          <w:color w:val="auto"/>
        </w:rPr>
      </w:pPr>
    </w:p>
    <w:p>
      <w:pPr>
        <w:sectPr>
          <w:pgSz w:w="11900" w:h="16838" w:orient="portrait"/>
          <w:cols w:equalWidth="0" w:num="3">
            <w:col w:w="520" w:space="380"/>
            <w:col w:w="9360" w:space="360"/>
            <w:col w:w="78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mature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2022;</w:t>
      </w:r>
    </w:p>
    <w:p>
      <w:pPr>
        <w:spacing w:after="0" w:line="113" w:lineRule="exact"/>
        <w:rPr>
          <w:sz w:val="20"/>
          <w:szCs w:val="20"/>
          <w:color w:val="auto"/>
        </w:rPr>
      </w:pPr>
    </w:p>
    <w:p>
      <w:pPr>
        <w:sectPr>
          <w:pgSz w:w="11900" w:h="16838" w:orient="portrait"/>
          <w:cols w:equalWidth="0" w:num="3">
            <w:col w:w="520" w:space="380"/>
            <w:col w:w="900" w:space="720"/>
            <w:col w:w="8880"/>
          </w:cols>
          <w:pgMar w:left="240" w:top="459" w:right="259" w:bottom="1440" w:gutter="0" w:footer="0" w:header="0"/>
          <w:type w:val="continuous"/>
        </w:sect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issued only in book-entry form represented by global notes registered initially in the name of Cede &amp; Co., as nominee of The Depository Trust Company (“DTC”), or such other name as may be requested by an authorized representative of DTC, and deposited with the Trustee, as custodian for DTC.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Interest will:</w:t>
      </w:r>
    </w:p>
    <w:p>
      <w:pPr>
        <w:sectPr>
          <w:pgSz w:w="11900" w:h="16838" w:orient="portrait"/>
          <w:cols w:equalWidth="0" w:num="1">
            <w:col w:w="11400"/>
          </w:cols>
          <w:pgMar w:left="240" w:top="459" w:right="259" w:bottom="1440" w:gutter="0" w:footer="0" w:header="0"/>
          <w:type w:val="continuous"/>
        </w:sectPr>
      </w:pP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accrue on the notes at the rate of</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 per annum;</w:t>
      </w:r>
    </w:p>
    <w:p>
      <w:pPr>
        <w:spacing w:after="0" w:line="124" w:lineRule="exact"/>
        <w:rPr>
          <w:sz w:val="20"/>
          <w:szCs w:val="20"/>
          <w:color w:val="auto"/>
        </w:rPr>
      </w:pPr>
    </w:p>
    <w:p>
      <w:pPr>
        <w:sectPr>
          <w:pgSz w:w="11900" w:h="16838" w:orient="portrait"/>
          <w:cols w:equalWidth="0" w:num="3">
            <w:col w:w="520" w:space="380"/>
            <w:col w:w="2280" w:space="220"/>
            <w:col w:w="800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accrue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2012 or the most recent interest payment date;</w:t>
      </w:r>
    </w:p>
    <w:p>
      <w:pPr>
        <w:spacing w:after="0" w:line="124" w:lineRule="exact"/>
        <w:rPr>
          <w:sz w:val="20"/>
          <w:szCs w:val="20"/>
          <w:color w:val="auto"/>
        </w:rPr>
      </w:pPr>
    </w:p>
    <w:p>
      <w:pPr>
        <w:sectPr>
          <w:pgSz w:w="11900" w:h="16838" w:orient="portrait"/>
          <w:cols w:equalWidth="0" w:num="3">
            <w:col w:w="520" w:space="380"/>
            <w:col w:w="1040" w:space="720"/>
            <w:col w:w="874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be payable in cash semi-annually in arrears on</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Arial" w:cs="Arial" w:eastAsia="Arial" w:hAnsi="Arial"/>
          <w:sz w:val="15"/>
          <w:szCs w:val="15"/>
          <w:color w:val="auto"/>
        </w:rPr>
        <w:t>of each year, beginning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2013;</w:t>
      </w:r>
    </w:p>
    <w:p>
      <w:pPr>
        <w:spacing w:after="0" w:line="124" w:lineRule="exact"/>
        <w:rPr>
          <w:sz w:val="20"/>
          <w:szCs w:val="20"/>
          <w:color w:val="auto"/>
        </w:rPr>
      </w:pPr>
    </w:p>
    <w:p>
      <w:pPr>
        <w:sectPr>
          <w:pgSz w:w="11900" w:h="16838" w:orient="portrait"/>
          <w:cols w:equalWidth="0" w:num="5">
            <w:col w:w="520" w:space="380"/>
            <w:col w:w="3500" w:space="720"/>
            <w:col w:w="500" w:space="720"/>
            <w:col w:w="2060" w:space="720"/>
            <w:col w:w="228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be payable to holders of record on the</w:t>
      </w:r>
    </w:p>
    <w:p>
      <w:pPr>
        <w:spacing w:after="0" w:line="20" w:lineRule="exact"/>
        <w:rPr>
          <w:sz w:val="20"/>
          <w:szCs w:val="20"/>
          <w:color w:val="auto"/>
        </w:rPr>
      </w:pPr>
      <w:r>
        <w:rPr>
          <w:sz w:val="20"/>
          <w:szCs w:val="20"/>
          <w:color w:val="auto"/>
        </w:rPr>
        <w:br w:type="column"/>
      </w:r>
    </w:p>
    <w:p>
      <w:pPr>
        <w:jc w:val="center"/>
        <w:ind w:right="2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immediately preceding the related interest payment dates; and</w:t>
      </w:r>
    </w:p>
    <w:p>
      <w:pPr>
        <w:spacing w:after="0" w:line="124" w:lineRule="exact"/>
        <w:rPr>
          <w:sz w:val="20"/>
          <w:szCs w:val="20"/>
          <w:color w:val="auto"/>
        </w:rPr>
      </w:pPr>
    </w:p>
    <w:p>
      <w:pPr>
        <w:sectPr>
          <w:pgSz w:w="11900" w:h="16838" w:orient="portrait"/>
          <w:cols w:equalWidth="0" w:num="4">
            <w:col w:w="520" w:space="380"/>
            <w:col w:w="2900" w:space="720"/>
            <w:col w:w="500" w:space="720"/>
            <w:col w:w="5660"/>
          </w:cols>
          <w:pgMar w:left="240" w:top="459" w:right="259" w:bottom="1440" w:gutter="0" w:footer="0" w:header="0"/>
          <w:type w:val="continuous"/>
        </w:sect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Bank of New York Mellon, by check mailed directly to registered holders at their registered addresses or by wire transfer to an account designated by a registered holder.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Before the date that is three months prior to the maturity date, the notes will be redeemable and repayable, at our option, at any time in whole, or from time to time in part, at a price equal to the greater of:</w:t>
      </w:r>
    </w:p>
    <w:p>
      <w:pPr>
        <w:spacing w:after="0" w:line="5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(at the rate in effect on the date of calculation of the</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redemption price) on the notes to be redeemed (exclusive of interest accrued to the date of redemption) discounted to the date of redemption on a</w:t>
      </w:r>
    </w:p>
    <w:p>
      <w:pPr>
        <w:spacing w:after="0" w:line="32" w:lineRule="exact"/>
        <w:rPr>
          <w:sz w:val="20"/>
          <w:szCs w:val="20"/>
          <w:color w:val="auto"/>
        </w:rPr>
      </w:pPr>
    </w:p>
    <w:p>
      <w:pPr>
        <w:ind w:left="900"/>
        <w:spacing w:after="0"/>
        <w:tabs>
          <w:tab w:leader="none" w:pos="9640" w:val="left"/>
        </w:tabs>
        <w:rPr>
          <w:sz w:val="20"/>
          <w:szCs w:val="20"/>
          <w:color w:val="auto"/>
        </w:rPr>
      </w:pPr>
      <w:r>
        <w:rPr>
          <w:rFonts w:ascii="Arial" w:cs="Arial" w:eastAsia="Arial" w:hAnsi="Arial"/>
          <w:sz w:val="18"/>
          <w:szCs w:val="18"/>
          <w:color w:val="auto"/>
        </w:rPr>
        <w:t>semi-annual basis (assuming a 360-day year consisting of twelve 30-day months) at the applicable Treasury Yield plus</w:t>
      </w:r>
      <w:r>
        <w:rPr>
          <w:sz w:val="20"/>
          <w:szCs w:val="20"/>
          <w:color w:val="auto"/>
        </w:rPr>
        <w:tab/>
      </w:r>
      <w:r>
        <w:rPr>
          <w:rFonts w:ascii="Arial" w:cs="Arial" w:eastAsia="Arial" w:hAnsi="Arial"/>
          <w:sz w:val="15"/>
          <w:szCs w:val="15"/>
          <w:color w:val="auto"/>
        </w:rPr>
        <w:t>basis points;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On or after the date that is three months prior to the maturity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factors that we generally consider in determining whether to redeem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However, given the substantial expense we would incur in redeeming the notes due to the calculation of the redemption price described above, we do not believe that we would redeem the notes in the ordinary course of our business before three months prior to the maturity date. We are currently unaware of any circumstances under which we would redeem the notes.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determining the optional redemption price, the following definitions are applicable:</w:t>
      </w:r>
    </w:p>
    <w:p>
      <w:pPr>
        <w:spacing w:after="0" w:line="90"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i w:val="1"/>
          <w:iCs w:val="1"/>
          <w:color w:val="auto"/>
        </w:rPr>
        <w:t xml:space="preserve">“Treasury Yield” </w:t>
      </w:r>
      <w:r>
        <w:rPr>
          <w:rFonts w:ascii="Arial" w:cs="Arial" w:eastAsia="Arial" w:hAnsi="Arial"/>
          <w:sz w:val="18"/>
          <w:szCs w:val="18"/>
          <w:color w:val="auto"/>
        </w:rPr>
        <w:t>means, with respect to any redemption date applicable to the notes, the rate per annum equal to the semi-annual equivalent yield to</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(computed as of the third business day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60"/>
        <w:spacing w:after="0" w:line="332" w:lineRule="auto"/>
        <w:rPr>
          <w:sz w:val="20"/>
          <w:szCs w:val="20"/>
          <w:color w:val="auto"/>
        </w:rPr>
      </w:pPr>
      <w:r>
        <w:rPr>
          <w:rFonts w:ascii="Arial" w:cs="Arial" w:eastAsia="Arial" w:hAnsi="Arial"/>
          <w:sz w:val="16"/>
          <w:szCs w:val="16"/>
          <w:color w:val="auto"/>
        </w:rPr>
        <w:t>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4" w:lineRule="exact"/>
        <w:rPr>
          <w:sz w:val="20"/>
          <w:szCs w:val="20"/>
          <w:color w:val="auto"/>
        </w:rPr>
      </w:pPr>
    </w:p>
    <w:p>
      <w:pPr>
        <w:ind w:left="460" w:right="220" w:firstLine="438"/>
        <w:spacing w:after="0" w:line="306" w:lineRule="auto"/>
        <w:rPr>
          <w:sz w:val="20"/>
          <w:szCs w:val="20"/>
          <w:color w:val="auto"/>
        </w:rPr>
      </w:pPr>
      <w:r>
        <w:rPr>
          <w:rFonts w:ascii="Arial" w:cs="Arial" w:eastAsia="Arial" w:hAnsi="Arial"/>
          <w:sz w:val="16"/>
          <w:szCs w:val="16"/>
          <w:i w:val="1"/>
          <w:iCs w:val="1"/>
          <w:color w:val="auto"/>
        </w:rPr>
        <w:t xml:space="preserve">“Comparable Treasury Issue” </w:t>
      </w:r>
      <w:r>
        <w:rPr>
          <w:rFonts w:ascii="Arial" w:cs="Arial" w:eastAsia="Arial" w:hAnsi="Arial"/>
          <w:sz w:val="16"/>
          <w:szCs w:val="16"/>
          <w:color w:val="auto"/>
        </w:rPr>
        <w:t>means the United States Treasury security selected by an Independent Investment Banker as having a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26" w:lineRule="exact"/>
        <w:rPr>
          <w:sz w:val="20"/>
          <w:szCs w:val="20"/>
          <w:color w:val="auto"/>
        </w:rPr>
      </w:pPr>
    </w:p>
    <w:p>
      <w:pPr>
        <w:ind w:left="460" w:right="340" w:firstLine="438"/>
        <w:spacing w:after="0" w:line="306" w:lineRule="auto"/>
        <w:rPr>
          <w:sz w:val="20"/>
          <w:szCs w:val="20"/>
          <w:color w:val="auto"/>
        </w:rPr>
      </w:pPr>
      <w:r>
        <w:rPr>
          <w:rFonts w:ascii="Arial" w:cs="Arial" w:eastAsia="Arial" w:hAnsi="Arial"/>
          <w:sz w:val="16"/>
          <w:szCs w:val="16"/>
          <w:i w:val="1"/>
          <w:iCs w:val="1"/>
          <w:color w:val="auto"/>
        </w:rPr>
        <w:t xml:space="preserve">“Independent Investment Banker” </w:t>
      </w:r>
      <w:r>
        <w:rPr>
          <w:rFonts w:ascii="Arial" w:cs="Arial" w:eastAsia="Arial" w:hAnsi="Arial"/>
          <w:sz w:val="16"/>
          <w:szCs w:val="16"/>
          <w:color w:val="auto"/>
        </w:rPr>
        <w:t>means any of Barclays Capital Inc., BNP Paribas Securities Corp. and Merrill Lynch, Pierce, Fenner &amp; Smith</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(and their respective successors), or, if all of such firms are unwilling or unable to select the applicable Comparable Treasury Issue, an independent investment banking institution of national standing appointed by the Trustee and reasonably acceptable to us.</w:t>
      </w:r>
    </w:p>
    <w:p>
      <w:pPr>
        <w:spacing w:after="0" w:line="26" w:lineRule="exact"/>
        <w:rPr>
          <w:sz w:val="20"/>
          <w:szCs w:val="20"/>
          <w:color w:val="auto"/>
        </w:rPr>
      </w:pPr>
    </w:p>
    <w:p>
      <w:pPr>
        <w:ind w:left="460" w:right="80" w:firstLine="438"/>
        <w:spacing w:after="0" w:line="306" w:lineRule="auto"/>
        <w:rPr>
          <w:sz w:val="20"/>
          <w:szCs w:val="20"/>
          <w:color w:val="auto"/>
        </w:rPr>
      </w:pPr>
      <w:r>
        <w:rPr>
          <w:rFonts w:ascii="Arial" w:cs="Arial" w:eastAsia="Arial" w:hAnsi="Arial"/>
          <w:sz w:val="16"/>
          <w:szCs w:val="16"/>
          <w:i w:val="1"/>
          <w:iCs w:val="1"/>
          <w:color w:val="auto"/>
        </w:rPr>
        <w:t xml:space="preserve">“Comparable Treasury Price” </w:t>
      </w:r>
      <w:r>
        <w:rPr>
          <w:rFonts w:ascii="Arial" w:cs="Arial" w:eastAsia="Arial" w:hAnsi="Arial"/>
          <w:sz w:val="16"/>
          <w:szCs w:val="16"/>
          <w:color w:val="auto"/>
        </w:rPr>
        <w:t>means, with respect to any redemption date, (i) the average of the Reference Treasury Dealer Quotations obtained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Trustee for the redemption date, after excluding the highest and lowest of all Reference Treasury Dealer Quotations obtained, or (ii) if the Trustee obtains fewer than four such Reference Treasury Dealer Quotations, the average of all Reference Treasury Dealer Quotations obtained by the Trustee.</w:t>
      </w:r>
    </w:p>
    <w:p>
      <w:pPr>
        <w:spacing w:after="0" w:line="26" w:lineRule="exact"/>
        <w:rPr>
          <w:sz w:val="20"/>
          <w:szCs w:val="20"/>
          <w:color w:val="auto"/>
        </w:rPr>
      </w:pPr>
    </w:p>
    <w:p>
      <w:pPr>
        <w:ind w:left="460" w:right="120" w:firstLine="438"/>
        <w:spacing w:after="0" w:line="335" w:lineRule="auto"/>
        <w:rPr>
          <w:sz w:val="20"/>
          <w:szCs w:val="20"/>
          <w:color w:val="auto"/>
        </w:rPr>
      </w:pPr>
      <w:r>
        <w:rPr>
          <w:rFonts w:ascii="Arial" w:cs="Arial" w:eastAsia="Arial" w:hAnsi="Arial"/>
          <w:sz w:val="15"/>
          <w:szCs w:val="15"/>
          <w:i w:val="1"/>
          <w:iCs w:val="1"/>
          <w:color w:val="auto"/>
        </w:rPr>
        <w:t xml:space="preserve">“Reference Treasury Dealer” </w:t>
      </w:r>
      <w:r>
        <w:rPr>
          <w:rFonts w:ascii="Arial" w:cs="Arial" w:eastAsia="Arial" w:hAnsi="Arial"/>
          <w:sz w:val="15"/>
          <w:szCs w:val="15"/>
          <w:color w:val="auto"/>
        </w:rPr>
        <w:t>means (i) each of Barclays Capital Inc., BNP Paribas Securities Corp. and Merrill Lynch, Pierce, Fenner &amp; Smith</w:t>
      </w:r>
      <w:r>
        <w:rPr>
          <w:rFonts w:ascii="Arial" w:cs="Arial" w:eastAsia="Arial" w:hAnsi="Arial"/>
          <w:sz w:val="15"/>
          <w:szCs w:val="15"/>
          <w:i w:val="1"/>
          <w:iCs w:val="1"/>
          <w:color w:val="auto"/>
        </w:rPr>
        <w:t xml:space="preserve"> </w:t>
      </w:r>
      <w:r>
        <w:rPr>
          <w:rFonts w:ascii="Arial" w:cs="Arial" w:eastAsia="Arial" w:hAnsi="Arial"/>
          <w:sz w:val="15"/>
          <w:szCs w:val="15"/>
          <w:color w:val="auto"/>
        </w:rPr>
        <w:t>Incorporated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7"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i w:val="1"/>
          <w:iCs w:val="1"/>
          <w:color w:val="auto"/>
        </w:rPr>
        <w:t xml:space="preserve">“Reference Treasury Dealer Quotations” </w:t>
      </w:r>
      <w:r>
        <w:rPr>
          <w:rFonts w:ascii="Arial" w:cs="Arial" w:eastAsia="Arial" w:hAnsi="Arial"/>
          <w:sz w:val="18"/>
          <w:szCs w:val="18"/>
          <w:color w:val="auto"/>
        </w:rPr>
        <w:t>means, with respect to each Reference Treasury Dealer and any redemption date for the notes,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as determined by the Trustee, of the bid and asked prices for the Comparable Treasury Issue for such notes (expressed in each case as a percentage of its principal amount) quoted in writing to the Trustee by the Reference Treasury Dealer at 5:00 p.m., New York City time, on the third business day preceding such redemption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above, the notes will not be redeemable by us prior to maturity and will not be entitled to the benefit of any sinking fund.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Debt Securities — Provisions Applicable to Each Indenture — Defeasance” in the accompanying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51" w:lineRule="exact"/>
        <w:rPr>
          <w:sz w:val="20"/>
          <w:szCs w:val="20"/>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jc w:val="both"/>
        <w:ind w:left="460" w:right="80" w:firstLine="443"/>
        <w:spacing w:after="0" w:line="259" w:lineRule="auto"/>
        <w:tabs>
          <w:tab w:leader="none" w:pos="113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59"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40"/>
        <w:spacing w:after="0" w:line="306" w:lineRule="auto"/>
        <w:rPr>
          <w:sz w:val="20"/>
          <w:szCs w:val="20"/>
          <w:color w:val="auto"/>
        </w:rPr>
      </w:pPr>
      <w:r>
        <w:rPr>
          <w:rFonts w:ascii="Arial" w:cs="Arial" w:eastAsia="Arial" w:hAnsi="Arial"/>
          <w:sz w:val="16"/>
          <w:szCs w:val="16"/>
          <w:color w:val="auto"/>
        </w:rPr>
        <w:t>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26" w:lineRule="exact"/>
        <w:rPr>
          <w:sz w:val="20"/>
          <w:szCs w:val="20"/>
          <w:color w:val="auto"/>
        </w:rPr>
      </w:pPr>
    </w:p>
    <w:p>
      <w:pPr>
        <w:ind w:left="1160" w:hanging="257"/>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and</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13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143"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Debt Securities — Provisions Applicable Solely to Senior Debt Securities” in the accompanying prospectus.</w:t>
      </w:r>
    </w:p>
    <w:p>
      <w:pPr>
        <w:spacing w:after="0" w:line="123"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As of June 30, 2012, our operating subsidiaries had $3.25 billion of indebtedness and WM Holdings had $449 million of indebtedness (excluding guarantees of $5.68 billion of our senior debt), in each case excluding intercompany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9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credit facilities (or any replacement or new principal credit facility). Our credit facilities currently state that WM Holdings’ guarantees under the facilities can only be released with the written consent of each of the lenders that is a party thereto.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offer</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113"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90" w:lineRule="exact"/>
        <w:rPr>
          <w:sz w:val="20"/>
          <w:szCs w:val="20"/>
          <w:color w:val="auto"/>
        </w:rPr>
      </w:pPr>
    </w:p>
    <w:p>
      <w:pPr>
        <w:ind w:left="460" w:right="380" w:firstLine="438"/>
        <w:spacing w:after="0" w:line="268"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means the occurrence of any of the following: (1) the direct or indirect sale, lease, transfer, conveyance or other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by way of merger or consolidation), in one or more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6" w:lineRule="auto"/>
        <w:rPr>
          <w:sz w:val="20"/>
          <w:szCs w:val="20"/>
          <w:color w:val="auto"/>
        </w:rPr>
      </w:pPr>
      <w:r>
        <w:rPr>
          <w:rFonts w:ascii="Arial" w:cs="Arial" w:eastAsia="Arial" w:hAnsi="Arial"/>
          <w:sz w:val="16"/>
          <w:szCs w:val="16"/>
          <w:color w:val="auto"/>
        </w:rPr>
        <w:t>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46" w:lineRule="exact"/>
        <w:rPr>
          <w:sz w:val="20"/>
          <w:szCs w:val="20"/>
          <w:color w:val="auto"/>
        </w:rPr>
      </w:pPr>
    </w:p>
    <w:p>
      <w:pPr>
        <w:ind w:left="460" w:firstLine="438"/>
        <w:spacing w:after="0" w:line="254"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63" w:lineRule="exact"/>
        <w:rPr>
          <w:sz w:val="20"/>
          <w:szCs w:val="20"/>
          <w:color w:val="auto"/>
        </w:rPr>
      </w:pPr>
    </w:p>
    <w:p>
      <w:pPr>
        <w:ind w:left="460" w:right="20" w:firstLine="438"/>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“change of control triggering event” </w:t>
      </w:r>
      <w:r>
        <w:rPr>
          <w:rFonts w:ascii="Arial" w:cs="Arial" w:eastAsia="Arial" w:hAnsi="Arial"/>
          <w:sz w:val="18"/>
          <w:szCs w:val="18"/>
          <w:color w:val="auto"/>
        </w:rPr>
        <w:t>means the occurrence of both a change of control and a rating event.</w:t>
      </w:r>
    </w:p>
    <w:p>
      <w:pPr>
        <w:spacing w:after="0" w:line="90" w:lineRule="exact"/>
        <w:rPr>
          <w:sz w:val="20"/>
          <w:szCs w:val="20"/>
          <w:color w:val="auto"/>
        </w:rPr>
      </w:pPr>
    </w:p>
    <w:p>
      <w:pPr>
        <w:ind w:left="460" w:right="300" w:firstLine="438"/>
        <w:spacing w:after="0" w:line="255" w:lineRule="auto"/>
        <w:rPr>
          <w:sz w:val="20"/>
          <w:szCs w:val="20"/>
          <w:color w:val="auto"/>
        </w:rPr>
      </w:pPr>
      <w:r>
        <w:rPr>
          <w:rFonts w:ascii="Arial" w:cs="Arial" w:eastAsia="Arial" w:hAnsi="Arial"/>
          <w:sz w:val="18"/>
          <w:szCs w:val="18"/>
          <w:i w:val="1"/>
          <w:iCs w:val="1"/>
          <w:color w:val="auto"/>
        </w:rPr>
        <w:t xml:space="preserve">“continuing directors” </w:t>
      </w:r>
      <w:r>
        <w:rPr>
          <w:rFonts w:ascii="Arial" w:cs="Arial" w:eastAsia="Arial" w:hAnsi="Arial"/>
          <w:sz w:val="18"/>
          <w:szCs w:val="18"/>
          <w:color w:val="auto"/>
        </w:rPr>
        <w:t>means, as of any date of determination, any member of our Board of Directors who (1) was a member of such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“Fitch” </w:t>
      </w:r>
      <w:r>
        <w:rPr>
          <w:rFonts w:ascii="Arial" w:cs="Arial" w:eastAsia="Arial" w:hAnsi="Arial"/>
          <w:sz w:val="18"/>
          <w:szCs w:val="18"/>
          <w:color w:val="auto"/>
        </w:rPr>
        <w:t>means Fitch Inc. and its successors.</w:t>
      </w:r>
    </w:p>
    <w:p>
      <w:pPr>
        <w:spacing w:after="0" w:line="90" w:lineRule="exact"/>
        <w:rPr>
          <w:sz w:val="20"/>
          <w:szCs w:val="20"/>
          <w:color w:val="auto"/>
        </w:rPr>
      </w:pPr>
    </w:p>
    <w:p>
      <w:pPr>
        <w:ind w:left="460" w:right="80" w:firstLine="438"/>
        <w:spacing w:after="0" w:line="332" w:lineRule="auto"/>
        <w:rPr>
          <w:sz w:val="20"/>
          <w:szCs w:val="20"/>
          <w:color w:val="auto"/>
        </w:rPr>
      </w:pPr>
      <w:r>
        <w:rPr>
          <w:rFonts w:ascii="Arial" w:cs="Arial" w:eastAsia="Arial" w:hAnsi="Arial"/>
          <w:sz w:val="16"/>
          <w:szCs w:val="16"/>
          <w:i w:val="1"/>
          <w:iCs w:val="1"/>
          <w:color w:val="auto"/>
        </w:rPr>
        <w:t xml:space="preserve">“investment grade rating” </w:t>
      </w:r>
      <w:r>
        <w:rPr>
          <w:rFonts w:ascii="Arial" w:cs="Arial" w:eastAsia="Arial" w:hAnsi="Arial"/>
          <w:sz w:val="16"/>
          <w:szCs w:val="16"/>
          <w:color w:val="auto"/>
        </w:rPr>
        <w:t>means a rating equal to or higher than BBB- (or the equivalent) by Fitch, Baa3 (or the equivalent) by Moody’s and BBB-(or the equivalent) by S&amp;P, and the equivalent investment grade credit rating from any replacement rating agency or rating agencies selected by us.</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 and its successors.</w:t>
      </w:r>
    </w:p>
    <w:p>
      <w:pPr>
        <w:spacing w:after="0" w:line="90" w:lineRule="exact"/>
        <w:rPr>
          <w:sz w:val="20"/>
          <w:szCs w:val="20"/>
          <w:color w:val="auto"/>
        </w:rPr>
      </w:pPr>
    </w:p>
    <w:p>
      <w:pPr>
        <w:ind w:left="460" w:right="120" w:firstLine="438"/>
        <w:spacing w:after="0" w:line="256" w:lineRule="auto"/>
        <w:rPr>
          <w:sz w:val="20"/>
          <w:szCs w:val="20"/>
          <w:color w:val="auto"/>
        </w:rPr>
      </w:pPr>
      <w:r>
        <w:rPr>
          <w:rFonts w:ascii="Arial" w:cs="Arial" w:eastAsia="Arial" w:hAnsi="Arial"/>
          <w:sz w:val="18"/>
          <w:szCs w:val="18"/>
          <w:i w:val="1"/>
          <w:iCs w:val="1"/>
          <w:color w:val="auto"/>
        </w:rPr>
        <w:t xml:space="preserve">“rating agencies” </w:t>
      </w:r>
      <w:r>
        <w:rPr>
          <w:rFonts w:ascii="Arial" w:cs="Arial" w:eastAsia="Arial" w:hAnsi="Arial"/>
          <w:sz w:val="18"/>
          <w:szCs w:val="18"/>
          <w:color w:val="auto"/>
        </w:rPr>
        <w:t>means (1) each of Fitch, Moody’s and S&amp;P and (2) if any of Fitch, Moody’s or S&amp;P ceases to rate the notes or fails to make a</w:t>
      </w:r>
      <w:r>
        <w:rPr>
          <w:rFonts w:ascii="Arial" w:cs="Arial" w:eastAsia="Arial" w:hAnsi="Arial"/>
          <w:sz w:val="18"/>
          <w:szCs w:val="18"/>
          <w:i w:val="1"/>
          <w:iCs w:val="1"/>
          <w:color w:val="auto"/>
        </w:rPr>
        <w:t xml:space="preserve"> </w:t>
      </w:r>
      <w:r>
        <w:rPr>
          <w:rFonts w:ascii="Arial" w:cs="Arial" w:eastAsia="Arial" w:hAnsi="Arial"/>
          <w:sz w:val="18"/>
          <w:szCs w:val="18"/>
          <w:color w:val="auto"/>
        </w:rPr>
        <w:t>rating of the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i w:val="1"/>
          <w:iCs w:val="1"/>
          <w:color w:val="auto"/>
        </w:rPr>
        <w:t xml:space="preserve">“rating event” </w:t>
      </w:r>
      <w:r>
        <w:rPr>
          <w:rFonts w:ascii="Arial" w:cs="Arial" w:eastAsia="Arial" w:hAnsi="Arial"/>
          <w:sz w:val="15"/>
          <w:szCs w:val="15"/>
          <w:color w:val="auto"/>
        </w:rPr>
        <w:t>means the rating on the notes is lowered by at least two of the three rating agencies and the notes are rated below an investment grade</w:t>
      </w:r>
      <w:r>
        <w:rPr>
          <w:rFonts w:ascii="Arial" w:cs="Arial" w:eastAsia="Arial" w:hAnsi="Arial"/>
          <w:sz w:val="15"/>
          <w:szCs w:val="15"/>
          <w:i w:val="1"/>
          <w:iCs w:val="1"/>
          <w:color w:val="auto"/>
        </w:rPr>
        <w:t xml:space="preserve"> </w:t>
      </w:r>
      <w:r>
        <w:rPr>
          <w:rFonts w:ascii="Arial" w:cs="Arial" w:eastAsia="Arial" w:hAnsi="Arial"/>
          <w:sz w:val="15"/>
          <w:szCs w:val="15"/>
          <w:color w:val="auto"/>
        </w:rPr>
        <w:t>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division of The McGraw-Hill Companies, Inc., and its successors.</w:t>
      </w:r>
    </w:p>
    <w:p>
      <w:pPr>
        <w:spacing w:after="0" w:line="9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i w:val="1"/>
          <w:iCs w:val="1"/>
          <w:color w:val="auto"/>
        </w:rPr>
        <w:t xml:space="preserve">“voting stock” </w:t>
      </w:r>
      <w:r>
        <w:rPr>
          <w:rFonts w:ascii="Arial" w:cs="Arial" w:eastAsia="Arial" w:hAnsi="Arial"/>
          <w:sz w:val="18"/>
          <w:szCs w:val="18"/>
          <w:color w:val="auto"/>
        </w:rPr>
        <w:t>means, with respect to any specified “person” (as that term is used in Section 13(d)(3) of the Exchange Act) as of any date, the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such person that is at the time entitled to vote generally in the election of the board of directors of such person.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For a description of these covenants, see “Description of Debt Securities — Provisions Applicable to Each Indenture — Consolidation, Merger and Sale of Assets” and “— Provisions Applicable Solely to Senior Debt Securities — Restrictive Covenants” in the accompanying prospectus.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may from time to time, without notice or the consent of the registered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systems</w:t>
      </w:r>
    </w:p>
    <w:p>
      <w:pPr>
        <w:spacing w:after="0" w:line="96"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offered notes.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DTC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and the underwriters as follows:</w:t>
      </w:r>
    </w:p>
    <w:p>
      <w:pPr>
        <w:spacing w:after="0" w:line="90" w:lineRule="exact"/>
        <w:rPr>
          <w:sz w:val="20"/>
          <w:szCs w:val="20"/>
          <w:color w:val="auto"/>
        </w:rPr>
      </w:pPr>
    </w:p>
    <w:p>
      <w:pPr>
        <w:ind w:left="900" w:right="2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as amended.</w:t>
      </w:r>
    </w:p>
    <w:p>
      <w:pPr>
        <w:spacing w:after="0" w:line="25" w:lineRule="exact"/>
        <w:rPr>
          <w:rFonts w:ascii="Arial" w:cs="Arial" w:eastAsia="Arial" w:hAnsi="Arial"/>
          <w:sz w:val="16"/>
          <w:szCs w:val="16"/>
          <w:color w:val="auto"/>
        </w:rPr>
      </w:pPr>
    </w:p>
    <w:p>
      <w:pPr>
        <w:ind w:left="900" w:right="36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25" w:lineRule="exact"/>
        <w:rPr>
          <w:rFonts w:ascii="Arial" w:cs="Arial" w:eastAsia="Arial" w:hAnsi="Arial"/>
          <w:sz w:val="16"/>
          <w:szCs w:val="16"/>
          <w:color w:val="auto"/>
        </w:rPr>
      </w:pPr>
    </w:p>
    <w:p>
      <w:pPr>
        <w:ind w:left="900" w:right="16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62"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is owned by The Depository Trust &amp; Clearing Corporation, which is owned by a number of its direct participants and by The New York Stock Exchange, Inc., NYSE Alternext US LLC and the Financial Industry Regulatory Authority, Inc.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8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Euroclear Operator is a Belgian bank, which is regulated and examined by the Belgian Banking Commission and the National Bank of Belgium.</w:t>
      </w:r>
    </w:p>
    <w:p>
      <w:pPr>
        <w:spacing w:after="0" w:line="194"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to the direct DTC participant, a cross-market transaction will settle no differently than a trade between two direct DTC participants.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Clearstream</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to the direct DTC participant, a cross-market transaction will settle no differently than a trade between two direct DTC participants.</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Barclays Capital Inc., BNP Paribas Securities Corp. and Merrill Lynch, Pierce, Fenner &amp; Smith Incorporated are acting as joint book-running and joint lead managers of the offering and as representatives of the underwriters named below.</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the notes set forth opposite the respective underwriters’ names.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Principal</w:t>
            </w:r>
          </w:p>
        </w:tc>
      </w:tr>
      <w:tr>
        <w:trPr>
          <w:trHeight w:val="149"/>
        </w:trPr>
        <w:tc>
          <w:tcPr>
            <w:tcW w:w="974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 of</w:t>
            </w:r>
          </w:p>
        </w:tc>
      </w:tr>
      <w:tr>
        <w:trPr>
          <w:trHeight w:val="161"/>
        </w:trPr>
        <w:tc>
          <w:tcPr>
            <w:tcW w:w="974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Notes</w:t>
            </w:r>
          </w:p>
        </w:tc>
      </w:tr>
      <w:tr>
        <w:trPr>
          <w:trHeight w:val="210"/>
        </w:trPr>
        <w:tc>
          <w:tcPr>
            <w:tcW w:w="9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97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Incorporated</w:t>
            </w:r>
          </w:p>
        </w:tc>
        <w:tc>
          <w:tcPr>
            <w:tcW w:w="6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2"/>
        </w:trPr>
        <w:tc>
          <w:tcPr>
            <w:tcW w:w="97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underwriters propose to offer the notes directly to the public at the public offering price set forth on the cover page of this prospectus supplement and may offer the notes to dealers at the public offering price less a concession not to exceed % of the principal amount of the notes. The underwriters may allow, and dealers may reallow, a concession not to exceed % of the principal amount of the notes on sales to other dealers. After the initial offering of the notes to the public, the representatives may change the public offering price and other selling terms applicable to the notes.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$800,000.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 2012, which is the fifth business day following the date of pricing of the notes (such settlement being referred to as “T+5”). Under Rule 15c6-1 of the Securities Exchange Act of 1934, as amended, trades in the secondary market generally are required to settle in three business days unless the parties to any such trade expressly agree otherwise. Accordingly, purchasers who wish to trade the notes on the date of pricing of the notes or the next succeeding business day will be required, by virtue of the fact that the notes initially will settle in T+5, to specify an alternate settlement cycle at the time of any such trade to prevent failed settlement and should consult their own advisers.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 In addition, certain affiliates of Barclays Capital Inc., BNP Paribas Securities Corp. and Merrill Lynch, Pierce, Fenner &amp; Smith Incorporated are lenders under our revolving credit facility and, accordingly, will receive a portion of the proceeds from this offering.</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notes which are the subject of the offering contemplated by this prospectus supplement to the public in that Relevant Member State other than:</w:t>
      </w:r>
    </w:p>
    <w:p>
      <w:pPr>
        <w:spacing w:after="0" w:line="32" w:lineRule="exact"/>
        <w:rPr>
          <w:sz w:val="20"/>
          <w:szCs w:val="20"/>
          <w:color w:val="auto"/>
        </w:rPr>
      </w:pPr>
    </w:p>
    <w:p>
      <w:pPr>
        <w:ind w:left="1100" w:hanging="197"/>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460" w:right="240" w:firstLine="443"/>
        <w:spacing w:after="0" w:line="259" w:lineRule="auto"/>
        <w:tabs>
          <w:tab w:leader="none" w:pos="10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subject to obtaining the prior consent of the representative or representatives nominated by us for any such offer;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offer of notes shall require us or any underwriter to publish a prospectus pursuant to Article 3 of the Prospectus Directive.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purposes of the preceding sentence, the expression “offer of notes to the public” in relation to any notes in any Relevant Member State means the communication in any form and by any means of sufficient information of the terms of the offer and the notes to be offered so as to enable an investor to decide to purchase or subscribe the notes, as the same may be varied in that Relevant Member State by any measure implementing the Prospectus Directive in that Relevant Member State; “Prospectus Directive” means Directive 2003/71/EC (and amendments thereto, including the 2010 PD Amending Directive, to the extent implemented in the Relevant Member State) and includes any relevant implementing measure in each Relevant Member State; and the term “2010 PD Amending Directive” means Directive 2010/73/EU.</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also agreed that: (i) it has complied and will comply with all applicable provisions of the Financial Services and Markets Act 2000, as amended (“FSMA”), with respect to anything done by it in relation to the notes in, from or otherwise involving the United Kingdom; and (ii)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ind w:right="920" w:firstLine="456"/>
        <w:spacing w:after="0" w:line="370" w:lineRule="auto"/>
        <w:rPr>
          <w:sz w:val="20"/>
          <w:szCs w:val="20"/>
          <w:color w:val="auto"/>
        </w:rPr>
      </w:pPr>
      <w:r>
        <w:rPr>
          <w:rFonts w:ascii="Arial" w:cs="Arial" w:eastAsia="Arial" w:hAnsi="Arial"/>
          <w:sz w:val="15"/>
          <w:szCs w:val="15"/>
          <w:color w:val="auto"/>
        </w:rPr>
        <w:t>Certain legal matters in connection with the notes offered hereby will be passed upon for us by Baker Botts L.L.P., Houston, Texas, and for the underwriters by Vinson &amp; Elkins L.L.P., Houston, Texas. Vinson &amp; Elkins L.L.P. represents us from time to time in matters unrelated to this offering.</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2011, including the schedule appearing therein, and the effectiveness of Waste Management, Inc.’s internal control over financial reporting as of December 31, 2011,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1"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3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SEC Filing (Our SEC File Number is 1-12154)</w:t>
            </w:r>
          </w:p>
        </w:tc>
        <w:tc>
          <w:tcPr>
            <w:tcW w:w="672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Date Filed</w:t>
            </w:r>
          </w:p>
        </w:tc>
      </w:tr>
      <w:tr>
        <w:trPr>
          <w:trHeight w:val="195"/>
        </w:trPr>
        <w:tc>
          <w:tcPr>
            <w:tcW w:w="9560" w:type="dxa"/>
            <w:vAlign w:val="bottom"/>
            <w:gridSpan w:val="2"/>
          </w:tcPr>
          <w:p>
            <w:pPr>
              <w:spacing w:after="0" w:line="195" w:lineRule="exact"/>
              <w:rPr>
                <w:sz w:val="20"/>
                <w:szCs w:val="20"/>
                <w:color w:val="auto"/>
              </w:rPr>
            </w:pPr>
            <w:r>
              <w:rPr>
                <w:rFonts w:ascii="Arial" w:cs="Arial" w:eastAsia="Arial" w:hAnsi="Arial"/>
                <w:sz w:val="18"/>
                <w:szCs w:val="18"/>
                <w:color w:val="auto"/>
              </w:rPr>
              <w:t>Annual Report on Form 10-K for the year ended December 31, 2011</w:t>
            </w:r>
          </w:p>
        </w:tc>
        <w:tc>
          <w:tcPr>
            <w:tcW w:w="1860" w:type="dxa"/>
            <w:vAlign w:val="bottom"/>
          </w:tcPr>
          <w:p>
            <w:pPr>
              <w:jc w:val="center"/>
              <w:spacing w:after="0" w:line="195" w:lineRule="exact"/>
              <w:rPr>
                <w:sz w:val="20"/>
                <w:szCs w:val="20"/>
                <w:color w:val="auto"/>
              </w:rPr>
            </w:pPr>
            <w:r>
              <w:rPr>
                <w:rFonts w:ascii="Arial" w:cs="Arial" w:eastAsia="Arial" w:hAnsi="Arial"/>
                <w:sz w:val="18"/>
                <w:szCs w:val="18"/>
                <w:color w:val="auto"/>
                <w:w w:val="88"/>
              </w:rPr>
              <w:t>February 16,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2012</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April 26,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2012</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July 26,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March 14,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May 14,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5"/>
              </w:rPr>
              <w:t>June 22,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July 5, 2012</w:t>
            </w: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 (except for the information furnished pursuant to Item 2.02)</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July 26, 2012</w:t>
            </w: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860" w:type="dxa"/>
            <w:vAlign w:val="bottom"/>
          </w:tcPr>
          <w:p>
            <w:pPr>
              <w:jc w:val="center"/>
              <w:spacing w:after="0"/>
              <w:rPr>
                <w:sz w:val="20"/>
                <w:szCs w:val="20"/>
                <w:color w:val="auto"/>
              </w:rPr>
            </w:pPr>
            <w:r>
              <w:rPr>
                <w:rFonts w:ascii="Arial" w:cs="Arial" w:eastAsia="Arial" w:hAnsi="Arial"/>
                <w:sz w:val="18"/>
                <w:szCs w:val="18"/>
                <w:color w:val="auto"/>
                <w:w w:val="88"/>
              </w:rPr>
              <w:t>August 28, 2012</w:t>
            </w:r>
          </w:p>
        </w:tc>
      </w:tr>
    </w:tbl>
    <w:p>
      <w:pPr>
        <w:spacing w:after="0" w:line="15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www.wm.com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118110</wp:posOffset>
            </wp:positionV>
            <wp:extent cx="1414780" cy="4800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WASTE MANAGEMENT, INC.</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GUARANTEES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UNITS</w:t>
      </w:r>
    </w:p>
    <w:p>
      <w:pPr>
        <w:spacing w:after="0" w:line="8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71" w:lineRule="exact"/>
        <w:rPr>
          <w:sz w:val="20"/>
          <w:szCs w:val="20"/>
          <w:color w:val="auto"/>
        </w:rPr>
      </w:pPr>
    </w:p>
    <w:p>
      <w:pPr>
        <w:jc w:val="both"/>
        <w:ind w:firstLine="57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5 of this prospectus, the risk factors included in our periodic reports that we file with the Securities Exchange Commission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95250</wp:posOffset>
            </wp:positionV>
            <wp:extent cx="13119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88900</wp:posOffset>
            </wp:positionV>
            <wp:extent cx="13119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September 22, 2009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339"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4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259"/>
        </w:trPr>
        <w:tc>
          <w:tcPr>
            <w:tcW w:w="20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Forward-Looking Statements</w:t>
              </w:r>
            </w:hyperlink>
          </w:p>
        </w:tc>
        <w:tc>
          <w:tcPr>
            <w:tcW w:w="1700" w:type="dxa"/>
            <w:vAlign w:val="bottom"/>
            <w:gridSpan w:val="5"/>
          </w:tcPr>
          <w:p>
            <w:pPr>
              <w:spacing w:after="0"/>
              <w:rPr>
                <w:sz w:val="22"/>
                <w:szCs w:val="22"/>
                <w:color w:val="auto"/>
              </w:rPr>
            </w:pPr>
          </w:p>
        </w:tc>
        <w:tc>
          <w:tcPr>
            <w:tcW w:w="7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Incorporation by Reference</w:t>
              </w:r>
            </w:hyperlink>
          </w:p>
        </w:tc>
        <w:tc>
          <w:tcPr>
            <w:tcW w:w="1840" w:type="dxa"/>
            <w:vAlign w:val="bottom"/>
            <w:gridSpan w:val="7"/>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Where You Can Find More Information</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The Company</w:t>
              </w:r>
            </w:hyperlink>
          </w:p>
        </w:tc>
        <w:tc>
          <w:tcPr>
            <w:tcW w:w="980" w:type="dxa"/>
            <w:vAlign w:val="bottom"/>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100" w:type="dxa"/>
            <w:vAlign w:val="bottom"/>
            <w:tcBorders>
              <w:top w:val="single" w:sz="8" w:color="0000EE"/>
            </w:tcBorders>
            <w:gridSpan w:val="2"/>
          </w:tcPr>
          <w:p>
            <w:pPr>
              <w:spacing w:after="0"/>
              <w:rPr>
                <w:sz w:val="17"/>
                <w:szCs w:val="17"/>
                <w:color w:val="auto"/>
              </w:rPr>
            </w:pPr>
          </w:p>
        </w:tc>
        <w:tc>
          <w:tcPr>
            <w:tcW w:w="2780" w:type="dxa"/>
            <w:vAlign w:val="bottom"/>
            <w:gridSpan w:val="13"/>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Ratio of Earnings to Fixed Charges</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Use of Proceeds</w:t>
              </w:r>
            </w:hyperlink>
          </w:p>
        </w:tc>
        <w:tc>
          <w:tcPr>
            <w:tcW w:w="1300" w:type="dxa"/>
            <w:vAlign w:val="bottom"/>
            <w:gridSpan w:val="2"/>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Description of Debt Securities</w:t>
              </w:r>
            </w:hyperlink>
          </w:p>
        </w:tc>
        <w:tc>
          <w:tcPr>
            <w:tcW w:w="1640" w:type="dxa"/>
            <w:vAlign w:val="bottom"/>
            <w:gridSpan w:val="4"/>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Description of Guarantees</w:t>
              </w:r>
            </w:hyperlink>
          </w:p>
        </w:tc>
        <w:tc>
          <w:tcPr>
            <w:tcW w:w="1920" w:type="dxa"/>
            <w:vAlign w:val="bottom"/>
            <w:gridSpan w:val="8"/>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0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Description of Capital Stock</w:t>
              </w:r>
            </w:hyperlink>
          </w:p>
        </w:tc>
        <w:tc>
          <w:tcPr>
            <w:tcW w:w="1760" w:type="dxa"/>
            <w:vAlign w:val="bottom"/>
            <w:gridSpan w:val="6"/>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Other Securities</w:t>
              </w:r>
            </w:hyperlink>
          </w:p>
        </w:tc>
        <w:tc>
          <w:tcPr>
            <w:tcW w:w="1580" w:type="dxa"/>
            <w:vAlign w:val="bottom"/>
            <w:gridSpan w:val="3"/>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Selling Securityholders</w:t>
              </w:r>
            </w:hyperlink>
          </w:p>
        </w:tc>
        <w:tc>
          <w:tcPr>
            <w:tcW w:w="2120" w:type="dxa"/>
            <w:vAlign w:val="bottom"/>
            <w:gridSpan w:val="9"/>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78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Legal Matters</w:t>
              </w:r>
            </w:hyperlink>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Experts</w:t>
              </w:r>
            </w:hyperlink>
          </w:p>
        </w:tc>
        <w:tc>
          <w:tcPr>
            <w:tcW w:w="2800" w:type="dxa"/>
            <w:vAlign w:val="bottom"/>
            <w:gridSpan w:val="14"/>
          </w:tcPr>
          <w:p>
            <w:pPr>
              <w:spacing w:after="0"/>
              <w:rPr>
                <w:sz w:val="17"/>
                <w:szCs w:val="17"/>
                <w:color w:val="auto"/>
              </w:rPr>
            </w:pPr>
          </w:p>
        </w:tc>
        <w:tc>
          <w:tcPr>
            <w:tcW w:w="75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In some cases, you can identify forward-looking statements by terminology such as “anticipates,” “believes,” “estimates,” “expects,” “intends,” “may,” “plans,” “projects,” “will,” “would,” and similar expressions or expressions or the negative of these terms. Such statements are only predictions and, accordingly, are subject to substantial risks, uncertainties and assumptions.</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2008.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39" w:lineRule="exact"/>
        <w:rPr>
          <w:sz w:val="20"/>
          <w:szCs w:val="20"/>
          <w:color w:val="auto"/>
        </w:rPr>
      </w:pPr>
    </w:p>
    <w:p>
      <w:pPr>
        <w:ind w:left="700" w:right="160" w:hanging="246"/>
        <w:spacing w:after="0" w:line="268"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50" w:lineRule="exact"/>
        <w:rPr>
          <w:rFonts w:ascii="Arial" w:cs="Arial" w:eastAsia="Arial" w:hAnsi="Arial"/>
          <w:sz w:val="18"/>
          <w:szCs w:val="18"/>
          <w:color w:val="auto"/>
        </w:rPr>
      </w:pPr>
    </w:p>
    <w:p>
      <w:pPr>
        <w:ind w:left="700" w:right="60" w:hanging="246"/>
        <w:spacing w:after="0" w:line="259"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60" w:hanging="246"/>
        <w:spacing w:after="0" w:line="33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maintain or expand margins if we are unable to control costs or raise prices;</w:t>
      </w:r>
    </w:p>
    <w:p>
      <w:pPr>
        <w:spacing w:after="0" w:line="90" w:lineRule="exact"/>
        <w:rPr>
          <w:rFonts w:ascii="Arial" w:cs="Arial" w:eastAsia="Arial" w:hAnsi="Arial"/>
          <w:sz w:val="18"/>
          <w:szCs w:val="18"/>
          <w:color w:val="auto"/>
        </w:rPr>
      </w:pPr>
    </w:p>
    <w:p>
      <w:pPr>
        <w:jc w:val="both"/>
        <w:ind w:left="700" w:right="80" w:hanging="246"/>
        <w:spacing w:after="0" w:line="25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59" w:lineRule="exact"/>
        <w:rPr>
          <w:rFonts w:ascii="Arial" w:cs="Arial" w:eastAsia="Arial" w:hAnsi="Arial"/>
          <w:sz w:val="18"/>
          <w:szCs w:val="18"/>
          <w:color w:val="auto"/>
        </w:rPr>
      </w:pPr>
    </w:p>
    <w:p>
      <w:pPr>
        <w:ind w:left="700" w:right="5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weather conditions cause our quarter-to-quarter results to fluctuate, and harsh weather or natural disasters may cause us to temporarily shut down operations;</w:t>
      </w:r>
    </w:p>
    <w:p>
      <w:pPr>
        <w:spacing w:after="0" w:line="50" w:lineRule="exact"/>
        <w:rPr>
          <w:rFonts w:ascii="Arial" w:cs="Arial" w:eastAsia="Arial" w:hAnsi="Arial"/>
          <w:sz w:val="18"/>
          <w:szCs w:val="18"/>
          <w:color w:val="auto"/>
        </w:rPr>
      </w:pPr>
    </w:p>
    <w:p>
      <w:pPr>
        <w:ind w:left="700" w:right="58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50" w:lineRule="exact"/>
        <w:rPr>
          <w:rFonts w:ascii="Arial" w:cs="Arial" w:eastAsia="Arial" w:hAnsi="Arial"/>
          <w:sz w:val="18"/>
          <w:szCs w:val="18"/>
          <w:color w:val="auto"/>
        </w:rPr>
      </w:pPr>
    </w:p>
    <w:p>
      <w:pPr>
        <w:ind w:left="700" w:right="6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regulations may negatively impact our business by, among other things, restricting our operations, increasing costs of operations or requiring additional capital expenditures;</w:t>
      </w:r>
    </w:p>
    <w:p>
      <w:pPr>
        <w:spacing w:after="0" w:line="50" w:lineRule="exact"/>
        <w:rPr>
          <w:rFonts w:ascii="Arial" w:cs="Arial" w:eastAsia="Arial" w:hAnsi="Arial"/>
          <w:sz w:val="18"/>
          <w:szCs w:val="18"/>
          <w:color w:val="auto"/>
        </w:rPr>
      </w:pPr>
    </w:p>
    <w:p>
      <w:pPr>
        <w:ind w:left="700" w:right="80" w:hanging="246"/>
        <w:spacing w:after="0" w:line="25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59" w:lineRule="exact"/>
        <w:rPr>
          <w:rFonts w:ascii="Arial" w:cs="Arial" w:eastAsia="Arial" w:hAnsi="Arial"/>
          <w:sz w:val="18"/>
          <w:szCs w:val="18"/>
          <w:color w:val="auto"/>
        </w:rPr>
      </w:pPr>
    </w:p>
    <w:p>
      <w:pPr>
        <w:ind w:left="700" w:right="58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50" w:lineRule="exact"/>
        <w:rPr>
          <w:rFonts w:ascii="Arial" w:cs="Arial" w:eastAsia="Arial" w:hAnsi="Arial"/>
          <w:sz w:val="18"/>
          <w:szCs w:val="18"/>
          <w:color w:val="auto"/>
        </w:rPr>
      </w:pPr>
    </w:p>
    <w:p>
      <w:pPr>
        <w:ind w:left="700" w:right="44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limitations or bans on disposal or transportation of out-of-state, cross-border, or certain categories of waste, as well as mandates on the disposal of waste, can increase our expenses and reduce our revenue;</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fuel price increases or fuel supply shortages may increase our expenses or restrict our ability to operate;</w:t>
      </w:r>
    </w:p>
    <w:p>
      <w:pPr>
        <w:spacing w:after="0" w:line="90" w:lineRule="exact"/>
        <w:rPr>
          <w:rFonts w:ascii="Arial" w:cs="Arial" w:eastAsia="Arial" w:hAnsi="Arial"/>
          <w:sz w:val="18"/>
          <w:szCs w:val="18"/>
          <w:color w:val="auto"/>
        </w:rPr>
      </w:pPr>
    </w:p>
    <w:p>
      <w:pPr>
        <w:ind w:left="700" w:right="36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or the inability to obtain financial assurance or the inadequacy of our insurance coverages could negatively impact our liquidity and increase our liabilities;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possible charges as a result of shut-down operations, uncompleted development or expansion projects or other events may negatively affect earnings;</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commodity prices may have negative effects on our operating results;</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trends requiring recycling, waste reduction at the source and prohibiting the disposal of certain types of waste could have negative effects on volumes of waste going to landfills and waste-to-energy facilities;</w:t>
      </w:r>
    </w:p>
    <w:p>
      <w:pPr>
        <w:spacing w:after="0" w:line="50" w:lineRule="exact"/>
        <w:rPr>
          <w:rFonts w:ascii="Arial" w:cs="Arial" w:eastAsia="Arial" w:hAnsi="Arial"/>
          <w:sz w:val="18"/>
          <w:szCs w:val="18"/>
          <w:color w:val="auto"/>
        </w:rPr>
      </w:pPr>
    </w:p>
    <w:p>
      <w:pPr>
        <w:ind w:left="700" w:hanging="246"/>
        <w:spacing w:after="0" w:line="259"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9"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5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or the development and deployment of new information systems could decrease our efficiencies and increase our costs;</w:t>
      </w:r>
    </w:p>
    <w:p>
      <w:pPr>
        <w:spacing w:after="0" w:line="50" w:lineRule="exact"/>
        <w:rPr>
          <w:rFonts w:ascii="Arial" w:cs="Arial" w:eastAsia="Arial" w:hAnsi="Arial"/>
          <w:sz w:val="18"/>
          <w:szCs w:val="18"/>
          <w:color w:val="auto"/>
        </w:rPr>
      </w:pPr>
    </w:p>
    <w:p>
      <w:pPr>
        <w:ind w:left="700" w:right="220" w:hanging="246"/>
        <w:spacing w:after="0" w:line="26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 and</w:t>
      </w:r>
    </w:p>
    <w:p>
      <w:pPr>
        <w:spacing w:after="0" w:line="50" w:lineRule="exact"/>
        <w:rPr>
          <w:rFonts w:ascii="Arial" w:cs="Arial" w:eastAsia="Arial" w:hAnsi="Arial"/>
          <w:sz w:val="18"/>
          <w:szCs w:val="18"/>
          <w:color w:val="auto"/>
        </w:rPr>
      </w:pPr>
    </w:p>
    <w:p>
      <w:pPr>
        <w:ind w:left="700" w:right="100" w:hanging="246"/>
        <w:spacing w:after="0" w:line="370" w:lineRule="auto"/>
        <w:tabs>
          <w:tab w:leader="none" w:pos="7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90" w:lineRule="exact"/>
        <w:rPr>
          <w:sz w:val="20"/>
          <w:szCs w:val="20"/>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warrants;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59" w:lineRule="exact"/>
        <w:rPr>
          <w:sz w:val="20"/>
          <w:szCs w:val="20"/>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“Documents Incorporated by Reference” and “Where You Can Find More Information.”</w:t>
      </w:r>
    </w:p>
    <w:p>
      <w:pPr>
        <w:spacing w:after="0" w:line="5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2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SEC Filing (Our SEC File Number is 1-1254)</w:t>
            </w:r>
          </w:p>
        </w:tc>
        <w:tc>
          <w:tcPr>
            <w:tcW w:w="10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Date Filed</w:t>
            </w:r>
          </w:p>
        </w:tc>
      </w:tr>
      <w:tr>
        <w:trPr>
          <w:trHeight w:val="201"/>
        </w:trPr>
        <w:tc>
          <w:tcPr>
            <w:tcW w:w="2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7"/>
              </w:rPr>
              <w:t>Annual Report on Form 10-K (including</w:t>
            </w:r>
          </w:p>
        </w:tc>
        <w:tc>
          <w:tcPr>
            <w:tcW w:w="5520" w:type="dxa"/>
            <w:vAlign w:val="bottom"/>
          </w:tcPr>
          <w:p>
            <w:pPr>
              <w:ind w:left="140"/>
              <w:spacing w:after="0" w:line="201" w:lineRule="exact"/>
              <w:rPr>
                <w:sz w:val="20"/>
                <w:szCs w:val="20"/>
                <w:color w:val="auto"/>
              </w:rPr>
            </w:pPr>
            <w:r>
              <w:rPr>
                <w:rFonts w:ascii="Arial" w:cs="Arial" w:eastAsia="Arial" w:hAnsi="Arial"/>
                <w:sz w:val="18"/>
                <w:szCs w:val="18"/>
                <w:color w:val="auto"/>
              </w:rPr>
              <w:t>the portions of our proxy statement for our 2009 annual meeting of</w:t>
            </w:r>
          </w:p>
        </w:tc>
        <w:tc>
          <w:tcPr>
            <w:tcW w:w="100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8280" w:type="dxa"/>
            <w:vAlign w:val="bottom"/>
            <w:gridSpan w:val="2"/>
          </w:tcPr>
          <w:p>
            <w:pPr>
              <w:ind w:left="220"/>
              <w:spacing w:after="0"/>
              <w:rPr>
                <w:sz w:val="20"/>
                <w:szCs w:val="20"/>
                <w:color w:val="auto"/>
              </w:rPr>
            </w:pPr>
            <w:r>
              <w:rPr>
                <w:rFonts w:ascii="Arial" w:cs="Arial" w:eastAsia="Arial" w:hAnsi="Arial"/>
                <w:sz w:val="18"/>
                <w:szCs w:val="18"/>
                <w:color w:val="auto"/>
              </w:rPr>
              <w:t>stockholders incorporated by reference therein) for the year ended December 31, 2008</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17,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2009</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93"/>
              </w:rPr>
              <w:t>April 29,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2009</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9"/>
              </w:rPr>
              <w:t>July 30,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26,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6"/>
              </w:rPr>
              <w:t>February 27,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90"/>
              </w:rPr>
              <w:t>March 2, 2009</w:t>
            </w: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960" w:type="dxa"/>
            <w:vAlign w:val="bottom"/>
            <w:gridSpan w:val="3"/>
          </w:tcPr>
          <w:p>
            <w:pPr>
              <w:jc w:val="center"/>
              <w:ind w:left="612"/>
              <w:spacing w:after="0"/>
              <w:rPr>
                <w:sz w:val="20"/>
                <w:szCs w:val="20"/>
                <w:color w:val="auto"/>
              </w:rPr>
            </w:pPr>
            <w:r>
              <w:rPr>
                <w:rFonts w:ascii="Arial" w:cs="Arial" w:eastAsia="Arial" w:hAnsi="Arial"/>
                <w:sz w:val="18"/>
                <w:szCs w:val="18"/>
                <w:color w:val="auto"/>
                <w:w w:val="89"/>
              </w:rPr>
              <w:t>May 12, 2009</w:t>
            </w: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Description of our Common Stock on Form 8-B</w:t>
            </w:r>
          </w:p>
        </w:tc>
        <w:tc>
          <w:tcPr>
            <w:tcW w:w="1960" w:type="dxa"/>
            <w:vAlign w:val="bottom"/>
            <w:gridSpan w:val="3"/>
          </w:tcPr>
          <w:p>
            <w:pPr>
              <w:jc w:val="center"/>
              <w:ind w:left="592"/>
              <w:spacing w:after="0"/>
              <w:rPr>
                <w:sz w:val="20"/>
                <w:szCs w:val="20"/>
                <w:color w:val="auto"/>
              </w:rPr>
            </w:pPr>
            <w:r>
              <w:rPr>
                <w:rFonts w:ascii="Arial" w:cs="Arial" w:eastAsia="Arial" w:hAnsi="Arial"/>
                <w:sz w:val="18"/>
                <w:szCs w:val="18"/>
                <w:color w:val="auto"/>
                <w:w w:val="89"/>
              </w:rPr>
              <w:t>July 13, 1995</w:t>
            </w:r>
          </w:p>
        </w:tc>
      </w:tr>
    </w:tbl>
    <w:p>
      <w:pPr>
        <w:spacing w:after="0" w:line="7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3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obtain copies of any of these filings through Waste Management as described below, or through the SEC or through the SEC’s Internet website as described below. Documents incorporated by reference are available without charge, excluding all exhibits unless an exhibit has been specifically incorporated by reference into this prospectus, by requesting them in writing, by telephone or via the Internet at:</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www.wm.com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35"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Our principal executive offices are located at 1001 Fannin Street, Suite 4000, Houston, Texas 77002 and our telephone number is (713) 512-6200.</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18" w:lineRule="exact"/>
        <w:rPr>
          <w:sz w:val="20"/>
          <w:szCs w:val="20"/>
          <w:color w:val="auto"/>
        </w:rPr>
      </w:pPr>
    </w:p>
    <w:p>
      <w:pPr>
        <w:ind w:left="460" w:right="3900" w:firstLine="3441"/>
        <w:spacing w:after="0" w:line="388"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The following table sets forth our ratio of earnings to fixed charges for the periods indicated:</w:t>
      </w:r>
    </w:p>
    <w:tbl>
      <w:tblPr>
        <w:tblLayout w:type="fixed"/>
        <w:tblInd w:w="0" w:type="dxa"/>
        <w:tblCellMar>
          <w:top w:w="0" w:type="dxa"/>
          <w:left w:w="0" w:type="dxa"/>
          <w:bottom w:w="0" w:type="dxa"/>
          <w:right w:w="0" w:type="dxa"/>
        </w:tblCellMar>
      </w:tblPr>
      <w:tr>
        <w:trPr>
          <w:trHeight w:val="149"/>
        </w:trPr>
        <w:tc>
          <w:tcPr>
            <w:tcW w:w="62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For the</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Six Months</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20" w:type="dxa"/>
            <w:vAlign w:val="bottom"/>
            <w:gridSpan w:val="6"/>
            <w:vMerge w:val="restart"/>
          </w:tcPr>
          <w:p>
            <w:pPr>
              <w:ind w:left="3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260" w:type="dxa"/>
            <w:vAlign w:val="bottom"/>
          </w:tcPr>
          <w:p>
            <w:pPr>
              <w:spacing w:after="0"/>
              <w:rPr>
                <w:sz w:val="8"/>
                <w:szCs w:val="8"/>
                <w:color w:val="auto"/>
              </w:rPr>
            </w:pPr>
          </w:p>
        </w:tc>
        <w:tc>
          <w:tcPr>
            <w:tcW w:w="128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gridSpan w:val="6"/>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6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2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June 30, 2009</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400" w:type="dxa"/>
            <w:vAlign w:val="bottom"/>
          </w:tcPr>
          <w:p>
            <w:pPr>
              <w:jc w:val="right"/>
              <w:ind w:right="2"/>
              <w:spacing w:after="0"/>
              <w:rPr>
                <w:sz w:val="20"/>
                <w:szCs w:val="20"/>
                <w:color w:val="auto"/>
              </w:rPr>
            </w:pPr>
            <w:r>
              <w:rPr>
                <w:rFonts w:ascii="Arial" w:cs="Arial" w:eastAsia="Arial" w:hAnsi="Arial"/>
                <w:sz w:val="14"/>
                <w:szCs w:val="14"/>
                <w:b w:val="1"/>
                <w:bCs w:val="1"/>
                <w:color w:val="auto"/>
                <w:w w:val="96"/>
              </w:rPr>
              <w:t>2006</w:t>
            </w:r>
          </w:p>
        </w:tc>
        <w:tc>
          <w:tcPr>
            <w:tcW w:w="420" w:type="dxa"/>
            <w:vAlign w:val="bottom"/>
          </w:tcPr>
          <w:p>
            <w:pPr>
              <w:spacing w:after="0"/>
              <w:rPr>
                <w:sz w:val="14"/>
                <w:szCs w:val="14"/>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4"/>
                <w:szCs w:val="14"/>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8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8"/>
              </w:rPr>
              <w:t>3.9x</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4.5x</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4.0x</w:t>
            </w: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3.5x</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3.2x</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3.5x</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the purposes of computing these ratios, earnings represents income before income taxes and losses in equity investments plus interest expense and implicit interest in rent expense. Fixed charges consists of interest expense, capitalized interest and implicit interest in rent expense.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and possible acquisitions. Unless otherwise specified in the applicable prospectus supplement, we will not receive any proceeds from the sale of securities by selling securityholders.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DEBT SECURITIES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Texas Commerce Bank National Association (now known as The Bank of New York Trust Company, N.A.), as trustee. We will issue subordinated debt securities under an indenture dated as of February 1, 1997, among Waste Management, as issuer, and The Bank of New York Trust Company, N.A., as trustee. The indentures are substantially identical, except for provisions relating to subordination and covenants.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debt or securities that we may issue. We may issue debt securities under the indentures from time to time in one or more series, each in an amount authorized prior to issuance.</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51" w:lineRule="exact"/>
        <w:rPr>
          <w:sz w:val="20"/>
          <w:szCs w:val="20"/>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90" w:lineRule="exact"/>
        <w:rPr>
          <w:rFonts w:ascii="Arial" w:cs="Arial" w:eastAsia="Arial" w:hAnsi="Arial"/>
          <w:sz w:val="18"/>
          <w:szCs w:val="18"/>
          <w:color w:val="auto"/>
        </w:rPr>
      </w:pPr>
    </w:p>
    <w:p>
      <w:pPr>
        <w:ind w:left="700" w:hanging="246"/>
        <w:spacing w:after="0" w:line="268"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80" w:hanging="246"/>
        <w:spacing w:after="0" w:line="268"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5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5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disposition of all or substantially all of our assets to another person unless:</w:t>
      </w:r>
    </w:p>
    <w:p>
      <w:pPr>
        <w:spacing w:after="0" w:line="51" w:lineRule="exact"/>
        <w:rPr>
          <w:sz w:val="20"/>
          <w:szCs w:val="20"/>
          <w:color w:val="auto"/>
        </w:rPr>
      </w:pPr>
    </w:p>
    <w:p>
      <w:pPr>
        <w:ind w:left="700" w:right="200" w:hanging="246"/>
        <w:spacing w:after="0" w:line="332"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resulting person formed or into which Waste Management is merged or the person which acquires all or substantially all of our assets assumes the performance of the covenants and obligations under the indentures and the due and punctual payments on the debt securities; and</w:t>
      </w:r>
    </w:p>
    <w:p>
      <w:pPr>
        <w:spacing w:after="0" w:line="4" w:lineRule="exact"/>
        <w:rPr>
          <w:rFonts w:ascii="Arial" w:cs="Arial" w:eastAsia="Arial" w:hAnsi="Arial"/>
          <w:sz w:val="16"/>
          <w:szCs w:val="16"/>
          <w:color w:val="auto"/>
        </w:rPr>
      </w:pPr>
    </w:p>
    <w:p>
      <w:pPr>
        <w:ind w:left="700" w:hanging="246"/>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would occur and be continuing or would result from the transaction.</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90" w:lineRule="exact"/>
        <w:rPr>
          <w:rFonts w:ascii="Arial" w:cs="Arial" w:eastAsia="Arial" w:hAnsi="Arial"/>
          <w:sz w:val="18"/>
          <w:szCs w:val="18"/>
          <w:color w:val="auto"/>
        </w:rPr>
      </w:pPr>
    </w:p>
    <w:p>
      <w:pPr>
        <w:ind w:left="700" w:hanging="246"/>
        <w:spacing w:after="0" w:line="298"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31" w:lineRule="exact"/>
        <w:rPr>
          <w:rFonts w:ascii="Arial" w:cs="Arial" w:eastAsia="Arial" w:hAnsi="Arial"/>
          <w:sz w:val="16"/>
          <w:szCs w:val="16"/>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90" w:lineRule="exact"/>
        <w:rPr>
          <w:sz w:val="20"/>
          <w:szCs w:val="20"/>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90" w:lineRule="exact"/>
        <w:rPr>
          <w:rFonts w:ascii="Arial" w:cs="Arial" w:eastAsia="Arial" w:hAnsi="Arial"/>
          <w:sz w:val="18"/>
          <w:szCs w:val="18"/>
          <w:color w:val="auto"/>
        </w:rPr>
      </w:pPr>
    </w:p>
    <w:p>
      <w:pPr>
        <w:ind w:left="700" w:right="58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90" w:lineRule="exact"/>
        <w:rPr>
          <w:rFonts w:ascii="Arial" w:cs="Arial" w:eastAsia="Arial" w:hAnsi="Arial"/>
          <w:sz w:val="18"/>
          <w:szCs w:val="18"/>
          <w:color w:val="auto"/>
        </w:rPr>
      </w:pPr>
    </w:p>
    <w:p>
      <w:pPr>
        <w:ind w:left="700" w:right="840" w:hanging="246"/>
        <w:spacing w:after="0" w:line="26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most cases, holders of a majority in principal amount of the outstanding debt securities of a series (or of all debt securities issued under the applicable indenture that are affected, voting as one class) may direct the time, method and place of:</w:t>
      </w:r>
    </w:p>
    <w:p>
      <w:pPr>
        <w:spacing w:after="0" w:line="51" w:lineRule="exact"/>
        <w:rPr>
          <w:sz w:val="20"/>
          <w:szCs w:val="20"/>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indentures require us to file each year with the trustee a written statement as to our compliance with the covenants contained in the applicable indenture.</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32" w:lineRule="exact"/>
        <w:rPr>
          <w:sz w:val="20"/>
          <w:szCs w:val="20"/>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113" w:lineRule="exact"/>
        <w:rPr>
          <w:rFonts w:ascii="Arial" w:cs="Arial" w:eastAsia="Arial" w:hAnsi="Arial"/>
          <w:sz w:val="16"/>
          <w:szCs w:val="16"/>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90" w:lineRule="exact"/>
        <w:rPr>
          <w:rFonts w:ascii="Arial" w:cs="Arial" w:eastAsia="Arial" w:hAnsi="Arial"/>
          <w:sz w:val="18"/>
          <w:szCs w:val="18"/>
          <w:color w:val="auto"/>
        </w:rPr>
      </w:pPr>
    </w:p>
    <w:p>
      <w:pPr>
        <w:ind w:left="700" w:right="160" w:hanging="246"/>
        <w:spacing w:after="0" w:line="268"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Ÿ  adversely affect the right to convert subordinated debt securities, if applicable.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59" w:lineRule="exact"/>
        <w:rPr>
          <w:sz w:val="20"/>
          <w:szCs w:val="20"/>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Defeasance. </w:t>
      </w:r>
      <w:r>
        <w:rPr>
          <w:rFonts w:ascii="Arial" w:cs="Arial" w:eastAsia="Arial" w:hAnsi="Arial"/>
          <w:sz w:val="16"/>
          <w:szCs w:val="16"/>
          <w:color w:val="auto"/>
        </w:rPr>
        <w:t>When we use the term defeasance, we mean discharge from some or all of our obligations under the indentures. If any combination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26" w:lineRule="exact"/>
        <w:rPr>
          <w:sz w:val="20"/>
          <w:szCs w:val="20"/>
          <w:color w:val="auto"/>
        </w:rPr>
      </w:pPr>
    </w:p>
    <w:p>
      <w:pPr>
        <w:ind w:left="700" w:right="980" w:hanging="246"/>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50" w:lineRule="exact"/>
        <w:rPr>
          <w:rFonts w:ascii="Arial" w:cs="Arial" w:eastAsia="Arial" w:hAnsi="Arial"/>
          <w:sz w:val="18"/>
          <w:szCs w:val="18"/>
          <w:color w:val="auto"/>
        </w:rPr>
      </w:pPr>
    </w:p>
    <w:p>
      <w:pPr>
        <w:ind w:left="700" w:right="100" w:hanging="246"/>
        <w:spacing w:after="0" w:line="268"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the restrictive covenants, the merger covenant and other specified covenants under the applicable indenture, and the related events of default will no longer apply (“covenant defeasance”).</w:t>
      </w:r>
    </w:p>
    <w:p>
      <w:pPr>
        <w:spacing w:after="0" w:line="5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32"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26" w:lineRule="exact"/>
        <w:rPr>
          <w:sz w:val="20"/>
          <w:szCs w:val="20"/>
          <w:color w:val="auto"/>
        </w:rPr>
      </w:pPr>
    </w:p>
    <w:p>
      <w:pPr>
        <w:ind w:left="460"/>
        <w:spacing w:after="0"/>
        <w:tabs>
          <w:tab w:leader="none" w:pos="174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6"/>
          <w:szCs w:val="16"/>
          <w:color w:val="auto"/>
        </w:rPr>
        <w:t>New York law will govern the indentures and the debt securities.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Trust Company, N.A. serves as trustee or custodian relating to a number of series of debt obligations of Waste Management as of December 31, 2008. Certain of The Bank of New York Trust Company, N.A.’s affiliates perform certain commercial banking services for us for which they receive customary fees and act as a lender under our current credit facility.</w:t>
      </w:r>
    </w:p>
    <w:p>
      <w:pPr>
        <w:spacing w:after="0" w:line="62"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26"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5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Form, Exchange, Registration and Transfer. </w:t>
      </w:r>
      <w:r>
        <w:rPr>
          <w:rFonts w:ascii="Arial" w:cs="Arial" w:eastAsia="Arial" w:hAnsi="Arial"/>
          <w:sz w:val="16"/>
          <w:szCs w:val="16"/>
          <w:color w:val="auto"/>
        </w:rPr>
        <w:t>The debt securities may be issued in registered form, without interest coupons, or in bearer form, with</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6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90" w:lineRule="exact"/>
        <w:rPr>
          <w:sz w:val="20"/>
          <w:szCs w:val="20"/>
          <w:color w:val="auto"/>
        </w:rPr>
      </w:pPr>
    </w:p>
    <w:p>
      <w:pPr>
        <w:ind w:left="700" w:right="160" w:hanging="246"/>
        <w:spacing w:after="0" w:line="26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debt security that has been called for redemption in whole or in part, except the unredeemed portion of any debt security being redeemed in part.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 at</w:t>
      </w:r>
      <w:r>
        <w:rPr>
          <w:rFonts w:ascii="Arial" w:cs="Arial" w:eastAsia="Arial" w:hAnsi="Arial"/>
          <w:sz w:val="16"/>
          <w:szCs w:val="16"/>
          <w:i w:val="1"/>
          <w:iCs w:val="1"/>
          <w:color w:val="auto"/>
        </w:rPr>
        <w:t xml:space="preserve"> </w:t>
      </w:r>
      <w:r>
        <w:rPr>
          <w:rFonts w:ascii="Arial" w:cs="Arial" w:eastAsia="Arial" w:hAnsi="Arial"/>
          <w:sz w:val="16"/>
          <w:szCs w:val="16"/>
          <w:color w:val="auto"/>
        </w:rPr>
        <w:t>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5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2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Book-Entry Debt Securities. </w:t>
      </w:r>
      <w:r>
        <w:rPr>
          <w:rFonts w:ascii="Arial" w:cs="Arial" w:eastAsia="Arial" w:hAnsi="Arial"/>
          <w:sz w:val="16"/>
          <w:szCs w:val="16"/>
          <w:color w:val="auto"/>
        </w:rPr>
        <w:t>The debt securities of a series may be issued in the form of one or more global debt securities that would be deposited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Ranking and Guarantee. </w:t>
      </w:r>
      <w:r>
        <w:rPr>
          <w:rFonts w:ascii="Arial" w:cs="Arial" w:eastAsia="Arial" w:hAnsi="Arial"/>
          <w:sz w:val="18"/>
          <w:szCs w:val="18"/>
          <w:color w:val="auto"/>
        </w:rPr>
        <w:t>The senior debt securities will constitute senior debt of Waste Management and will rank equally with all of the other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 restrictive</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59" w:lineRule="exact"/>
        <w:rPr>
          <w:sz w:val="20"/>
          <w:szCs w:val="20"/>
          <w:color w:val="auto"/>
        </w:rPr>
      </w:pPr>
    </w:p>
    <w:p>
      <w:pPr>
        <w:ind w:left="1140" w:hanging="237"/>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liens on the property or assets existing at the time of acquisition which secure obligations assumed by us or our Restricted Subsidiaries;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liens on the property, assets or stock of an entity that becomes us in accordance with </w:t>
      </w:r>
      <w:r>
        <w:rPr>
          <w:rFonts w:ascii="Arial" w:cs="Arial" w:eastAsia="Arial" w:hAnsi="Arial"/>
          <w:sz w:val="18"/>
          <w:szCs w:val="18"/>
          <w:i w:val="1"/>
          <w:iCs w:val="1"/>
          <w:color w:val="auto"/>
        </w:rPr>
        <w:t>“Provisions Applicable to Debt Securities — 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and Sale of Assets,” </w:t>
      </w:r>
      <w:r>
        <w:rPr>
          <w:rFonts w:ascii="Arial" w:cs="Arial" w:eastAsia="Arial" w:hAnsi="Arial"/>
          <w:sz w:val="18"/>
          <w:szCs w:val="18"/>
          <w:color w:val="auto"/>
        </w:rPr>
        <w:t>above;</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90" w:lineRule="exact"/>
        <w:rPr>
          <w:sz w:val="20"/>
          <w:szCs w:val="20"/>
          <w:color w:val="auto"/>
        </w:rPr>
      </w:pPr>
    </w:p>
    <w:p>
      <w:pPr>
        <w:ind w:left="1160" w:hanging="24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90" w:lineRule="exact"/>
        <w:rPr>
          <w:rFonts w:ascii="Arial" w:cs="Arial" w:eastAsia="Arial" w:hAnsi="Arial"/>
          <w:sz w:val="18"/>
          <w:szCs w:val="18"/>
          <w:color w:val="auto"/>
        </w:rPr>
      </w:pPr>
    </w:p>
    <w:p>
      <w:pPr>
        <w:ind w:left="1160" w:right="380" w:hanging="247"/>
        <w:spacing w:after="0" w:line="306" w:lineRule="auto"/>
        <w:tabs>
          <w:tab w:leader="none" w:pos="11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26" w:lineRule="exact"/>
        <w:rPr>
          <w:sz w:val="20"/>
          <w:szCs w:val="20"/>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 stayed;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in favor of any governmental authority in connection with the financing of the cost of construction or acquisition of property;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liens arising due to deposits to qualify us or a Restricted Subsidiary to do business, maintain self-insurance or obtain the benefit of or comply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with laws;</w:t>
      </w:r>
    </w:p>
    <w:p>
      <w:pPr>
        <w:spacing w:after="0" w:line="83" w:lineRule="exact"/>
        <w:rPr>
          <w:rFonts w:ascii="Arial" w:cs="Arial" w:eastAsia="Arial" w:hAnsi="Arial"/>
          <w:sz w:val="16"/>
          <w:szCs w:val="16"/>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securing industrial development, pollution control or other revenue bonds of a domestic government entity;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51" w:lineRule="exact"/>
        <w:rPr>
          <w:sz w:val="20"/>
          <w:szCs w:val="20"/>
          <w:color w:val="auto"/>
        </w:rPr>
      </w:pPr>
    </w:p>
    <w:p>
      <w:pPr>
        <w:ind w:left="460" w:right="220" w:firstLine="443"/>
        <w:spacing w:after="0" w:line="259" w:lineRule="auto"/>
        <w:tabs>
          <w:tab w:leader="none" w:pos="113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the “Limitation on Liens” covenant, could secure that debt by a lien on the property to be leased without equally and ratably securing the senior debt securities;</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the net proceeds of the Sale/Leaseback Transaction to the voluntary defeasance or retirement of any senior debt securities issued under the senior indenture or to the acquisition or capital improvement of a Principal Property; or</w:t>
      </w:r>
    </w:p>
    <w:p>
      <w:pPr>
        <w:spacing w:after="0" w:line="59" w:lineRule="exact"/>
        <w:rPr>
          <w:rFonts w:ascii="Arial" w:cs="Arial" w:eastAsia="Arial" w:hAnsi="Arial"/>
          <w:sz w:val="18"/>
          <w:szCs w:val="18"/>
          <w:color w:val="auto"/>
        </w:rPr>
      </w:pPr>
    </w:p>
    <w:p>
      <w:pPr>
        <w:ind w:left="460" w:right="140" w:firstLine="443"/>
        <w:spacing w:after="0" w:line="332" w:lineRule="auto"/>
        <w:tabs>
          <w:tab w:leader="none" w:pos="1137"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4" w:lineRule="exact"/>
        <w:rPr>
          <w:sz w:val="20"/>
          <w:szCs w:val="20"/>
          <w:color w:val="auto"/>
        </w:rPr>
      </w:pPr>
    </w:p>
    <w:p>
      <w:pPr>
        <w:jc w:val="both"/>
        <w:ind w:left="460" w:right="340"/>
        <w:spacing w:after="0" w:line="306"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Glossary</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 Sale/Leaseback Transaction.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that present value, we use a discount rate equal to the lease rate of the Sale/Leaseback Transaction.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90" w:lineRule="exact"/>
        <w:rPr>
          <w:sz w:val="20"/>
          <w:szCs w:val="20"/>
          <w:color w:val="auto"/>
        </w:rPr>
      </w:pPr>
    </w:p>
    <w:p>
      <w:pPr>
        <w:ind w:left="700" w:right="20" w:hanging="246"/>
        <w:spacing w:after="0" w:line="268"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50" w:lineRule="exact"/>
        <w:rPr>
          <w:rFonts w:ascii="Arial" w:cs="Arial" w:eastAsia="Arial" w:hAnsi="Arial"/>
          <w:sz w:val="18"/>
          <w:szCs w:val="18"/>
          <w:color w:val="auto"/>
        </w:rPr>
      </w:pPr>
    </w:p>
    <w:p>
      <w:pPr>
        <w:ind w:left="700" w:hanging="24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party and (b) all guarantees of Indebtedness.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“Restricted Subsidiary” </w:t>
      </w:r>
      <w:r>
        <w:rPr>
          <w:rFonts w:ascii="Arial" w:cs="Arial" w:eastAsia="Arial" w:hAnsi="Arial"/>
          <w:sz w:val="18"/>
          <w:szCs w:val="18"/>
          <w:color w:val="auto"/>
        </w:rPr>
        <w:t>means any Subsidiary (a) principally engaged in, or whose principal assets consist of property used by us or any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in the storage, collection, transfer, interim processing or disposal of waste within the United States or Canada or (b) which we designate as a Restricted Subsidiary in an officer’s certificate delivered to the trustee.</w:t>
      </w:r>
    </w:p>
    <w:p>
      <w:pPr>
        <w:spacing w:after="0" w:line="5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 Canada</w:t>
      </w:r>
      <w:r>
        <w:rPr>
          <w:rFonts w:ascii="Arial" w:cs="Arial" w:eastAsia="Arial" w:hAnsi="Arial"/>
          <w:sz w:val="18"/>
          <w:szCs w:val="18"/>
          <w:i w:val="1"/>
          <w:iCs w:val="1"/>
          <w:color w:val="auto"/>
        </w:rPr>
        <w:t xml:space="preserve"> </w:t>
      </w:r>
      <w:r>
        <w:rPr>
          <w:rFonts w:ascii="Arial" w:cs="Arial" w:eastAsia="Arial" w:hAnsi="Arial"/>
          <w:sz w:val="18"/>
          <w:szCs w:val="18"/>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Restricted Subsidiary has sold or transferred or will sell or transfer to that person. This term excludes the following:</w:t>
      </w:r>
    </w:p>
    <w:p>
      <w:pPr>
        <w:spacing w:after="0" w:line="51" w:lineRule="exact"/>
        <w:rPr>
          <w:sz w:val="20"/>
          <w:szCs w:val="20"/>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outstanding from time to time.</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6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96"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2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2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5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are authorized to issue 1,500,000,000 shares of common stock, of which 490,957,915 shares were outstanding at September 18, 2009. We are also authorized to issue 10,000,000 shares of preferred stock, none of which were outstanding on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5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share of common stock is entitled to one vote in the election of directors and in each other matter we may ask stockholders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on. Common stockholders do not have cumulative voting rights. Accordingly, the holders of a majority of shares voting for the election of directors can elect all of the directors standing for election.</w:t>
      </w:r>
    </w:p>
    <w:p>
      <w:pPr>
        <w:spacing w:after="0" w:line="59"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51"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i w:val="1"/>
          <w:iCs w:val="1"/>
          <w:color w:val="auto"/>
        </w:rPr>
        <w:t>Listing.</w:t>
      </w:r>
      <w:r>
        <w:rPr>
          <w:sz w:val="20"/>
          <w:szCs w:val="20"/>
          <w:color w:val="auto"/>
        </w:rPr>
        <w:tab/>
      </w:r>
      <w:r>
        <w:rPr>
          <w:rFonts w:ascii="Arial" w:cs="Arial" w:eastAsia="Arial" w:hAnsi="Arial"/>
          <w:sz w:val="16"/>
          <w:szCs w:val="16"/>
          <w:color w:val="auto"/>
        </w:rPr>
        <w:t>Our common stock is listed on the New York Stock Exchange under the trading symbol “WM.”</w:t>
      </w:r>
    </w:p>
    <w:p>
      <w:pPr>
        <w:spacing w:after="0" w:line="90" w:lineRule="exact"/>
        <w:rPr>
          <w:sz w:val="20"/>
          <w:szCs w:val="20"/>
          <w:color w:val="auto"/>
        </w:rPr>
      </w:pPr>
    </w:p>
    <w:p>
      <w:pPr>
        <w:ind w:left="460"/>
        <w:spacing w:after="0"/>
        <w:tabs>
          <w:tab w:leader="none" w:pos="27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BNY Mellon Shareowner Services in Jersey City, New Jersey.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provisions of our Certificate of Incorporation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are a Delaware corporation and are governed by the Delaware General Corporation Law, in addition to our Certificate of Incorporation and Bylaws, certain provisions of which are summarized below. You should read the actual provisions of these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59" w:lineRule="exact"/>
        <w:rPr>
          <w:sz w:val="20"/>
          <w:szCs w:val="20"/>
          <w:color w:val="auto"/>
        </w:rPr>
      </w:pPr>
    </w:p>
    <w:p>
      <w:pPr>
        <w:ind w:left="700" w:right="120" w:hanging="246"/>
        <w:spacing w:after="0" w:line="268"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prior to such date, the corporation’s board of directors approved either the business combination or the transaction in which the stockholder became an Interested Stockholder; or</w:t>
      </w:r>
    </w:p>
    <w:p>
      <w:pPr>
        <w:spacing w:after="0" w:line="50" w:lineRule="exact"/>
        <w:rPr>
          <w:rFonts w:ascii="Arial" w:cs="Arial" w:eastAsia="Arial" w:hAnsi="Arial"/>
          <w:sz w:val="18"/>
          <w:szCs w:val="18"/>
          <w:color w:val="auto"/>
        </w:rPr>
      </w:pPr>
    </w:p>
    <w:p>
      <w:pPr>
        <w:ind w:left="700" w:right="280" w:hanging="246"/>
        <w:spacing w:after="0" w:line="332" w:lineRule="auto"/>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Section 203 defines the term “business combination” to include mergers, asset sales and other transactions resulting in a financial benefit to the Interested Stockholder.</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59"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w:t>
      </w:r>
    </w:p>
    <w:p>
      <w:pPr>
        <w:spacing w:after="0" w:line="1" w:lineRule="exact"/>
        <w:rPr>
          <w:sz w:val="20"/>
          <w:szCs w:val="20"/>
          <w:color w:val="auto"/>
        </w:rPr>
      </w:pPr>
    </w:p>
    <w:p>
      <w:pPr>
        <w:ind w:right="40" w:firstLine="8"/>
        <w:spacing w:after="0" w:line="255"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any criminal action or proceeding, he had no reasonable cause to believe his conduct was unlawful. In addition, we have entered into indemnification agreements with each of our directors as well as certain of our executive officers. These agreements generally provide that the individuals will be indemnified to the fullest extent of Delaware law.</w:t>
      </w:r>
    </w:p>
    <w:p>
      <w:pPr>
        <w:spacing w:after="0" w:line="6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1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OTHER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set forth in the applicable prospectus supplement a description of any warrants or units that may be offered pursuant to this prospectus.</w:t>
      </w:r>
    </w:p>
    <w:p>
      <w:pPr>
        <w:spacing w:after="0" w:line="26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90" w:lineRule="exact"/>
        <w:rPr>
          <w:sz w:val="20"/>
          <w:szCs w:val="20"/>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4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90" w:lineRule="exact"/>
        <w:rPr>
          <w:rFonts w:ascii="Arial" w:cs="Arial" w:eastAsia="Arial" w:hAnsi="Arial"/>
          <w:sz w:val="18"/>
          <w:szCs w:val="18"/>
          <w:color w:val="auto"/>
        </w:rPr>
      </w:pPr>
    </w:p>
    <w:p>
      <w:pPr>
        <w:ind w:left="700" w:hanging="24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2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6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5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35"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consolidated financial statements of Waste Management, Inc. appearing in Waste Management, Inc.’s Annual Report (Form 10-K) for the year ended December 31, 2008 including the schedule appearing therein, and the effectiveness of Waste Management, Inc.’s internal control over financial reporting as of December 31, 2008,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40"/>
        <w:spacing w:after="0"/>
        <w:rPr>
          <w:sz w:val="20"/>
          <w:szCs w:val="20"/>
          <w:color w:val="auto"/>
        </w:rPr>
      </w:pPr>
      <w:r>
        <w:rPr>
          <w:rFonts w:ascii="Arial" w:cs="Arial" w:eastAsia="Arial" w:hAnsi="Arial"/>
          <w:sz w:val="32"/>
          <w:szCs w:val="3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521335</wp:posOffset>
            </wp:positionV>
            <wp:extent cx="1414780" cy="4800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7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560070</wp:posOffset>
            </wp:positionV>
            <wp:extent cx="15176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i w:val="1"/>
          <w:iCs w:val="1"/>
          <w:color w:val="auto"/>
        </w:rPr>
        <w:t>Joint Book-Running and Joint Lead Managers</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Barclays</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BNP PARIBAS</w:t>
      </w:r>
    </w:p>
    <w:p>
      <w:pPr>
        <w:spacing w:after="0" w:line="78"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BofA Merrill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581660</wp:posOffset>
            </wp:positionV>
            <wp:extent cx="15176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1)"/>
      <w:numFmt w:val="lowerLetter"/>
      <w:start w:val="2"/>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lvl w:ilvl="1">
      <w:lvlJc w:val="left"/>
      <w:lvlText w:val="(%2)"/>
      <w:numFmt w:val="lowerLetter"/>
      <w:start w:val="1"/>
    </w:lvl>
  </w:abstractNum>
  <w:abstractNum w:abstractNumId="12">
    <w:nsid w:val="836C40E"/>
    <w:multiLevelType w:val="hybridMultilevel"/>
    <w:lvl w:ilvl="0">
      <w:lvlJc w:val="left"/>
      <w:lvlText w:val="(%1)"/>
      <w:numFmt w:val="decimal"/>
      <w:start w:val="2"/>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Ÿ"/>
      <w:numFmt w:val="bullet"/>
      <w:start w:val="1"/>
    </w:lvl>
  </w:abstractNum>
  <w:abstractNum w:abstractNumId="20">
    <w:nsid w:val="22221A70"/>
    <w:multiLevelType w:val="hybridMultilevel"/>
    <w:lvl w:ilvl="0">
      <w:lvlJc w:val="left"/>
      <w:lvlText w:val="Ÿ"/>
      <w:numFmt w:val="bullet"/>
      <w:start w:val="1"/>
    </w:lvl>
  </w:abstractNum>
  <w:abstractNum w:abstractNumId="21">
    <w:nsid w:val="4516DDE9"/>
    <w:multiLevelType w:val="hybridMultilevel"/>
    <w:lvl w:ilvl="0">
      <w:lvlJc w:val="left"/>
      <w:lvlText w:val="Ÿ"/>
      <w:numFmt w:val="bullet"/>
      <w:start w:val="1"/>
    </w:lvl>
  </w:abstractNum>
  <w:abstractNum w:abstractNumId="22">
    <w:nsid w:val="3006C83E"/>
    <w:multiLevelType w:val="hybridMultilevel"/>
    <w:lvl w:ilvl="0">
      <w:lvlJc w:val="left"/>
      <w:lvlText w:val="Ÿ"/>
      <w:numFmt w:val="bullet"/>
      <w:start w:val="1"/>
    </w:lvl>
  </w:abstractNum>
  <w:abstractNum w:abstractNumId="23">
    <w:nsid w:val="614FD4A1"/>
    <w:multiLevelType w:val="hybridMultilevel"/>
    <w:lvl w:ilvl="0">
      <w:lvlJc w:val="left"/>
      <w:lvlText w:val="Ÿ"/>
      <w:numFmt w:val="bullet"/>
      <w:start w:val="1"/>
    </w:lvl>
  </w:abstractNum>
  <w:abstractNum w:abstractNumId="24">
    <w:nsid w:val="419AC241"/>
    <w:multiLevelType w:val="hybridMultilevel"/>
    <w:lvl w:ilvl="0">
      <w:lvlJc w:val="left"/>
      <w:lvlText w:val="Ÿ"/>
      <w:numFmt w:val="bullet"/>
      <w:start w:val="1"/>
    </w:lvl>
  </w:abstractNum>
  <w:abstractNum w:abstractNumId="25">
    <w:nsid w:val="5577F8E1"/>
    <w:multiLevelType w:val="hybridMultilevel"/>
    <w:lvl w:ilvl="0">
      <w:lvlJc w:val="left"/>
      <w:lvlText w:val="Ÿ"/>
      <w:numFmt w:val="bullet"/>
      <w:start w:val="1"/>
    </w:lvl>
  </w:abstractNum>
  <w:abstractNum w:abstractNumId="26">
    <w:nsid w:val="440BADFC"/>
    <w:multiLevelType w:val="hybridMultilevel"/>
    <w:lvl w:ilvl="0">
      <w:lvlJc w:val="left"/>
      <w:lvlText w:val="Ÿ"/>
      <w:numFmt w:val="bullet"/>
      <w:start w:val="1"/>
    </w:lvl>
  </w:abstractNum>
  <w:abstractNum w:abstractNumId="27">
    <w:nsid w:val="5072367"/>
    <w:multiLevelType w:val="hybridMultilevel"/>
    <w:lvl w:ilvl="0">
      <w:lvlJc w:val="left"/>
      <w:lvlText w:val="Ÿ"/>
      <w:numFmt w:val="bullet"/>
      <w:start w:val="1"/>
    </w:lvl>
  </w:abstractNum>
  <w:abstractNum w:abstractNumId="28">
    <w:nsid w:val="3804823E"/>
    <w:multiLevelType w:val="hybridMultilevel"/>
    <w:lvl w:ilvl="0">
      <w:lvlJc w:val="left"/>
      <w:lvlText w:val="Ÿ"/>
      <w:numFmt w:val="bullet"/>
      <w:start w:val="1"/>
    </w:lvl>
  </w:abstractNum>
  <w:abstractNum w:abstractNumId="29">
    <w:nsid w:val="77465F01"/>
    <w:multiLevelType w:val="hybridMultilevel"/>
    <w:lvl w:ilvl="0">
      <w:lvlJc w:val="left"/>
      <w:lvlText w:val="Ÿ"/>
      <w:numFmt w:val="bullet"/>
      <w:start w:val="1"/>
    </w:lvl>
  </w:abstractNum>
  <w:abstractNum w:abstractNumId="30">
    <w:nsid w:val="7724C67E"/>
    <w:multiLevelType w:val="hybridMultilevel"/>
    <w:lvl w:ilvl="0">
      <w:lvlJc w:val="left"/>
      <w:lvlText w:val="Ÿ"/>
      <w:numFmt w:val="bullet"/>
      <w:start w:val="1"/>
    </w:lvl>
  </w:abstractNum>
  <w:abstractNum w:abstractNumId="31">
    <w:nsid w:val="5C482A97"/>
    <w:multiLevelType w:val="hybridMultilevel"/>
    <w:lvl w:ilvl="0">
      <w:lvlJc w:val="left"/>
      <w:lvlText w:val="Ÿ"/>
      <w:numFmt w:val="bullet"/>
      <w:start w:val="1"/>
    </w:lvl>
  </w:abstractNum>
  <w:abstractNum w:abstractNumId="32">
    <w:nsid w:val="2463B9EA"/>
    <w:multiLevelType w:val="hybridMultilevel"/>
    <w:lvl w:ilvl="0">
      <w:lvlJc w:val="left"/>
      <w:lvlText w:val="Ÿ"/>
      <w:numFmt w:val="bullet"/>
      <w:start w:val="1"/>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Ÿ"/>
      <w:numFmt w:val="bullet"/>
      <w:start w:val="1"/>
    </w:lvl>
  </w:abstractNum>
  <w:abstractNum w:abstractNumId="35">
    <w:nsid w:val="2D517796"/>
    <w:multiLevelType w:val="hybridMultilevel"/>
    <w:lvl w:ilvl="0">
      <w:lvlJc w:val="left"/>
      <w:lvlText w:val="(%1)"/>
      <w:numFmt w:val="lowerLetter"/>
      <w:start w:val="6"/>
    </w:lvl>
  </w:abstractNum>
  <w:abstractNum w:abstractNumId="36">
    <w:nsid w:val="580BD78F"/>
    <w:multiLevelType w:val="hybridMultilevel"/>
    <w:lvl w:ilvl="0">
      <w:lvlJc w:val="left"/>
      <w:lvlText w:val="(%1)"/>
      <w:numFmt w:val="lowerLetter"/>
      <w:start w:val="16"/>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Ÿ"/>
      <w:numFmt w:val="bullet"/>
      <w:start w:val="1"/>
    </w:lvl>
  </w:abstractNum>
  <w:abstractNum w:abstractNumId="39">
    <w:nsid w:val="70A64E2A"/>
    <w:multiLevelType w:val="hybridMultilevel"/>
    <w:lvl w:ilvl="0">
      <w:lvlJc w:val="left"/>
      <w:lvlText w:val="Ÿ"/>
      <w:numFmt w:val="bullet"/>
      <w:start w:val="1"/>
    </w:lvl>
  </w:abstractNum>
  <w:abstractNum w:abstractNumId="40">
    <w:nsid w:val="6A2342EC"/>
    <w:multiLevelType w:val="hybridMultilevel"/>
    <w:lvl w:ilvl="0">
      <w:lvlJc w:val="left"/>
      <w:lvlText w:val="Ÿ"/>
      <w:numFmt w:val="bullet"/>
      <w:start w:val="1"/>
    </w:lvl>
  </w:abstractNum>
  <w:abstractNum w:abstractNumId="41">
    <w:nsid w:val="2A487CB0"/>
    <w:multiLevelType w:val="hybridMultilevel"/>
    <w:lvl w:ilvl="0">
      <w:lvlJc w:val="left"/>
      <w:lvlText w:val="(%1)"/>
      <w:numFmt w:val="decimal"/>
      <w:start w:val="2"/>
    </w:lvl>
  </w:abstractNum>
  <w:abstractNum w:abstractNumId="42">
    <w:nsid w:val="1D4ED43B"/>
    <w:multiLevelType w:val="hybridMultilevel"/>
    <w:lvl w:ilvl="0">
      <w:lvlJc w:val="left"/>
      <w:lvlText w:val="Ÿ"/>
      <w:numFmt w:val="bullet"/>
      <w:start w:val="1"/>
    </w:lvl>
  </w:abstractNum>
  <w:abstractNum w:abstractNumId="43">
    <w:nsid w:val="725A06FB"/>
    <w:multiLevelType w:val="hybridMultilevel"/>
    <w:lvl w:ilvl="0">
      <w:lvlJc w:val="left"/>
      <w:lvlText w:val="Ÿ"/>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2019-12-20T20:38:51Z</dcterms:created>
  <dcterms:modified xsi:type="dcterms:W3CDTF">2019-12-20T20:38:51Z</dcterms:modified>
</cp:coreProperties>
</file>