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ind w:left="1840" w:right="20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2005</w:t>
      </w: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4"/>
        <w:spacing w:after="0"/>
        <w:tabs>
          <w:tab w:leader="none" w:pos="18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00"/>
          </w:cols>
          <w:pgMar w:left="240" w:top="778" w:right="459" w:bottom="1440" w:gutter="0" w:footer="0" w:header="0"/>
        </w:sectPr>
      </w:pPr>
    </w:p>
    <w:p>
      <w:pPr>
        <w:spacing w:after="0" w:line="237" w:lineRule="exact"/>
        <w:rPr>
          <w:sz w:val="20"/>
          <w:szCs w:val="20"/>
          <w:color w:val="auto"/>
        </w:rPr>
      </w:pPr>
    </w:p>
    <w:p>
      <w:pPr>
        <w:ind w:left="184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1200"/>
          </w:cols>
          <w:pgMar w:left="240" w:top="778" w:right="459" w:bottom="1440" w:gutter="0" w:footer="0" w:header="0"/>
          <w:type w:val="continuous"/>
        </w:sectPr>
      </w:pPr>
    </w:p>
    <w:p>
      <w:pPr>
        <w:spacing w:after="0" w:line="61" w:lineRule="exact"/>
        <w:rPr>
          <w:sz w:val="20"/>
          <w:szCs w:val="20"/>
          <w:color w:val="auto"/>
        </w:rPr>
      </w:pPr>
    </w:p>
    <w:p>
      <w:pPr>
        <w:jc w:val="center"/>
        <w:ind w:right="-219"/>
        <w:spacing w:after="0"/>
        <w:rPr>
          <w:sz w:val="20"/>
          <w:szCs w:val="20"/>
          <w:color w:val="auto"/>
        </w:rPr>
      </w:pPr>
      <w:r>
        <w:rPr>
          <w:rFonts w:ascii="Arial" w:cs="Arial" w:eastAsia="Arial" w:hAnsi="Arial"/>
          <w:sz w:val="39"/>
          <w:szCs w:val="39"/>
          <w:b w:val="1"/>
          <w:bCs w:val="1"/>
          <w:color w:val="auto"/>
        </w:rPr>
        <w:t>Waste Management, Inc.</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00"/>
          </w:cols>
          <w:pgMar w:left="240" w:top="778" w:right="459" w:bottom="1440" w:gutter="0" w:footer="0" w:header="0"/>
          <w:type w:val="continuous"/>
        </w:sectPr>
      </w:pPr>
    </w:p>
    <w:p>
      <w:pPr>
        <w:spacing w:after="0" w:line="20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40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0"/>
          <w:szCs w:val="20"/>
          <w:color w:val="auto"/>
        </w:rPr>
      </w:pPr>
    </w:p>
    <w:p>
      <w:pPr>
        <w:jc w:val="center"/>
        <w:ind w:right="1400"/>
        <w:spacing w:after="0"/>
        <w:rPr>
          <w:sz w:val="20"/>
          <w:szCs w:val="20"/>
          <w:color w:val="auto"/>
        </w:rPr>
      </w:pPr>
      <w:r>
        <w:rPr>
          <w:rFonts w:ascii="Arial" w:cs="Arial" w:eastAsia="Arial" w:hAnsi="Arial"/>
          <w:sz w:val="16"/>
          <w:szCs w:val="16"/>
          <w:i w:val="1"/>
          <w:iCs w:val="1"/>
          <w:color w:val="auto"/>
        </w:rPr>
        <w:t>Identification No.)</w:t>
      </w:r>
    </w:p>
    <w:p>
      <w:pPr>
        <w:spacing w:after="0" w:line="175" w:lineRule="exact"/>
        <w:rPr>
          <w:sz w:val="20"/>
          <w:szCs w:val="20"/>
          <w:color w:val="auto"/>
        </w:rPr>
      </w:pPr>
    </w:p>
    <w:p>
      <w:pPr>
        <w:sectPr>
          <w:pgSz w:w="11900" w:h="16838" w:orient="portrait"/>
          <w:cols w:equalWidth="0" w:num="2">
            <w:col w:w="7760" w:space="720"/>
            <w:col w:w="2720"/>
          </w:cols>
          <w:pgMar w:left="240" w:top="778"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1001 Fannin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3"/>
          <w:szCs w:val="13"/>
          <w:i w:val="1"/>
          <w:iCs w:val="1"/>
          <w:color w:val="auto"/>
        </w:rPr>
        <w:t>(Registrant’s telephone number, including area code)</w:t>
      </w:r>
    </w:p>
    <w:p>
      <w:pPr>
        <w:sectPr>
          <w:pgSz w:w="11900" w:h="16838" w:orient="portrait"/>
          <w:cols w:equalWidth="0" w:num="1">
            <w:col w:w="11200"/>
          </w:cols>
          <w:pgMar w:left="240" w:top="778" w:right="459" w:bottom="1440" w:gutter="0" w:footer="0" w:header="0"/>
          <w:type w:val="continuous"/>
        </w:sectPr>
      </w:pPr>
    </w:p>
    <w:p>
      <w:pPr>
        <w:spacing w:after="0" w:line="262" w:lineRule="exact"/>
        <w:rPr>
          <w:sz w:val="20"/>
          <w:szCs w:val="20"/>
          <w:color w:val="auto"/>
        </w:rPr>
      </w:pPr>
    </w:p>
    <w:p>
      <w:pPr>
        <w:ind w:right="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720" w:firstLine="270"/>
        <w:spacing w:after="0" w:line="233"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25, 2005 was 568,049,322 (excluding treasury shares of 62,233,139).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78"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40" w:type="dxa"/>
            <w:vAlign w:val="bottom"/>
          </w:tcPr>
          <w:p>
            <w:pPr>
              <w:ind w:left="542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5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 of allowance for doubtful accounts of $61 for both periods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1,598</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Notes and other receivables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Parts and supplies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2,682</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40" w:type="dxa"/>
            <w:vAlign w:val="bottom"/>
          </w:tcPr>
          <w:p>
            <w:pPr>
              <w:spacing w:after="0" w:line="130" w:lineRule="exact"/>
              <w:rPr>
                <w:sz w:val="20"/>
                <w:szCs w:val="20"/>
                <w:color w:val="auto"/>
              </w:rPr>
            </w:pPr>
            <w:r>
              <w:rPr>
                <w:rFonts w:ascii="Arial" w:cs="Arial" w:eastAsia="Arial" w:hAnsi="Arial"/>
                <w:sz w:val="14"/>
                <w:szCs w:val="14"/>
                <w:color w:val="auto"/>
              </w:rPr>
              <w:t>Property and equipment, net of accumulated depreciation and amortization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40" w:type="dxa"/>
            <w:vAlign w:val="bottom"/>
          </w:tcPr>
          <w:p>
            <w:pPr>
              <w:ind w:left="120"/>
              <w:spacing w:after="0"/>
              <w:rPr>
                <w:sz w:val="20"/>
                <w:szCs w:val="20"/>
                <w:color w:val="auto"/>
              </w:rPr>
            </w:pPr>
            <w:r>
              <w:rPr>
                <w:rFonts w:ascii="Arial" w:cs="Arial" w:eastAsia="Arial" w:hAnsi="Arial"/>
                <w:sz w:val="14"/>
                <w:szCs w:val="14"/>
                <w:color w:val="auto"/>
              </w:rPr>
              <w:t>of $10,979 and $10,827, respectively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11,378</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4"/>
                <w:szCs w:val="14"/>
                <w:color w:val="auto"/>
              </w:rPr>
              <w:t>11,476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5,340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1,101</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20,658</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1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5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1,648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60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3,018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8,067</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1,392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1,157</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600"/>
              <w:spacing w:after="0" w:line="149" w:lineRule="exact"/>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14,426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14,652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Minority interest in subsidiaries and variable interest entities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40" w:type="dxa"/>
            <w:vAlign w:val="bottom"/>
          </w:tcPr>
          <w:p>
            <w:pPr>
              <w:ind w:left="280"/>
              <w:spacing w:after="0" w:line="130" w:lineRule="exact"/>
              <w:rPr>
                <w:sz w:val="20"/>
                <w:szCs w:val="20"/>
                <w:color w:val="auto"/>
              </w:rPr>
            </w:pPr>
            <w:r>
              <w:rPr>
                <w:rFonts w:ascii="Arial" w:cs="Arial" w:eastAsia="Arial" w:hAnsi="Arial"/>
                <w:sz w:val="14"/>
                <w:szCs w:val="14"/>
                <w:color w:val="auto"/>
              </w:rPr>
              <w:t>Common stock, $0.01 par value; 1,500,000,000 shares authorized;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40" w:type="dxa"/>
            <w:vAlign w:val="bottom"/>
          </w:tcPr>
          <w:p>
            <w:pPr>
              <w:ind w:left="420"/>
              <w:spacing w:after="0"/>
              <w:rPr>
                <w:sz w:val="20"/>
                <w:szCs w:val="20"/>
                <w:color w:val="auto"/>
              </w:rPr>
            </w:pPr>
            <w:r>
              <w:rPr>
                <w:rFonts w:ascii="Arial" w:cs="Arial" w:eastAsia="Arial" w:hAnsi="Arial"/>
                <w:sz w:val="14"/>
                <w:szCs w:val="14"/>
                <w:color w:val="auto"/>
              </w:rPr>
              <w:t>630,282,461 shares issued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4,480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3,040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280"/>
              <w:spacing w:after="0" w:line="149" w:lineRule="exact"/>
              <w:rPr>
                <w:sz w:val="20"/>
                <w:szCs w:val="20"/>
                <w:color w:val="auto"/>
              </w:rPr>
            </w:pPr>
            <w:r>
              <w:rPr>
                <w:rFonts w:ascii="Arial" w:cs="Arial" w:eastAsia="Arial" w:hAnsi="Arial"/>
                <w:sz w:val="14"/>
                <w:szCs w:val="14"/>
                <w:color w:val="auto"/>
              </w:rPr>
              <w:t>Restricted stock unearned 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Treasury stock at cost, 62,025,457 and 60,069,777 shares, respectively</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(1,647)</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5,943</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20,658</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3,038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Operating (exclusive of depreciation and amortization shown below)</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2,044</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330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Asset impairments and unusual items</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2,672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366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700" w:type="dxa"/>
            <w:vAlign w:val="bottom"/>
            <w:gridSpan w:val="2"/>
          </w:tcPr>
          <w:p>
            <w:pPr>
              <w:jc w:val="right"/>
              <w:ind w:right="788"/>
              <w:spacing w:after="0" w:line="149" w:lineRule="exact"/>
              <w:rPr>
                <w:sz w:val="20"/>
                <w:szCs w:val="20"/>
                <w:color w:val="auto"/>
              </w:rPr>
            </w:pPr>
            <w:r>
              <w:rPr>
                <w:rFonts w:ascii="Arial" w:cs="Arial" w:eastAsia="Arial" w:hAnsi="Arial"/>
                <w:sz w:val="14"/>
                <w:szCs w:val="14"/>
                <w:color w:val="auto"/>
              </w:rPr>
              <w:t>(116)</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Equity in net losses of unconsolidated entities</w:t>
            </w:r>
          </w:p>
        </w:tc>
        <w:tc>
          <w:tcPr>
            <w:tcW w:w="200" w:type="dxa"/>
            <w:vAlign w:val="bottom"/>
          </w:tcPr>
          <w:p>
            <w:pPr>
              <w:spacing w:after="0"/>
              <w:rPr>
                <w:sz w:val="12"/>
                <w:szCs w:val="12"/>
                <w:color w:val="auto"/>
              </w:rPr>
            </w:pPr>
          </w:p>
        </w:tc>
        <w:tc>
          <w:tcPr>
            <w:tcW w:w="1700" w:type="dxa"/>
            <w:vAlign w:val="bottom"/>
            <w:gridSpan w:val="2"/>
          </w:tcPr>
          <w:p>
            <w:pPr>
              <w:jc w:val="right"/>
              <w:ind w:right="788"/>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right"/>
              <w:ind w:right="788"/>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Income before income taxes and cumulative effect of change in accounting principle</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220</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 net of income tax expense of $5 for 2004</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Basic earnings per common share: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0" w:type="dxa"/>
            <w:vAlign w:val="bottom"/>
          </w:tcPr>
          <w:p>
            <w:pPr>
              <w:spacing w:after="0"/>
              <w:rPr>
                <w:sz w:val="12"/>
                <w:szCs w:val="12"/>
                <w:color w:val="auto"/>
              </w:rPr>
            </w:pP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0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Cash dividends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828"/>
              <w:spacing w:after="0" w:line="149" w:lineRule="exact"/>
              <w:rPr>
                <w:sz w:val="20"/>
                <w:szCs w:val="20"/>
                <w:color w:val="auto"/>
              </w:rPr>
            </w:pPr>
            <w:r>
              <w:rPr>
                <w:rFonts w:ascii="Arial" w:cs="Arial" w:eastAsia="Arial" w:hAnsi="Arial"/>
                <w:sz w:val="14"/>
                <w:szCs w:val="14"/>
                <w:color w:val="auto"/>
              </w:rPr>
              <w:t>0.20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Adjustments to reconcile net income to net cash provided</w:t>
            </w: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by operating activities:</w:t>
            </w: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64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5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Provision for bad debts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640"/>
              <w:spacing w:after="0" w:line="149" w:lineRule="exact"/>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321</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Deferred income tax provision</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640"/>
              <w:spacing w:after="0" w:line="149" w:lineRule="exact"/>
              <w:rPr>
                <w:sz w:val="20"/>
                <w:szCs w:val="20"/>
                <w:color w:val="auto"/>
              </w:rPr>
            </w:pPr>
            <w:r>
              <w:rPr>
                <w:rFonts w:ascii="Arial" w:cs="Arial" w:eastAsia="Arial" w:hAnsi="Arial"/>
                <w:sz w:val="14"/>
                <w:szCs w:val="14"/>
                <w:color w:val="auto"/>
              </w:rPr>
              <w:t>Minority interest</w:t>
            </w:r>
          </w:p>
        </w:tc>
        <w:tc>
          <w:tcPr>
            <w:tcW w:w="5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Equity in net losses of unconsolidated entities, net of distributions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640"/>
              <w:spacing w:after="0" w:line="149" w:lineRule="exact"/>
              <w:rPr>
                <w:sz w:val="20"/>
                <w:szCs w:val="20"/>
                <w:color w:val="auto"/>
              </w:rPr>
            </w:pPr>
            <w:r>
              <w:rPr>
                <w:rFonts w:ascii="Arial" w:cs="Arial" w:eastAsia="Arial" w:hAnsi="Arial"/>
                <w:sz w:val="14"/>
                <w:szCs w:val="14"/>
                <w:color w:val="auto"/>
              </w:rPr>
              <w:t>Net gain on disposal of assets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Effect of asset impairments and unusual items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0" w:type="dxa"/>
            <w:vAlign w:val="bottom"/>
          </w:tcPr>
          <w:p>
            <w:pPr>
              <w:ind w:left="640"/>
              <w:spacing w:after="0" w:line="130" w:lineRule="exact"/>
              <w:rPr>
                <w:sz w:val="20"/>
                <w:szCs w:val="20"/>
                <w:color w:val="auto"/>
              </w:rPr>
            </w:pPr>
            <w:r>
              <w:rPr>
                <w:rFonts w:ascii="Arial" w:cs="Arial" w:eastAsia="Arial" w:hAnsi="Arial"/>
                <w:sz w:val="14"/>
                <w:szCs w:val="14"/>
                <w:color w:val="auto"/>
              </w:rPr>
              <w:t>Change in operating assets and liabilities, net of effects of</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0" w:type="dxa"/>
            <w:vAlign w:val="bottom"/>
          </w:tcPr>
          <w:p>
            <w:pPr>
              <w:ind w:left="780"/>
              <w:spacing w:after="0"/>
              <w:rPr>
                <w:sz w:val="20"/>
                <w:szCs w:val="20"/>
                <w:color w:val="auto"/>
              </w:rPr>
            </w:pPr>
            <w:r>
              <w:rPr>
                <w:rFonts w:ascii="Arial" w:cs="Arial" w:eastAsia="Arial" w:hAnsi="Arial"/>
                <w:sz w:val="14"/>
                <w:szCs w:val="14"/>
                <w:color w:val="auto"/>
              </w:rPr>
              <w:t>acquisitions and divestitures: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Receivables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9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Other assets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9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Deferred revenues and other liabilities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Capital expenditures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(185)</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0" w:type="dxa"/>
            <w:vAlign w:val="bottom"/>
          </w:tcPr>
          <w:p>
            <w:pPr>
              <w:ind w:left="320"/>
              <w:spacing w:after="0" w:line="130" w:lineRule="exact"/>
              <w:rPr>
                <w:sz w:val="20"/>
                <w:szCs w:val="20"/>
                <w:color w:val="auto"/>
              </w:rPr>
            </w:pPr>
            <w:r>
              <w:rPr>
                <w:rFonts w:ascii="Arial" w:cs="Arial" w:eastAsia="Arial" w:hAnsi="Arial"/>
                <w:sz w:val="14"/>
                <w:szCs w:val="14"/>
                <w:color w:val="auto"/>
              </w:rPr>
              <w:t>Proceeds from divestitures of businesses, net of cash divested,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0" w:type="dxa"/>
            <w:vAlign w:val="bottom"/>
          </w:tcPr>
          <w:p>
            <w:pPr>
              <w:ind w:left="440"/>
              <w:spacing w:after="0"/>
              <w:rPr>
                <w:sz w:val="20"/>
                <w:szCs w:val="20"/>
                <w:color w:val="auto"/>
              </w:rPr>
            </w:pPr>
            <w:r>
              <w:rPr>
                <w:rFonts w:ascii="Arial" w:cs="Arial" w:eastAsia="Arial" w:hAnsi="Arial"/>
                <w:sz w:val="14"/>
                <w:szCs w:val="14"/>
                <w:color w:val="auto"/>
              </w:rPr>
              <w:t>and other sales of assets</w:t>
            </w:r>
          </w:p>
        </w:tc>
        <w:tc>
          <w:tcPr>
            <w:tcW w:w="58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short-term investments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5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(121)</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New borrowings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Debt repayments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(118)</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 repurchases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Cash dividends</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(114)</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 distributions paid</w:t>
            </w:r>
          </w:p>
        </w:tc>
        <w:tc>
          <w:tcPr>
            <w:tcW w:w="5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(372)</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cash and cash equivalents</w:t>
            </w:r>
          </w:p>
        </w:tc>
        <w:tc>
          <w:tcPr>
            <w:tcW w:w="5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5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58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Restricted</w:t>
            </w:r>
          </w:p>
        </w:tc>
        <w:tc>
          <w:tcPr>
            <w:tcW w:w="19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Stock</w:t>
            </w:r>
          </w:p>
        </w:tc>
        <w:tc>
          <w:tcPr>
            <w:tcW w:w="1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vMerge w:val="restart"/>
          </w:tcPr>
          <w:p>
            <w:pPr>
              <w:spacing w:after="0" w:line="20" w:lineRule="exact"/>
              <w:rPr>
                <w:sz w:val="1"/>
                <w:szCs w:val="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line="20" w:lineRule="exact"/>
              <w:rPr>
                <w:sz w:val="1"/>
                <w:szCs w:val="1"/>
                <w:color w:val="auto"/>
              </w:rPr>
            </w:pPr>
          </w:p>
        </w:tc>
        <w:tc>
          <w:tcPr>
            <w:tcW w:w="12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Unearned</w:t>
            </w: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4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Income (Loss)</w:t>
            </w: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Compensation</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630,282</w:t>
            </w: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4,501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(54,164)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Common stock issued upon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exercise of stock options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warrants and grants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restricted stock, including tax</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benefit of $37</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color w:val="auto"/>
              </w:rPr>
              <w:t>(5)</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Earned compensation related to</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stock</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(16,541)</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Unrealized loss resulting from</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fair values of</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derivative instruments, net of</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benefit of $11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Realized losses on derivative</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instruments reclassified into</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earnings, net of taxes of $6</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Unrealized gain on marketable</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 net of taxes of $2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Translation adjustment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foreign currency statements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630,282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4,481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(60,070)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stock issued upon</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exercise of stock options and</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warrants and grants of</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restricted stock, including tax</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benefit of $4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1,204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Earned compensation related to</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restricted stock</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(3,472)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Unrealized gain resulting from</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changes in fair values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340"/>
              <w:spacing w:after="0" w:line="149" w:lineRule="exact"/>
              <w:rPr>
                <w:sz w:val="20"/>
                <w:szCs w:val="20"/>
                <w:color w:val="auto"/>
              </w:rPr>
            </w:pPr>
            <w:r>
              <w:rPr>
                <w:rFonts w:ascii="Arial" w:cs="Arial" w:eastAsia="Arial" w:hAnsi="Arial"/>
                <w:sz w:val="14"/>
                <w:szCs w:val="14"/>
                <w:color w:val="auto"/>
              </w:rPr>
              <w:t>derivative instruments, net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taxes of $4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Realized losses on derivative</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instruments reclassified into</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earnings, net of taxes of $1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ind w:left="200"/>
              <w:spacing w:after="0" w:line="130" w:lineRule="exact"/>
              <w:rPr>
                <w:sz w:val="20"/>
                <w:szCs w:val="20"/>
                <w:color w:val="auto"/>
              </w:rPr>
            </w:pPr>
            <w:r>
              <w:rPr>
                <w:rFonts w:ascii="Arial" w:cs="Arial" w:eastAsia="Arial" w:hAnsi="Arial"/>
                <w:sz w:val="14"/>
                <w:szCs w:val="14"/>
                <w:color w:val="auto"/>
              </w:rPr>
              <w:t>Unrealized loss on marketable</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color w:val="auto"/>
              </w:rPr>
              <w:t>securities, net of taxes of $0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Translation adjustment of</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statements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Balance, March 31, 2005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630,282</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4,480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3,040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(62,025)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condensed financial statements presented in this report represent the consolidation of Waste Management, Inc., a Delaware corporation, our majority-owned subsidiaries and certain variable interest entities for which we have determined that we are the primary beneficiary. Waste Management, Inc. is a holding company that conducts all of its operations through its subsidiaries. When the terms “the Company,” “we,” “us” or “our” are used in this document, those terms refer to Waste Management, Inc. and all of its consolidated subsidiaries. When we use the term “WMI,” we are referring only to the parent holding company.</w:t>
      </w:r>
    </w:p>
    <w:p>
      <w:pPr>
        <w:spacing w:after="0" w:line="80" w:lineRule="exact"/>
        <w:rPr>
          <w:sz w:val="20"/>
          <w:szCs w:val="20"/>
          <w:color w:val="auto"/>
        </w:rPr>
      </w:pPr>
    </w:p>
    <w:p>
      <w:pPr>
        <w:ind w:right="40" w:firstLine="267"/>
        <w:spacing w:after="0" w:line="276" w:lineRule="auto"/>
        <w:rPr>
          <w:sz w:val="20"/>
          <w:szCs w:val="20"/>
          <w:color w:val="auto"/>
        </w:rPr>
      </w:pPr>
      <w:r>
        <w:rPr>
          <w:rFonts w:ascii="Arial" w:cs="Arial" w:eastAsia="Arial" w:hAnsi="Arial"/>
          <w:sz w:val="17"/>
          <w:szCs w:val="17"/>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that conducts all of its operations through it subsidiaries. For more detail on the financial position, results of operations and cash flows of WMI, WM Holdings and their subsidiaries, see Note 11.</w:t>
      </w:r>
    </w:p>
    <w:p>
      <w:pPr>
        <w:spacing w:after="0" w:line="64"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condensed consolidated financial statements as of and for the three months ended March 31, 2005 are unaudited. In the opinion of management, these financial statements include all adjustments, which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2004.</w:t>
      </w:r>
    </w:p>
    <w:p>
      <w:pPr>
        <w:spacing w:after="0" w:line="80"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Accounting changes </w:t>
      </w:r>
      <w:r>
        <w:rPr>
          <w:rFonts w:ascii="Arial" w:cs="Arial" w:eastAsia="Arial" w:hAnsi="Arial"/>
          <w:sz w:val="17"/>
          <w:szCs w:val="17"/>
          <w:color w:val="auto"/>
        </w:rPr>
        <w:t>— On March 31, 2004, the Financial Accounting Standards Board’s (“FASB”) Interpretation No. 46,</w:t>
      </w:r>
      <w:r>
        <w:rPr>
          <w:rFonts w:ascii="Arial" w:cs="Arial" w:eastAsia="Arial" w:hAnsi="Arial"/>
          <w:sz w:val="17"/>
          <w:szCs w:val="17"/>
          <w:i w:val="1"/>
          <w:iCs w:val="1"/>
          <w:color w:val="auto"/>
        </w:rPr>
        <w:t xml:space="preserve"> Consolidation of Variable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Entities </w:t>
      </w:r>
      <w:r>
        <w:rPr>
          <w:rFonts w:ascii="Arial" w:cs="Arial" w:eastAsia="Arial" w:hAnsi="Arial"/>
          <w:sz w:val="16"/>
          <w:szCs w:val="16"/>
          <w:color w:val="auto"/>
        </w:rPr>
        <w:t>(“FIN 46”), became applicable to non-special purpose type variable interest entities created on or before January 31, 2003. Our application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 46 to this type of entity resulted in the consolidation of certain trusts established to support the performance of closure, post-closure and environmental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remediation activities. On March 31, 2004, we recorded an increase in our net assets and a credit to cumulative effect of change in accounting principle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net of taxes, to consolidate these variable interest entities. The consolidation of these trusts has not had, nor is it expected to have, a material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financial position, results of operations or cash flows.</w:t>
      </w:r>
    </w:p>
    <w:p>
      <w:pPr>
        <w:spacing w:after="0" w:line="103"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The following discussion provides information about changes in our accounting and reporting that have resulted in reclassifications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prior year amounts:</w:t>
      </w:r>
    </w:p>
    <w:p>
      <w:pPr>
        <w:spacing w:after="0" w:line="62"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increased both our cash and cash equivalents and accounts payable balances at March 31, 2004 and December 31, 2003 by $51 million and</w:t>
      </w:r>
    </w:p>
    <w:p>
      <w:pPr>
        <w:spacing w:after="0" w:line="34" w:lineRule="exact"/>
        <w:rPr>
          <w:rFonts w:ascii="Arial" w:cs="Arial" w:eastAsia="Arial" w:hAnsi="Arial"/>
          <w:sz w:val="17"/>
          <w:szCs w:val="17"/>
          <w:color w:val="auto"/>
        </w:rPr>
      </w:pPr>
    </w:p>
    <w:p>
      <w:pPr>
        <w:ind w:left="460" w:right="320"/>
        <w:spacing w:after="0" w:line="255" w:lineRule="auto"/>
        <w:rPr>
          <w:rFonts w:ascii="Arial" w:cs="Arial" w:eastAsia="Arial" w:hAnsi="Arial"/>
          <w:sz w:val="17"/>
          <w:szCs w:val="17"/>
          <w:color w:val="auto"/>
        </w:rPr>
      </w:pPr>
      <w:r>
        <w:rPr>
          <w:rFonts w:ascii="Arial" w:cs="Arial" w:eastAsia="Arial" w:hAnsi="Arial"/>
          <w:sz w:val="18"/>
          <w:szCs w:val="18"/>
          <w:color w:val="auto"/>
        </w:rPr>
        <w:t>$82 million, respectively, upon identifying certain cash accounts with negative balances and no legal right of offset. Within our three months ended March 31, 2004 statement of cash flows, the related changes in our accounts payable have been treated as a component of cash used in financing activities — other.</w:t>
      </w:r>
    </w:p>
    <w:p>
      <w:pPr>
        <w:spacing w:after="0" w:line="95" w:lineRule="exact"/>
        <w:rPr>
          <w:rFonts w:ascii="Arial" w:cs="Arial" w:eastAsia="Arial" w:hAnsi="Arial"/>
          <w:sz w:val="17"/>
          <w:szCs w:val="17"/>
          <w:color w:val="auto"/>
        </w:rPr>
      </w:pPr>
    </w:p>
    <w:p>
      <w:pPr>
        <w:ind w:left="460" w:right="280" w:hanging="101"/>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of 2004, we began making investments in auction rate securities and variable rate demand notes, which are debt instruments with long-term scheduled maturities and periodic interest rate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460" w:right="280"/>
        <w:spacing w:after="0" w:line="288" w:lineRule="auto"/>
        <w:rPr>
          <w:sz w:val="20"/>
          <w:szCs w:val="20"/>
          <w:color w:val="auto"/>
        </w:rPr>
      </w:pPr>
      <w:r>
        <w:rPr>
          <w:rFonts w:ascii="Arial" w:cs="Arial" w:eastAsia="Arial" w:hAnsi="Arial"/>
          <w:sz w:val="16"/>
          <w:szCs w:val="16"/>
          <w:color w:val="auto"/>
        </w:rPr>
        <w:t>reset dates. Through December 31, 2004, we included these investments in cash and cash equivalents. As a result of recent guidance associated with these types of securities, we determined that these investments were more appropriately classified as short-term investments. Accordingly, we decreased our cash and cash equivalents and increased our prepaid expenses and other current assets by $19 million at December 31, 2004 and</w:t>
      </w:r>
    </w:p>
    <w:p>
      <w:pPr>
        <w:ind w:left="460"/>
        <w:spacing w:after="0" w:line="254" w:lineRule="auto"/>
        <w:rPr>
          <w:sz w:val="20"/>
          <w:szCs w:val="20"/>
          <w:color w:val="auto"/>
        </w:rPr>
      </w:pPr>
      <w:r>
        <w:rPr>
          <w:rFonts w:ascii="Arial" w:cs="Arial" w:eastAsia="Arial" w:hAnsi="Arial"/>
          <w:sz w:val="18"/>
          <w:szCs w:val="18"/>
          <w:color w:val="auto"/>
        </w:rPr>
        <w:t>$347 million at March 31, 2004. Our gross purchases and sales of these investments have been reflected within investing activities in our statements of cash flows. Additionally, in our 2004 statement of cash flows, relatively insignificant purchases and sales of other short-term investments were included on a net basis within investing activities — other. This additional activity has also been reflected within purchases and sales of short-term investments in the accompanying statements of cash flows.</w:t>
      </w:r>
    </w:p>
    <w:p>
      <w:pPr>
        <w:spacing w:after="0" w:line="1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117"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We have material financial commitments with respect to asset retirement obligations at our landfills. The activities for which these obligations were established include the following:</w:t>
      </w:r>
    </w:p>
    <w:p>
      <w:pPr>
        <w:spacing w:after="0" w:line="62" w:lineRule="exact"/>
        <w:rPr>
          <w:sz w:val="20"/>
          <w:szCs w:val="20"/>
          <w:color w:val="auto"/>
        </w:rPr>
      </w:pPr>
    </w:p>
    <w:p>
      <w:pPr>
        <w:ind w:left="460" w:right="40" w:hanging="101"/>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Final capping </w:t>
      </w:r>
      <w:r>
        <w:rPr>
          <w:rFonts w:ascii="Arial" w:cs="Arial" w:eastAsia="Arial" w:hAnsi="Arial"/>
          <w:sz w:val="16"/>
          <w:szCs w:val="16"/>
          <w:color w:val="auto"/>
        </w:rPr>
        <w:t>— Involves the installation of flexible membrane and geosynthetic clay liners, drainage equipment and compacted soil layers and topsoil</w:t>
      </w:r>
      <w:r>
        <w:rPr>
          <w:rFonts w:ascii="Arial" w:cs="Arial" w:eastAsia="Arial" w:hAnsi="Arial"/>
          <w:sz w:val="16"/>
          <w:szCs w:val="16"/>
          <w:i w:val="1"/>
          <w:iCs w:val="1"/>
          <w:color w:val="auto"/>
        </w:rPr>
        <w:t xml:space="preserve"> </w:t>
      </w:r>
      <w:r>
        <w:rPr>
          <w:rFonts w:ascii="Arial" w:cs="Arial" w:eastAsia="Arial" w:hAnsi="Arial"/>
          <w:sz w:val="16"/>
          <w:szCs w:val="16"/>
          <w:color w:val="auto"/>
        </w:rPr>
        <w:t>over areas of a landfill where total airspace capacity has been consumed. Final capping asset retirement obligations are recorded on a units-of-consumption basis as airspace associated with each discrete capping event is consumed with a corresponding increase in the landfill asset.</w:t>
      </w:r>
    </w:p>
    <w:p>
      <w:pPr>
        <w:spacing w:after="0" w:line="52"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w:t>
      </w:r>
    </w:p>
    <w:p>
      <w:pPr>
        <w:spacing w:after="0" w:line="92" w:lineRule="exact"/>
        <w:rPr>
          <w:rFonts w:ascii="Arial" w:cs="Arial" w:eastAsia="Arial" w:hAnsi="Arial"/>
          <w:sz w:val="18"/>
          <w:szCs w:val="18"/>
          <w:color w:val="auto"/>
        </w:rPr>
      </w:pPr>
    </w:p>
    <w:p>
      <w:pPr>
        <w:ind w:left="460" w:right="260" w:hanging="101"/>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Post-closure </w:t>
      </w:r>
      <w:r>
        <w:rPr>
          <w:rFonts w:ascii="Arial" w:cs="Arial" w:eastAsia="Arial" w:hAnsi="Arial"/>
          <w:sz w:val="18"/>
          <w:szCs w:val="18"/>
          <w:color w:val="auto"/>
        </w:rPr>
        <w:t>— Once a landfill is certified closed by the applicable state regulatory agency, we are required to maintain and monitor the site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is generally 30 years. These maintenance and monitoring costs are accrued as an asset retirement obligation as airspace is consumed over the life of the landfill with a corresponding increase in the landfill asset.</w:t>
      </w:r>
    </w:p>
    <w:p>
      <w:pPr>
        <w:spacing w:after="0" w:line="73" w:lineRule="exact"/>
        <w:rPr>
          <w:sz w:val="20"/>
          <w:szCs w:val="20"/>
          <w:color w:val="auto"/>
        </w:rPr>
      </w:pPr>
    </w:p>
    <w:p>
      <w:pPr>
        <w:ind w:right="180" w:firstLine="267"/>
        <w:spacing w:after="0" w:line="254" w:lineRule="auto"/>
        <w:rPr>
          <w:sz w:val="20"/>
          <w:szCs w:val="20"/>
          <w:color w:val="auto"/>
        </w:rPr>
      </w:pPr>
      <w:r>
        <w:rPr>
          <w:rFonts w:ascii="Arial" w:cs="Arial" w:eastAsia="Arial" w:hAnsi="Arial"/>
          <w:sz w:val="18"/>
          <w:szCs w:val="18"/>
          <w:color w:val="auto"/>
        </w:rPr>
        <w:t xml:space="preserve">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Statement of Financial Accounting Standards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(“SFAS No. 143”). Absent quoted market prices, the estimate of fair value should be based on the best available information, including the results of present value techniques. In general, we contract with third parties to fulfill our obligations for final capping, closure and post-closure. Therefore, we have access to quoted and actual prices paid for similar work on which to base the fair value of these obligations. We are required to recognize these obligations at market prices whether we plan to contract with third parties or perform the work ourselves. In those instances where we perform the work with internal resources, the added profit margin is recognized as a component of operating income when earned.</w:t>
      </w:r>
    </w:p>
    <w:p>
      <w:pPr>
        <w:spacing w:after="0" w:line="84" w:lineRule="exact"/>
        <w:rPr>
          <w:sz w:val="20"/>
          <w:szCs w:val="20"/>
          <w:color w:val="auto"/>
        </w:rPr>
      </w:pPr>
    </w:p>
    <w:p>
      <w:pPr>
        <w:jc w:val="both"/>
        <w:ind w:right="220" w:firstLine="260"/>
        <w:spacing w:after="0" w:line="288" w:lineRule="auto"/>
        <w:rPr>
          <w:sz w:val="20"/>
          <w:szCs w:val="20"/>
          <w:color w:val="auto"/>
        </w:rPr>
      </w:pPr>
      <w:r>
        <w:rPr>
          <w:rFonts w:ascii="Arial" w:cs="Arial" w:eastAsia="Arial" w:hAnsi="Arial"/>
          <w:sz w:val="16"/>
          <w:szCs w:val="16"/>
          <w:color w:val="auto"/>
        </w:rPr>
        <w:t>Additionally, an estimate of fair value should also include the price that marketplace participants are able to receive for bearing the uncertainties in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w:t>
      </w:r>
    </w:p>
    <w:p>
      <w:pPr>
        <w:ind w:right="20"/>
        <w:spacing w:after="0" w:line="261" w:lineRule="auto"/>
        <w:rPr>
          <w:sz w:val="20"/>
          <w:szCs w:val="20"/>
          <w:color w:val="auto"/>
        </w:rPr>
      </w:pPr>
      <w:r>
        <w:rPr>
          <w:rFonts w:ascii="Arial" w:cs="Arial" w:eastAsia="Arial" w:hAnsi="Arial"/>
          <w:sz w:val="18"/>
          <w:szCs w:val="18"/>
          <w:color w:val="auto"/>
        </w:rPr>
        <w:t>Accordingly, we do not believe that it is possible to develop a methodology to reliably estimate a market risk premium and have, therefore, excluded any such market risk premium from our determination of expected cash flows for landfill asset retirement obligations.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Once we have determined the final capping, closure and post-closure costs, we inflate those costs to the expected time of payment and discount those expected future costs back to present value. During the three months ended March 31, 2005 and 2004, we have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that individual asset retirement obligation. The weighted-average rate applicable to our asset retirement obligations at March 31, 2005 is between 6.00% and 7.25%, the range of the rates effective since adopting SFAS No. 143 in 2003.</w:t>
      </w:r>
    </w:p>
    <w:p>
      <w:pPr>
        <w:spacing w:after="0" w:line="71" w:lineRule="exact"/>
        <w:rPr>
          <w:sz w:val="20"/>
          <w:szCs w:val="20"/>
          <w:color w:val="auto"/>
        </w:rPr>
      </w:pPr>
    </w:p>
    <w:p>
      <w:pPr>
        <w:ind w:right="120" w:firstLine="267"/>
        <w:spacing w:after="0" w:line="288"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We assess the appropriateness of our recorded balances annually, unless there are indications that a more frequent review is appropriate. Significant changes in inflation rates or the estimated cost, timing or extent of future final capping, closure and post-closure activities typically result in both</w:t>
      </w: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current adjustment to the recorded liability (and corresponding adjustment to the landfill asset) based on the landfill’s capacity consumed to date and</w:t>
      </w:r>
    </w:p>
    <w:p>
      <w:pPr>
        <w:spacing w:after="0" w:line="32" w:lineRule="exact"/>
        <w:rPr>
          <w:rFonts w:ascii="Arial" w:cs="Arial" w:eastAsia="Arial" w:hAnsi="Arial"/>
          <w:sz w:val="16"/>
          <w:szCs w:val="16"/>
          <w:color w:val="auto"/>
        </w:rPr>
      </w:pPr>
    </w:p>
    <w:p>
      <w:pPr>
        <w:ind w:right="40" w:firstLine="8"/>
        <w:spacing w:after="0" w:line="295"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change in liability and asset amounts to be recorded prospectively over the remaining capacity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a corresponding adjustment to landfill airspace amortization expense.</w:t>
      </w:r>
    </w:p>
    <w:p>
      <w:pPr>
        <w:spacing w:after="0" w:line="53"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and expenses on the income statement.</w:t>
      </w:r>
    </w:p>
    <w:p>
      <w:pPr>
        <w:spacing w:after="0" w:line="62" w:lineRule="exact"/>
        <w:rPr>
          <w:sz w:val="20"/>
          <w:szCs w:val="20"/>
          <w:color w:val="auto"/>
        </w:rPr>
      </w:pPr>
    </w:p>
    <w:p>
      <w:pPr>
        <w:ind w:right="520" w:firstLine="270"/>
        <w:spacing w:after="0" w:line="34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Environmental Protection Agency (“EPA”) and applied on a state-by-state basis. The costs to comply with these requirements could change materially as a result of future legislation or regulation.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00" w:firstLine="267"/>
        <w:spacing w:after="0" w:line="273" w:lineRule="auto"/>
        <w:rPr>
          <w:sz w:val="20"/>
          <w:szCs w:val="20"/>
          <w:color w:val="auto"/>
        </w:rPr>
      </w:pPr>
      <w:r>
        <w:rPr>
          <w:rFonts w:ascii="Arial" w:cs="Arial" w:eastAsia="Arial" w:hAnsi="Arial"/>
          <w:sz w:val="17"/>
          <w:szCs w:val="17"/>
          <w:color w:val="auto"/>
        </w:rPr>
        <w:t xml:space="preserve">We routinely review and evaluate sites that require remediation and determine our estimated cost for the likely remedy based on applicable estimates and assumptions.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and its interpretations. If we used the high ends of such ranges, our aggregate potential liability would be approximately $170 million higher on a discounted basis than the $322 million recorded in the condensed consolidated financial statements as of March 31, 2005.</w:t>
      </w:r>
    </w:p>
    <w:p>
      <w:pPr>
        <w:spacing w:after="0" w:line="70" w:lineRule="exact"/>
        <w:rPr>
          <w:sz w:val="20"/>
          <w:szCs w:val="20"/>
          <w:color w:val="auto"/>
        </w:rPr>
      </w:pPr>
    </w:p>
    <w:p>
      <w:pPr>
        <w:ind w:right="200" w:firstLine="267"/>
        <w:spacing w:after="0" w:line="272" w:lineRule="auto"/>
        <w:rPr>
          <w:sz w:val="20"/>
          <w:szCs w:val="20"/>
          <w:color w:val="auto"/>
        </w:rPr>
      </w:pPr>
      <w:r>
        <w:rPr>
          <w:rFonts w:ascii="Arial" w:cs="Arial" w:eastAsia="Arial" w:hAnsi="Arial"/>
          <w:sz w:val="17"/>
          <w:szCs w:val="17"/>
          <w:color w:val="auto"/>
        </w:rPr>
        <w:t>Through March 31, 2005, we had been notified that we are a potentially responsible party (“PRP”) in connection with 71 locations listed on the EPA’s National Priorities List (“NPL”). Of the 71 sites at which claims have been made against us, 16 are sites we own that were initially developed by others as land disposal facilities. At each of the 16 owned facilities, we are working in conjunction with the government to characterize or remediate identified site problems. In addition, at these 16 owned facilities,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55 NPL sites at which claims have been made against us and that we do not own are at different procedural stages under the Comprehensive Environmental Response, Compensation and Liability Act of 1980, as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amended, which is known as CERCLA or Superfund. At some of these sites, our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our future costs are uncertain. Any of these matters could potentially have a material adverse effect on our consolidated financial statements.</w:t>
      </w:r>
    </w:p>
    <w:p>
      <w:pPr>
        <w:spacing w:after="0" w:line="7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operating costs and expenses. These adjustments could be material in any given period.</w:t>
      </w:r>
    </w:p>
    <w:p>
      <w:pPr>
        <w:spacing w:after="0" w:line="85"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reliably determinable, we inflate the cost in current dollars (by 2.5% at March 31, 2005 and December 31, 2004) until the expected time of payment and discount the cost to present value using a risk-free discount rate, which is based on the rate for United States Treasury bonds with a term approximating the weighted average period until settlement of the underlying obligation (4.25% at both March 31, 2005 and December 31, 2004).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2"/>
              </w:rPr>
              <w:t>March 31, 2005</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December 31, 2004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3"/>
          </w:tcPr>
          <w:p>
            <w:pPr>
              <w:jc w:val="center"/>
              <w:ind w:right="360"/>
              <w:spacing w:after="0" w:line="205" w:lineRule="exact"/>
              <w:rPr>
                <w:sz w:val="20"/>
                <w:szCs w:val="20"/>
                <w:color w:val="auto"/>
              </w:rPr>
            </w:pPr>
            <w:r>
              <w:rPr>
                <w:rFonts w:ascii="Arial" w:cs="Arial" w:eastAsia="Arial" w:hAnsi="Arial"/>
                <w:sz w:val="18"/>
                <w:szCs w:val="18"/>
                <w:b w:val="1"/>
                <w:bCs w:val="1"/>
                <w:color w:val="auto"/>
                <w:w w:val="92"/>
              </w:rPr>
              <w:t>Environmental</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ind w:left="40"/>
              <w:spacing w:after="0" w:line="205" w:lineRule="exact"/>
              <w:rPr>
                <w:sz w:val="20"/>
                <w:szCs w:val="20"/>
                <w:color w:val="auto"/>
              </w:rPr>
            </w:pPr>
            <w:r>
              <w:rPr>
                <w:rFonts w:ascii="Arial" w:cs="Arial" w:eastAsia="Arial" w:hAnsi="Arial"/>
                <w:sz w:val="18"/>
                <w:szCs w:val="18"/>
                <w:b w:val="1"/>
                <w:bCs w:val="1"/>
                <w:color w:val="auto"/>
              </w:rPr>
              <w:t>Environmental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Landfill</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Remediation</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20"/>
                <w:szCs w:val="20"/>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Landfill</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Remediation</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1,157</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322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979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1,303</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2005 and the year ended December 31, 2004 are reflected in the tables below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2"/>
              </w:rPr>
              <w:t>Environmental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Landfill</w:t>
            </w: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Remediation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accretion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December 31, 2004</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Obligations incurred and capitalized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Obligations settled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Revisions in estimates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Acquisitions, divestitures and other adjustments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 several of our landfills, we provide financial assurance by depositing cash into escrow accounts or trust funds that are legally restricted for purposes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settling closure, post-closure and environmental remediation obligations. The fair value of these escrow accounts and trust funds was $213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2005, and is primarily included as other long-term assets in our condensed consolidated balance sheet. Balances maintained in these trust funds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escrow accounts will fluctuate based on (i) changes in statutory requirements; (ii) the ongoing use of funds for qualifying closure, post-closure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environmental remediation activities; (iii) acquisitions or divestitures of landfills; and (iv) changes in the fair value of the underlying financial instruments.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right="8740" w:hanging="352"/>
        <w:spacing w:after="0" w:line="344" w:lineRule="auto"/>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Financial Covenants </w:t>
      </w:r>
      <w:r>
        <w:rPr>
          <w:rFonts w:ascii="Arial" w:cs="Arial" w:eastAsia="Arial" w:hAnsi="Arial"/>
          <w:sz w:val="18"/>
          <w:szCs w:val="18"/>
          <w:b w:val="1"/>
          <w:bCs w:val="1"/>
          <w:i w:val="1"/>
          <w:iCs w:val="1"/>
          <w:color w:val="auto"/>
        </w:rPr>
        <w:t>Debt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components of debt at each balance sheet date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6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7"/>
              </w:rPr>
              <w:t>Senior notes and debentures, maturing through 2032, interest rates ranging from 5.00% to</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w w:val="92"/>
              </w:rPr>
              <w:t>8.75% (weighted average interest rate of 7.0% at March 31, 2005 and at December 31, 2004)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5,282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w:t>
            </w:r>
          </w:p>
        </w:tc>
        <w:tc>
          <w:tcPr>
            <w:tcW w:w="6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Tax-exempt bonds maturing through 2039, fixed and variable interest rates ranging from 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to 7.4% (weighted average interest rate of 3.6% at March 31, 2005 and at December 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2,045</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6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4"/>
              </w:rPr>
              <w:t>Tax-exempt project bonds, principal payable in periodic installments, maturing through 2027,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w w:val="95"/>
              </w:rPr>
              <w:t>fixed and variable interest rates ranging from 2.3% to 9.3% (weighted average interest rate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of 5.2% at March 31, 2005 and at December 31, 2004)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496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5.75% convertible subordinated notes due 2005(b)</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leases and other, maturing through 2027, interest rates up to 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563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8,386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8,566</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8,067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640" w:type="dxa"/>
            <w:vAlign w:val="bottom"/>
            <w:shd w:val="clear" w:color="auto" w:fill="CCEEFF"/>
          </w:tcPr>
          <w:p>
            <w:pPr>
              <w:spacing w:after="0"/>
              <w:rPr>
                <w:sz w:val="18"/>
                <w:szCs w:val="18"/>
                <w:color w:val="auto"/>
              </w:rPr>
            </w:pPr>
          </w:p>
        </w:tc>
      </w:tr>
    </w:tbl>
    <w:p>
      <w:pPr>
        <w:spacing w:after="0" w:line="359" w:lineRule="exact"/>
        <w:rPr>
          <w:sz w:val="20"/>
          <w:szCs w:val="20"/>
          <w:color w:val="auto"/>
        </w:rPr>
      </w:pPr>
    </w:p>
    <w:p>
      <w:pPr>
        <w:ind w:left="700" w:hanging="462"/>
        <w:spacing w:after="0"/>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has been a $62 million decrease in the carrying value of our senior notes from December 31, 2004 as a result of hedge accounting for our interest rate derivatives.</w:t>
      </w:r>
    </w:p>
    <w:p>
      <w:pPr>
        <w:spacing w:after="0" w:line="55" w:lineRule="exact"/>
        <w:rPr>
          <w:rFonts w:ascii="Arial" w:cs="Arial" w:eastAsia="Arial" w:hAnsi="Arial"/>
          <w:sz w:val="14"/>
          <w:szCs w:val="14"/>
          <w:color w:val="auto"/>
        </w:rPr>
      </w:pPr>
    </w:p>
    <w:p>
      <w:pPr>
        <w:ind w:left="700" w:hanging="462"/>
        <w:spacing w:after="0"/>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5.75% convertible subordinated notes were paid with cash on hand at maturity on January 24, 2005.</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Requirement</w:t>
            </w:r>
          </w:p>
        </w:tc>
        <w:tc>
          <w:tcPr>
            <w:tcW w:w="20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March 31,</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color w:val="auto"/>
              </w:rPr>
              <w:t>Covenant</w:t>
            </w:r>
          </w:p>
        </w:tc>
        <w:tc>
          <w:tcPr>
            <w:tcW w:w="300" w:type="dxa"/>
            <w:vAlign w:val="bottom"/>
          </w:tcPr>
          <w:p>
            <w:pPr>
              <w:spacing w:after="0"/>
              <w:rPr>
                <w:sz w:val="20"/>
                <w:szCs w:val="20"/>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2"/>
              </w:rPr>
              <w:t>per Facility</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7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&gt;2.75 to 1</w:t>
            </w:r>
          </w:p>
        </w:tc>
        <w:tc>
          <w:tcPr>
            <w:tcW w:w="2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3.6 to 1</w:t>
            </w:r>
          </w:p>
        </w:tc>
        <w:tc>
          <w:tcPr>
            <w:tcW w:w="2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3.5 to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debt to EBITDA</w:t>
            </w:r>
          </w:p>
        </w:tc>
        <w:tc>
          <w:tcPr>
            <w:tcW w:w="30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&lt;3.5 to 1</w:t>
            </w:r>
          </w:p>
        </w:tc>
        <w:tc>
          <w:tcPr>
            <w:tcW w:w="2000" w:type="dxa"/>
            <w:vAlign w:val="bottom"/>
            <w:gridSpan w:val="2"/>
          </w:tcPr>
          <w:p>
            <w:pPr>
              <w:ind w:left="680"/>
              <w:spacing w:after="0"/>
              <w:rPr>
                <w:sz w:val="20"/>
                <w:szCs w:val="20"/>
                <w:color w:val="auto"/>
              </w:rPr>
            </w:pPr>
            <w:r>
              <w:rPr>
                <w:rFonts w:ascii="Arial" w:cs="Arial" w:eastAsia="Arial" w:hAnsi="Arial"/>
                <w:sz w:val="18"/>
                <w:szCs w:val="18"/>
                <w:color w:val="auto"/>
              </w:rPr>
              <w:t>2.7 to 1</w:t>
            </w:r>
          </w:p>
        </w:tc>
        <w:tc>
          <w:tcPr>
            <w:tcW w:w="2060" w:type="dxa"/>
            <w:vAlign w:val="bottom"/>
            <w:gridSpan w:val="2"/>
          </w:tcPr>
          <w:p>
            <w:pPr>
              <w:ind w:left="940"/>
              <w:spacing w:after="0"/>
              <w:rPr>
                <w:sz w:val="20"/>
                <w:szCs w:val="20"/>
                <w:color w:val="auto"/>
              </w:rPr>
            </w:pPr>
            <w:r>
              <w:rPr>
                <w:rFonts w:ascii="Arial" w:cs="Arial" w:eastAsia="Arial" w:hAnsi="Arial"/>
                <w:sz w:val="18"/>
                <w:szCs w:val="18"/>
                <w:color w:val="auto"/>
              </w:rPr>
              <w:t>2.8 to 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60" w:right="6180" w:hanging="352"/>
        <w:spacing w:after="0" w:line="378" w:lineRule="auto"/>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and Unremitted Earnings in Foreign Subsidiaries </w:t>
      </w:r>
      <w:r>
        <w:rPr>
          <w:rFonts w:ascii="Arial" w:cs="Arial" w:eastAsia="Arial" w:hAnsi="Arial"/>
          <w:sz w:val="18"/>
          <w:szCs w:val="18"/>
          <w:b w:val="1"/>
          <w:bCs w:val="1"/>
          <w:i w:val="1"/>
          <w:iCs w:val="1"/>
          <w:color w:val="auto"/>
        </w:rPr>
        <w:t>Income Taxes</w:t>
      </w:r>
    </w:p>
    <w:p>
      <w:pPr>
        <w:ind w:right="60" w:firstLine="267"/>
        <w:spacing w:after="0" w:line="276" w:lineRule="auto"/>
        <w:rPr>
          <w:sz w:val="20"/>
          <w:szCs w:val="20"/>
          <w:color w:val="auto"/>
        </w:rPr>
      </w:pPr>
      <w:r>
        <w:rPr>
          <w:rFonts w:ascii="Arial" w:cs="Arial" w:eastAsia="Arial" w:hAnsi="Arial"/>
          <w:sz w:val="17"/>
          <w:szCs w:val="17"/>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both the three months ended March 31, 2005 and 2004 is primarily due to the favorable impact of non-conventional fuel tax credits offset in part by state and local income taxes. We continue to evaluate our effective tax rate at each interim period and adjust it accordingly as facts and circumstances warrant.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260" w:firstLine="267"/>
        <w:spacing w:after="0" w:line="259" w:lineRule="auto"/>
        <w:rPr>
          <w:sz w:val="20"/>
          <w:szCs w:val="20"/>
          <w:color w:val="auto"/>
        </w:rPr>
      </w:pPr>
      <w:r>
        <w:rPr>
          <w:rFonts w:ascii="Arial" w:cs="Arial" w:eastAsia="Arial" w:hAnsi="Arial"/>
          <w:sz w:val="18"/>
          <w:szCs w:val="18"/>
          <w:color w:val="auto"/>
        </w:rPr>
        <w:t>The favorable impact of non-conventional fuel tax credits has been derived from our landfills and our investments in two coal-based, synthetic fuel production facilities (the “Facilities”), which are discussed in more detail below. The fuel generated from our landfills and the Facilities qualifies for tax credits through 2007 pursuant to section 29 of the Internal Revenue Code, and may be phased-out when the price of oil exceeds a threshold annual average price determined by the U.S. Internal Revenue Service.</w:t>
      </w:r>
    </w:p>
    <w:p>
      <w:pPr>
        <w:spacing w:after="0" w:line="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 the first and second quarters of 2004, we acquired minority ownership interests in the Facilities, which result in the recognition of our pro-rata share of the Facilities’ losses, the amortization of our initial investments and other estimated obligations being recorded as equity in losses of unconsolidated entities within our statement of operations. Our equity in losses associated with these transactions was $28 million for the three months ended March 31, 2005 and $19 million for the three months ended March 31, 2004. We also recognized interest expense related to these investments of $2 million during both the three months ended March 31, 2005 and the three months ended March 31, 2004. These impacts would not have been incurred if we had not acquired the minority ownership interest in the Facilities, and if the tax credits generated by the Facilities were no longer allowable under Section 29 of the Internal Revenue Code, we would no longer incur these losses.</w:t>
      </w:r>
    </w:p>
    <w:p>
      <w:pPr>
        <w:spacing w:after="0" w:line="8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tax benefits that we realize as a result of our investments in the Facilities have been reflected as a reduction to our provision for income taxes. This resulted in a decrease in our tax provision of $29 million (including $17 million of tax credits) for the three months ended March 31, 2005 and $19 million (including $11 million of tax credits) for the three months ended March 31, 2004. On an annual basis, we expect the reduction in our tax provision attributable to the Facilities to more than offset the equity losses and interest expense recognized during the year.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Unremitted Earnings in Foreign Subsidiaries</w:t>
      </w:r>
    </w:p>
    <w:p>
      <w:pPr>
        <w:spacing w:after="0" w:line="11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On October 22, 2004, the American Jobs Creation Act of 2004 (the “Act”) became law. A provision of the Act allows companies a one-time decrease in U.S. federal taxes on certain repatriated earnings. We may elect to apply this provision to qualifying earnings repatriations made during the reporting period ending December 31, 2005. We are currently evaluating the potential impact of this legislation, including assessing the details of the Act and analyzing the funds available for repatriation. However, given the preliminary status of the evaluation, we do not expect to be able to complete the analysis until after Congress or the Treasury Department provide additional clarifying language on key elements of the provision. We currently expect to complete our evaluation of the effects of the repatriation provision within a reasonable period of time following the publication of the additional clarifying language. Currently, the range of possible amounts that we are considering for repatriation under this provision is between zero and $500 million. The related potential range of income tax for such repatriation is between zero and $35 million.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Comprehensive income represents all changes in our equity except for changes resulting from investments by, and distributions to,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March 31, 2005 and March 31, 2004 was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Three Months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Ended March 31,</w:t>
            </w:r>
          </w:p>
        </w:tc>
        <w:tc>
          <w:tcPr>
            <w:tcW w:w="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2005</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w w:val="91"/>
              </w:rPr>
              <w:t>Unrealized gains (losses) resulting from changes in fair value of derivative instruments, net of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derivative instruments reclassified into earnings, net of taxes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Unrealized gains (losses) on marketable securities, net of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Translation adjustment of foreign currency statements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The components of accumulated other comprehensive income were as follows (in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60" w:firstLine="267"/>
        <w:spacing w:after="0" w:line="279" w:lineRule="auto"/>
        <w:rPr>
          <w:sz w:val="20"/>
          <w:szCs w:val="20"/>
          <w:color w:val="auto"/>
        </w:rPr>
      </w:pPr>
      <w:r>
        <w:rPr>
          <w:rFonts w:ascii="Arial" w:cs="Arial" w:eastAsia="Arial" w:hAnsi="Arial"/>
          <w:sz w:val="17"/>
          <w:szCs w:val="17"/>
          <w:color w:val="auto"/>
        </w:rPr>
        <w:t>The following reconciles the number of common shares outstanding at March 31 of each year to the number of weighted average basic common shares outstanding and the number of weighted average diluted common shares outstanding for the purpose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00"/>
              <w:spacing w:after="0"/>
              <w:rPr>
                <w:sz w:val="20"/>
                <w:szCs w:val="20"/>
                <w:color w:val="auto"/>
              </w:rPr>
            </w:pPr>
            <w:r>
              <w:rPr>
                <w:rFonts w:ascii="Arial" w:cs="Arial" w:eastAsia="Arial" w:hAnsi="Arial"/>
                <w:sz w:val="18"/>
                <w:szCs w:val="18"/>
                <w:color w:val="auto"/>
              </w:rPr>
              <w:t>Effect of using weighted average common shares outstanding</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840" w:type="dxa"/>
            <w:vAlign w:val="bottom"/>
          </w:tcPr>
          <w:p>
            <w:pPr>
              <w:jc w:val="right"/>
              <w:spacing w:after="0"/>
              <w:rPr>
                <w:sz w:val="20"/>
                <w:szCs w:val="20"/>
                <w:color w:val="auto"/>
              </w:rPr>
            </w:pPr>
            <w:r>
              <w:rPr>
                <w:rFonts w:ascii="Arial" w:cs="Arial" w:eastAsia="Arial" w:hAnsi="Arial"/>
                <w:sz w:val="18"/>
                <w:szCs w:val="18"/>
                <w:color w:val="auto"/>
              </w:rPr>
              <w:t>568.8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Potentially issuable shares</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91"/>
        </w:trPr>
        <w:tc>
          <w:tcPr>
            <w:tcW w:w="8660" w:type="dxa"/>
            <w:vAlign w:val="bottom"/>
            <w:gridSpan w:val="2"/>
          </w:tcPr>
          <w:p>
            <w:pPr>
              <w:jc w:val="right"/>
              <w:ind w:right="277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Common Stock Dividends and Common Stock Repurchases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Pursuant to our stock incentive plan, we have the ability to issue various forms of equity-based compensation on terms and conditions determined by the Compensation Committee of our Board of Directors. As a result of both the changes in accounting for share-based payments as discussed in Note 12 and a desire to design our long-term incentive plans in a manner that creates a stronger link to operating and market performance, our Board of Directors recently approved a substantial change in the form of awards that we grant.</w:t>
      </w:r>
    </w:p>
    <w:p>
      <w:pPr>
        <w:spacing w:after="0" w:line="79" w:lineRule="exact"/>
        <w:rPr>
          <w:sz w:val="20"/>
          <w:szCs w:val="20"/>
          <w:color w:val="auto"/>
        </w:rPr>
      </w:pPr>
    </w:p>
    <w:p>
      <w:pPr>
        <w:ind w:right="60" w:firstLine="270"/>
        <w:spacing w:after="0" w:line="293" w:lineRule="auto"/>
        <w:rPr>
          <w:sz w:val="20"/>
          <w:szCs w:val="20"/>
          <w:color w:val="auto"/>
        </w:rPr>
      </w:pPr>
      <w:r>
        <w:rPr>
          <w:rFonts w:ascii="Arial" w:cs="Arial" w:eastAsia="Arial" w:hAnsi="Arial"/>
          <w:sz w:val="16"/>
          <w:szCs w:val="16"/>
          <w:color w:val="auto"/>
        </w:rPr>
        <w:t>During the first quarter of 2005, we granted approximately 717,000 restricted stock units and approximately 770,000 performance share units to selected participants under our 2004 Stock Incentive Plan. The restricted stock units vest ratably over a four-year period. The restricted stock units continue to vest for the 36-month period following an employee’s retirement. The performance share units will be paid in shares of common stock based on the achievement of certain financial measures, after the end of a three-year performance period. The performance share units are payable to an employee who elects to retire as if that employee had remained employed until the end of the performance period. In prior years, stock option awards were the primary form of equity-based compensation. Currently, we do not have plans to include stock option awards as a component of our long-term incentive plans.</w:t>
      </w:r>
    </w:p>
    <w:p>
      <w:pPr>
        <w:spacing w:after="0" w:line="57" w:lineRule="exact"/>
        <w:rPr>
          <w:sz w:val="20"/>
          <w:szCs w:val="20"/>
          <w:color w:val="auto"/>
        </w:rPr>
      </w:pPr>
    </w:p>
    <w:p>
      <w:pPr>
        <w:ind w:right="40" w:firstLine="267"/>
        <w:spacing w:after="0" w:line="291" w:lineRule="auto"/>
        <w:rPr>
          <w:sz w:val="20"/>
          <w:szCs w:val="20"/>
          <w:color w:val="auto"/>
        </w:rPr>
      </w:pPr>
      <w:r>
        <w:rPr>
          <w:rFonts w:ascii="Arial" w:cs="Arial" w:eastAsia="Arial" w:hAnsi="Arial"/>
          <w:sz w:val="16"/>
          <w:szCs w:val="16"/>
          <w:color w:val="auto"/>
        </w:rPr>
        <w:t xml:space="preserve">We have accounted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as amended. Pursuant to APB No. 25, we have not recognized compensation cost for our stock options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are fixed. Compensation expense associated with restricted stock and restricted stock units that continue to vest based on future employment is measured based on the grant-date fair value of our common stock and is recognized on a straight-line basis over the required employment period, which is generally the vesting period. Compensation expense associated with performance share units that continue to vest based on future performance is measured based on the fair-value of our common stock at each balance sheet date and recognized ratably over the performance period based on our expectations for achieving the defined performance criteria.</w:t>
      </w:r>
    </w:p>
    <w:p>
      <w:pPr>
        <w:spacing w:after="0" w:line="59"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Compensation expense included in reported net income associated with restricted stock, restricted stock units and performance share units for the three months ended March 31, 2005 was $6 million, or $4 million net of tax. Approximately $4 million, or $3 million net of tax, of the current quarter’s expense is associated with the recognition of compensation costs for restricted stock, restricted stock units and performance share units that were granted to employees who were eligible for retirement at the date of grant. As discussed above, the provisions of these awards provide for continued vesting upon retirement and, as a result, the future vesting is considered non-substantive and compensation expense must be recognized immediately. As restricted stock, restricted stock units and performance share units were not a significant component of our stock incentive plan in 2004, compensation costs included in reported net income for the three months ended March 31, 2004 were less than $100,000 net of tax.</w:t>
      </w:r>
    </w:p>
    <w:p>
      <w:pPr>
        <w:spacing w:after="0" w:line="70"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equity-based compensation using SFAS No. 123, </w:t>
      </w:r>
      <w:r>
        <w:rPr>
          <w:rFonts w:ascii="Arial" w:cs="Arial" w:eastAsia="Arial" w:hAnsi="Arial"/>
          <w:sz w:val="18"/>
          <w:szCs w:val="18"/>
          <w:i w:val="1"/>
          <w:iCs w:val="1"/>
          <w:color w:val="auto"/>
        </w:rPr>
        <w:t>Accounting for Stock-Based Compensation,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which would result in the recognition of compensation expense for the fair value of stock option grants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136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0.24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8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0.24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 xml:space="preserve">In accordance with SFAS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and the Securities and Exchange Commission’s rule amending the compliance dates of the Statement, we will begin to recognize compensation expense for equity-based compensation using the fair value method in 2006, as discussed in Note 12.</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117"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In October 2004, our Board of Directors approved a new capital allocation program that provides for up to $1.2 billion in aggregate dividend payments and share repurchases each year during 2005, 2006 and 2007. During the first quarter of 2005, aggregate dividend payments and share repurchases were $216 million.</w:t>
      </w:r>
    </w:p>
    <w:p>
      <w:pPr>
        <w:spacing w:after="0" w:line="73"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Board of Directors has announced that it expects dividends to be $0.20 per share per quarter in 2005. On January 28, 2005, the Board declared our first quarter dividend under the program of $0.20 per share, which was paid on March 24, 2005 to stockholders of record as of March 1, 2005 for an aggregate of $114 million. In the first quarter of 2004, we paid a dividend of $0.1875 per share of common stock for an aggregate of $109 million. All future dividend declarations are at the discretion of the Board of Directors, and depend on various factors, including our net earnings, financial condition, projected cash requirements and other factors the Board may deem relevant.</w:t>
      </w:r>
    </w:p>
    <w:p>
      <w:pPr>
        <w:spacing w:after="0" w:line="8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During the three months ended March 31, 2005, we repurchased 3.5 million shares of common stock for $102 million, of which $3 million was settled in April 2005. No repurchases of common stock were made during the three months ended March 31, 2004. However, we did make a payment of $24 million in January 2004 to settle repurchases made in December 2003. Future share repurchases will be made at the discretion of management, and will depend on similar factors to those considered by the Board in making dividend declarations.</w:t>
      </w:r>
    </w:p>
    <w:p>
      <w:pPr>
        <w:spacing w:after="0" w:line="18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guarantees to support tax-exempt bonds, contracts, performance of landfill closure and post-closure requirements, environmental remediation, and other obligations.</w:t>
      </w:r>
    </w:p>
    <w:p>
      <w:pPr>
        <w:spacing w:after="0" w:line="73" w:lineRule="exact"/>
        <w:rPr>
          <w:sz w:val="20"/>
          <w:szCs w:val="20"/>
          <w:color w:val="auto"/>
        </w:rPr>
      </w:pPr>
    </w:p>
    <w:p>
      <w:pPr>
        <w:jc w:val="both"/>
        <w:ind w:right="240" w:firstLine="270"/>
        <w:spacing w:after="0" w:line="312" w:lineRule="auto"/>
        <w:rPr>
          <w:sz w:val="20"/>
          <w:szCs w:val="20"/>
          <w:color w:val="auto"/>
        </w:rPr>
      </w:pPr>
      <w:r>
        <w:rPr>
          <w:rFonts w:ascii="Arial" w:cs="Arial" w:eastAsia="Arial" w:hAnsi="Arial"/>
          <w:sz w:val="16"/>
          <w:szCs w:val="16"/>
          <w:color w:val="auto"/>
        </w:rPr>
        <w:t>Historically, our revolving credit facilities have been used to obtain letters of credit to support our bonding and financial assurance needs. We also have letter of credit and term loan agreements and a letter of credit facility to provide us with additional sources of capacity from which we may obtain letters of credit. We obtain surety bonds and insurance policies from an affiliated entity that we have an investment in and account for under the cost method.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Additionally in 2003, we guaranteed the debt of a newly-formed surety company in order to assist in the establishment of that entity. We are the primary beneficiary of this entity and consolidate it under the provisions of FIN 46. The terms of this guarantee are further discussed within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this note.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80" w:lineRule="exact"/>
        <w:rPr>
          <w:sz w:val="20"/>
          <w:szCs w:val="20"/>
          <w:color w:val="auto"/>
        </w:rPr>
      </w:pPr>
    </w:p>
    <w:p>
      <w:pPr>
        <w:ind w:right="380" w:firstLine="270"/>
        <w:spacing w:after="0" w:line="257"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80"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9"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79"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$26 million, it is unlikely that events relating to Reliance will have a material adverse impact on our financial statements.</w:t>
      </w:r>
    </w:p>
    <w:p>
      <w:pPr>
        <w:spacing w:after="0" w:line="80"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17" w:lineRule="exact"/>
        <w:rPr>
          <w:sz w:val="20"/>
          <w:szCs w:val="20"/>
          <w:color w:val="auto"/>
        </w:rPr>
      </w:pPr>
    </w:p>
    <w:p>
      <w:pPr>
        <w:ind w:left="460" w:right="120" w:hanging="101"/>
        <w:spacing w:after="0" w:line="25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2005, WM Holdings one of WMI’s wholly-owned subsidiaries, has fully and unconditionally guaranteed WMI’s senior indebtedness that matures through 2032. WMI has fully and unconditionally guaranteed the senior indebtedness of WM Holdings that matures through 2026. Performance under these guarantee agreements would be required if either party defaulted on their respective obligations. No additional liability has been recorded for these guarantees because the underlying obligations are reflected in our consolidated balance sheets. See Note 11 for further information.</w:t>
      </w:r>
    </w:p>
    <w:p>
      <w:pPr>
        <w:spacing w:after="0" w:line="93"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92"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guarantees are primarily for the benefit of entities that we account for under the equity method of accounting. The related obligations, which mature through 2020, are not recorded on our consolidated balance sheets. As of March 31, 2005, our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maximum future obligation associated with these guarantees is approximately $30 million. However, we have ongoing projects with the guaranteed entities and believe that it is not likely that we will be required to perform under these guarantees.</w:t>
      </w:r>
    </w:p>
    <w:p>
      <w:pPr>
        <w:spacing w:after="0" w:line="76" w:lineRule="exact"/>
        <w:rPr>
          <w:sz w:val="20"/>
          <w:szCs w:val="20"/>
          <w:color w:val="auto"/>
        </w:rPr>
      </w:pPr>
    </w:p>
    <w:p>
      <w:pPr>
        <w:ind w:left="460" w:right="20" w:hanging="101"/>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issued a $28.6 million letter of credit to support the debt of a surety bonding company. This guarantee was initially established during the third quarter of 2003, and at that time we determined that we are the primary beneficiary of this entity under the provisions of FIN 46. As a result, since the third quarter of 2003, this entity has been consolidated into our financial statements and the guaranteed obligation is included as a component of current and long-term debt in our condensed consolidated balance sheet.</w:t>
      </w:r>
    </w:p>
    <w:p>
      <w:pPr>
        <w:spacing w:after="0" w:line="92" w:lineRule="exact"/>
        <w:rPr>
          <w:rFonts w:ascii="Arial" w:cs="Arial" w:eastAsia="Arial" w:hAnsi="Arial"/>
          <w:sz w:val="18"/>
          <w:szCs w:val="18"/>
          <w:color w:val="auto"/>
        </w:rPr>
      </w:pPr>
    </w:p>
    <w:p>
      <w:pPr>
        <w:ind w:left="460" w:right="80" w:hanging="101"/>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March 31, 2005, we had $643 million in outstanding letters of credit under these facilities.</w:t>
      </w:r>
    </w:p>
    <w:p>
      <w:pPr>
        <w:spacing w:after="0" w:line="86" w:lineRule="exact"/>
        <w:rPr>
          <w:rFonts w:ascii="Arial" w:cs="Arial" w:eastAsia="Arial" w:hAnsi="Arial"/>
          <w:sz w:val="18"/>
          <w:szCs w:val="18"/>
          <w:color w:val="auto"/>
        </w:rPr>
      </w:pPr>
    </w:p>
    <w:p>
      <w:pPr>
        <w:jc w:val="both"/>
        <w:ind w:left="460" w:right="580" w:hanging="101"/>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86" w:lineRule="exact"/>
        <w:rPr>
          <w:rFonts w:ascii="Arial" w:cs="Arial" w:eastAsia="Arial" w:hAnsi="Arial"/>
          <w:sz w:val="18"/>
          <w:szCs w:val="18"/>
          <w:color w:val="auto"/>
        </w:rPr>
      </w:pPr>
    </w:p>
    <w:p>
      <w:pPr>
        <w:ind w:left="460" w:right="100" w:hanging="101"/>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value of certain homeowners’ properties that are adjacent to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93"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w:t>
      </w:r>
    </w:p>
    <w:p>
      <w:pPr>
        <w:spacing w:after="0" w:line="86" w:lineRule="exact"/>
        <w:rPr>
          <w:rFonts w:ascii="Arial" w:cs="Arial" w:eastAsia="Arial" w:hAnsi="Arial"/>
          <w:sz w:val="18"/>
          <w:szCs w:val="18"/>
          <w:color w:val="auto"/>
        </w:rPr>
      </w:pPr>
    </w:p>
    <w:p>
      <w:pPr>
        <w:ind w:left="460" w:right="80" w:hanging="101"/>
        <w:spacing w:after="0" w:line="27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WMI and WMI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and liabilities as obligations are incurred. No additional liability has been recorded for the lease guarantees because the subsidiaries’ obligations are properly accounted for as operating or capital leases, as appropriate.</w:t>
      </w:r>
    </w:p>
    <w:p>
      <w:pPr>
        <w:spacing w:after="0" w:line="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do not currently believe that it is reasonably likely that we will be required to perform under these guarantee agreements or that any performance requirement would have a material impact on our consolidated financial statements.</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Our business is intrinsically connected with the protection of the environment. As such, a significant portion of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w:t>
      </w:r>
    </w:p>
    <w:p>
      <w:pPr>
        <w:spacing w:after="0" w:line="79" w:lineRule="exact"/>
        <w:rPr>
          <w:sz w:val="20"/>
          <w:szCs w:val="20"/>
          <w:color w:val="auto"/>
        </w:rPr>
      </w:pPr>
    </w:p>
    <w:p>
      <w:pPr>
        <w:ind w:right="400" w:firstLine="270"/>
        <w:spacing w:after="0" w:line="312" w:lineRule="auto"/>
        <w:rPr>
          <w:sz w:val="20"/>
          <w:szCs w:val="20"/>
          <w:color w:val="auto"/>
        </w:rPr>
      </w:pPr>
      <w:r>
        <w:rPr>
          <w:rFonts w:ascii="Arial" w:cs="Arial" w:eastAsia="Arial" w:hAnsi="Arial"/>
          <w:sz w:val="16"/>
          <w:szCs w:val="16"/>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57"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been identified as a PRP in a number of governmental investigations and actions relating to waste disposal sites that may be subject to remedial action under CERCLA or similar state laws. 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2.</w:t>
      </w:r>
    </w:p>
    <w:p>
      <w:pPr>
        <w:spacing w:after="0" w:line="11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has been filed by the Company. Only limited discovery has occurred and the defendants continue to defend themselves vigorously. The extent of possible damages, if any, in this action cannot yet be determined.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WMI,</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9"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 group of stockholders opted not to participate in the settlement of the class action lawsuit against us related to 1998 and 1999 activity. These stockholders filed a separate lawsuit against us relating to 1998 activity. In February 2005, we entered into a settlement agreement and recorded a $16 million charge to asset impairments and unusual items.</w:t>
      </w:r>
    </w:p>
    <w:p>
      <w:pPr>
        <w:spacing w:after="0" w:line="73" w:lineRule="exact"/>
        <w:rPr>
          <w:sz w:val="20"/>
          <w:szCs w:val="20"/>
          <w:color w:val="auto"/>
        </w:rPr>
      </w:pPr>
    </w:p>
    <w:p>
      <w:pPr>
        <w:ind w:right="40" w:firstLine="267"/>
        <w:spacing w:after="0" w:line="293"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by summary judgment by a Texas state court in March 2002. That dismissal was ultimately upheld by the appellate court. The plaintiffs may appeal this decision to the highest state court in Texas. The second case also filed in state court is stayed pending resolution of the first case, and we intend to continue to vigorously defend ourselves against these claims. In March 2004, the court granted our motion to dismiss the third case, which was pending in federal court, and the dismissal was affirmed by the Fifth Circuit Court of Appeal in April 2005. Finally, another shareholder has sued the Company in Louisiana making allegations similar to those made in the securities class action referred to above and by the plaintiff claiming damages for having held stock. The case has been removed to federal court and transferred to Texas where we are seeking a dismissal.</w:t>
      </w:r>
    </w:p>
    <w:p>
      <w:pPr>
        <w:spacing w:after="0" w:line="70"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The Company is currently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Company is defending itself vigorously in each of these proceedings, in which the parties are seeking a variety of remedies ranging from monetary damages to unwinding the transaction. However, the nature and extent of possible remedies or damages cannot be determined at this time. The first of these matters has been fully tried and we are awaiting a final ruling which could happen as early as the second quarter of 2005.</w:t>
      </w:r>
    </w:p>
    <w:p>
      <w:pPr>
        <w:spacing w:after="0" w:line="85" w:lineRule="exact"/>
        <w:rPr>
          <w:sz w:val="20"/>
          <w:szCs w:val="20"/>
          <w:color w:val="auto"/>
        </w:rPr>
      </w:pPr>
    </w:p>
    <w:p>
      <w:pPr>
        <w:ind w:right="60" w:firstLine="270"/>
        <w:spacing w:after="0" w:line="293" w:lineRule="auto"/>
        <w:rPr>
          <w:sz w:val="20"/>
          <w:szCs w:val="20"/>
          <w:color w:val="auto"/>
        </w:rPr>
      </w:pPr>
      <w:r>
        <w:rPr>
          <w:rFonts w:ascii="Arial" w:cs="Arial" w:eastAsia="Arial" w:hAnsi="Arial"/>
          <w:sz w:val="16"/>
          <w:szCs w:val="16"/>
          <w:color w:val="auto"/>
        </w:rPr>
        <w:t>From time to time, we pay fines or penalties in environmental proceedings relating primarily to waste treatment, storage or disposal facilities. As of March 31, 2005, there were three proceedings involving our subsidiaries where we reasonably believe that the sanctions could exceed $100,000. The matters involve allegations that subsidiaries (i) improperly operated a solid waste landfill by failing to maintain required records, properly place and cover waste and adhere to proper leachate levels; (ii) failed to comply with air permit, landfill gas flow and emission limit requirements; and (iii) caused excess odors and exceeded certain sewer discharge limitations and landfill gas emission limit requirements at an operating landfill. We do not believe that the fines or other penalties in any of these matters will, individually or in the aggregate, have a material adverse effect on our financial condition or results of operations.</w:t>
      </w:r>
    </w:p>
    <w:p>
      <w:pPr>
        <w:spacing w:after="0" w:line="57"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Like many Delaware companies, WMI’s charter and bylaws require indemnification and advancement of expenses if these standards have been met.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Additionally, the charter and bylaw documents of certain of WMI’s subsidiaries, including WM Holdings, include similar indemnification provisions, and some subsidiaries, including WM Holdings, entered into separate indemnification agreements with their officers and directors that provide for even greater rights and protections for the individuals. The Company has in the past, and may in the future, incur substantial expenses in connection with the fulfillment of its advancement of costs and indemnification obligations. The Company’s obligations to indemnify and advance expenses will continue after individuals leave the Company for claims related to actions that occurred before their departure from the Company.</w:t>
      </w:r>
    </w:p>
    <w:p>
      <w:pPr>
        <w:spacing w:after="0" w:line="64" w:lineRule="exact"/>
        <w:rPr>
          <w:sz w:val="20"/>
          <w:szCs w:val="20"/>
          <w:color w:val="auto"/>
        </w:rPr>
      </w:pPr>
    </w:p>
    <w:p>
      <w:pPr>
        <w:jc w:val="both"/>
        <w:ind w:right="180" w:firstLine="267"/>
        <w:spacing w:after="0" w:line="264" w:lineRule="auto"/>
        <w:rPr>
          <w:sz w:val="20"/>
          <w:szCs w:val="20"/>
          <w:color w:val="auto"/>
        </w:rPr>
      </w:pPr>
      <w:r>
        <w:rPr>
          <w:rFonts w:ascii="Arial" w:cs="Arial" w:eastAsia="Arial" w:hAnsi="Arial"/>
          <w:sz w:val="18"/>
          <w:szCs w:val="18"/>
          <w:color w:val="auto"/>
        </w:rPr>
        <w:t>We also are currently involved in other routine civil litigation and governmental proceedings relating to the conduct of our business, including litigation involving former employees and competitors. We do not believe that any of the matters will ultimately have a material adverse impact on our consolidated financial statements.</w:t>
      </w:r>
    </w:p>
    <w:p>
      <w:pPr>
        <w:spacing w:after="0" w:line="73"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 We are currently under audit by the IRS and from time to time are audited by other taxing authorities. We fully cooperate with all audits,</w:t>
      </w:r>
      <w:r>
        <w:rPr>
          <w:rFonts w:ascii="Arial" w:cs="Arial" w:eastAsia="Arial" w:hAnsi="Arial"/>
          <w:sz w:val="17"/>
          <w:szCs w:val="17"/>
          <w:i w:val="1"/>
          <w:iCs w:val="1"/>
          <w:color w:val="auto"/>
        </w:rPr>
        <w:t xml:space="preserve"> </w:t>
      </w:r>
      <w:r>
        <w:rPr>
          <w:rFonts w:ascii="Arial" w:cs="Arial" w:eastAsia="Arial" w:hAnsi="Arial"/>
          <w:sz w:val="17"/>
          <w:szCs w:val="17"/>
          <w:color w:val="auto"/>
        </w:rPr>
        <w:t>but defend our positions vigorously. Our audits are in various stages of completion. Specifically, we are in the process of concluding the appeals phase of IRS audits for the years 1997 to 2000. The audits for these years should be completed within the next six to nine months. In addition, the IRS audit for the years 2002 and 2003 was recently initiated. This audit should also be completed within the next 12 months. To provide for potential tax exposures, we maintain an allowance for tax contingencies, the balance of which management believes is adequate. Results of audit assessments by taxing authorities could have a material effect on our quarterly or annual cash flows as these audits are completed, although we do not believe that any of these matters will have a material adverse impact on our results of operations.</w:t>
      </w:r>
    </w:p>
    <w:p>
      <w:pPr>
        <w:spacing w:after="0" w:line="7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Capitalized software costs </w:t>
      </w:r>
      <w:r>
        <w:rPr>
          <w:rFonts w:ascii="Arial" w:cs="Arial" w:eastAsia="Arial" w:hAnsi="Arial"/>
          <w:sz w:val="18"/>
          <w:szCs w:val="18"/>
          <w:color w:val="auto"/>
        </w:rPr>
        <w:t>— We are currently assessing our options with respect to the implementation of a revenue management system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cost basis at March 31, 2005 of approximately $80 million. There are certain reasonably possible implementation alternatives that could result in a significant impairment of this asset.</w:t>
      </w:r>
    </w:p>
    <w:p>
      <w:pPr>
        <w:spacing w:after="0" w:line="177"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right="100" w:firstLine="267"/>
        <w:spacing w:after="0" w:line="272" w:lineRule="auto"/>
        <w:rPr>
          <w:sz w:val="20"/>
          <w:szCs w:val="20"/>
          <w:color w:val="auto"/>
        </w:rPr>
      </w:pPr>
      <w:r>
        <w:rPr>
          <w:rFonts w:ascii="Arial" w:cs="Arial" w:eastAsia="Arial" w:hAnsi="Arial"/>
          <w:sz w:val="17"/>
          <w:szCs w:val="17"/>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seven operating Groups are presented herein as “Other NASW.”</w:t>
      </w:r>
    </w:p>
    <w:p>
      <w:pPr>
        <w:spacing w:after="0" w:line="70" w:lineRule="exact"/>
        <w:rPr>
          <w:sz w:val="20"/>
          <w:szCs w:val="20"/>
          <w:color w:val="auto"/>
        </w:rPr>
      </w:pPr>
    </w:p>
    <w:p>
      <w:pPr>
        <w:jc w:val="both"/>
        <w:ind w:right="320" w:firstLine="270"/>
        <w:spacing w:after="0" w:line="279" w:lineRule="auto"/>
        <w:rPr>
          <w:sz w:val="20"/>
          <w:szCs w:val="20"/>
          <w:color w:val="auto"/>
        </w:rPr>
      </w:pPr>
      <w:r>
        <w:rPr>
          <w:rFonts w:ascii="Arial" w:cs="Arial" w:eastAsia="Arial" w:hAnsi="Arial"/>
          <w:sz w:val="17"/>
          <w:szCs w:val="17"/>
          <w:color w:val="auto"/>
        </w:rPr>
        <w:t>Early in the third quarter of 2004, we implemented a market realignment that consisted of moving our Ohio operations to the Midwest Group and our Kentucky operations to the Southern Group, both of which were previously in the Eastern Group. As a result of the realignment, we have reclassified the operating results of the Ohio and Kentucky Market Areas for the first quarter of 2004 in the following table to provide segment financial information that appropriately reflects our approach to managing operations. Summarized financial information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concerning our reportable segments for the three months ended March 31 is shown in the following table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40"/>
              <w:spacing w:after="0"/>
              <w:rPr>
                <w:sz w:val="20"/>
                <w:szCs w:val="20"/>
                <w:color w:val="auto"/>
              </w:rPr>
            </w:pPr>
            <w:r>
              <w:rPr>
                <w:rFonts w:ascii="Arial" w:cs="Arial" w:eastAsia="Arial" w:hAnsi="Arial"/>
                <w:sz w:val="18"/>
                <w:szCs w:val="18"/>
                <w:color w:val="auto"/>
                <w:w w:val="87"/>
              </w:rPr>
              <w:t>Gross</w:t>
            </w: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100" w:type="dxa"/>
            <w:vAlign w:val="bottom"/>
          </w:tcPr>
          <w:p>
            <w:pPr>
              <w:spacing w:after="0"/>
              <w:rPr>
                <w:sz w:val="18"/>
                <w:szCs w:val="18"/>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Operating</w:t>
            </w:r>
          </w:p>
        </w:tc>
        <w:tc>
          <w:tcPr>
            <w:tcW w:w="100" w:type="dxa"/>
            <w:vAlign w:val="bottom"/>
          </w:tcPr>
          <w:p>
            <w:pPr>
              <w:spacing w:after="0"/>
              <w:rPr>
                <w:sz w:val="18"/>
                <w:szCs w:val="18"/>
                <w:color w:val="auto"/>
              </w:rPr>
            </w:pPr>
          </w:p>
        </w:tc>
        <w:tc>
          <w:tcPr>
            <w:tcW w:w="198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w w:val="98"/>
              </w:rPr>
              <w:t>Operating</w:t>
            </w:r>
          </w:p>
        </w:tc>
        <w:tc>
          <w:tcPr>
            <w:tcW w:w="100" w:type="dxa"/>
            <w:vAlign w:val="bottom"/>
          </w:tcPr>
          <w:p>
            <w:pPr>
              <w:spacing w:after="0"/>
              <w:rPr>
                <w:sz w:val="18"/>
                <w:szCs w:val="18"/>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4"/>
              </w:rPr>
              <w:t>Operating</w:t>
            </w:r>
          </w:p>
        </w:tc>
        <w:tc>
          <w:tcPr>
            <w:tcW w:w="100" w:type="dxa"/>
            <w:vAlign w:val="bottom"/>
          </w:tcPr>
          <w:p>
            <w:pPr>
              <w:spacing w:after="0"/>
              <w:rPr>
                <w:sz w:val="18"/>
                <w:szCs w:val="18"/>
                <w:color w:val="auto"/>
              </w:rPr>
            </w:pP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Income from</w:t>
            </w:r>
          </w:p>
        </w:tc>
        <w:tc>
          <w:tcPr>
            <w:tcW w:w="0" w:type="dxa"/>
            <w:vAlign w:val="bottom"/>
          </w:tcPr>
          <w:p>
            <w:pPr>
              <w:spacing w:after="0"/>
              <w:rPr>
                <w:sz w:val="1"/>
                <w:szCs w:val="1"/>
                <w:color w:val="auto"/>
              </w:rPr>
            </w:pPr>
          </w:p>
        </w:tc>
      </w:tr>
      <w:tr>
        <w:trPr>
          <w:trHeight w:val="241"/>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4"/>
              </w:rPr>
              <w:t>Revenues</w:t>
            </w:r>
          </w:p>
        </w:tc>
        <w:tc>
          <w:tcPr>
            <w:tcW w:w="100" w:type="dxa"/>
            <w:vAlign w:val="bottom"/>
          </w:tcPr>
          <w:p>
            <w:pPr>
              <w:spacing w:after="0"/>
              <w:rPr>
                <w:sz w:val="20"/>
                <w:szCs w:val="20"/>
                <w:color w:val="auto"/>
              </w:rPr>
            </w:pPr>
          </w:p>
        </w:tc>
        <w:tc>
          <w:tcPr>
            <w:tcW w:w="198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w w:val="84"/>
              </w:rPr>
              <w:t>Revenues(c)</w:t>
            </w:r>
          </w:p>
        </w:tc>
        <w:tc>
          <w:tcPr>
            <w:tcW w:w="100" w:type="dxa"/>
            <w:vAlign w:val="bottom"/>
          </w:tcPr>
          <w:p>
            <w:pPr>
              <w:spacing w:after="0"/>
              <w:rPr>
                <w:sz w:val="20"/>
                <w:szCs w:val="20"/>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Revenues(d)</w:t>
            </w:r>
          </w:p>
        </w:tc>
        <w:tc>
          <w:tcPr>
            <w:tcW w:w="100" w:type="dxa"/>
            <w:vAlign w:val="bottom"/>
          </w:tcPr>
          <w:p>
            <w:pPr>
              <w:spacing w:after="0"/>
              <w:rPr>
                <w:sz w:val="20"/>
                <w:szCs w:val="20"/>
                <w:color w:val="auto"/>
              </w:rPr>
            </w:pPr>
          </w:p>
        </w:tc>
        <w:tc>
          <w:tcPr>
            <w:tcW w:w="22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91"/>
              </w:rPr>
              <w:t>Operations(e),(f)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2005</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Canadian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NASW(a)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NASW</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Corporate and Other(b)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3,038</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March 31, 2004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Eastern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Southern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Wheelabrator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NASW(a)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NASW</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700" w:right="140" w:hanging="462"/>
        <w:spacing w:after="0" w:line="256" w:lineRule="auto"/>
        <w:tabs>
          <w:tab w:leader="none" w:pos="7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NASW revenues are generally generated from services provided throughout our operating Groups for in-plant services, methane gas recovery and certain third party sub-contract and administration revenues managed by our national accounts organization. Other NASW operating results reflect the combined impact of (i) the services described above; (ii) non-operating entities that provide financial assurance and self-insurance support for the operating Groups or financing for our Canadian Group; and (iii) certain quarter-end adjustments related to the reportable segments that are not included in the measure of segment profit or loss used to assess their performance for the periods disclosed.</w:t>
      </w:r>
    </w:p>
    <w:p>
      <w:pPr>
        <w:spacing w:after="0" w:line="23" w:lineRule="exact"/>
        <w:rPr>
          <w:rFonts w:ascii="Arial" w:cs="Arial" w:eastAsia="Arial" w:hAnsi="Arial"/>
          <w:sz w:val="13"/>
          <w:szCs w:val="13"/>
          <w:color w:val="auto"/>
        </w:rPr>
      </w:pPr>
    </w:p>
    <w:p>
      <w:pPr>
        <w:ind w:left="700" w:right="20" w:hanging="462"/>
        <w:spacing w:after="0" w:line="234"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operating results reflect the costs incurred for various support services that are not allocated to our seven operating Groups. These support services include, among other things, treasury, legal, information technology, tax, insurance, management of closed landfills, management of centralized service centers and other typical administrative functions. Income from operations for “Corporate and Other” also includes costs associated with (i) our long-term incentive program; and (ii) managing our Non-NASW divested operations, which primarily includes administrative expenses and the impact of revisions to our estimated obligations.</w:t>
      </w:r>
    </w:p>
    <w:p>
      <w:pPr>
        <w:spacing w:after="0" w:line="20" w:lineRule="exact"/>
        <w:rPr>
          <w:rFonts w:ascii="Arial" w:cs="Arial" w:eastAsia="Arial" w:hAnsi="Arial"/>
          <w:sz w:val="14"/>
          <w:szCs w:val="14"/>
          <w:color w:val="auto"/>
        </w:rPr>
      </w:pPr>
    </w:p>
    <w:p>
      <w:pPr>
        <w:ind w:left="700" w:right="480" w:hanging="462"/>
        <w:spacing w:after="0" w:line="253"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1" w:lineRule="exact"/>
        <w:rPr>
          <w:rFonts w:ascii="Arial" w:cs="Arial" w:eastAsia="Arial" w:hAnsi="Arial"/>
          <w:sz w:val="14"/>
          <w:szCs w:val="14"/>
          <w:color w:val="auto"/>
        </w:rPr>
      </w:pPr>
    </w:p>
    <w:p>
      <w:pPr>
        <w:ind w:left="700" w:right="240" w:hanging="462"/>
        <w:spacing w:after="0" w:line="238"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ind w:left="700" w:right="60" w:hanging="462"/>
        <w:spacing w:after="0" w:line="229"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operating results of our reportable segments generally reflect the impact the various lines of business and markets in which we operate can have on the Company’s consolidated operating results. The income from operations provided by our five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w:t>
      </w:r>
    </w:p>
    <w:p>
      <w:pPr>
        <w:spacing w:after="0" w:line="23" w:lineRule="exact"/>
        <w:rPr>
          <w:rFonts w:ascii="Arial" w:cs="Arial" w:eastAsia="Arial" w:hAnsi="Arial"/>
          <w:sz w:val="14"/>
          <w:szCs w:val="14"/>
          <w:color w:val="auto"/>
        </w:rPr>
      </w:pPr>
    </w:p>
    <w:p>
      <w:pPr>
        <w:ind w:left="700" w:right="40" w:hanging="462"/>
        <w:spacing w:after="0" w:line="253"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those items included in the determination of income from operations, the accounting policies of our segments are generally the same as those described in the summary of significant accounting policies included in our December 31, 2004 Form 10-K.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The table below shows the total revenues contributed by our principal lines of business (in millions):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Landfill</w:t>
            </w:r>
          </w:p>
        </w:tc>
        <w:tc>
          <w:tcPr>
            <w:tcW w:w="20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Wheelabrator</w:t>
            </w:r>
          </w:p>
        </w:tc>
        <w:tc>
          <w:tcPr>
            <w:tcW w:w="20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other(a)</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Intercompany(b)</w:t>
            </w:r>
          </w:p>
        </w:tc>
        <w:tc>
          <w:tcPr>
            <w:tcW w:w="20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3,038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2,896</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bl>
    <w:p>
      <w:pPr>
        <w:spacing w:after="0" w:line="35" w:lineRule="exact"/>
        <w:rPr>
          <w:sz w:val="20"/>
          <w:szCs w:val="20"/>
          <w:color w:val="auto"/>
        </w:rPr>
      </w:pPr>
    </w:p>
    <w:p>
      <w:pPr>
        <w:ind w:left="700" w:right="240" w:hanging="462"/>
        <w:spacing w:after="0" w:line="253" w:lineRule="auto"/>
        <w:tabs>
          <w:tab w:leader="none" w:pos="7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In addition to the revenue generated by our Recycling Group, we have included revenues generated within our five geographic operating Groups derived from recycling, methane gas operations and Port-O-Let® services in the “recycling and other” line-of-business.</w:t>
      </w:r>
    </w:p>
    <w:p>
      <w:pPr>
        <w:spacing w:after="0" w:line="25" w:lineRule="exact"/>
        <w:rPr>
          <w:rFonts w:ascii="Arial" w:cs="Arial" w:eastAsia="Arial" w:hAnsi="Arial"/>
          <w:sz w:val="14"/>
          <w:szCs w:val="14"/>
          <w:color w:val="auto"/>
        </w:rPr>
      </w:pPr>
    </w:p>
    <w:p>
      <w:pPr>
        <w:ind w:left="700" w:hanging="462"/>
        <w:spacing w:after="0"/>
        <w:tabs>
          <w:tab w:leader="none" w:pos="7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spacing w:after="0" w:line="204" w:lineRule="exact"/>
        <w:rPr>
          <w:rFonts w:ascii="Arial" w:cs="Arial" w:eastAsia="Arial" w:hAnsi="Arial"/>
          <w:sz w:val="14"/>
          <w:szCs w:val="14"/>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Assets Impairments and Unusual Items</w:t>
      </w:r>
    </w:p>
    <w:p>
      <w:pPr>
        <w:spacing w:after="0" w:line="121"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following table summarizes the major components of asset impairments and unusual items for the three months ended March 31, 2005 and 2004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6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gains on divestitures</w:t>
            </w:r>
          </w:p>
        </w:tc>
        <w:tc>
          <w:tcPr>
            <w:tcW w:w="39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(40)(a)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(8)(b)</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Litigation settlement</w:t>
            </w: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16 (c)</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Impairments and other</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r>
    </w:tbl>
    <w:p>
      <w:pPr>
        <w:spacing w:after="0" w:line="251" w:lineRule="exact"/>
        <w:rPr>
          <w:sz w:val="20"/>
          <w:szCs w:val="20"/>
          <w:color w:val="auto"/>
        </w:rPr>
      </w:pPr>
    </w:p>
    <w:p>
      <w:pPr>
        <w:ind w:left="700" w:hanging="462"/>
        <w:spacing w:after="0"/>
        <w:tabs>
          <w:tab w:leader="none" w:pos="7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This amount is primarily related to a $39 million gain recognized as a result of the divestiture of a landfill in Ontario, Canada.</w:t>
      </w:r>
    </w:p>
    <w:p>
      <w:pPr>
        <w:spacing w:after="0" w:line="55" w:lineRule="exact"/>
        <w:rPr>
          <w:rFonts w:ascii="Arial" w:cs="Arial" w:eastAsia="Arial" w:hAnsi="Arial"/>
          <w:sz w:val="14"/>
          <w:szCs w:val="14"/>
          <w:color w:val="auto"/>
        </w:rPr>
      </w:pPr>
    </w:p>
    <w:p>
      <w:pPr>
        <w:ind w:left="700" w:hanging="462"/>
        <w:spacing w:after="0"/>
        <w:tabs>
          <w:tab w:leader="none" w:pos="7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This gain is primarily associated with the divestiture of certain Port-O-Let operations in the West.</w:t>
      </w:r>
    </w:p>
    <w:p>
      <w:pPr>
        <w:spacing w:after="0" w:line="41" w:lineRule="exact"/>
        <w:rPr>
          <w:rFonts w:ascii="Arial" w:cs="Arial" w:eastAsia="Arial" w:hAnsi="Arial"/>
          <w:sz w:val="14"/>
          <w:szCs w:val="14"/>
          <w:color w:val="auto"/>
        </w:rPr>
      </w:pPr>
    </w:p>
    <w:p>
      <w:pPr>
        <w:ind w:left="700" w:hanging="462"/>
        <w:spacing w:after="0"/>
        <w:tabs>
          <w:tab w:leader="none" w:pos="7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This charge is attributable to a settlement agreement reached in February 2005 (See Note 8).</w:t>
      </w:r>
    </w:p>
    <w:p>
      <w:pPr>
        <w:spacing w:after="0" w:line="204"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WM Holdings has fully and unconditionally guaranteed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31,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Eliminations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Holdings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Subsidiaries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2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68</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2,303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11,378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7,206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(17,158)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6,549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520"/>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10,368</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7,218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20,230</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(17,158)</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rPr>
                <w:sz w:val="12"/>
                <w:szCs w:val="12"/>
                <w:color w:val="auto"/>
              </w:rPr>
            </w:pPr>
          </w:p>
        </w:tc>
        <w:tc>
          <w:tcPr>
            <w:tcW w:w="760" w:type="dxa"/>
            <w:vAlign w:val="bottom"/>
            <w:gridSpan w:val="2"/>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980" w:type="dxa"/>
            <w:vAlign w:val="bottom"/>
            <w:gridSpan w:val="10"/>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LIABILITIES AND STOCKHOLDERS’ EQUITY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42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216</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2,579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2,795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2,668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4,713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(4,713)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3,202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520"/>
              <w:spacing w:after="0" w:line="149" w:lineRule="exact"/>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13,378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(4,713)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14,426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entities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289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5,943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5,882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6,563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(12,445)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5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10,368</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7,218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20,230</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(17,158)</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6"/>
                <w:szCs w:val="16"/>
                <w:color w:val="auto"/>
                <w:w w:val="93"/>
              </w:rPr>
              <w:t>December 31, 2004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Eliminations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Holdings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Subsidiaries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2,369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2,436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11,476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7,051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(17,013)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6,554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360" w:type="dxa"/>
            <w:vAlign w:val="bottom"/>
            <w:gridSpan w:val="2"/>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80" w:type="dxa"/>
            <w:vAlign w:val="bottom"/>
            <w:gridSpan w:val="2"/>
            <w:shd w:val="clear" w:color="auto" w:fill="CCEEFF"/>
          </w:tcPr>
          <w:p>
            <w:pPr>
              <w:spacing w:after="0"/>
              <w:rPr>
                <w:sz w:val="12"/>
                <w:szCs w:val="12"/>
                <w:color w:val="auto"/>
              </w:rPr>
            </w:pPr>
          </w:p>
        </w:tc>
        <w:tc>
          <w:tcPr>
            <w:tcW w:w="1320" w:type="dxa"/>
            <w:vAlign w:val="bottom"/>
            <w:gridSpan w:val="2"/>
            <w:shd w:val="clear" w:color="auto" w:fill="CCEEFF"/>
          </w:tcPr>
          <w:p>
            <w:pPr>
              <w:spacing w:after="0"/>
              <w:rPr>
                <w:sz w:val="12"/>
                <w:szCs w:val="12"/>
                <w:color w:val="auto"/>
              </w:rPr>
            </w:pPr>
          </w:p>
        </w:tc>
        <w:tc>
          <w:tcPr>
            <w:tcW w:w="500" w:type="dxa"/>
            <w:vAlign w:val="bottom"/>
            <w:gridSpan w:val="2"/>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46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520"/>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10,388</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7,064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20,466</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(17,013)</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980" w:type="dxa"/>
            <w:vAlign w:val="bottom"/>
            <w:gridSpan w:val="10"/>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980" w:type="dxa"/>
            <w:vAlign w:val="bottom"/>
            <w:gridSpan w:val="10"/>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LIABILITIES AND STOCKHOLDERS’ EQUITY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4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246</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2,721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2,967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2,721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Due to affiliates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4,954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(4,954)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3,174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13,816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(4,954)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entities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282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5,971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6,368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(12,059)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920" w:type="dxa"/>
            <w:vAlign w:val="bottom"/>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280" w:type="dxa"/>
            <w:vAlign w:val="bottom"/>
            <w:gridSpan w:val="2"/>
          </w:tcPr>
          <w:p>
            <w:pPr>
              <w:spacing w:after="0"/>
              <w:rPr>
                <w:sz w:val="12"/>
                <w:szCs w:val="12"/>
                <w:color w:val="auto"/>
              </w:rPr>
            </w:pPr>
          </w:p>
        </w:tc>
        <w:tc>
          <w:tcPr>
            <w:tcW w:w="1320" w:type="dxa"/>
            <w:vAlign w:val="bottom"/>
            <w:gridSpan w:val="2"/>
          </w:tcPr>
          <w:p>
            <w:pPr>
              <w:spacing w:after="0"/>
              <w:rPr>
                <w:sz w:val="12"/>
                <w:szCs w:val="12"/>
                <w:color w:val="auto"/>
              </w:rPr>
            </w:pPr>
          </w:p>
        </w:tc>
        <w:tc>
          <w:tcPr>
            <w:tcW w:w="500" w:type="dxa"/>
            <w:vAlign w:val="bottom"/>
            <w:gridSpan w:val="2"/>
          </w:tcPr>
          <w:p>
            <w:pPr>
              <w:spacing w:after="0"/>
              <w:rPr>
                <w:sz w:val="12"/>
                <w:szCs w:val="12"/>
                <w:color w:val="auto"/>
              </w:rPr>
            </w:pPr>
          </w:p>
        </w:tc>
        <w:tc>
          <w:tcPr>
            <w:tcW w:w="1400" w:type="dxa"/>
            <w:vAlign w:val="bottom"/>
            <w:gridSpan w:val="2"/>
          </w:tcPr>
          <w:p>
            <w:pPr>
              <w:spacing w:after="0"/>
              <w:rPr>
                <w:sz w:val="12"/>
                <w:szCs w:val="12"/>
                <w:color w:val="auto"/>
              </w:rPr>
            </w:pPr>
          </w:p>
        </w:tc>
        <w:tc>
          <w:tcPr>
            <w:tcW w:w="46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10,388</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7,064</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20,466</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(17,013)</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WMI</w:t>
            </w:r>
          </w:p>
        </w:tc>
        <w:tc>
          <w:tcPr>
            <w:tcW w:w="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WM</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4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Consolidated</w:t>
            </w:r>
          </w:p>
        </w:tc>
        <w:tc>
          <w:tcPr>
            <w:tcW w:w="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3,038</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2,672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Arial" w:cs="Arial" w:eastAsia="Arial" w:hAnsi="Arial"/>
                <w:sz w:val="14"/>
                <w:szCs w:val="14"/>
                <w:color w:val="auto"/>
              </w:rPr>
              <w:t>Equity in net losses of unconsolidated entities and other, net</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306</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205</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(396)</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WMI</w:t>
            </w:r>
          </w:p>
        </w:tc>
        <w:tc>
          <w:tcPr>
            <w:tcW w:w="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WM</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4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Consolidated</w:t>
            </w:r>
          </w:p>
        </w:tc>
        <w:tc>
          <w:tcPr>
            <w:tcW w:w="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2,896</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2,552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344</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Arial" w:cs="Arial" w:eastAsia="Arial" w:hAnsi="Arial"/>
                <w:sz w:val="14"/>
                <w:szCs w:val="14"/>
                <w:color w:val="auto"/>
              </w:rPr>
              <w:t>Equity in net losses of unconsolidated entities and other, net</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tcPr>
          <w:p>
            <w:pPr>
              <w:spacing w:after="0" w:line="130" w:lineRule="exact"/>
              <w:rPr>
                <w:sz w:val="20"/>
                <w:szCs w:val="20"/>
                <w:color w:val="auto"/>
              </w:rPr>
            </w:pPr>
            <w:r>
              <w:rPr>
                <w:rFonts w:ascii="Arial" w:cs="Arial" w:eastAsia="Arial" w:hAnsi="Arial"/>
                <w:sz w:val="14"/>
                <w:szCs w:val="14"/>
                <w:color w:val="auto"/>
              </w:rPr>
              <w:t>Income before income taxes and cumulative effect of change in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ind w:left="120"/>
              <w:spacing w:after="0"/>
              <w:rPr>
                <w:sz w:val="20"/>
                <w:szCs w:val="20"/>
                <w:color w:val="auto"/>
              </w:rPr>
            </w:pPr>
            <w:r>
              <w:rPr>
                <w:rFonts w:ascii="Arial" w:cs="Arial" w:eastAsia="Arial" w:hAnsi="Arial"/>
                <w:sz w:val="14"/>
                <w:szCs w:val="14"/>
                <w:color w:val="auto"/>
              </w:rPr>
              <w:t>accounting principle</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294</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(400)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6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208</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(400)</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WMI</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WM</w:t>
            </w:r>
          </w:p>
        </w:tc>
        <w:tc>
          <w:tcPr>
            <w:tcW w:w="18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6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3"/>
              </w:rPr>
              <w:t>Eliminations</w:t>
            </w:r>
          </w:p>
        </w:tc>
        <w:tc>
          <w:tcPr>
            <w:tcW w:w="13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5"/>
                <w:szCs w:val="15"/>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Subsidiaries</w:t>
            </w:r>
          </w:p>
        </w:tc>
        <w:tc>
          <w:tcPr>
            <w:tcW w:w="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191</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(396)</w:t>
            </w: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charges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348</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553</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(185)</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w w:val="95"/>
              </w:rPr>
              <w:t>Proceeds from divestitures of businesses, net of cash divested,</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 other sales of 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Proceeds from sales of short term investments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Net receipts from trust and escrow accounts and 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43</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(141)</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(263)</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(413)</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cash and cash equivalents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373</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March 31,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WMI</w:t>
            </w:r>
          </w:p>
        </w:tc>
        <w:tc>
          <w:tcPr>
            <w:tcW w:w="140" w:type="dxa"/>
            <w:vAlign w:val="bottom"/>
          </w:tcPr>
          <w:p>
            <w:pPr>
              <w:spacing w:after="0"/>
              <w:rPr>
                <w:sz w:val="14"/>
                <w:szCs w:val="14"/>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Non-Guarantor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5"/>
                <w:szCs w:val="15"/>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Subsidiaries</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4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192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208</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charges</w:t>
            </w: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1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519</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 (181)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(181)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Proceeds from divestitures of businesses, net of cash</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divested, and other sales of assets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22</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22 (431)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(421)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ind w:left="26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3"/>
          </w:tcPr>
          <w:p>
            <w:pPr>
              <w:jc w:val="right"/>
              <w:ind w:right="400"/>
              <w:spacing w:after="0" w:line="149" w:lineRule="exact"/>
              <w:rPr>
                <w:sz w:val="20"/>
                <w:szCs w:val="20"/>
                <w:color w:val="auto"/>
              </w:rPr>
            </w:pPr>
            <w:r>
              <w:rPr>
                <w:rFonts w:ascii="Arial" w:cs="Arial" w:eastAsia="Arial" w:hAnsi="Arial"/>
                <w:sz w:val="14"/>
                <w:szCs w:val="14"/>
                <w:color w:val="auto"/>
              </w:rPr>
              <w:t>78</w:t>
            </w:r>
          </w:p>
        </w:tc>
        <w:tc>
          <w:tcPr>
            <w:tcW w:w="3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3"/>
          </w:tcPr>
          <w:p>
            <w:pPr>
              <w:jc w:val="right"/>
              <w:ind w:right="44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auto"/>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auto"/>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(501)</w:t>
            </w: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(347)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(154)</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4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(109)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(249)</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(302)</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176</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cash and cash equivalents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224</w:t>
            </w: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gridSpan w:val="3"/>
          </w:tcPr>
          <w:p>
            <w:pPr>
              <w:jc w:val="right"/>
              <w:ind w:right="700"/>
              <w:spacing w:after="0" w:line="149" w:lineRule="exact"/>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auto"/>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auto"/>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auto"/>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CCEEFF"/>
            </w:tcBorders>
            <w:gridSpan w:val="2"/>
            <w:shd w:val="clear" w:color="auto" w:fill="CCEEFF"/>
          </w:tcPr>
          <w:p>
            <w:pPr>
              <w:jc w:val="right"/>
              <w:ind w:right="440"/>
              <w:spacing w:after="0" w:line="109" w:lineRule="exact"/>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w:t>
            </w:r>
          </w:p>
        </w:tc>
        <w:tc>
          <w:tcPr>
            <w:tcW w:w="4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63</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123 (revised 2004), Share Based Payment (“SFAS 123(R)”)</w:t>
      </w:r>
    </w:p>
    <w:p>
      <w:pPr>
        <w:spacing w:after="0" w:line="11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December 2004, the FASB issued SFAS No. 123(R), which amends SFAS No. 123 and supersedes APB No. 25. SFAS No. 123(R) requires compensation expense to be recognized for all share-based payments made to employees based on the fair value of the award at the date of grant, eliminating the intrinsic value alternative and narrowing the non-compensatory exception associated with employee stock purchase plans allowed by SFAS No. 123. Generally, the approach to determining fair value under the original pronouncement has not changed. However, there are revisions to the accounting guidelines established, such as accounting for forfeitures, that will change our accounting for stock-based awards in the future.</w:t>
      </w:r>
    </w:p>
    <w:p>
      <w:pPr>
        <w:spacing w:after="0" w:line="64" w:lineRule="exact"/>
        <w:rPr>
          <w:sz w:val="20"/>
          <w:szCs w:val="20"/>
          <w:color w:val="auto"/>
        </w:rPr>
      </w:pPr>
    </w:p>
    <w:p>
      <w:pPr>
        <w:ind w:right="200" w:firstLine="267"/>
        <w:spacing w:after="0" w:line="312" w:lineRule="auto"/>
        <w:rPr>
          <w:sz w:val="20"/>
          <w:szCs w:val="20"/>
          <w:color w:val="auto"/>
        </w:rPr>
      </w:pPr>
      <w:r>
        <w:rPr>
          <w:rFonts w:ascii="Arial" w:cs="Arial" w:eastAsia="Arial" w:hAnsi="Arial"/>
          <w:sz w:val="16"/>
          <w:szCs w:val="16"/>
          <w:color w:val="auto"/>
        </w:rPr>
        <w:t>The provisions of SFAS No. 123(R) provide for an effective date of July 1, 2005 for calendar-year public companies. However, in April 2005, the Securities and Exchange Commission adopted a rule that amends the compliance dates for SFAS No. 123(R), making it effective the beginning of the first fiscal year that begins after June 15, 2005. Based upon the guidelines established by the SEC’s rule, we plan to adopt SFAS No. 123(R) on January 1, 2006.</w:t>
      </w:r>
    </w:p>
    <w:p>
      <w:pPr>
        <w:spacing w:after="0" w:line="3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This change in accounting is not expected to materially impact our financial position. However, because we currently account for share-based payments to our employees using the intrinsic value method, our results of operations have not included the recognition of compensation expense for the issuance of stock option awards. Had we applied the fair-value criteria established by SFAS No. 123(R) to previous stock option grants, the impact to our results of operations would have approximated the impact of applying SFAS No. 123, which was a reduction to net income of $14 million for the three months ended March 31, 2005 and $13 million for the three months 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jc w:val="center"/>
        <w:ind w:right="-2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31, 2004. The impact of applying SFAS No. 123 to previous stock option grants is further summarized in Note 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FASB Interpretation No. 47, Accounting for Conditional Asset Retirement Obligations (“FIN 47”)</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March 2005, the FASB issued FIN 47, which clarifies the impact that uncertainty surrounding the timing or method of settling an obligation should have on accounting for that obligation under SFAS No. 143. FIN 47 is effective no later than the end of the fiscal year ending after December 15, 2005, or December 31, 2005 for calendar year companies. We are currently in the process of assessing the provisions of FIN 47 and have not determined the impact that the adoption of FIN 47 may have on our consolidated financial statements.</w:t>
      </w:r>
    </w:p>
    <w:p>
      <w:pPr>
        <w:spacing w:after="0" w:line="1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Some of the risks that we face and that could affect our business and financial statements for the remainder of 2005 and beyond include:</w:t>
      </w:r>
    </w:p>
    <w:p>
      <w:pPr>
        <w:spacing w:after="0" w:line="117" w:lineRule="exact"/>
        <w:rPr>
          <w:sz w:val="20"/>
          <w:szCs w:val="20"/>
          <w:color w:val="auto"/>
        </w:rPr>
      </w:pPr>
    </w:p>
    <w:p>
      <w:pPr>
        <w:ind w:left="460" w:right="26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maintain or expand margins as volumes increase if we are unable to control variable costs or fixed cost base increases;</w:t>
      </w:r>
    </w:p>
    <w:p>
      <w:pPr>
        <w:spacing w:after="0" w:line="130" w:lineRule="exact"/>
        <w:rPr>
          <w:rFonts w:ascii="Arial" w:cs="Arial" w:eastAsia="Arial" w:hAnsi="Arial"/>
          <w:sz w:val="18"/>
          <w:szCs w:val="18"/>
          <w:color w:val="auto"/>
        </w:rPr>
      </w:pPr>
    </w:p>
    <w:p>
      <w:pPr>
        <w:ind w:left="460" w:right="26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increases in expenses due to fuel price increases or fuel supply shortages;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that fluctuating commodity prices may have on our operating revenues and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general effects of a weak economy, including the resulting decreases in volumes of waste generated;</w:t>
      </w:r>
    </w:p>
    <w:p>
      <w:pPr>
        <w:spacing w:after="0" w:line="130"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external factors beyond our control such as higher interest rates and the possible inability of insurers to meet their obligations, both of which may cause increased expenses;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130" w:lineRule="exact"/>
        <w:rPr>
          <w:rFonts w:ascii="Arial" w:cs="Arial" w:eastAsia="Arial" w:hAnsi="Arial"/>
          <w:sz w:val="18"/>
          <w:szCs w:val="18"/>
          <w:color w:val="auto"/>
        </w:rPr>
      </w:pPr>
    </w:p>
    <w:p>
      <w:pPr>
        <w:ind w:left="460" w:right="38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75"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permits needed to operate our facilities;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130" w:lineRule="exact"/>
        <w:rPr>
          <w:rFonts w:ascii="Arial" w:cs="Arial" w:eastAsia="Arial" w:hAnsi="Arial"/>
          <w:sz w:val="18"/>
          <w:szCs w:val="18"/>
          <w:color w:val="auto"/>
        </w:rPr>
      </w:pPr>
    </w:p>
    <w:p>
      <w:pPr>
        <w:ind w:left="460" w:right="22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possible diversions of management’s attention and increases in operating expenses due to efforts by labor unions to organize our employees;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9" w:name="page30"/>
    <w:bookmarkEnd w:id="29"/>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130"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62"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79"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first quarter of 2005 was generally positive for the Company. During the first quarter of 2005, management focused primarily on:</w:t>
      </w:r>
    </w:p>
    <w:p>
      <w:pPr>
        <w:spacing w:after="0" w:line="117" w:lineRule="exact"/>
        <w:rPr>
          <w:sz w:val="20"/>
          <w:szCs w:val="20"/>
          <w:color w:val="auto"/>
        </w:rPr>
      </w:pPr>
    </w:p>
    <w:p>
      <w:pPr>
        <w:ind w:left="460" w:right="120" w:hanging="101"/>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Improving our revenue growth from yield. </w:t>
      </w:r>
      <w:r>
        <w:rPr>
          <w:rFonts w:ascii="Arial" w:cs="Arial" w:eastAsia="Arial" w:hAnsi="Arial"/>
          <w:sz w:val="18"/>
          <w:szCs w:val="18"/>
          <w:color w:val="auto"/>
        </w:rPr>
        <w:t>As we reported earlier this year, we have instituted a landfill pricing study that will test price elasticity at 30</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landfills. We have selected 23 transfer stations and the landfills and transfer stations of four Market Areas to add to this study. Our goal is to learn as much as possible about the pricing dynamics at these operations to determine if we can charge prices that will allow us to obtain a greater return on capital invested in these assets.</w:t>
      </w:r>
    </w:p>
    <w:p>
      <w:pPr>
        <w:spacing w:after="0" w:line="92"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Reviewing under-performing operations and making plans to either fix or sell. </w:t>
      </w:r>
      <w:r>
        <w:rPr>
          <w:rFonts w:ascii="Arial" w:cs="Arial" w:eastAsia="Arial" w:hAnsi="Arial"/>
          <w:sz w:val="18"/>
          <w:szCs w:val="18"/>
          <w:color w:val="auto"/>
        </w:rPr>
        <w:t>We desire to improve unprofitable operations or portions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so that they produce profits at an acceptable level. If we determine that this cannot be done within a reasonable timeframe, we will seek to divest those assets or otherwise discontinue the operations. In many cases the operations are not profitable because we are not able to internalize the disposal, leaving us at a competitive disadvantage in these markets.</w:t>
      </w:r>
    </w:p>
    <w:p>
      <w:pPr>
        <w:spacing w:after="0" w:line="92" w:lineRule="exact"/>
        <w:rPr>
          <w:rFonts w:ascii="Arial" w:cs="Arial" w:eastAsia="Arial" w:hAnsi="Arial"/>
          <w:sz w:val="18"/>
          <w:szCs w:val="18"/>
          <w:color w:val="auto"/>
        </w:rPr>
      </w:pPr>
    </w:p>
    <w:p>
      <w:pPr>
        <w:ind w:left="460" w:right="60" w:hanging="101"/>
        <w:spacing w:after="0" w:line="271"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Aligning the entire organization around a common set of goals. </w:t>
      </w:r>
      <w:r>
        <w:rPr>
          <w:rFonts w:ascii="Arial" w:cs="Arial" w:eastAsia="Arial" w:hAnsi="Arial"/>
          <w:sz w:val="17"/>
          <w:szCs w:val="17"/>
          <w:color w:val="auto"/>
        </w:rPr>
        <w:t>In the first quarter of 2005, approximately 1500 members of our management team met</w:t>
      </w:r>
      <w:r>
        <w:rPr>
          <w:rFonts w:ascii="Arial" w:cs="Arial" w:eastAsia="Arial" w:hAnsi="Arial"/>
          <w:sz w:val="17"/>
          <w:szCs w:val="17"/>
          <w:i w:val="1"/>
          <w:iCs w:val="1"/>
          <w:color w:val="auto"/>
        </w:rPr>
        <w:t xml:space="preserve"> </w:t>
      </w:r>
      <w:r>
        <w:rPr>
          <w:rFonts w:ascii="Arial" w:cs="Arial" w:eastAsia="Arial" w:hAnsi="Arial"/>
          <w:sz w:val="17"/>
          <w:szCs w:val="17"/>
          <w:color w:val="auto"/>
        </w:rPr>
        <w:t>to discuss our key stakeholders and our goals for 2005 and beyond. They then took the lessons learned back to their workplaces to share the information with their employees. We have been obtaining employee input and educating them about our five key stakeholders, which include our customers, our employees, the environment, the communities where we work and our shareholders. We believe that aligning all employees around the common goals that we have set to serve these stakeholders is the most effective way of achieving our goals. As we previously described in our Annual Report on Form 10-K for the year ended December 31, 2004, our goals include: (i) becoming the waste solutions provider of choice for our customers; (ii) being a best place to work for our employees; (iii) being a leader in promoting environmental stewardship; (iv) being a trusted and valued community leader; and (v) maximizing shareholder value.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center"/>
        <w:ind w:right="260"/>
        <w:spacing w:after="0" w:line="342" w:lineRule="auto"/>
        <w:rPr>
          <w:sz w:val="20"/>
          <w:szCs w:val="20"/>
          <w:color w:val="auto"/>
        </w:rPr>
      </w:pPr>
      <w:r>
        <w:rPr>
          <w:rFonts w:ascii="Arial" w:cs="Arial" w:eastAsia="Arial" w:hAnsi="Arial"/>
          <w:sz w:val="16"/>
          <w:szCs w:val="16"/>
          <w:color w:val="auto"/>
        </w:rPr>
        <w:t>Our results of operations for the first quarter 2005 were in line with our expectations. Net income before cumulative effect of change in accounting principle for the quarter was $150 million, or $0.26 per diluted share, as compared with $144 million or $0.25 per diluted share in the first quarter of 2004.</w:t>
      </w:r>
    </w:p>
    <w:p>
      <w:pPr>
        <w:spacing w:after="0" w:line="1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Our operating revenues tend to be somewhat lower in winter months. Consequently, our revenues for the current quarter were down $170 million, or</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5.3%, from the prior quarter. However, they were up $142 million, or 4.9%, to $3.0 billion as compared with the same quarter in the prior year. The revenue growth as compared with the prior year quarter is from (i) combined average yield improvement of 3.0% from our base business, recyclable commodities and fuel surcharges and fees; (ii) a 1.0% volume increase; and (iii) a 0.6% increase attributable to acquisitions, net of divestitures.</w:t>
      </w:r>
    </w:p>
    <w:p>
      <w:pPr>
        <w:spacing w:after="0" w:line="65"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Revenue growth from yield on base business was 2.1% this quarter, which matches the highest yield increase we have realized in the past five years and continues a steady increase in our yield from our base business since the second quarter of 2004. The yield improvements were seen in all of our lines of business, with the most significant improvements in our collection operations. In addition, this was the first quarter in over two years that we have had positive revenue growth from yield in each of our three main landfill operation categories: municipal solid waste, special waste and construction and demolition waste. The other major contributor to total yield improvement of 3.0% was an increase of 0.8% due to our fuel surcharge program.</w:t>
      </w:r>
    </w:p>
    <w:p>
      <w:pPr>
        <w:spacing w:after="0" w:line="50"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Internal revenue growth from volumes for the quarter was 1.0%, due generally to increased recycling volumes, which were largely due to several new brokerage contracts, and increased collection and disposal volumes. The increases in collection and disposal volumes are encouraging, as these volumes increased even as we raised the prices on these services.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continue our efforts to improve our operating margins. We experienced a margin decline on this quarter’s incremental revenue, primarily as a result of</w:t>
      </w:r>
    </w:p>
    <w:p>
      <w:pPr>
        <w:spacing w:after="0" w:line="46" w:lineRule="exact"/>
        <w:rPr>
          <w:sz w:val="20"/>
          <w:szCs w:val="20"/>
          <w:color w:val="auto"/>
        </w:rPr>
      </w:pPr>
    </w:p>
    <w:p>
      <w:pPr>
        <w:ind w:firstLine="8"/>
        <w:spacing w:after="0" w:line="252"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average price of diesel fuel being up nearly $0.50 per gallon as compared with the first quarter 2004, which resulted in incremental fuel costs that more than offset the benefit of our fuel surcharge program; (ii) the significant increases in volumes in our recycling business, which has significantly lower margins than our base business; and (iii) increased operating costs related to a labor strike in New Jersey, which was resolved favorably for the Company during the quarter. However, the negative effects of these items on our operating margins were offset by a net gain of $23 million from asset impairments and unusual items. This impact was primarily related to a gain recognized on the divestiture of a Canadian landfill, partially offset by the impact of a litigation settlement, which are discussed further in the </w:t>
      </w:r>
      <w:r>
        <w:rPr>
          <w:rFonts w:ascii="Arial" w:cs="Arial" w:eastAsia="Arial" w:hAnsi="Arial"/>
          <w:sz w:val="18"/>
          <w:szCs w:val="18"/>
          <w:i w:val="1"/>
          <w:iCs w:val="1"/>
          <w:color w:val="auto"/>
        </w:rPr>
        <w:t>Asset Impairments and Unusual Items</w:t>
      </w:r>
      <w:r>
        <w:rPr>
          <w:rFonts w:ascii="Arial" w:cs="Arial" w:eastAsia="Arial" w:hAnsi="Arial"/>
          <w:sz w:val="18"/>
          <w:szCs w:val="18"/>
          <w:color w:val="auto"/>
        </w:rPr>
        <w:t xml:space="preserve"> section. The combined effect of the above changes was relatively flat margins quarter over quarter. We continue to seek opportunities to reduce our operating costs, increase our revenues to cover costs we cannot reduce and improve our margins.</w:t>
      </w:r>
    </w:p>
    <w:p>
      <w:pPr>
        <w:spacing w:after="0" w:line="84"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believe that the production of free cash flow is a very important measure of our liquidity and operating results as it indicates our ability to pay our quarterly dividends, repurchase stock and execute our acquisition program. Free cash flow is not a measure of financial performance under generally accepted accounting principles (“GAAP”) and is not intended to replace the condensed consolidated statement of cash flows that was prepared in accordance with GAAP.</w:t>
      </w:r>
    </w:p>
    <w:p>
      <w:pPr>
        <w:spacing w:after="0" w:line="79" w:lineRule="exact"/>
        <w:rPr>
          <w:sz w:val="20"/>
          <w:szCs w:val="20"/>
          <w:color w:val="auto"/>
        </w:rPr>
      </w:pPr>
    </w:p>
    <w:p>
      <w:pPr>
        <w:jc w:val="both"/>
        <w:ind w:right="300" w:firstLine="267"/>
        <w:spacing w:after="0" w:line="264" w:lineRule="auto"/>
        <w:rPr>
          <w:sz w:val="20"/>
          <w:szCs w:val="20"/>
          <w:color w:val="auto"/>
        </w:rPr>
      </w:pPr>
      <w:r>
        <w:rPr>
          <w:rFonts w:ascii="Arial" w:cs="Arial" w:eastAsia="Arial" w:hAnsi="Arial"/>
          <w:sz w:val="18"/>
          <w:szCs w:val="18"/>
          <w:color w:val="auto"/>
        </w:rPr>
        <w:t>We generated $420 million of free cash flow for the quarter, an increase of $109 million from the first quarter of 2004. Free cash flow is calculated by subtracting capital expenditures from net cash provided by operating activities, and adding to that the proceeds from divestitures, net of cash divested, and other sales of assets, as shown in the table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621"/>
        </w:trPr>
        <w:tc>
          <w:tcPr>
            <w:tcW w:w="8480" w:type="dxa"/>
            <w:vAlign w:val="bottom"/>
            <w:gridSpan w:val="2"/>
          </w:tcPr>
          <w:p>
            <w:pPr>
              <w:jc w:val="right"/>
              <w:ind w:right="259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117" w:lineRule="exact"/>
        <w:rPr>
          <w:sz w:val="20"/>
          <w:szCs w:val="20"/>
          <w:color w:val="auto"/>
        </w:rPr>
      </w:pPr>
    </w:p>
    <w:p>
      <w:pPr>
        <w:ind w:right="180" w:firstLine="260"/>
        <w:spacing w:after="0" w:line="277" w:lineRule="auto"/>
        <w:rPr>
          <w:sz w:val="20"/>
          <w:szCs w:val="20"/>
          <w:color w:val="auto"/>
        </w:rPr>
      </w:pPr>
      <w:r>
        <w:rPr>
          <w:rFonts w:ascii="Arial" w:cs="Arial" w:eastAsia="Arial" w:hAnsi="Arial"/>
          <w:sz w:val="18"/>
          <w:szCs w:val="18"/>
          <w:color w:val="auto"/>
        </w:rPr>
        <w:t>As discussed in Notes 1 and 9 to the condensed consolidated financial statements, the following reclassifications have been made in our 2004 financial statements in order to conform to the current year presentation:</w:t>
      </w:r>
    </w:p>
    <w:p>
      <w:pPr>
        <w:spacing w:after="0" w:line="62"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Cash balances </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00" w:right="140" w:firstLine="267"/>
        <w:spacing w:after="0" w:line="259" w:lineRule="auto"/>
        <w:tabs>
          <w:tab w:leader="none" w:pos="11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We increased both our cash and cash equivalents and accounts payable balances at March 31, 2004 and December 31, 2003 by $51 million and $82 million, respectively, upon identifying certain cash accounts with negative balances and no legal right of offset. Within our three months ended March 31, 2004 statement of cash flows, the related changes in our accounts payable have been treated as a component of cash used in financing activities — other.</w:t>
      </w:r>
    </w:p>
    <w:p>
      <w:pPr>
        <w:spacing w:after="0" w:line="92" w:lineRule="exact"/>
        <w:rPr>
          <w:rFonts w:ascii="Arial" w:cs="Arial" w:eastAsia="Arial" w:hAnsi="Arial"/>
          <w:sz w:val="18"/>
          <w:szCs w:val="18"/>
          <w:color w:val="auto"/>
        </w:rPr>
      </w:pPr>
    </w:p>
    <w:p>
      <w:pPr>
        <w:ind w:left="700" w:firstLine="267"/>
        <w:spacing w:after="0" w:line="290" w:lineRule="auto"/>
        <w:tabs>
          <w:tab w:leader="none" w:pos="123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During the first quarter of 2004, we began making investments in auction rate securities and variable rate demand notes, which are debt instruments with long-term scheduled maturities and periodic interest rate reset dates. Through December 31, 2004, we included these investments in cash and cash equivalents. As a result of recent guidance associated with these types of securities, we determined that these investments were more appropriately classified as short-term investments. Accordingly, we decreased our cash and cash equivalents and increased our prepaid expenses and other current assets by $19 million at December 31, 2004 and $347 million at March 31, 2004. Our gross purchases and sales of these investments have been reflected within investing activities in our statements of cash flows. Additionally, in our 2004 statement of cash flows, relatively insignificant purchases and sales of other short-term investments were included on a net basis within investing activities — other. This additional activity has also been reflected within purchases and sales of short-term investments in the accompanying statements of cash flows.</w:t>
      </w:r>
    </w:p>
    <w:p>
      <w:pPr>
        <w:spacing w:after="0" w:line="58" w:lineRule="exact"/>
        <w:rPr>
          <w:rFonts w:ascii="Arial" w:cs="Arial" w:eastAsia="Arial" w:hAnsi="Arial"/>
          <w:sz w:val="16"/>
          <w:szCs w:val="16"/>
          <w:color w:val="auto"/>
        </w:rPr>
      </w:pPr>
    </w:p>
    <w:p>
      <w:pPr>
        <w:ind w:left="460" w:right="60" w:hanging="101"/>
        <w:spacing w:after="0" w:line="29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Segments </w:t>
      </w:r>
      <w:r>
        <w:rPr>
          <w:rFonts w:ascii="Arial" w:cs="Arial" w:eastAsia="Arial" w:hAnsi="Arial"/>
          <w:sz w:val="16"/>
          <w:szCs w:val="16"/>
          <w:color w:val="auto"/>
        </w:rPr>
        <w:t>— Early in the third quarter of 2004, we implemented a market realignment that consisted of moving our Ohio operations to the Midwest</w:t>
      </w:r>
      <w:r>
        <w:rPr>
          <w:rFonts w:ascii="Arial" w:cs="Arial" w:eastAsia="Arial" w:hAnsi="Arial"/>
          <w:sz w:val="16"/>
          <w:szCs w:val="16"/>
          <w:i w:val="1"/>
          <w:iCs w:val="1"/>
          <w:color w:val="auto"/>
        </w:rPr>
        <w:t xml:space="preserve"> </w:t>
      </w:r>
      <w:r>
        <w:rPr>
          <w:rFonts w:ascii="Arial" w:cs="Arial" w:eastAsia="Arial" w:hAnsi="Arial"/>
          <w:sz w:val="16"/>
          <w:szCs w:val="16"/>
          <w:color w:val="auto"/>
        </w:rPr>
        <w:t>Group and our Kentucky operations to the Southern Group, both of which were previously in the Eastern Group. We believe that the realignment will provide benefits to each of the operating groups affected. Specifically, the Ohio Market Area faces many of the same issues as other industrial regions in the Midwest Group and the Kentucky Market Area’s rural characteristics make it similar to other markets in the Southern Group. By balancing the revenues between each of the Groups, we will enable the Eastern Group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supplementary financial information included in this section has been updated to reflect these changes.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60" w:firstLine="270"/>
        <w:spacing w:after="0" w:line="293"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and liabilities and revenues and expenses. We must make these estimates and assumptions because certain of the information that we use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2004.</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 for the Three Months Ended March 31, 2005</w:t>
      </w:r>
    </w:p>
    <w:p>
      <w:pPr>
        <w:spacing w:after="0" w:line="121"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consolidated statement of operations line items: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Period to Period Change</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For the Three Months</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Ended March 31, 2005</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and 2004</w:t>
            </w:r>
          </w:p>
        </w:tc>
        <w:tc>
          <w:tcPr>
            <w:tcW w:w="4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142</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Costs and expenses: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124</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Asset impairments and unusual items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1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120</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 net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Equity in net losses of unconsolidated entities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1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Minority interest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131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Income before income taxes and cumulative effect</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of change in accounting principle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37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222"/>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Percentage change is not meaningful. Please refer to the explanation of these items included herein for a discussion of the relationship between current and prior year activity.</w:t>
      </w:r>
    </w:p>
    <w:p>
      <w:pPr>
        <w:spacing w:after="0" w:line="10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8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March 31,</w:t>
            </w:r>
          </w:p>
        </w:tc>
        <w:tc>
          <w:tcPr>
            <w:tcW w:w="9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revenues</w:t>
            </w:r>
          </w:p>
        </w:tc>
        <w:tc>
          <w:tcPr>
            <w:tcW w:w="4580" w:type="dxa"/>
            <w:vAlign w:val="bottom"/>
            <w:gridSpan w:val="3"/>
          </w:tcPr>
          <w:p>
            <w:pPr>
              <w:jc w:val="right"/>
              <w:ind w:right="630"/>
              <w:spacing w:after="0"/>
              <w:rPr>
                <w:sz w:val="20"/>
                <w:szCs w:val="20"/>
                <w:color w:val="auto"/>
              </w:rPr>
            </w:pPr>
            <w:r>
              <w:rPr>
                <w:rFonts w:ascii="Arial" w:cs="Arial" w:eastAsia="Arial" w:hAnsi="Arial"/>
                <w:sz w:val="18"/>
                <w:szCs w:val="18"/>
                <w:color w:val="auto"/>
              </w:rPr>
              <w:t>100.0 %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Costs and expenses:</w:t>
            </w:r>
          </w:p>
        </w:tc>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Operating (exclusive of depreciation and amortization shown below)</w:t>
            </w:r>
          </w:p>
        </w:tc>
        <w:tc>
          <w:tcPr>
            <w:tcW w:w="458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67.3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4580" w:type="dxa"/>
            <w:vAlign w:val="bottom"/>
            <w:gridSpan w:val="3"/>
          </w:tcPr>
          <w:p>
            <w:pPr>
              <w:jc w:val="right"/>
              <w:ind w:right="81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458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10.6</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Asset impairments and unusual items</w:t>
            </w:r>
          </w:p>
        </w:tc>
        <w:tc>
          <w:tcPr>
            <w:tcW w:w="4580" w:type="dxa"/>
            <w:vAlign w:val="bottom"/>
            <w:gridSpan w:val="3"/>
          </w:tcPr>
          <w:p>
            <w:pPr>
              <w:jc w:val="right"/>
              <w:ind w:right="75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580" w:type="dxa"/>
            <w:vAlign w:val="bottom"/>
            <w:gridSpan w:val="3"/>
          </w:tcPr>
          <w:p>
            <w:pPr>
              <w:jc w:val="right"/>
              <w:ind w:right="810"/>
              <w:spacing w:after="0"/>
              <w:rPr>
                <w:sz w:val="20"/>
                <w:szCs w:val="20"/>
                <w:color w:val="auto"/>
              </w:rPr>
            </w:pPr>
            <w:r>
              <w:rPr>
                <w:rFonts w:ascii="Arial" w:cs="Arial" w:eastAsia="Arial" w:hAnsi="Arial"/>
                <w:sz w:val="18"/>
                <w:szCs w:val="18"/>
                <w:color w:val="auto"/>
              </w:rPr>
              <w:t>88.0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580" w:type="dxa"/>
            <w:vAlign w:val="bottom"/>
            <w:gridSpan w:val="3"/>
          </w:tcPr>
          <w:p>
            <w:pPr>
              <w:jc w:val="right"/>
              <w:ind w:right="810"/>
              <w:spacing w:after="0"/>
              <w:rPr>
                <w:sz w:val="20"/>
                <w:szCs w:val="20"/>
                <w:color w:val="auto"/>
              </w:rPr>
            </w:pPr>
            <w:r>
              <w:rPr>
                <w:rFonts w:ascii="Arial" w:cs="Arial" w:eastAsia="Arial" w:hAnsi="Arial"/>
                <w:sz w:val="18"/>
                <w:szCs w:val="18"/>
                <w:color w:val="auto"/>
              </w:rPr>
              <w:t>12.0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 net</w:t>
            </w:r>
          </w:p>
        </w:tc>
        <w:tc>
          <w:tcPr>
            <w:tcW w:w="4580" w:type="dxa"/>
            <w:vAlign w:val="bottom"/>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Equity in net losses of unconsolidated entities</w:t>
            </w:r>
          </w:p>
        </w:tc>
        <w:tc>
          <w:tcPr>
            <w:tcW w:w="4580" w:type="dxa"/>
            <w:vAlign w:val="bottom"/>
            <w:gridSpan w:val="3"/>
          </w:tcPr>
          <w:p>
            <w:pPr>
              <w:jc w:val="right"/>
              <w:ind w:right="750"/>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Minority interest</w:t>
            </w:r>
          </w:p>
        </w:tc>
        <w:tc>
          <w:tcPr>
            <w:tcW w:w="4580" w:type="dxa"/>
            <w:vAlign w:val="bottom"/>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2600" w:type="dxa"/>
            <w:vAlign w:val="bottom"/>
          </w:tcPr>
          <w:p>
            <w:pPr>
              <w:spacing w:after="0"/>
              <w:rPr>
                <w:sz w:val="18"/>
                <w:szCs w:val="18"/>
                <w:color w:val="auto"/>
              </w:rPr>
            </w:pPr>
          </w:p>
        </w:tc>
        <w:tc>
          <w:tcPr>
            <w:tcW w:w="19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580" w:type="dxa"/>
            <w:vAlign w:val="bottom"/>
            <w:gridSpan w:val="3"/>
          </w:tcPr>
          <w:p>
            <w:pPr>
              <w:jc w:val="right"/>
              <w:ind w:right="750"/>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Income before income taxes and cumulative effect</w:t>
            </w:r>
          </w:p>
        </w:tc>
        <w:tc>
          <w:tcPr>
            <w:tcW w:w="2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of change in accounting principle</w:t>
            </w:r>
          </w:p>
        </w:tc>
        <w:tc>
          <w:tcPr>
            <w:tcW w:w="4580" w:type="dxa"/>
            <w:vAlign w:val="bottom"/>
            <w:gridSpan w:val="3"/>
          </w:tcPr>
          <w:p>
            <w:pPr>
              <w:jc w:val="right"/>
              <w:ind w:right="630"/>
              <w:spacing w:after="0"/>
              <w:rPr>
                <w:sz w:val="20"/>
                <w:szCs w:val="20"/>
                <w:color w:val="auto"/>
              </w:rPr>
            </w:pPr>
            <w:r>
              <w:rPr>
                <w:rFonts w:ascii="Arial" w:cs="Arial" w:eastAsia="Arial" w:hAnsi="Arial"/>
                <w:sz w:val="18"/>
                <w:szCs w:val="18"/>
                <w:color w:val="auto"/>
              </w:rPr>
              <w:t>7.2 %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0" w:type="dxa"/>
            <w:vAlign w:val="bottom"/>
          </w:tcPr>
          <w:p>
            <w:pPr>
              <w:jc w:val="right"/>
              <w:ind w:right="215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964" w:gutter="0" w:footer="0" w:header="0"/>
        </w:sectPr>
      </w:pPr>
    </w:p>
    <w:bookmarkStart w:id="33" w:name="page34"/>
    <w:bookmarkEnd w:id="33"/>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220" w:firstLine="270"/>
        <w:spacing w:after="0" w:line="279" w:lineRule="auto"/>
        <w:rPr>
          <w:sz w:val="20"/>
          <w:szCs w:val="20"/>
          <w:color w:val="auto"/>
        </w:rPr>
      </w:pPr>
      <w:r>
        <w:rPr>
          <w:rFonts w:ascii="Arial" w:cs="Arial" w:eastAsia="Arial" w:hAnsi="Arial"/>
          <w:sz w:val="17"/>
          <w:szCs w:val="17"/>
          <w:color w:val="auto"/>
        </w:rPr>
        <w:t>Our operating revenues for the three months ended March 31, 2005, were $3.0 billion compared with $2.9 billion for the three months ended March 31, 2004. We manage and evaluate our operations primarily through our Eastern, Midwest, Southern, Western, Canadian, Wheelabrator and Recycling Groups. These seven operating Groups are our reportable segments. Shown below (in millions) is the contribution to revenues during each period provided by our seven operating Groups and our Other North American Solid Waste, or NASW, services: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March 31,</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Eastern</w:t>
            </w:r>
          </w:p>
        </w:tc>
        <w:tc>
          <w:tcPr>
            <w:tcW w:w="26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810</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Southern</w:t>
            </w:r>
          </w:p>
        </w:tc>
        <w:tc>
          <w:tcPr>
            <w:tcW w:w="26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639</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Wheelabrator</w:t>
            </w:r>
          </w:p>
        </w:tc>
        <w:tc>
          <w:tcPr>
            <w:tcW w:w="26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NASW</w:t>
            </w:r>
          </w:p>
        </w:tc>
        <w:tc>
          <w:tcPr>
            <w:tcW w:w="26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2,896</w:t>
            </w:r>
          </w:p>
        </w:tc>
      </w:tr>
    </w:tbl>
    <w:p>
      <w:pPr>
        <w:spacing w:after="0" w:line="310"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Our North American Solid Waste operating revenues generally come from fees charged for our collection, disposal, transfer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generally based on the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4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Landfill</w:t>
            </w: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Wheelabrator</w:t>
            </w: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Intercompany</w:t>
            </w: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3,038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2,896</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720" w:type="dxa"/>
            <w:vAlign w:val="bottom"/>
          </w:tcPr>
          <w:p>
            <w:pPr>
              <w:jc w:val="right"/>
              <w:ind w:right="237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60" w:firstLine="267"/>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Period to Period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Change for the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Three Months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Ended March 31,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2005 and 2004</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Base business</w:t>
            </w:r>
          </w:p>
        </w:tc>
        <w:tc>
          <w:tcPr>
            <w:tcW w:w="3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70"/>
              <w:spacing w:after="0"/>
              <w:rPr>
                <w:sz w:val="20"/>
                <w:szCs w:val="20"/>
                <w:color w:val="auto"/>
              </w:rPr>
            </w:pPr>
            <w:r>
              <w:rPr>
                <w:rFonts w:ascii="Arial" w:cs="Arial" w:eastAsia="Arial" w:hAnsi="Arial"/>
                <w:sz w:val="18"/>
                <w:szCs w:val="18"/>
                <w:color w:val="auto"/>
              </w:rPr>
              <w:t>60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Commodity</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Electricity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07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surcharge and fees</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Volume</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070"/>
              <w:spacing w:after="0"/>
              <w:rPr>
                <w:sz w:val="20"/>
                <w:szCs w:val="20"/>
                <w:color w:val="auto"/>
              </w:rPr>
            </w:pPr>
            <w:r>
              <w:rPr>
                <w:rFonts w:ascii="Arial" w:cs="Arial" w:eastAsia="Arial" w:hAnsi="Arial"/>
                <w:sz w:val="18"/>
                <w:szCs w:val="18"/>
                <w:color w:val="auto"/>
              </w:rPr>
              <w:t>28</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Internal growth</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070"/>
              <w:spacing w:after="0"/>
              <w:rPr>
                <w:sz w:val="20"/>
                <w:szCs w:val="20"/>
                <w:color w:val="auto"/>
              </w:rPr>
            </w:pPr>
            <w:r>
              <w:rPr>
                <w:rFonts w:ascii="Arial" w:cs="Arial" w:eastAsia="Arial" w:hAnsi="Arial"/>
                <w:sz w:val="18"/>
                <w:szCs w:val="18"/>
                <w:color w:val="auto"/>
              </w:rPr>
              <w:t>115</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Divestitures</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1010"/>
              <w:spacing w:after="0"/>
              <w:rPr>
                <w:sz w:val="20"/>
                <w:szCs w:val="20"/>
                <w:color w:val="auto"/>
              </w:rPr>
            </w:pPr>
            <w:r>
              <w:rPr>
                <w:rFonts w:ascii="Arial" w:cs="Arial" w:eastAsia="Arial" w:hAnsi="Arial"/>
                <w:sz w:val="18"/>
                <w:szCs w:val="18"/>
                <w:color w:val="auto"/>
              </w:rPr>
              <w:t>(9)</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10</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142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i w:val="1"/>
          <w:iCs w:val="1"/>
          <w:color w:val="auto"/>
        </w:rPr>
        <w:t xml:space="preserve">Base Business </w:t>
      </w:r>
      <w:r>
        <w:rPr>
          <w:rFonts w:ascii="Arial" w:cs="Arial" w:eastAsia="Arial" w:hAnsi="Arial"/>
          <w:sz w:val="16"/>
          <w:szCs w:val="16"/>
          <w:color w:val="auto"/>
        </w:rPr>
        <w:t>— At 2.1%, revenue growth attributable to base business yield was the highest it has been since the third quarter of 2001. Base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yield provided revenue growth for each line of business during the current quarter. The most significant yield improvements were attributable to our commercial, industrial and residential collection operations, where we experienced revenue growth in every geographic operating Group. The increase in yield in our collection business includes the impact of $5 million in environmental cost recovery fees we were able to pass on to our customers during the first quarter of 2005. While the most significant collection yield improvements were in the South, East and West, the Midwest also provided significant yield improvement in this line-of-business despite the intense price competition that resulted in negative yield for the past several quarters. This is an indication of our continued focus on pricing initiatives as a means of increasing our margins, cash flows and return on capital. As discussed below, we have experienced volume declines in certain regions due in part to our focus on improving yield. We are committed to understanding the pricing dynamics of our customers and the various regions in which we operate and providing superior customer service — the keys to continued success of our pricing initiatives.</w:t>
      </w:r>
    </w:p>
    <w:p>
      <w:pPr>
        <w:spacing w:after="0" w:line="59"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i w:val="1"/>
          <w:iCs w:val="1"/>
          <w:color w:val="auto"/>
        </w:rPr>
        <w:t xml:space="preserve">Fuel surcharges and fees </w:t>
      </w:r>
      <w:r>
        <w:rPr>
          <w:rFonts w:ascii="Arial" w:cs="Arial" w:eastAsia="Arial" w:hAnsi="Arial"/>
          <w:sz w:val="18"/>
          <w:szCs w:val="18"/>
          <w:color w:val="auto"/>
        </w:rPr>
        <w:t>— We experienced revenue improvements during the first quarter of 2005 due to our continued effort to pass on higher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to our customers through fuel surcharges. However, this increase was more than offset by increased operating costs due to higher diesel fuel prices as discussed in </w:t>
      </w:r>
      <w:r>
        <w:rPr>
          <w:rFonts w:ascii="Arial" w:cs="Arial" w:eastAsia="Arial" w:hAnsi="Arial"/>
          <w:sz w:val="18"/>
          <w:szCs w:val="18"/>
          <w:i w:val="1"/>
          <w:iCs w:val="1"/>
          <w:color w:val="auto"/>
        </w:rPr>
        <w:t>Operating Expenses — Subcontractor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Operating Expenses — Fuel.</w:t>
      </w:r>
      <w:r>
        <w:rPr>
          <w:rFonts w:ascii="Arial" w:cs="Arial" w:eastAsia="Arial" w:hAnsi="Arial"/>
          <w:sz w:val="18"/>
          <w:szCs w:val="18"/>
          <w:color w:val="auto"/>
        </w:rPr>
        <w:t xml:space="preserve"> During the last year, we have been successful in increasing the number of customers who participate in the fuel surcharge program and, as a result, we have decreased the impact of higher fuel costs on our operating income.</w:t>
      </w:r>
    </w:p>
    <w:p>
      <w:pPr>
        <w:spacing w:after="0" w:line="80"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i w:val="1"/>
          <w:iCs w:val="1"/>
          <w:color w:val="auto"/>
        </w:rPr>
        <w:t xml:space="preserve">Volume </w:t>
      </w:r>
      <w:r>
        <w:rPr>
          <w:rFonts w:ascii="Arial" w:cs="Arial" w:eastAsia="Arial" w:hAnsi="Arial"/>
          <w:sz w:val="17"/>
          <w:szCs w:val="17"/>
          <w:color w:val="auto"/>
        </w:rPr>
        <w:t>— Recycling volumes provided substantial volume-related revenue growth during the current quarter as a result of several new brokerage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Volume-related revenue increases were also attributable to our collection, transfer and construction and demolition disposal operations in the South and the West. In the South, these volume increases were driven principally by the continued impact of hurricane clean-up efforts, industrial collection and transfer operations. In the West, residential collection volumes, which accounted for almost half of the volume-related revenue growth in the region, transfer volumes and construction and demolition disposal volumes were the primary drivers of the current quarter revenue improvement. These revenue improvements were partially offset by volume declines experienced by our residential collection and transfer business in the East, residential and commercial collection business in the Midwest and special waste disposal business in the South. We believe volume declines in our collection and transfer businesses in the East and Midwest can largely be attributed to increased price competition and our focus on improving base business yield. The decline in special waste volume in the South was driven by a decrease in event work and the closure of a landfill.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117" w:lineRule="exact"/>
        <w:rPr>
          <w:sz w:val="20"/>
          <w:szCs w:val="20"/>
          <w:color w:val="auto"/>
        </w:rPr>
      </w:pPr>
    </w:p>
    <w:p>
      <w:pPr>
        <w:ind w:right="380" w:firstLine="270"/>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included below), which include salaries and wages,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w:t>
      </w:r>
    </w:p>
    <w:p>
      <w:pPr>
        <w:spacing w:after="0" w:line="2" w:lineRule="exact"/>
        <w:rPr>
          <w:sz w:val="20"/>
          <w:szCs w:val="20"/>
          <w:color w:val="auto"/>
        </w:rPr>
      </w:pPr>
    </w:p>
    <w:p>
      <w:pPr>
        <w:ind w:right="200" w:firstLine="8"/>
        <w:spacing w:after="0" w:line="292"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interest accretion on asset retirement obligations, landfill remediation costs, leachate and methane collection and treatment and other landfill site costs; (ix) risk management, which include workers’ compensation and insurance and claim costs and (x) other operating costs, which include, among other costs, equipment and facility rent and property taxes.</w:t>
      </w:r>
    </w:p>
    <w:p>
      <w:pPr>
        <w:spacing w:after="0" w:line="55"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months ended March 31, 2005 and 2004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1"/>
              </w:rPr>
              <w:t>March 31,</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Period to Period</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Subcontractor costs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Fuel</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1,920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10"/>
              <w:spacing w:after="0"/>
              <w:rPr>
                <w:sz w:val="20"/>
                <w:szCs w:val="20"/>
                <w:color w:val="auto"/>
              </w:rPr>
            </w:pPr>
            <w:r>
              <w:rPr>
                <w:rFonts w:ascii="Arial" w:cs="Arial" w:eastAsia="Arial" w:hAnsi="Arial"/>
                <w:sz w:val="18"/>
                <w:szCs w:val="18"/>
                <w:color w:val="auto"/>
              </w:rPr>
              <w:t>124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20" w:firstLine="270"/>
        <w:spacing w:after="0" w:line="264" w:lineRule="auto"/>
        <w:rPr>
          <w:sz w:val="20"/>
          <w:szCs w:val="20"/>
          <w:color w:val="auto"/>
        </w:rPr>
      </w:pPr>
      <w:r>
        <w:rPr>
          <w:rFonts w:ascii="Arial" w:cs="Arial" w:eastAsia="Arial" w:hAnsi="Arial"/>
          <w:sz w:val="18"/>
          <w:szCs w:val="18"/>
          <w:color w:val="auto"/>
        </w:rPr>
        <w:t>During the first quarter of 2005, we incurred additional operating costs of $9 million attributable to a seven-week labor strike in New Jersey. These cost increases primarily affected our costs for security, labor and related benefits and travel. Other significant changes in the operating costs incurred during the current period are summarized below.</w:t>
      </w:r>
    </w:p>
    <w:p>
      <w:pPr>
        <w:spacing w:after="0" w:line="73"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These costs have increased as a result of (i) increased overtime costs due in part to increased volumes; (ii) higher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hourly wages due to annual merit increases and acquisitions; (iii) a general increase in employee health care and benefit costs; (iv) increased payroll taxes; and (v) an increase in the costs attributable to contract labor. For purposes of the above disclosure, (i) labor costs attributable principally to our fleet and container maintenance facilities of $101 million for the three months ended March 31, 2005 and $98 million for the three months ended March 31, 2004 have been included as a component of the caption entitled “Maintenance and repairs” and (ii) workers’ compensation costs of $30 million for the three months ended March 31, 2005 and $31 million for the three months ended March 31, 2004 have been included as a component of the caption entitled “Risk management.” These costs were reflected as labor costs in prior periods.</w:t>
      </w:r>
    </w:p>
    <w:p>
      <w:pPr>
        <w:spacing w:after="0" w:line="7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primary drivers of these cost increases were higher volumes, which were generally attributable to (i) hurricane clean-up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provided by our Southern Group; (ii) acquisitions; and (iii) new business, and longer haul volumes. The increases in diesel fuel prices discussed below have also resulted in an increase in the fuel surcharges we are paying to third party subcontractors, which significantly affected our subcontractor costs in the current quarter.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This increase was primarily attributable to increased recycling volumes due to several new brokerage contracts, acquisitions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market prices for commodities processed by our Recycling Group.</w:t>
      </w:r>
    </w:p>
    <w:p>
      <w:pPr>
        <w:spacing w:after="0" w:line="62"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We experienced an average increase of $0.48 per gallon in the cost of fuel from the first quarter of 2004 to the first quarter of 2005, which drove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fuel cost increase. However, a significant portion of this cost increase is offset by our fuel surcharges to customers, which are reflected as fuel price increases within our </w:t>
      </w:r>
      <w:r>
        <w:rPr>
          <w:rFonts w:ascii="Arial" w:cs="Arial" w:eastAsia="Arial" w:hAnsi="Arial"/>
          <w:sz w:val="18"/>
          <w:szCs w:val="18"/>
          <w:i w:val="1"/>
          <w:iCs w:val="1"/>
          <w:color w:val="auto"/>
        </w:rPr>
        <w:t>Operating Revenues</w:t>
      </w:r>
      <w:r>
        <w:rPr>
          <w:rFonts w:ascii="Arial" w:cs="Arial" w:eastAsia="Arial" w:hAnsi="Arial"/>
          <w:sz w:val="18"/>
          <w:szCs w:val="18"/>
          <w:color w:val="auto"/>
        </w:rPr>
        <w:t xml:space="preserve"> section above.</w:t>
      </w:r>
    </w:p>
    <w:p>
      <w:pPr>
        <w:spacing w:after="0" w:line="73"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i w:val="1"/>
          <w:iCs w:val="1"/>
          <w:color w:val="auto"/>
        </w:rPr>
        <w:t xml:space="preserve">Landfill operating costs </w:t>
      </w:r>
      <w:r>
        <w:rPr>
          <w:rFonts w:ascii="Arial" w:cs="Arial" w:eastAsia="Arial" w:hAnsi="Arial"/>
          <w:sz w:val="17"/>
          <w:szCs w:val="17"/>
          <w:color w:val="auto"/>
        </w:rPr>
        <w:t>— The increases in these costs are generally associated with performing certain site maintenance, remediation, monitoring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for various landfills throughout the Company. The incremental increase was due in part to higher activities in the area of site maintenance, leachate collection and site remediation, which were driven by increased precipitation in certain regions and increased maintenance at our landfills in the South due to the 2004 hurricanes. In prior periods, these costs were included as a component of the caption entitled “Other.”</w:t>
      </w:r>
    </w:p>
    <w:p>
      <w:pPr>
        <w:spacing w:after="0" w:line="63"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 During the first quarter of 2004, we recognized $6 million in gains on the sale of certain assets. Those gains and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year security and travel expenses attributable to the labor strike discussed above are the primary drivers of the increase in other operating costs during the current period.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Our selling, general and administrative expenses consist of (i) labor costs, which include salaries, related insurance and benefits, contract labor, and payroll taxes;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63"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months ended March 31, 2005 and 2004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1"/>
              </w:rPr>
              <w:t>March 31,</w:t>
            </w:r>
          </w:p>
        </w:tc>
        <w:tc>
          <w:tcPr>
            <w:tcW w:w="5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Period to</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2004</w:t>
            </w: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Period Change</w:t>
            </w: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Professional fees</w:t>
            </w: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89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89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70"/>
        <w:spacing w:after="0" w:line="312"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This increase is primarily attributable to (i) an increase in non-cash compensation costs associated with recent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equity-based compensation provided for by our long-term incentive plan; (ii) severance-related expenses incurred during the current period; (iii) higher salaries and hourly wages primarily due to annual merit increases; and (iv) higher group insurance costs largely due to general health care cost increases.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Depreciation and amortization includes (i)amortization of landfill costs, including those incurred and all estimated future costs for landfill development, construction, closure and post-closure on a units-of-consumption method as landfill airspace is consumed over the estimated remaining capacity of a site; (ii)amortization of landfill asset retirement costs arising from final capping obligations on a units-of-consumption method as airspace is consumed over the estimated capacity associated with each final capping event; (iii) depreciation of property and equipment on a straight-line basis from three to 50 years; and (iv) amortization of intangible assets with a definite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380"/>
        <w:spacing w:after="0" w:line="277" w:lineRule="auto"/>
        <w:rPr>
          <w:sz w:val="20"/>
          <w:szCs w:val="20"/>
          <w:color w:val="auto"/>
        </w:rPr>
      </w:pPr>
      <w:r>
        <w:rPr>
          <w:rFonts w:ascii="Arial" w:cs="Arial" w:eastAsia="Arial" w:hAnsi="Arial"/>
          <w:sz w:val="18"/>
          <w:szCs w:val="18"/>
          <w:color w:val="auto"/>
        </w:rPr>
        <w:t>life, either using a 150% declining balance approach or a straight-line basis over the definitive terms of the related agreements, which are from two to ten years depending on the type of asset.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117"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During the first quarter of 2005, we recognized a net credit of $23 million, or $13 million net of tax, from asset impairments and unusual items. This credit primarily related to the divestiture of one of our landfills in Ontario, Canada, which resulted in a gain of $39 million. This divestiture was required by a Divestiture Order from the Canadian Competition Tribunal. This gain on divestiture was partially offset by a charge of approximately $16 million for the impact of a litigation settlement reached in February 2005 with a group of stockholders that opted not to participate in the settlement of the class action lawsuit against us related to 1998 and 1999 activity.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recognized $9 million in net gains during the first quarter of 2004, which were primarily as a result of divestitures of certain Port-O-Let operations.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117"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following table summarizes income from operations by reportable segment for the three months ended March 31, 2005 and 2004 and provides explanations of significant factors contributing to the identified variances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Period to Period</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41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Eastern</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99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Southern</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1050"/>
              <w:spacing w:after="0"/>
              <w:rPr>
                <w:sz w:val="20"/>
                <w:szCs w:val="20"/>
                <w:color w:val="auto"/>
              </w:rPr>
            </w:pPr>
            <w:r>
              <w:rPr>
                <w:rFonts w:ascii="Arial" w:cs="Arial" w:eastAsia="Arial" w:hAnsi="Arial"/>
                <w:sz w:val="18"/>
                <w:szCs w:val="18"/>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Wheelabrator</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105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NASW</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990"/>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NASW</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Corporate and Other</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99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 w:hanging="22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i w:val="1"/>
          <w:iCs w:val="1"/>
          <w:color w:val="auto"/>
        </w:rPr>
        <w:t xml:space="preserve">Canadian </w:t>
      </w:r>
      <w:r>
        <w:rPr>
          <w:rFonts w:ascii="Arial" w:cs="Arial" w:eastAsia="Arial" w:hAnsi="Arial"/>
          <w:sz w:val="18"/>
          <w:szCs w:val="18"/>
          <w:color w:val="auto"/>
        </w:rPr>
        <w:t>— The quarter over quarter operating income improvement was driven primarily by a pre-tax gain of $39 million resulting from the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of one of our landfills in Ontario, Canada. This impact is included within asset impairments and unusual items within our condensed consolidated statement of operations.</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Midwest </w:t>
      </w:r>
      <w:r>
        <w:rPr>
          <w:rFonts w:ascii="Arial" w:cs="Arial" w:eastAsia="Arial" w:hAnsi="Arial"/>
          <w:sz w:val="18"/>
          <w:szCs w:val="18"/>
          <w:color w:val="auto"/>
        </w:rPr>
        <w:t>— Higher operating income in the current quarter as compared with the same quarter last year was primarily due to (i) revenue growth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increased average yield across the collection lines of business (particularly residential and industrial); (ii) the completion of acquisitions since the first quarter of 2004; (iii) the favorable effect of lower landfill amortization rates; and (iv) lower bad debt expense.</w:t>
      </w:r>
    </w:p>
    <w:p>
      <w:pPr>
        <w:spacing w:after="0" w:line="7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The increase in operating income as compared with the prior year quarter was due in large part to (i) positive internal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improved electricity pricing and average yield improvements on long-term disposal contracts; and (ii) lower repairs and maintenance expense at our waste to energy facilities due to fluctuations in the timing and scope of these activities.</w:t>
      </w:r>
    </w:p>
    <w:p>
      <w:pPr>
        <w:spacing w:after="0" w:line="73" w:lineRule="exact"/>
        <w:rPr>
          <w:sz w:val="20"/>
          <w:szCs w:val="20"/>
          <w:color w:val="auto"/>
        </w:rPr>
      </w:pPr>
    </w:p>
    <w:p>
      <w:pPr>
        <w:jc w:val="center"/>
        <w:ind w:right="300"/>
        <w:spacing w:after="0" w:line="291" w:lineRule="auto"/>
        <w:rPr>
          <w:sz w:val="20"/>
          <w:szCs w:val="20"/>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higher expenses in the current year were driven primarily by (i) a $16 million charge for a legal settlement reached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2005; (ii) an increase in non-cash compensation costs of approximately $6 million associated with recent changes in equity-based compensation;</w:t>
      </w:r>
    </w:p>
    <w:p>
      <w:pPr>
        <w:ind w:right="60" w:firstLine="8"/>
        <w:spacing w:after="0" w:line="261"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employee health care costs; (iv) severance-related expenses incurred during the current period; and (v) salary and wage increases attributable to annual merit raises.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 in Accounting Principle</w:t>
      </w:r>
    </w:p>
    <w:p>
      <w:pPr>
        <w:spacing w:after="0" w:line="117"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 in accounting principle for the three months ended March 31, 2005 and 2004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6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58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620" w:type="dxa"/>
            <w:vAlign w:val="bottom"/>
            <w:gridSpan w:val="3"/>
            <w:vMerge w:val="restart"/>
          </w:tcPr>
          <w:p>
            <w:pPr>
              <w:jc w:val="right"/>
              <w:ind w:right="960"/>
              <w:spacing w:after="0"/>
              <w:rPr>
                <w:sz w:val="20"/>
                <w:szCs w:val="20"/>
                <w:color w:val="auto"/>
              </w:rPr>
            </w:pPr>
            <w:r>
              <w:rPr>
                <w:rFonts w:ascii="Arial" w:cs="Arial" w:eastAsia="Arial" w:hAnsi="Arial"/>
                <w:sz w:val="18"/>
                <w:szCs w:val="18"/>
                <w:b w:val="1"/>
                <w:bCs w:val="1"/>
                <w:color w:val="auto"/>
              </w:rPr>
              <w:t>Period to 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2004</w:t>
            </w:r>
          </w:p>
        </w:tc>
        <w:tc>
          <w:tcPr>
            <w:tcW w:w="6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6"/>
              </w:rPr>
              <w:t>Change</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Equity in net losses of unconsolidated entities</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940" w:type="dxa"/>
            <w:vAlign w:val="bottom"/>
            <w:gridSpan w:val="2"/>
          </w:tcPr>
          <w:p>
            <w:pPr>
              <w:jc w:val="right"/>
              <w:ind w:right="5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9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Equity in net losses of unconsolidated entities </w:t>
      </w:r>
      <w:r>
        <w:rPr>
          <w:rFonts w:ascii="Arial" w:cs="Arial" w:eastAsia="Arial" w:hAnsi="Arial"/>
          <w:sz w:val="18"/>
          <w:szCs w:val="18"/>
          <w:color w:val="auto"/>
        </w:rPr>
        <w:t>— In the first and second quarters of 2004, we acquired an equity interest in two coal-based, synthetic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production facilities. The activities of these facilities drive our equity in net losses of unconsolidated entities. Our equity in the losses of these facilities was $28 million for the three months ended March 31, 2005 and $19 million for the three months ended March 31, 2004. The year-over-year increase in these losses is due to the timing of our initial investments in 2004. These equity losses are substantially offset by the tax benefit realized as a result of these investments as discussed below within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If, for any reason, the tax credits generated by the facilities were no longer allowable under Section 29 of the Internal Revenue Code, we would no longer incur these equity losses. Additional information related to these investments is included in Note 4 to the condensed consolidated financial statements.</w:t>
      </w:r>
    </w:p>
    <w:p>
      <w:pPr>
        <w:spacing w:after="0" w:line="81"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 The overall increase in our tax provision from the first quarter of 2004 is due primarily to an increase in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pre-tax income, as well as the non-recognition of a tax benefit associated with the payment of a litigation settlement. Our effective income tax rate was 31.8% in the current quarter compared with 30.1% in the comparable prior year period. Our effective tax rate for both years has been positively affected by the tax benefits realized as a result of the investments discussed in the </w:t>
      </w:r>
      <w:r>
        <w:rPr>
          <w:rFonts w:ascii="Arial" w:cs="Arial" w:eastAsia="Arial" w:hAnsi="Arial"/>
          <w:sz w:val="16"/>
          <w:szCs w:val="16"/>
          <w:i w:val="1"/>
          <w:iCs w:val="1"/>
          <w:color w:val="auto"/>
        </w:rPr>
        <w:t>Equity in net losses of unconsolidated entities</w:t>
      </w:r>
      <w:r>
        <w:rPr>
          <w:rFonts w:ascii="Arial" w:cs="Arial" w:eastAsia="Arial" w:hAnsi="Arial"/>
          <w:sz w:val="16"/>
          <w:szCs w:val="16"/>
          <w:color w:val="auto"/>
        </w:rPr>
        <w:t xml:space="preserve"> section above. These investments resulted in a decrease in our tax provision of $29 million for the three months ended March 31, 2005 and $19 million for the three months ended March 31, 2004.</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 in Accounting Principle</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 xml:space="preserve">On March 31, 2004, we recorded a credit of $8 million, net of tax, or $0.01 per diluted share, as a cumulative effect of change in accounting principle as a result of the consolidation of previously unrecorded trusts as required by Financial Accounting Standards Board Interpretation No. 46, </w:t>
      </w:r>
      <w:r>
        <w:rPr>
          <w:rFonts w:ascii="Arial" w:cs="Arial" w:eastAsia="Arial" w:hAnsi="Arial"/>
          <w:sz w:val="18"/>
          <w:szCs w:val="18"/>
          <w:i w:val="1"/>
          <w:iCs w:val="1"/>
          <w:color w:val="auto"/>
        </w:rPr>
        <w:t>Consolidation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260"/>
        <w:spacing w:after="0" w:line="276" w:lineRule="auto"/>
        <w:rPr>
          <w:sz w:val="20"/>
          <w:szCs w:val="20"/>
          <w:color w:val="auto"/>
        </w:rPr>
      </w:pPr>
      <w:r>
        <w:rPr>
          <w:rFonts w:ascii="Arial" w:cs="Arial" w:eastAsia="Arial" w:hAnsi="Arial"/>
          <w:sz w:val="17"/>
          <w:szCs w:val="17"/>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which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64" w:lineRule="exact"/>
        <w:rPr>
          <w:sz w:val="20"/>
          <w:szCs w:val="20"/>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220" w:firstLine="267"/>
        <w:spacing w:after="0" w:line="286"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w:t>
      </w:r>
    </w:p>
    <w:p>
      <w:pPr>
        <w:spacing w:after="0" w:line="2" w:lineRule="exact"/>
        <w:rPr>
          <w:sz w:val="20"/>
          <w:szCs w:val="20"/>
          <w:color w:val="auto"/>
        </w:rPr>
      </w:pPr>
    </w:p>
    <w:p>
      <w:pPr>
        <w:ind w:right="100" w:firstLine="8"/>
        <w:spacing w:after="0" w:line="277" w:lineRule="auto"/>
        <w:tabs>
          <w:tab w:leader="none" w:pos="30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container and equipment needs of our operations; and (v) capping, closure and post-closure activities at our landfills. Our Board of Directors has approved a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65"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On October 22, 2004, the American Jobs Creation Act of 2004 (the “Act”) became law. A provision of the Act temporarily reduces the tax rate on repatriated income if the income is permanently reinvested in the U.S. We are currently evaluating the potential impact of this legislation, which includes an analysis of the funds provided by our Canadian operations available for repatriation. However, we do not expect this legislation to materially impact our consolidated liquidity position.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Restricted Trust and Escrow Accounts and Debt Obligations</w:t>
      </w:r>
    </w:p>
    <w:p>
      <w:pPr>
        <w:spacing w:after="0" w:line="117" w:lineRule="exact"/>
        <w:rPr>
          <w:sz w:val="20"/>
          <w:szCs w:val="20"/>
          <w:color w:val="auto"/>
        </w:rPr>
      </w:pPr>
    </w:p>
    <w:p>
      <w:pPr>
        <w:ind w:right="700" w:firstLine="267"/>
        <w:spacing w:after="0" w:line="277" w:lineRule="auto"/>
        <w:rPr>
          <w:sz w:val="20"/>
          <w:szCs w:val="20"/>
          <w:color w:val="auto"/>
        </w:rPr>
      </w:pPr>
      <w:r>
        <w:rPr>
          <w:rFonts w:ascii="Arial" w:cs="Arial" w:eastAsia="Arial" w:hAnsi="Arial"/>
          <w:sz w:val="18"/>
          <w:szCs w:val="18"/>
          <w:color w:val="auto"/>
        </w:rPr>
        <w:t>The following is a summary of our cash, restricted trust and escrow accounts and debt balances as of March 31, 2005 and December 31, 2004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Tax-exempt bond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282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Closure, post-closure and remediation funds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Debt service funds</w:t>
            </w: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restricted trust and escrow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319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portion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8,386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62" w:lineRule="exact"/>
        <w:rPr>
          <w:sz w:val="20"/>
          <w:szCs w:val="20"/>
          <w:color w:val="auto"/>
        </w:rPr>
      </w:pPr>
    </w:p>
    <w:p>
      <w:pPr>
        <w:ind w:right="920" w:firstLine="270"/>
        <w:spacing w:after="0" w:line="277" w:lineRule="auto"/>
        <w:rPr>
          <w:sz w:val="20"/>
          <w:szCs w:val="20"/>
          <w:color w:val="auto"/>
        </w:rPr>
      </w:pPr>
      <w:r>
        <w:rPr>
          <w:rFonts w:ascii="Arial" w:cs="Arial" w:eastAsia="Arial" w:hAnsi="Arial"/>
          <w:sz w:val="18"/>
          <w:szCs w:val="18"/>
          <w:color w:val="auto"/>
        </w:rPr>
        <w:t xml:space="preserve">For discussion regarding the 2004 reclassifications to cash, refer to Note 1 to the condensed consolidated financial statements and the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Consolidated and Segment Financial Information </w:t>
      </w:r>
      <w:r>
        <w:rPr>
          <w:rFonts w:ascii="Arial" w:cs="Arial" w:eastAsia="Arial" w:hAnsi="Arial"/>
          <w:sz w:val="18"/>
          <w:szCs w:val="18"/>
          <w:color w:val="auto"/>
        </w:rPr>
        <w:t>section above.</w:t>
      </w:r>
    </w:p>
    <w:p>
      <w:pPr>
        <w:spacing w:after="0" w:line="62" w:lineRule="exact"/>
        <w:rPr>
          <w:sz w:val="20"/>
          <w:szCs w:val="20"/>
          <w:color w:val="auto"/>
        </w:rPr>
      </w:pPr>
    </w:p>
    <w:p>
      <w:pPr>
        <w:ind w:right="260" w:firstLine="270"/>
        <w:spacing w:after="0" w:line="286" w:lineRule="auto"/>
        <w:rPr>
          <w:sz w:val="20"/>
          <w:szCs w:val="20"/>
          <w:color w:val="auto"/>
        </w:rPr>
      </w:pPr>
      <w:r>
        <w:rPr>
          <w:rFonts w:ascii="Arial" w:cs="Arial" w:eastAsia="Arial" w:hAnsi="Arial"/>
          <w:sz w:val="17"/>
          <w:szCs w:val="17"/>
          <w:i w:val="1"/>
          <w:iCs w:val="1"/>
          <w:color w:val="auto"/>
        </w:rPr>
        <w:t xml:space="preserve">Restricted trust and escrow accounts </w:t>
      </w:r>
      <w:r>
        <w:rPr>
          <w:rFonts w:ascii="Arial" w:cs="Arial" w:eastAsia="Arial" w:hAnsi="Arial"/>
          <w:sz w:val="17"/>
          <w:szCs w:val="17"/>
          <w:color w:val="auto"/>
        </w:rPr>
        <w:t>— Restricted trusts and escrow accounts consist primarily of funds held in trust for the construction of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or repayment of debt obligations, funds deposited in connection with landfill closure, post-closure and remedial obligations and insurance escrow deposits. These balances are primarily included within long-term other assets in our consolidated balance sheets.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 —</w:t>
      </w:r>
    </w:p>
    <w:p>
      <w:pPr>
        <w:spacing w:after="0" w:line="11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We have a five-year, $2.4 billion syndicated revolving credit facility. This facility provides us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that can be used for either cash borrowings or to support letters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80"/>
        <w:spacing w:after="0" w:line="264" w:lineRule="auto"/>
        <w:rPr>
          <w:sz w:val="20"/>
          <w:szCs w:val="20"/>
          <w:color w:val="auto"/>
        </w:rPr>
      </w:pPr>
      <w:r>
        <w:rPr>
          <w:rFonts w:ascii="Arial" w:cs="Arial" w:eastAsia="Arial" w:hAnsi="Arial"/>
          <w:sz w:val="18"/>
          <w:szCs w:val="18"/>
          <w:color w:val="auto"/>
        </w:rPr>
        <w:t>of credit issued for our financial assurance needs. As of March 31, 2005, no borrowings were outstanding under the facility, and we had unused and available credit capacity of $984 million. As of December 31, 2004, no borrowings were outstanding under the facility, and we had unused and available capacity of $1,034 million.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summarizes the credit capacity, maturity and outstanding letters of credit under our various arrangements at March 31, 2005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3"/>
              </w:rPr>
              <w:t>Total Credit</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Letters of</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Capacity</w:t>
            </w:r>
          </w:p>
        </w:tc>
        <w:tc>
          <w:tcPr>
            <w:tcW w:w="2240" w:type="dxa"/>
            <w:vAlign w:val="bottom"/>
            <w:gridSpan w:val="2"/>
          </w:tcPr>
          <w:p>
            <w:pPr>
              <w:ind w:left="560"/>
              <w:spacing w:after="0"/>
              <w:rPr>
                <w:sz w:val="20"/>
                <w:szCs w:val="20"/>
                <w:color w:val="auto"/>
              </w:rPr>
            </w:pPr>
            <w:r>
              <w:rPr>
                <w:rFonts w:ascii="Arial" w:cs="Arial" w:eastAsia="Arial" w:hAnsi="Arial"/>
                <w:sz w:val="18"/>
                <w:szCs w:val="18"/>
                <w:b w:val="1"/>
                <w:bCs w:val="1"/>
                <w:color w:val="auto"/>
              </w:rPr>
              <w:t>Maturity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Credit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Five-year revolving credit facility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7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9"/>
              </w:rPr>
              <w:t>October 2009</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Five-year letter of credit and term loan agreement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June 2008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Five-year letter of credit facility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22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December 2008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Seven-year letter of credit and term loan agreement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175</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June 2010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Ten-year letter of credit and term loan agreement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105</w:t>
            </w:r>
          </w:p>
        </w:tc>
        <w:tc>
          <w:tcPr>
            <w:tcW w:w="22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June 2013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260"/>
              <w:spacing w:after="0"/>
              <w:rPr>
                <w:sz w:val="20"/>
                <w:szCs w:val="20"/>
                <w:color w:val="auto"/>
              </w:rPr>
            </w:pPr>
            <w:r>
              <w:rPr>
                <w:rFonts w:ascii="Arial" w:cs="Arial" w:eastAsia="Arial" w:hAnsi="Arial"/>
                <w:sz w:val="18"/>
                <w:szCs w:val="18"/>
                <w:color w:val="auto"/>
              </w:rPr>
              <w:t>Various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3,045</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67"/>
        <w:spacing w:after="0" w:line="297"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50" w:lineRule="exact"/>
        <w:rPr>
          <w:sz w:val="20"/>
          <w:szCs w:val="20"/>
          <w:color w:val="auto"/>
        </w:rPr>
      </w:pPr>
    </w:p>
    <w:p>
      <w:pPr>
        <w:ind w:right="460" w:firstLine="27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We have $100 million of 7.0% senior notes and $3 million of 6.65% senior notes both due May 15, 2005 that we currently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redeem with available cash.</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As of March 31, 2005, we had $2,045 million of outstanding tax-exempt bonds. We actively issue tax-exempt bonds as a means of</w:t>
      </w:r>
      <w:r>
        <w:rPr>
          <w:rFonts w:ascii="Arial" w:cs="Arial" w:eastAsia="Arial" w:hAnsi="Arial"/>
          <w:sz w:val="17"/>
          <w:szCs w:val="17"/>
          <w:i w:val="1"/>
          <w:iCs w:val="1"/>
          <w:color w:val="auto"/>
        </w:rPr>
        <w:t xml:space="preserve"> </w:t>
      </w:r>
      <w:r>
        <w:rPr>
          <w:rFonts w:ascii="Arial" w:cs="Arial" w:eastAsia="Arial" w:hAnsi="Arial"/>
          <w:sz w:val="17"/>
          <w:szCs w:val="17"/>
          <w:color w:val="auto"/>
        </w:rPr>
        <w:t>accessing low-cost financing for capital expenditures. The proceeds from these financing arrangements are deposited directly into trust funds and may only be used for the specific purpose for which the money was raised, which is generally the construction of collection and disposal facilities and for the equipment necessary to provide waste management services. As we spend monies on the specific projects being financed, we are able to requisition cash from the trust funds. We have $282 million held in trust for future spending as of March 31, 2005. During the three months ended March 31, 2005, we received approximately $53 million from these funds for approved capital expenditures.</w:t>
      </w:r>
    </w:p>
    <w:p>
      <w:pPr>
        <w:spacing w:after="0" w:line="70" w:lineRule="exact"/>
        <w:rPr>
          <w:sz w:val="20"/>
          <w:szCs w:val="20"/>
          <w:color w:val="auto"/>
        </w:rPr>
      </w:pPr>
    </w:p>
    <w:p>
      <w:pPr>
        <w:jc w:val="both"/>
        <w:ind w:right="20" w:firstLine="260"/>
        <w:spacing w:after="0" w:line="279" w:lineRule="auto"/>
        <w:rPr>
          <w:sz w:val="20"/>
          <w:szCs w:val="20"/>
          <w:color w:val="auto"/>
        </w:rPr>
      </w:pPr>
      <w:r>
        <w:rPr>
          <w:rFonts w:ascii="Arial" w:cs="Arial" w:eastAsia="Arial" w:hAnsi="Arial"/>
          <w:sz w:val="17"/>
          <w:szCs w:val="17"/>
          <w:color w:val="auto"/>
        </w:rPr>
        <w:t>As of March 31, 2005, $588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are included in long-term debt in our condensed consolidated balance sheet at March 31, 2005.</w:t>
      </w:r>
    </w:p>
    <w:p>
      <w:pPr>
        <w:spacing w:after="0" w:line="63" w:lineRule="exact"/>
        <w:rPr>
          <w:sz w:val="20"/>
          <w:szCs w:val="20"/>
          <w:color w:val="auto"/>
        </w:rPr>
      </w:pPr>
    </w:p>
    <w:p>
      <w:pPr>
        <w:ind w:firstLine="260"/>
        <w:spacing w:after="0" w:line="273" w:lineRule="auto"/>
        <w:rPr>
          <w:sz w:val="20"/>
          <w:szCs w:val="20"/>
          <w:color w:val="auto"/>
        </w:rPr>
      </w:pPr>
      <w:r>
        <w:rPr>
          <w:rFonts w:ascii="Arial" w:cs="Arial" w:eastAsia="Arial" w:hAnsi="Arial"/>
          <w:sz w:val="17"/>
          <w:szCs w:val="17"/>
          <w:color w:val="auto"/>
        </w:rPr>
        <w:t>Additionally, we have $410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March 31, 2005.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70"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i w:val="1"/>
          <w:iCs w:val="1"/>
          <w:color w:val="auto"/>
        </w:rPr>
        <w:t xml:space="preserve">Tax-exempt project bonds </w:t>
      </w:r>
      <w:r>
        <w:rPr>
          <w:rFonts w:ascii="Arial" w:cs="Arial" w:eastAsia="Arial" w:hAnsi="Arial"/>
          <w:sz w:val="18"/>
          <w:szCs w:val="18"/>
          <w:color w:val="auto"/>
        </w:rPr>
        <w:t>— As of March 31, 2005, we had $496 million of outstanding tax-exempt project bonds. These debt instruments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our Wheelabrator Group to finance the development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right="120"/>
        <w:spacing w:after="0" w:line="302" w:lineRule="auto"/>
        <w:rPr>
          <w:sz w:val="20"/>
          <w:szCs w:val="20"/>
          <w:color w:val="auto"/>
        </w:rPr>
      </w:pPr>
      <w:r>
        <w:rPr>
          <w:rFonts w:ascii="Arial" w:cs="Arial" w:eastAsia="Arial" w:hAnsi="Arial"/>
          <w:sz w:val="16"/>
          <w:szCs w:val="16"/>
          <w:color w:val="auto"/>
        </w:rPr>
        <w:t>waste-to-energy facilities. The bonds generally require periodic principal installment payments. As of March 31 2005,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Approximately $92 million of these bonds will be repaid with either available cash or debt service funds within the next twelve months.</w:t>
      </w:r>
    </w:p>
    <w:p>
      <w:pPr>
        <w:spacing w:after="0" w:line="4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i w:val="1"/>
          <w:iCs w:val="1"/>
          <w:color w:val="auto"/>
        </w:rPr>
        <w:t xml:space="preserve">Convertible subordinated notes </w:t>
      </w:r>
      <w:r>
        <w:rPr>
          <w:rFonts w:ascii="Arial" w:cs="Arial" w:eastAsia="Arial" w:hAnsi="Arial"/>
          <w:sz w:val="18"/>
          <w:szCs w:val="18"/>
          <w:color w:val="auto"/>
        </w:rPr>
        <w:t>— We had $35 million of convertible subordinated notes that we repaid, with cash on hand, upon maturity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62" w:lineRule="exact"/>
        <w:rPr>
          <w:sz w:val="20"/>
          <w:szCs w:val="20"/>
          <w:color w:val="auto"/>
        </w:rPr>
      </w:pPr>
    </w:p>
    <w:p>
      <w:pPr>
        <w:ind w:right="100" w:firstLine="270"/>
        <w:spacing w:after="0" w:line="293"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 We manage the interest rate risk of our debt portfolio principally by using interest rate derivatives to achieve a desired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floating rate debt. As of March 31, 2005, the interest payments on $2.6 billion of our fixed rate debt have been swapped to variable rates, allowing us to maintain 62% of our debt at fixed interest rates and 38% at variable interest rates. Fair value hedge accounting for interest rate swap contracts increased the carrying value of debt instruments by $72 million at March 31, 2005 and $135 million as of December 31, 2004. Interest rate swap agreements reduced net interest expense by $16 million for the three months ended March 31, 2005 and by $24 million for the three months ended March 31, 2004. The significant terms of the interest rate contracts and the underlying debt instruments are identical and therefore no ineffectiveness has been realized.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our cash flows for the three months ended March 31, 2005 and 2004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We generated $508 million in cash flows from our operating activities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2005 compared with $470 million provided in the comparable prior year period, an increase of $38 million. In general, our current period operating cash flow was favorably affected by changes in working capital. On a quarter-over-quarter basis, trade and other receivables provided $48 million of additional operating cash flows in the current year. A significant portion of the current quarter decline in trade receivables can be attributed to the collection of receivables related to 2004 hurricane clean-up services. Additionally, we received $46 million in income tax refunds during the first quarter of 2005, an increase of $39 million over the comparable prior year period.</w:t>
      </w:r>
    </w:p>
    <w:p>
      <w:pPr>
        <w:spacing w:after="0" w:line="85"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We used $121 million of our cash resources for investing activities during the first quarter of 2005,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$380 million as compared with the first quarter of 2004. This decrease is primarily due to a $357 million change in net cash flows associated with purchases and sales of short-term investments. In 2005, net sales of short-term investments provided $10 million in cash, while net purchases of short-term investments were $347 million in the first quarter of 2004. As discussed below, during March 2004, we received $346 million in net proceeds from the issuance of senior notes. The funds provided by this borrowing were invested in short-term marketable securities until the funds were needed to repay debt obligations that matured during the second quarter of 2004.</w:t>
      </w:r>
    </w:p>
    <w:p>
      <w:pPr>
        <w:spacing w:after="0" w:line="85" w:lineRule="exact"/>
        <w:rPr>
          <w:sz w:val="20"/>
          <w:szCs w:val="20"/>
          <w:color w:val="auto"/>
        </w:rPr>
      </w:pPr>
    </w:p>
    <w:p>
      <w:pPr>
        <w:ind w:right="20" w:firstLine="260"/>
        <w:spacing w:after="0" w:line="259" w:lineRule="auto"/>
        <w:rPr>
          <w:sz w:val="20"/>
          <w:szCs w:val="20"/>
          <w:color w:val="auto"/>
        </w:rPr>
      </w:pPr>
      <w:r>
        <w:rPr>
          <w:rFonts w:ascii="Arial" w:cs="Arial" w:eastAsia="Arial" w:hAnsi="Arial"/>
          <w:sz w:val="18"/>
          <w:szCs w:val="18"/>
          <w:color w:val="auto"/>
        </w:rPr>
        <w:t>Also contributing to the current period decrease was a $75 million increase in proceeds from divestitures and other sales of assets, primarily attributable to the sale of one of our landfills in Ontario, Canada. A $25 million decrease in net receipts from restricted trust and escrow accounts and an $18 million increase in acquisition spending and capital expenditures, which went from $254 million in 2004 to $272 million in 2005, partially offset the declines in investing activities mentioned above.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right="80" w:firstLine="270"/>
        <w:spacing w:after="0" w:line="274" w:lineRule="auto"/>
        <w:rPr>
          <w:sz w:val="20"/>
          <w:szCs w:val="20"/>
          <w:color w:val="auto"/>
        </w:rPr>
      </w:pPr>
      <w:r>
        <w:rPr>
          <w:rFonts w:ascii="Arial" w:cs="Arial" w:eastAsia="Arial" w:hAnsi="Arial"/>
          <w:sz w:val="17"/>
          <w:szCs w:val="17"/>
          <w:i w:val="1"/>
          <w:iCs w:val="1"/>
          <w:color w:val="auto"/>
        </w:rPr>
        <w:t xml:space="preserve">Net Cash Provided by and Used in Financing Activities </w:t>
      </w:r>
      <w:r>
        <w:rPr>
          <w:rFonts w:ascii="Arial" w:cs="Arial" w:eastAsia="Arial" w:hAnsi="Arial"/>
          <w:sz w:val="17"/>
          <w:szCs w:val="17"/>
          <w:color w:val="auto"/>
        </w:rPr>
        <w:t>— The $579 million change in cash flows from financing activities is primarily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borrowings and debt repayments. During the first quarter of 2005, we repaid $118 million of outstanding debt obligations, an increase of</w:t>
      </w:r>
    </w:p>
    <w:p>
      <w:pPr>
        <w:ind w:right="200"/>
        <w:spacing w:after="0" w:line="261" w:lineRule="auto"/>
        <w:rPr>
          <w:sz w:val="20"/>
          <w:szCs w:val="20"/>
          <w:color w:val="auto"/>
        </w:rPr>
      </w:pPr>
      <w:r>
        <w:rPr>
          <w:rFonts w:ascii="Arial" w:cs="Arial" w:eastAsia="Arial" w:hAnsi="Arial"/>
          <w:sz w:val="18"/>
          <w:szCs w:val="18"/>
          <w:color w:val="auto"/>
        </w:rPr>
        <w:t>$109 million from the first quarter of 2004. Additionally, during March of 2004, we received $346 million in net proceeds from the issuance of 5.0% senior notes.</w:t>
      </w:r>
    </w:p>
    <w:p>
      <w:pPr>
        <w:spacing w:after="0" w:line="7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Cash paid for share repurchases increased $75 million, to $99 million during the first quarter of 2005 from $24 million during the corresponding prior year period. Our 2005 share repurchase activity is pursuant to a capital allocation program approved by our Board of Directors that provides management the authorization to purchase up to $1.2 billion, net of dividends paid, of common stock each year during 2005, 2006 and 2007. During the first quarter of 2005, we repurchased 3.5 million shares of our common stock for $102 million under this program. Approximately $3 million of the share repurchases completed in the first quarter of 2005 were settled in cash in April. Future share repurchases under this program will be made at the discretion of management, and will depend on various factors, including our net earnings, financial condition and projected cash requirements.</w:t>
      </w:r>
    </w:p>
    <w:p>
      <w:pPr>
        <w:spacing w:after="0" w:line="70" w:lineRule="exact"/>
        <w:rPr>
          <w:sz w:val="20"/>
          <w:szCs w:val="20"/>
          <w:color w:val="auto"/>
        </w:rPr>
      </w:pPr>
    </w:p>
    <w:p>
      <w:pPr>
        <w:ind w:right="320" w:firstLine="267"/>
        <w:spacing w:after="0" w:line="259" w:lineRule="auto"/>
        <w:rPr>
          <w:sz w:val="20"/>
          <w:szCs w:val="20"/>
          <w:color w:val="auto"/>
        </w:rPr>
      </w:pPr>
      <w:r>
        <w:rPr>
          <w:rFonts w:ascii="Arial" w:cs="Arial" w:eastAsia="Arial" w:hAnsi="Arial"/>
          <w:sz w:val="18"/>
          <w:szCs w:val="18"/>
          <w:color w:val="auto"/>
        </w:rPr>
        <w:t>The Board of Directors has also announced that it expects dividends to be $0.20 per share per quarter in 2005. On March 24, 2005, we paid our first quarterly dividend under this program to stockholders of record as of March 1, 2005 for an aggregate of $114 million. During the first quarter of 2004, we paid a $0.1875 per common share dividend resulting in an aggregate payment of $109 million. All future dividend declarations are at the discretion of the Board of Directors and depend on factors the Board deems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 xml:space="preserve">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8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period ended March 31, 2005 nor are they expected to have a material impact on our future financial position, results of operations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121"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revenues and results of operations typically reflect these seasonal trends. In addition, particularly harsh winter weather conditions may result in the temporary suspension of our operations, which can significantly affect the operating results of those periods. The operating results of our first quarter also often reflect higher repair and maintenance expenses because we schedule maintenance at our waste-to-energy facilities during the slower winter months.</w:t>
      </w:r>
    </w:p>
    <w:p>
      <w:pPr>
        <w:spacing w:after="0" w:line="50" w:lineRule="exact"/>
        <w:rPr>
          <w:sz w:val="20"/>
          <w:szCs w:val="20"/>
          <w:color w:val="auto"/>
        </w:rPr>
      </w:pPr>
    </w:p>
    <w:p>
      <w:pPr>
        <w:ind w:right="160" w:firstLine="267"/>
        <w:spacing w:after="0" w:line="312" w:lineRule="auto"/>
        <w:rPr>
          <w:sz w:val="20"/>
          <w:szCs w:val="20"/>
          <w:color w:val="auto"/>
        </w:rPr>
      </w:pPr>
      <w:r>
        <w:rPr>
          <w:rFonts w:ascii="Arial" w:cs="Arial" w:eastAsia="Arial" w:hAnsi="Arial"/>
          <w:sz w:val="16"/>
          <w:szCs w:val="16"/>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Effectiveness of Controls and Procedures</w:t>
      </w:r>
    </w:p>
    <w:p>
      <w:pPr>
        <w:spacing w:after="0" w:line="117"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left="360"/>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17"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We maintain a system of internal controls over financial reporting. In the first quarter of 2005, we changed certain of those controls by completing the implementation of a new enterprise-wide capital management system.</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300" w:firstLine="270"/>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Changes in Securities, Use of Proceeds and Issuer Purchases of Equity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October 2004, the Company announced that its Board of Directors approved a capital allocation program that included the authorization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billion of stock repurchases and dividend payments annually for each of 2005, 2006 and 2007. All of the common stock repurchases made in 2005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pursuant to that program. The following table summarizes our first quarter 2005 activity: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Issuer Purchases of Equity Securities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22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2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 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per</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22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May Yet be Purchased Under</w:t>
            </w:r>
          </w:p>
        </w:tc>
        <w:tc>
          <w:tcPr>
            <w:tcW w:w="0" w:type="dxa"/>
            <w:vAlign w:val="bottom"/>
          </w:tcPr>
          <w:p>
            <w:pPr>
              <w:spacing w:after="0"/>
              <w:rPr>
                <w:sz w:val="1"/>
                <w:szCs w:val="1"/>
                <w:color w:val="auto"/>
              </w:rPr>
            </w:pPr>
          </w:p>
        </w:tc>
      </w:tr>
      <w:tr>
        <w:trPr>
          <w:trHeight w:val="24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Share(a)</w:t>
            </w:r>
          </w:p>
        </w:tc>
        <w:tc>
          <w:tcPr>
            <w:tcW w:w="2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20" w:type="dxa"/>
            <w:vAlign w:val="bottom"/>
          </w:tcPr>
          <w:p>
            <w:pPr>
              <w:spacing w:after="0"/>
              <w:rPr>
                <w:sz w:val="20"/>
                <w:szCs w:val="20"/>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the Plans or Programs(b)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w:t>
            </w:r>
          </w:p>
        </w:tc>
        <w:tc>
          <w:tcPr>
            <w:tcW w:w="2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1,674,000</w:t>
            </w: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$29.04</w:t>
            </w:r>
          </w:p>
        </w:tc>
        <w:tc>
          <w:tcPr>
            <w:tcW w:w="220" w:type="dxa"/>
            <w:vAlign w:val="bottom"/>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1,674,000</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shd w:val="clear" w:color="auto" w:fill="CCEEFF"/>
          </w:tcPr>
          <w:p>
            <w:pPr>
              <w:jc w:val="center"/>
              <w:ind w:right="1110"/>
              <w:spacing w:after="0"/>
              <w:rPr>
                <w:sz w:val="20"/>
                <w:szCs w:val="20"/>
                <w:color w:val="auto"/>
              </w:rPr>
            </w:pPr>
            <w:r>
              <w:rPr>
                <w:rFonts w:ascii="Arial" w:cs="Arial" w:eastAsia="Arial" w:hAnsi="Arial"/>
                <w:sz w:val="18"/>
                <w:szCs w:val="18"/>
                <w:color w:val="auto"/>
                <w:w w:val="96"/>
              </w:rPr>
              <w:t>1,038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February 1 — 28</w:t>
            </w:r>
          </w:p>
        </w:tc>
        <w:tc>
          <w:tcPr>
            <w:tcW w:w="1620" w:type="dxa"/>
            <w:vAlign w:val="bottom"/>
            <w:gridSpan w:val="2"/>
          </w:tcPr>
          <w:p>
            <w:pPr>
              <w:jc w:val="right"/>
              <w:ind w:right="210"/>
              <w:spacing w:after="0"/>
              <w:rPr>
                <w:sz w:val="20"/>
                <w:szCs w:val="20"/>
                <w:color w:val="auto"/>
              </w:rPr>
            </w:pPr>
            <w:r>
              <w:rPr>
                <w:rFonts w:ascii="Arial" w:cs="Arial" w:eastAsia="Arial" w:hAnsi="Arial"/>
                <w:sz w:val="18"/>
                <w:szCs w:val="18"/>
                <w:color w:val="auto"/>
              </w:rPr>
              <w:t>1,054,791</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$29.73</w:t>
            </w:r>
          </w:p>
        </w:tc>
        <w:tc>
          <w:tcPr>
            <w:tcW w:w="2860" w:type="dxa"/>
            <w:vAlign w:val="bottom"/>
            <w:gridSpan w:val="2"/>
          </w:tcPr>
          <w:p>
            <w:pPr>
              <w:jc w:val="right"/>
              <w:ind w:right="830"/>
              <w:spacing w:after="0"/>
              <w:rPr>
                <w:sz w:val="20"/>
                <w:szCs w:val="20"/>
                <w:color w:val="auto"/>
              </w:rPr>
            </w:pPr>
            <w:r>
              <w:rPr>
                <w:rFonts w:ascii="Arial" w:cs="Arial" w:eastAsia="Arial" w:hAnsi="Arial"/>
                <w:sz w:val="18"/>
                <w:szCs w:val="18"/>
                <w:color w:val="auto"/>
              </w:rPr>
              <w:t>1,054,791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center"/>
              <w:ind w:right="1110"/>
              <w:spacing w:after="0"/>
              <w:rPr>
                <w:sz w:val="20"/>
                <w:szCs w:val="20"/>
                <w:color w:val="auto"/>
              </w:rPr>
            </w:pPr>
            <w:r>
              <w:rPr>
                <w:rFonts w:ascii="Arial" w:cs="Arial" w:eastAsia="Arial" w:hAnsi="Arial"/>
                <w:sz w:val="18"/>
                <w:szCs w:val="18"/>
                <w:color w:val="auto"/>
                <w:w w:val="96"/>
              </w:rPr>
              <w:t>1,006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March 1 — 31(c)</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743,361</w:t>
            </w:r>
          </w:p>
        </w:tc>
        <w:tc>
          <w:tcPr>
            <w:tcW w:w="15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$29.44</w:t>
            </w:r>
          </w:p>
        </w:tc>
        <w:tc>
          <w:tcPr>
            <w:tcW w:w="28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743,361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984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3,472,152</w:t>
            </w:r>
          </w:p>
        </w:tc>
        <w:tc>
          <w:tcPr>
            <w:tcW w:w="15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$29.33</w:t>
            </w:r>
          </w:p>
        </w:tc>
        <w:tc>
          <w:tcPr>
            <w:tcW w:w="28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3,472,152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60" w:hanging="222"/>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This amount represents the weighted average price paid per common share and includes a per share commission paid for all repurchases.</w:t>
      </w:r>
    </w:p>
    <w:p>
      <w:pPr>
        <w:spacing w:after="0" w:line="55" w:lineRule="exact"/>
        <w:rPr>
          <w:rFonts w:ascii="Arial" w:cs="Arial" w:eastAsia="Arial" w:hAnsi="Arial"/>
          <w:sz w:val="14"/>
          <w:szCs w:val="14"/>
          <w:color w:val="auto"/>
        </w:rPr>
      </w:pPr>
    </w:p>
    <w:p>
      <w:pPr>
        <w:ind w:left="460" w:right="20" w:hanging="222"/>
        <w:spacing w:after="0" w:line="231"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disclosure of the maximum approximate dollar value of shares yet to be purchased under the program is required by the SEC. These amounts are not necessarily an indication of the amount we intend to repurchase in the remainder of the year. The amount of capital available for share repurchases during 2005 is $1.2 billion, net of dividends paid. In the first quarter 2005, we declared and paid a cash dividend of $0.20 per share to stockholders of record as of March 1, 2005 for an aggregate payment of $114 million. The dollar value of shares yet to be purchased under the program included in the table above includes the effect of the first quarter dividend payment, but does not include the impact of any expected dividend payments in subsequent quarters in 2005.</w:t>
      </w:r>
    </w:p>
    <w:p>
      <w:pPr>
        <w:spacing w:after="0" w:line="35" w:lineRule="exact"/>
        <w:rPr>
          <w:rFonts w:ascii="Arial" w:cs="Arial" w:eastAsia="Arial" w:hAnsi="Arial"/>
          <w:sz w:val="14"/>
          <w:szCs w:val="14"/>
          <w:color w:val="auto"/>
        </w:rPr>
      </w:pPr>
    </w:p>
    <w:p>
      <w:pPr>
        <w:ind w:left="460" w:right="340" w:hanging="222"/>
        <w:spacing w:after="0" w:line="253"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Shares purchased in March 2005 include 103,200 shares purchased for an aggregate of $3 million pursuant to transactions entered into during the month that were not settled until April 2005.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20" w:type="dxa"/>
            <w:vAlign w:val="bottom"/>
          </w:tcPr>
          <w:p>
            <w:pPr>
              <w:spacing w:after="0"/>
              <w:rPr>
                <w:sz w:val="18"/>
                <w:szCs w:val="18"/>
                <w:color w:val="auto"/>
              </w:rPr>
            </w:pPr>
          </w:p>
        </w:tc>
        <w:tc>
          <w:tcPr>
            <w:tcW w:w="1980" w:type="dxa"/>
            <w:vAlign w:val="bottom"/>
          </w:tcPr>
          <w:p>
            <w:pPr>
              <w:ind w:left="880"/>
              <w:spacing w:after="0"/>
              <w:rPr>
                <w:sz w:val="20"/>
                <w:szCs w:val="20"/>
                <w:color w:val="auto"/>
              </w:rPr>
            </w:pPr>
            <w:r>
              <w:rPr>
                <w:rFonts w:ascii="Arial" w:cs="Arial" w:eastAsia="Arial" w:hAnsi="Arial"/>
                <w:sz w:val="18"/>
                <w:szCs w:val="18"/>
                <w:color w:val="auto"/>
              </w:rPr>
              <w:t>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2000" w:type="dxa"/>
            <w:vAlign w:val="bottom"/>
            <w:gridSpan w:val="2"/>
          </w:tcPr>
          <w:p>
            <w:pPr>
              <w:ind w:left="900"/>
              <w:spacing w:after="0"/>
              <w:rPr>
                <w:sz w:val="20"/>
                <w:szCs w:val="20"/>
                <w:color w:val="auto"/>
              </w:rPr>
            </w:pPr>
            <w:r>
              <w:rPr>
                <w:rFonts w:ascii="Arial" w:cs="Arial" w:eastAsia="Arial" w:hAnsi="Arial"/>
                <w:sz w:val="18"/>
                <w:szCs w:val="18"/>
                <w:color w:val="auto"/>
              </w:rPr>
              <w:t>31.1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Rule 15d — 14(a) under the Securities Exchange Act of 1934, as amended, of David P.</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r>
      <w:tr>
        <w:trPr>
          <w:trHeight w:val="216"/>
        </w:trPr>
        <w:tc>
          <w:tcPr>
            <w:tcW w:w="2000" w:type="dxa"/>
            <w:vAlign w:val="bottom"/>
            <w:gridSpan w:val="2"/>
          </w:tcPr>
          <w:p>
            <w:pPr>
              <w:ind w:left="900"/>
              <w:spacing w:after="0"/>
              <w:rPr>
                <w:sz w:val="20"/>
                <w:szCs w:val="20"/>
                <w:color w:val="auto"/>
              </w:rPr>
            </w:pPr>
            <w:r>
              <w:rPr>
                <w:rFonts w:ascii="Arial" w:cs="Arial" w:eastAsia="Arial" w:hAnsi="Arial"/>
                <w:sz w:val="18"/>
                <w:szCs w:val="18"/>
                <w:color w:val="auto"/>
              </w:rPr>
              <w:t>31.2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Robert G.</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2000" w:type="dxa"/>
            <w:vAlign w:val="bottom"/>
            <w:gridSpan w:val="2"/>
          </w:tcPr>
          <w:p>
            <w:pPr>
              <w:ind w:left="900"/>
              <w:spacing w:after="0"/>
              <w:rPr>
                <w:sz w:val="20"/>
                <w:szCs w:val="20"/>
                <w:color w:val="auto"/>
              </w:rPr>
            </w:pPr>
            <w:r>
              <w:rPr>
                <w:rFonts w:ascii="Arial" w:cs="Arial" w:eastAsia="Arial" w:hAnsi="Arial"/>
                <w:sz w:val="18"/>
                <w:szCs w:val="18"/>
                <w:color w:val="auto"/>
              </w:rPr>
              <w:t>32.1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16"/>
        </w:trPr>
        <w:tc>
          <w:tcPr>
            <w:tcW w:w="2000" w:type="dxa"/>
            <w:vAlign w:val="bottom"/>
            <w:gridSpan w:val="2"/>
          </w:tcPr>
          <w:p>
            <w:pPr>
              <w:ind w:left="900"/>
              <w:spacing w:after="0"/>
              <w:rPr>
                <w:sz w:val="20"/>
                <w:szCs w:val="20"/>
                <w:color w:val="auto"/>
              </w:rPr>
            </w:pPr>
            <w:r>
              <w:rPr>
                <w:rFonts w:ascii="Arial" w:cs="Arial" w:eastAsia="Arial" w:hAnsi="Arial"/>
                <w:sz w:val="18"/>
                <w:szCs w:val="18"/>
                <w:color w:val="auto"/>
              </w:rPr>
              <w:t>32.2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7"/>
              </w:rPr>
              <w:t>Certification Pursuant to 18 U.S.C. §1350 of Robert G. Simpson, Senior Vice President and Chief Financial</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Officer.</w:t>
            </w:r>
          </w:p>
        </w:tc>
      </w:tr>
      <w:tr>
        <w:trPr>
          <w:trHeight w:val="405"/>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0" w:type="dxa"/>
            <w:vAlign w:val="bottom"/>
            <w:gridSpan w:val="2"/>
          </w:tcPr>
          <w:p>
            <w:pPr>
              <w:ind w:left="2800"/>
              <w:spacing w:after="0"/>
              <w:rPr>
                <w:sz w:val="20"/>
                <w:szCs w:val="20"/>
                <w:color w:val="auto"/>
              </w:rPr>
            </w:pPr>
            <w:r>
              <w:rPr>
                <w:rFonts w:ascii="Arial" w:cs="Arial" w:eastAsia="Arial" w:hAnsi="Arial"/>
                <w:sz w:val="18"/>
                <w:szCs w:val="18"/>
                <w:color w:val="auto"/>
              </w:rPr>
              <w:t>42</w:t>
            </w:r>
          </w:p>
        </w:tc>
      </w:tr>
      <w:tr>
        <w:trPr>
          <w:trHeight w:val="226"/>
        </w:trPr>
        <w:tc>
          <w:tcPr>
            <w:tcW w:w="20" w:type="dxa"/>
            <w:vAlign w:val="bottom"/>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 S</w:t>
      </w:r>
      <w:r>
        <w:rPr>
          <w:rFonts w:ascii="Arial" w:cs="Arial" w:eastAsia="Arial" w:hAnsi="Arial"/>
          <w:sz w:val="12"/>
          <w:szCs w:val="12"/>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A. R</w:t>
      </w:r>
      <w:r>
        <w:rPr>
          <w:rFonts w:ascii="Arial" w:cs="Arial" w:eastAsia="Arial" w:hAnsi="Arial"/>
          <w:sz w:val="12"/>
          <w:szCs w:val="12"/>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58" w:right="10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60" w:type="dxa"/>
            <w:vAlign w:val="bottom"/>
          </w:tcPr>
          <w:p>
            <w:pPr>
              <w:ind w:left="22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47"/>
        </w:trPr>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21"/>
                <w:szCs w:val="21"/>
                <w:color w:val="auto"/>
              </w:rPr>
            </w:pPr>
          </w:p>
        </w:tc>
        <w:tc>
          <w:tcPr>
            <w:tcW w:w="8860" w:type="dxa"/>
            <w:vAlign w:val="bottom"/>
            <w:vMerge w:val="restart"/>
          </w:tcPr>
          <w:p>
            <w:pPr>
              <w:ind w:left="4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No.</w:t>
            </w:r>
          </w:p>
        </w:tc>
        <w:tc>
          <w:tcPr>
            <w:tcW w:w="128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79"/>
              </w:rPr>
              <w:t>12</w:t>
            </w:r>
          </w:p>
        </w:tc>
        <w:tc>
          <w:tcPr>
            <w:tcW w:w="5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31.1</w:t>
            </w:r>
          </w:p>
        </w:tc>
        <w:tc>
          <w:tcPr>
            <w:tcW w:w="1280" w:type="dxa"/>
            <w:vAlign w:val="bottom"/>
          </w:tcPr>
          <w:p>
            <w:pPr>
              <w:ind w:left="380"/>
              <w:spacing w:after="0"/>
              <w:rPr>
                <w:sz w:val="20"/>
                <w:szCs w:val="20"/>
                <w:color w:val="auto"/>
              </w:rPr>
            </w:pPr>
            <w:r>
              <w:rPr>
                <w:rFonts w:ascii="Arial" w:cs="Arial" w:eastAsia="Arial" w:hAnsi="Arial"/>
                <w:sz w:val="18"/>
                <w:szCs w:val="18"/>
                <w:color w:val="auto"/>
              </w:rPr>
              <w:t>—</w:t>
            </w:r>
          </w:p>
        </w:tc>
        <w:tc>
          <w:tcPr>
            <w:tcW w:w="8860" w:type="dxa"/>
            <w:vAlign w:val="bottom"/>
          </w:tcPr>
          <w:p>
            <w:pPr>
              <w:spacing w:after="0"/>
              <w:rPr>
                <w:sz w:val="20"/>
                <w:szCs w:val="20"/>
                <w:color w:val="auto"/>
              </w:rPr>
            </w:pPr>
            <w:r>
              <w:rPr>
                <w:rFonts w:ascii="Arial" w:cs="Arial" w:eastAsia="Arial" w:hAnsi="Arial"/>
                <w:sz w:val="18"/>
                <w:szCs w:val="18"/>
                <w:color w:val="auto"/>
                <w:w w:val="92"/>
              </w:rPr>
              <w:t>Certification Pursuant to Rule 15d — 14(a) under the Securities Exchange Act of 1934, as amended, of David P. Steiner,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31.2</w:t>
            </w:r>
          </w:p>
        </w:tc>
        <w:tc>
          <w:tcPr>
            <w:tcW w:w="1280" w:type="dxa"/>
            <w:vAlign w:val="bottom"/>
          </w:tcPr>
          <w:p>
            <w:pPr>
              <w:ind w:left="380"/>
              <w:spacing w:after="0"/>
              <w:rPr>
                <w:sz w:val="20"/>
                <w:szCs w:val="20"/>
                <w:color w:val="auto"/>
              </w:rPr>
            </w:pPr>
            <w:r>
              <w:rPr>
                <w:rFonts w:ascii="Arial" w:cs="Arial" w:eastAsia="Arial" w:hAnsi="Arial"/>
                <w:sz w:val="18"/>
                <w:szCs w:val="18"/>
                <w:color w:val="auto"/>
              </w:rPr>
              <w:t>—</w:t>
            </w:r>
          </w:p>
        </w:tc>
        <w:tc>
          <w:tcPr>
            <w:tcW w:w="8860" w:type="dxa"/>
            <w:vAlign w:val="bottom"/>
          </w:tcPr>
          <w:p>
            <w:pPr>
              <w:spacing w:after="0"/>
              <w:rPr>
                <w:sz w:val="20"/>
                <w:szCs w:val="20"/>
                <w:color w:val="auto"/>
              </w:rPr>
            </w:pPr>
            <w:r>
              <w:rPr>
                <w:rFonts w:ascii="Arial" w:cs="Arial" w:eastAsia="Arial" w:hAnsi="Arial"/>
                <w:sz w:val="18"/>
                <w:szCs w:val="18"/>
                <w:color w:val="auto"/>
                <w:w w:val="97"/>
              </w:rPr>
              <w:t>Certification Pursuant to Rule 15d — 14(a) under the Securities Exchange Act of 1934, as amended, of Robert G.</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Simpson, Senior Vice President and Chief Financial Officer.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32.1</w:t>
            </w:r>
          </w:p>
        </w:tc>
        <w:tc>
          <w:tcPr>
            <w:tcW w:w="1280" w:type="dxa"/>
            <w:vAlign w:val="bottom"/>
          </w:tcPr>
          <w:p>
            <w:pPr>
              <w:ind w:left="380"/>
              <w:spacing w:after="0"/>
              <w:rPr>
                <w:sz w:val="20"/>
                <w:szCs w:val="20"/>
                <w:color w:val="auto"/>
              </w:rPr>
            </w:pPr>
            <w:r>
              <w:rPr>
                <w:rFonts w:ascii="Arial" w:cs="Arial" w:eastAsia="Arial" w:hAnsi="Arial"/>
                <w:sz w:val="18"/>
                <w:szCs w:val="18"/>
                <w:color w:val="auto"/>
              </w:rPr>
              <w:t>—</w:t>
            </w:r>
          </w:p>
        </w:tc>
        <w:tc>
          <w:tcPr>
            <w:tcW w:w="8860" w:type="dxa"/>
            <w:vAlign w:val="bottom"/>
          </w:tcPr>
          <w:p>
            <w:pPr>
              <w:spacing w:after="0"/>
              <w:rPr>
                <w:sz w:val="20"/>
                <w:szCs w:val="20"/>
                <w:color w:val="auto"/>
              </w:rPr>
            </w:pPr>
            <w:r>
              <w:rPr>
                <w:rFonts w:ascii="Arial" w:cs="Arial" w:eastAsia="Arial" w:hAnsi="Arial"/>
                <w:sz w:val="18"/>
                <w:szCs w:val="18"/>
                <w:color w:val="auto"/>
              </w:rPr>
              <w:t>Certification Pursuant to 18 U.S.C. §1350 of David P. Steiner, Chief Executive Officer.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32.2</w:t>
            </w:r>
          </w:p>
        </w:tc>
        <w:tc>
          <w:tcPr>
            <w:tcW w:w="1280" w:type="dxa"/>
            <w:vAlign w:val="bottom"/>
          </w:tcPr>
          <w:p>
            <w:pPr>
              <w:ind w:left="380"/>
              <w:spacing w:after="0"/>
              <w:rPr>
                <w:sz w:val="20"/>
                <w:szCs w:val="20"/>
                <w:color w:val="auto"/>
              </w:rPr>
            </w:pPr>
            <w:r>
              <w:rPr>
                <w:rFonts w:ascii="Arial" w:cs="Arial" w:eastAsia="Arial" w:hAnsi="Arial"/>
                <w:sz w:val="18"/>
                <w:szCs w:val="18"/>
                <w:color w:val="auto"/>
              </w:rPr>
              <w:t>—</w:t>
            </w:r>
          </w:p>
        </w:tc>
        <w:tc>
          <w:tcPr>
            <w:tcW w:w="8860" w:type="dxa"/>
            <w:vAlign w:val="bottom"/>
          </w:tcPr>
          <w:p>
            <w:pPr>
              <w:spacing w:after="0"/>
              <w:rPr>
                <w:sz w:val="20"/>
                <w:szCs w:val="20"/>
                <w:color w:val="auto"/>
              </w:rPr>
            </w:pPr>
            <w:r>
              <w:rPr>
                <w:rFonts w:ascii="Arial" w:cs="Arial" w:eastAsia="Arial" w:hAnsi="Arial"/>
                <w:sz w:val="18"/>
                <w:szCs w:val="18"/>
                <w:color w:val="auto"/>
                <w:w w:val="96"/>
              </w:rPr>
              <w:t>Certification Pursuant to 18 U.S.C. §1350 of Robert G. Simpson, 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12</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jc w:val="center"/>
        <w:ind w:left="8260"/>
        <w:spacing w:after="0"/>
        <w:rPr>
          <w:sz w:val="20"/>
          <w:szCs w:val="20"/>
          <w:color w:val="auto"/>
        </w:rPr>
      </w:pPr>
      <w:r>
        <w:rPr>
          <w:rFonts w:ascii="Arial" w:cs="Arial" w:eastAsia="Arial" w:hAnsi="Arial"/>
          <w:sz w:val="14"/>
          <w:szCs w:val="14"/>
          <w:color w:val="auto"/>
        </w:rPr>
        <w:t>Three Months Ended</w:t>
      </w:r>
    </w:p>
    <w:p>
      <w:pPr>
        <w:jc w:val="center"/>
        <w:ind w:left="82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color w:val="auto"/>
              </w:rPr>
              <w:t>2005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2"/>
                <w:szCs w:val="12"/>
                <w:color w:val="auto"/>
              </w:rPr>
            </w:pPr>
          </w:p>
        </w:tc>
      </w:tr>
      <w:tr>
        <w:trPr>
          <w:trHeight w:val="195"/>
        </w:trPr>
        <w:tc>
          <w:tcPr>
            <w:tcW w:w="7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Income before income taxes, cumulative effect of changes in accounting principles, losses in equity</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and minority interests</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Fixed charges deducted from income:</w:t>
            </w: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23"/>
        </w:trPr>
        <w:tc>
          <w:tcPr>
            <w:tcW w:w="7780" w:type="dxa"/>
            <w:vAlign w:val="bottom"/>
          </w:tcPr>
          <w:p>
            <w:pPr>
              <w:ind w:left="220"/>
              <w:spacing w:after="0"/>
              <w:rPr>
                <w:sz w:val="20"/>
                <w:szCs w:val="20"/>
                <w:color w:val="auto"/>
              </w:rPr>
            </w:pPr>
            <w:r>
              <w:rPr>
                <w:rFonts w:ascii="Arial" w:cs="Arial" w:eastAsia="Arial" w:hAnsi="Arial"/>
                <w:sz w:val="18"/>
                <w:szCs w:val="18"/>
                <w:color w:val="auto"/>
              </w:rPr>
              <w:t>Implicit interest in rents</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16"/>
        </w:trPr>
        <w:tc>
          <w:tcPr>
            <w:tcW w:w="7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r>
      <w:tr>
        <w:trPr>
          <w:trHeight w:val="223"/>
        </w:trPr>
        <w:tc>
          <w:tcPr>
            <w:tcW w:w="7780" w:type="dxa"/>
            <w:vAlign w:val="bottom"/>
          </w:tcPr>
          <w:p>
            <w:pPr>
              <w:ind w:left="420"/>
              <w:spacing w:after="0"/>
              <w:rPr>
                <w:sz w:val="20"/>
                <w:szCs w:val="20"/>
                <w:color w:val="auto"/>
              </w:rPr>
            </w:pPr>
            <w:r>
              <w:rPr>
                <w:rFonts w:ascii="Arial" w:cs="Arial" w:eastAsia="Arial" w:hAnsi="Arial"/>
                <w:sz w:val="18"/>
                <w:szCs w:val="18"/>
                <w:color w:val="auto"/>
              </w:rPr>
              <w:t>Earnings available for fixed charges</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Capitalized interest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23"/>
        </w:trPr>
        <w:tc>
          <w:tcPr>
            <w:tcW w:w="7780" w:type="dxa"/>
            <w:vAlign w:val="bottom"/>
          </w:tcPr>
          <w:p>
            <w:pPr>
              <w:ind w:left="420"/>
              <w:spacing w:after="0"/>
              <w:rPr>
                <w:sz w:val="20"/>
                <w:szCs w:val="20"/>
                <w:color w:val="auto"/>
              </w:rPr>
            </w:pPr>
            <w:r>
              <w:rPr>
                <w:rFonts w:ascii="Arial" w:cs="Arial" w:eastAsia="Arial" w:hAnsi="Arial"/>
                <w:sz w:val="18"/>
                <w:szCs w:val="18"/>
                <w:color w:val="auto"/>
              </w:rPr>
              <w:t>Total fixed charges</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 x</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 x</w:t>
            </w:r>
          </w:p>
        </w:tc>
      </w:tr>
      <w:tr>
        <w:trPr>
          <w:trHeight w:val="20"/>
        </w:trPr>
        <w:tc>
          <w:tcPr>
            <w:tcW w:w="7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680" w:hanging="33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680" w:right="120" w:hanging="334"/>
        <w:spacing w:after="0" w:line="26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80" w:right="320" w:hanging="334"/>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80" w:right="240" w:hanging="334"/>
        <w:spacing w:after="0" w:line="291"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w:t>
      </w:r>
    </w:p>
    <w:p>
      <w:pPr>
        <w:ind w:left="680"/>
        <w:spacing w:after="0"/>
        <w:rPr>
          <w:rFonts w:ascii="Arial" w:cs="Arial" w:eastAsia="Arial" w:hAnsi="Arial"/>
          <w:sz w:val="16"/>
          <w:szCs w:val="16"/>
          <w:color w:val="auto"/>
        </w:rPr>
      </w:pPr>
      <w:r>
        <w:rPr>
          <w:rFonts w:ascii="Arial" w:cs="Arial" w:eastAsia="Arial" w:hAnsi="Arial"/>
          <w:sz w:val="18"/>
          <w:szCs w:val="18"/>
          <w:color w:val="auto"/>
        </w:rPr>
        <w:t>15d – 15 (f))for the registrant and have:</w:t>
      </w:r>
    </w:p>
    <w:p>
      <w:pPr>
        <w:spacing w:after="0" w:line="210" w:lineRule="exact"/>
        <w:rPr>
          <w:rFonts w:ascii="Arial" w:cs="Arial" w:eastAsia="Arial" w:hAnsi="Arial"/>
          <w:sz w:val="16"/>
          <w:szCs w:val="16"/>
          <w:color w:val="auto"/>
        </w:rPr>
      </w:pPr>
    </w:p>
    <w:p>
      <w:pPr>
        <w:jc w:val="both"/>
        <w:ind w:left="1020" w:right="220" w:hanging="337"/>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020" w:right="500" w:hanging="337"/>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0" w:hanging="337"/>
        <w:spacing w:after="0" w:line="342" w:lineRule="auto"/>
        <w:tabs>
          <w:tab w:leader="none" w:pos="10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220" w:hanging="337"/>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80" w:right="220" w:hanging="334"/>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020" w:right="60" w:hanging="337"/>
        <w:spacing w:after="0" w:line="277"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100" w:hanging="337"/>
        <w:spacing w:after="0" w:line="277"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225" w:lineRule="exact"/>
        <w:rPr>
          <w:sz w:val="20"/>
          <w:szCs w:val="20"/>
          <w:color w:val="auto"/>
        </w:rPr>
      </w:pPr>
    </w:p>
    <w:p>
      <w:pPr>
        <w:ind w:left="680" w:hanging="334"/>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680" w:right="120" w:hanging="334"/>
        <w:spacing w:after="0" w:line="26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80" w:right="320" w:hanging="334"/>
        <w:spacing w:after="0" w:line="342"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80" w:right="240" w:hanging="334"/>
        <w:spacing w:after="0" w:line="291"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w:t>
      </w:r>
    </w:p>
    <w:p>
      <w:pPr>
        <w:ind w:left="680"/>
        <w:spacing w:after="0"/>
        <w:rPr>
          <w:rFonts w:ascii="Arial" w:cs="Arial" w:eastAsia="Arial" w:hAnsi="Arial"/>
          <w:sz w:val="16"/>
          <w:szCs w:val="16"/>
          <w:color w:val="auto"/>
        </w:rPr>
      </w:pPr>
      <w:r>
        <w:rPr>
          <w:rFonts w:ascii="Arial" w:cs="Arial" w:eastAsia="Arial" w:hAnsi="Arial"/>
          <w:sz w:val="18"/>
          <w:szCs w:val="18"/>
          <w:color w:val="auto"/>
        </w:rPr>
        <w:t>15d – 15 (f)) for the registrant and have:</w:t>
      </w:r>
    </w:p>
    <w:p>
      <w:pPr>
        <w:spacing w:after="0" w:line="210" w:lineRule="exact"/>
        <w:rPr>
          <w:rFonts w:ascii="Arial" w:cs="Arial" w:eastAsia="Arial" w:hAnsi="Arial"/>
          <w:sz w:val="16"/>
          <w:szCs w:val="16"/>
          <w:color w:val="auto"/>
        </w:rPr>
      </w:pPr>
    </w:p>
    <w:p>
      <w:pPr>
        <w:jc w:val="both"/>
        <w:ind w:left="1020" w:right="220" w:hanging="337"/>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020" w:right="500" w:hanging="337"/>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0" w:hanging="337"/>
        <w:spacing w:after="0" w:line="342" w:lineRule="auto"/>
        <w:tabs>
          <w:tab w:leader="none" w:pos="10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220" w:hanging="337"/>
        <w:spacing w:after="0" w:line="264"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80" w:right="220" w:hanging="334"/>
        <w:spacing w:after="0" w:line="342"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020" w:right="60" w:hanging="337"/>
        <w:spacing w:after="0" w:line="27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100" w:hanging="337"/>
        <w:spacing w:after="0" w:line="27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2005 as filed with the Securities and Exchange Commission on the date hereof (the “Report”), I, David P. Steiner, Chief Executive Officer of the Company, certify, pursuant to 18 U.S.C. § 1350, as adopted pursuant to § 906 of the Sarbanes-Oxley Act of 2002, that:</w:t>
      </w:r>
    </w:p>
    <w:p>
      <w:pPr>
        <w:spacing w:after="0" w:line="141" w:lineRule="exact"/>
        <w:rPr>
          <w:sz w:val="20"/>
          <w:szCs w:val="20"/>
          <w:color w:val="auto"/>
        </w:rPr>
      </w:pPr>
    </w:p>
    <w:p>
      <w:pPr>
        <w:ind w:left="520" w:hanging="24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242"/>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April 28, 2005</w:t>
      </w:r>
    </w:p>
    <w:p>
      <w:pPr>
        <w:sectPr>
          <w:pgSz w:w="11900" w:h="16838" w:orient="portrait"/>
          <w:cols w:equalWidth="0" w:num="1">
            <w:col w:w="11420"/>
          </w:cols>
          <w:pgMar w:left="240" w:top="93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2005 as filed with the Securities and Exchange Commission on the date hereof (the “Report”), I, Robert G. Simpson, Chief Financial Officer of the Company, certify, pursuant to 18 U.S.C. § 1350, as adopted pursuant to § 906 of the Sarbanes-Oxley Act of 2002, that:</w:t>
      </w:r>
    </w:p>
    <w:p>
      <w:pPr>
        <w:spacing w:after="0" w:line="154" w:lineRule="exact"/>
        <w:rPr>
          <w:sz w:val="20"/>
          <w:szCs w:val="20"/>
          <w:color w:val="auto"/>
        </w:rPr>
      </w:pPr>
    </w:p>
    <w:p>
      <w:pPr>
        <w:ind w:left="520" w:hanging="24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520" w:hanging="24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April 28, 2005</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1."/>
      <w:numFmt w:val="decimal"/>
      <w:start w:val="3"/>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decimal"/>
      <w:start w:val="6"/>
    </w:lvl>
  </w:abstractNum>
  <w:abstractNum w:abstractNumId="12">
    <w:nsid w:val="189A769B"/>
    <w:multiLevelType w:val="hybridMultilevel"/>
    <w:lvl w:ilvl="0">
      <w:lvlJc w:val="left"/>
      <w:lvlText w:val="%1."/>
      <w:numFmt w:val="decimal"/>
      <w:start w:val="7"/>
    </w:lvl>
  </w:abstractNum>
  <w:abstractNum w:abstractNumId="13">
    <w:nsid w:val="54E49EB4"/>
    <w:multiLevelType w:val="hybridMultilevel"/>
    <w:lvl w:ilvl="0">
      <w:lvlJc w:val="left"/>
      <w:lvlText w:val="%1."/>
      <w:numFmt w:val="decimal"/>
      <w:start w:val="8"/>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9"/>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5"/>
    </w:lvl>
  </w:abstractNum>
  <w:abstractNum w:abstractNumId="19">
    <w:nsid w:val="8138641"/>
    <w:multiLevelType w:val="hybridMultilevel"/>
    <w:lvl w:ilvl="0">
      <w:lvlJc w:val="left"/>
      <w:lvlText w:val="%1"/>
      <w:numFmt w:val="decimal"/>
      <w:start w:val="1"/>
    </w:lvl>
    <w:lvl w:ilvl="1">
      <w:lvlJc w:val="left"/>
      <w:lvlText w:val="%2)"/>
      <w:numFmt w:val="lowerLetter"/>
      <w:start w:val="1"/>
    </w:lvl>
  </w:abstractNum>
  <w:abstractNum w:abstractNumId="20">
    <w:nsid w:val="1E7FF521"/>
    <w:multiLevelType w:val="hybridMultilevel"/>
    <w:lvl w:ilvl="0">
      <w:lvlJc w:val="left"/>
      <w:lvlText w:val="%1."/>
      <w:numFmt w:val="decimal"/>
      <w:start w:val="10"/>
    </w:lvl>
    <w:lvl w:ilvl="1">
      <w:lvlJc w:val="left"/>
      <w:lvlText w:val="%2"/>
      <w:numFmt w:val="lowerLetter"/>
      <w:start w:val="1"/>
    </w:lvl>
  </w:abstractNum>
  <w:abstractNum w:abstractNumId="21">
    <w:nsid w:val="7C3DBD3D"/>
    <w:multiLevelType w:val="hybridMultilevel"/>
    <w:lvl w:ilvl="0">
      <w:lvlJc w:val="left"/>
      <w:lvlText w:val="%1"/>
      <w:numFmt w:val="decimal"/>
      <w:start w:val="1"/>
    </w:lvl>
    <w:lvl w:ilvl="1">
      <w:lvlJc w:val="left"/>
      <w:lvlText w:val="%2)"/>
      <w:numFmt w:val="lowerLetter"/>
      <w:start w:val="1"/>
    </w:lvl>
  </w:abstractNum>
  <w:abstractNum w:abstractNumId="22">
    <w:nsid w:val="737B8DDC"/>
    <w:multiLevelType w:val="hybridMultilevel"/>
    <w:lvl w:ilvl="0">
      <w:lvlJc w:val="left"/>
      <w:lvlText w:val="%1."/>
      <w:numFmt w:val="decimal"/>
      <w:start w:val="11"/>
    </w:lvl>
    <w:lvl w:ilvl="1">
      <w:lvlJc w:val="left"/>
      <w:lvlText w:val="%2"/>
      <w:numFmt w:val="lowerLetter"/>
      <w:start w:val="1"/>
    </w:lvl>
  </w:abstractNum>
  <w:abstractNum w:abstractNumId="23">
    <w:nsid w:val="6CEAF087"/>
    <w:multiLevelType w:val="hybridMultilevel"/>
    <w:lvl w:ilvl="0">
      <w:lvlJc w:val="left"/>
      <w:lvlText w:val="%1."/>
      <w:numFmt w:val="decimal"/>
      <w:start w:val="1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
      <w:numFmt w:val="bullet"/>
      <w:start w:val="1"/>
    </w:lvl>
    <w:lvl w:ilvl="1">
      <w:lvlJc w:val="left"/>
      <w:lvlText w:val="(%2)"/>
      <w:numFmt w:val="lowerRoman"/>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5"/>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Roman"/>
      <w:start w:val="4"/>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2019-12-20T03:52:14Z</dcterms:created>
  <dcterms:modified xsi:type="dcterms:W3CDTF">2019-12-20T03:52:14Z</dcterms:modified>
</cp:coreProperties>
</file>