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5</w:t>
      </w:r>
    </w:p>
    <w:p>
      <w:pPr>
        <w:sectPr>
          <w:pgSz w:w="11900" w:h="16838" w:orient="portrait"/>
          <w:cols w:equalWidth="0" w:num="1">
            <w:col w:w="11520"/>
          </w:cols>
          <w:pgMar w:left="240" w:top="221" w:right="139" w:bottom="1440" w:gutter="0" w:footer="0" w:header="0"/>
        </w:sectPr>
      </w:pPr>
    </w:p>
    <w:p>
      <w:pPr>
        <w:spacing w:after="0" w:line="67"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5</w:t>
      </w:r>
    </w:p>
    <w:p>
      <w:pPr>
        <w:spacing w:after="0" w:line="13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56210"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210" cy="189230"/>
                    </a:xfrm>
                    <a:prstGeom prst="rect">
                      <a:avLst/>
                    </a:prstGeom>
                    <a:noFill/>
                  </pic:spPr>
                </pic:pic>
              </a:graphicData>
            </a:graphic>
          </wp:anchor>
        </w:drawing>
      </w:r>
    </w:p>
    <w:p>
      <w:pPr>
        <w:jc w:val="both"/>
        <w:ind w:left="360" w:right="340" w:hanging="279"/>
        <w:spacing w:after="0" w:line="180"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60960</wp:posOffset>
            </wp:positionV>
            <wp:extent cx="130810" cy="130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112"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79" w:lineRule="exact"/>
        <w:rPr>
          <w:sz w:val="24"/>
          <w:szCs w:val="24"/>
          <w:color w:val="auto"/>
        </w:rPr>
      </w:pPr>
    </w:p>
    <w:p>
      <w:pPr>
        <w:ind w:left="40"/>
        <w:spacing w:after="0"/>
        <w:rPr>
          <w:sz w:val="20"/>
          <w:szCs w:val="20"/>
          <w:color w:val="auto"/>
        </w:rPr>
      </w:pPr>
      <w:r>
        <w:rPr>
          <w:sz w:val="1"/>
          <w:szCs w:val="1"/>
          <w:color w:val="auto"/>
        </w:rPr>
        <w:drawing>
          <wp:inline distT="0" distB="0" distL="0" distR="0">
            <wp:extent cx="41910" cy="1892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910" cy="189230"/>
                    </a:xfrm>
                    <a:prstGeom prst="rect">
                      <a:avLst/>
                    </a:prstGeom>
                    <a:noFill/>
                    <a:ln>
                      <a:noFill/>
                    </a:ln>
                  </pic:spPr>
                </pic:pic>
              </a:graphicData>
            </a:graphic>
          </wp:inline>
        </w:drawing>
      </w:r>
      <w:r>
        <w:rPr>
          <w:rFonts w:ascii="Arial" w:cs="Arial" w:eastAsia="Arial" w:hAnsi="Arial"/>
          <w:sz w:val="17"/>
          <w:szCs w:val="17"/>
          <w:color w:val="0000FF"/>
          <w:highlight w:val="white"/>
        </w:rPr>
        <w:t>X</w:t>
      </w:r>
      <w:r>
        <w:rPr>
          <w:sz w:val="1"/>
          <w:szCs w:val="1"/>
          <w:color w:val="auto"/>
        </w:rPr>
        <w:drawing>
          <wp:inline distT="0" distB="0" distL="0" distR="0">
            <wp:extent cx="41910" cy="189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910" cy="189230"/>
                    </a:xfrm>
                    <a:prstGeom prst="rect">
                      <a:avLst/>
                    </a:prstGeom>
                    <a:noFill/>
                    <a:ln>
                      <a:noFill/>
                    </a:ln>
                  </pic:spPr>
                </pic:pic>
              </a:graphicData>
            </a:graphic>
          </wp:inline>
        </w:drawing>
      </w:r>
      <w:r>
        <w:rPr>
          <w:rFonts w:ascii="Arial" w:cs="Arial" w:eastAsia="Arial" w:hAnsi="Arial"/>
          <w:sz w:val="12"/>
          <w:szCs w:val="12"/>
          <w:color w:val="auto"/>
        </w:rPr>
        <w:t xml:space="preserve">  Form 4 Transactions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-175895</wp:posOffset>
            </wp:positionV>
            <wp:extent cx="130810" cy="163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810" cy="163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4215130</wp:posOffset>
            </wp:positionH>
            <wp:positionV relativeFrom="paragraph">
              <wp:posOffset>-55245</wp:posOffset>
            </wp:positionV>
            <wp:extent cx="1393825" cy="64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3825" cy="640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6700" w:type="dxa"/>
            <w:vAlign w:val="bottom"/>
          </w:tcPr>
          <w:p>
            <w:pPr>
              <w:jc w:val="center"/>
              <w:ind w:right="136"/>
              <w:spacing w:after="0"/>
              <w:rPr>
                <w:sz w:val="20"/>
                <w:szCs w:val="20"/>
                <w:color w:val="auto"/>
              </w:rPr>
            </w:pPr>
            <w:r>
              <w:rPr>
                <w:rFonts w:ascii="Arial" w:cs="Arial" w:eastAsia="Arial" w:hAnsi="Arial"/>
                <w:sz w:val="13"/>
                <w:szCs w:val="13"/>
                <w:color w:val="auto"/>
                <w:w w:val="98"/>
              </w:rPr>
              <w:t>Washington, D.C. 20549</w:t>
            </w:r>
          </w:p>
        </w:tc>
        <w:tc>
          <w:tcPr>
            <w:tcW w:w="2080" w:type="dxa"/>
            <w:vAlign w:val="bottom"/>
            <w:tcBorders>
              <w:bottom w:val="single" w:sz="8" w:color="808080"/>
            </w:tcBorders>
            <w:gridSpan w:val="2"/>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ANNUAL STATEMENT OF CHANGES IN BENEFICIAL OWNERSHIP</w:t>
            </w:r>
          </w:p>
        </w:tc>
        <w:tc>
          <w:tcPr>
            <w:tcW w:w="14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w w:val="94"/>
              </w:rPr>
              <w:t>3235-0362</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70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480"/>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right="2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81280</wp:posOffset>
            </wp:positionV>
            <wp:extent cx="7325995" cy="4049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5995" cy="40493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260" w:space="300"/>
            <w:col w:w="8960"/>
          </w:cols>
          <w:pgMar w:left="240" w:top="221" w:right="1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STEINER DAVID P</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0000FF"/>
              </w:rPr>
              <w:t>1001 FANNIN STREET</w:t>
            </w:r>
          </w:p>
        </w:tc>
        <w:tc>
          <w:tcPr>
            <w:tcW w:w="17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r>
      <w:tr>
        <w:trPr>
          <w:trHeight w:val="18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6">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Statement for Issuer's Fiscal Year Ended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12/31/2016</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4" w:right="740" w:hanging="4"/>
        <w:spacing w:after="0" w:line="238" w:lineRule="auto"/>
        <w:tabs>
          <w:tab w:leader="none" w:pos="14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04"/>
        <w:spacing w:after="0"/>
        <w:rPr>
          <w:sz w:val="20"/>
          <w:szCs w:val="20"/>
          <w:color w:val="auto"/>
        </w:rPr>
      </w:pPr>
      <w:r>
        <w:rPr>
          <w:rFonts w:ascii="Arial" w:cs="Arial" w:eastAsia="Arial" w:hAnsi="Arial"/>
          <w:sz w:val="17"/>
          <w:szCs w:val="17"/>
          <w:color w:val="0000FF"/>
        </w:rPr>
        <w:t>President and CEO</w:t>
      </w:r>
    </w:p>
    <w:p>
      <w:pPr>
        <w:spacing w:after="0" w:line="484" w:lineRule="exact"/>
        <w:rPr>
          <w:sz w:val="24"/>
          <w:szCs w:val="24"/>
          <w:color w:val="auto"/>
        </w:rPr>
      </w:pPr>
    </w:p>
    <w:p>
      <w:pPr>
        <w:sectPr>
          <w:pgSz w:w="11900" w:h="16838" w:orient="portrait"/>
          <w:cols w:equalWidth="0" w:num="3">
            <w:col w:w="3920" w:space="140"/>
            <w:col w:w="3520" w:space="476"/>
            <w:col w:w="3464"/>
          </w:cols>
          <w:pgMar w:left="240" w:top="221" w:right="139" w:bottom="1440" w:gutter="0" w:footer="0" w:header="0"/>
          <w:type w:val="continuous"/>
        </w:sectPr>
      </w:pPr>
    </w:p>
    <w:p>
      <w:pPr>
        <w:spacing w:after="0" w:line="94"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700" w:type="dxa"/>
            <w:vAlign w:val="bottom"/>
          </w:tcPr>
          <w:p>
            <w:pPr>
              <w:ind w:left="460"/>
              <w:spacing w:after="0"/>
              <w:rPr>
                <w:sz w:val="20"/>
                <w:szCs w:val="20"/>
                <w:color w:val="auto"/>
              </w:rPr>
            </w:pPr>
            <w:r>
              <w:rPr>
                <w:rFonts w:ascii="Arial" w:cs="Arial" w:eastAsia="Arial" w:hAnsi="Arial"/>
                <w:sz w:val="17"/>
                <w:szCs w:val="17"/>
                <w:color w:val="0000FF"/>
              </w:rPr>
              <w:t>77002</w:t>
            </w:r>
          </w:p>
        </w:tc>
      </w:tr>
      <w:tr>
        <w:trPr>
          <w:trHeight w:val="149"/>
        </w:trPr>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96"/>
        </w:trPr>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180" w:hanging="4197"/>
        <w:spacing w:after="0" w:line="30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 xml:space="preserve">6. Individual or Joint/Group Filing (Check Applicable Line) </w:t>
      </w: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p>
      <w:pPr>
        <w:spacing w:after="0" w:line="11" w:lineRule="exact"/>
        <w:rPr>
          <w:sz w:val="24"/>
          <w:szCs w:val="24"/>
          <w:color w:val="auto"/>
        </w:rPr>
      </w:pPr>
    </w:p>
    <w:p>
      <w:pPr>
        <w:ind w:left="560"/>
        <w:spacing w:after="0"/>
        <w:rPr>
          <w:sz w:val="20"/>
          <w:szCs w:val="20"/>
          <w:color w:val="auto"/>
        </w:rPr>
      </w:pPr>
      <w:r>
        <w:rPr>
          <w:rFonts w:ascii="Arial" w:cs="Arial" w:eastAsia="Arial" w:hAnsi="Arial"/>
          <w:sz w:val="13"/>
          <w:szCs w:val="13"/>
          <w:color w:val="auto"/>
        </w:rPr>
        <w:t>Form filed by More than One Reporting Person</w:t>
      </w:r>
    </w:p>
    <w:p>
      <w:pPr>
        <w:spacing w:after="0" w:line="349" w:lineRule="exact"/>
        <w:rPr>
          <w:sz w:val="24"/>
          <w:szCs w:val="24"/>
          <w:color w:val="auto"/>
        </w:rPr>
      </w:pPr>
    </w:p>
    <w:p>
      <w:pPr>
        <w:sectPr>
          <w:pgSz w:w="11900" w:h="16838" w:orient="portrait"/>
          <w:cols w:equalWidth="0" w:num="2">
            <w:col w:w="7340" w:space="720"/>
            <w:col w:w="346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 (Instr. 3, 4 and 5)</w:t>
            </w:r>
          </w:p>
        </w:tc>
        <w:tc>
          <w:tcPr>
            <w:tcW w:w="98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0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Beneficially Owned</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(Month/Day/Year)</w:t>
            </w:r>
          </w:p>
        </w:tc>
        <w:tc>
          <w:tcPr>
            <w:tcW w:w="78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8)</w:t>
            </w:r>
          </w:p>
        </w:tc>
        <w:tc>
          <w:tcPr>
            <w:tcW w:w="820" w:type="dxa"/>
            <w:vAlign w:val="bottom"/>
          </w:tcPr>
          <w:p>
            <w:pPr>
              <w:spacing w:after="0"/>
              <w:rPr>
                <w:sz w:val="8"/>
                <w:szCs w:val="8"/>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980" w:type="dxa"/>
            <w:vAlign w:val="bottom"/>
          </w:tcPr>
          <w:p>
            <w:pPr>
              <w:spacing w:after="0"/>
              <w:rPr>
                <w:sz w:val="8"/>
                <w:szCs w:val="8"/>
                <w:color w:val="auto"/>
              </w:rPr>
            </w:pPr>
          </w:p>
        </w:tc>
        <w:tc>
          <w:tcPr>
            <w:tcW w:w="1200" w:type="dxa"/>
            <w:vAlign w:val="bottom"/>
          </w:tcPr>
          <w:p>
            <w:pPr>
              <w:ind w:left="80"/>
              <w:spacing w:after="0" w:line="101" w:lineRule="exact"/>
              <w:rPr>
                <w:sz w:val="20"/>
                <w:szCs w:val="20"/>
                <w:color w:val="auto"/>
              </w:rPr>
            </w:pPr>
            <w:r>
              <w:rPr>
                <w:rFonts w:ascii="Arial" w:cs="Arial" w:eastAsia="Arial" w:hAnsi="Arial"/>
                <w:sz w:val="10"/>
                <w:szCs w:val="10"/>
                <w:b w:val="1"/>
                <w:bCs w:val="1"/>
                <w:color w:val="auto"/>
              </w:rPr>
              <w:t>at end of Issuer's</w:t>
            </w:r>
          </w:p>
        </w:tc>
        <w:tc>
          <w:tcPr>
            <w:tcW w:w="900" w:type="dxa"/>
            <w:vAlign w:val="bottom"/>
          </w:tcPr>
          <w:p>
            <w:pPr>
              <w:ind w:left="80"/>
              <w:spacing w:after="0" w:line="101" w:lineRule="exact"/>
              <w:rPr>
                <w:sz w:val="20"/>
                <w:szCs w:val="20"/>
                <w:color w:val="auto"/>
              </w:rPr>
            </w:pPr>
            <w:r>
              <w:rPr>
                <w:rFonts w:ascii="Arial" w:cs="Arial" w:eastAsia="Arial" w:hAnsi="Arial"/>
                <w:sz w:val="10"/>
                <w:szCs w:val="10"/>
                <w:b w:val="1"/>
                <w:bCs w:val="1"/>
                <w:color w:val="auto"/>
              </w:rPr>
              <w:t>(I) (Instr. 4)</w:t>
            </w:r>
          </w:p>
        </w:tc>
        <w:tc>
          <w:tcPr>
            <w:tcW w:w="100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Ownership</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vMerge w:val="continue"/>
          </w:tcPr>
          <w:p>
            <w:pPr>
              <w:spacing w:after="0"/>
              <w:rPr>
                <w:sz w:val="7"/>
                <w:szCs w:val="7"/>
                <w:color w:val="auto"/>
              </w:rPr>
            </w:pPr>
          </w:p>
        </w:tc>
        <w:tc>
          <w:tcPr>
            <w:tcW w:w="9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Fiscal Year (Instr. 3</w:t>
            </w:r>
          </w:p>
        </w:tc>
        <w:tc>
          <w:tcPr>
            <w:tcW w:w="900" w:type="dxa"/>
            <w:vAlign w:val="bottom"/>
          </w:tcPr>
          <w:p>
            <w:pPr>
              <w:spacing w:after="0"/>
              <w:rPr>
                <w:sz w:val="7"/>
                <w:szCs w:val="7"/>
                <w:color w:val="auto"/>
              </w:rPr>
            </w:pP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and 4)</w:t>
            </w: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0.0000</w:t>
            </w:r>
          </w:p>
        </w:tc>
        <w:tc>
          <w:tcPr>
            <w:tcW w:w="1080" w:type="dxa"/>
            <w:vAlign w:val="bottom"/>
            <w:vMerge w:val="restart"/>
          </w:tcPr>
          <w:p>
            <w:pPr>
              <w:jc w:val="right"/>
              <w:ind w:right="180"/>
              <w:spacing w:after="0" w:line="138" w:lineRule="exact"/>
              <w:rPr>
                <w:sz w:val="20"/>
                <w:szCs w:val="20"/>
                <w:color w:val="auto"/>
              </w:rPr>
            </w:pPr>
            <w:r>
              <w:rPr>
                <w:rFonts w:ascii="Arial" w:cs="Arial" w:eastAsia="Arial" w:hAnsi="Arial"/>
                <w:sz w:val="13"/>
                <w:szCs w:val="13"/>
                <w:color w:val="0000FF"/>
              </w:rPr>
              <w:t>12/01/2016</w:t>
            </w:r>
          </w:p>
        </w:tc>
        <w:tc>
          <w:tcPr>
            <w:tcW w:w="1100" w:type="dxa"/>
            <w:vAlign w:val="bottom"/>
          </w:tcPr>
          <w:p>
            <w:pPr>
              <w:spacing w:after="0"/>
              <w:rPr>
                <w:sz w:val="6"/>
                <w:szCs w:val="6"/>
                <w:color w:val="auto"/>
              </w:rPr>
            </w:pPr>
          </w:p>
        </w:tc>
        <w:tc>
          <w:tcPr>
            <w:tcW w:w="780" w:type="dxa"/>
            <w:vAlign w:val="bottom"/>
            <w:vMerge w:val="restart"/>
          </w:tcPr>
          <w:p>
            <w:pPr>
              <w:ind w:left="320"/>
              <w:spacing w:after="0" w:line="138" w:lineRule="exact"/>
              <w:rPr>
                <w:sz w:val="20"/>
                <w:szCs w:val="20"/>
                <w:color w:val="auto"/>
              </w:rPr>
            </w:pPr>
            <w:r>
              <w:rPr>
                <w:rFonts w:ascii="Arial" w:cs="Arial" w:eastAsia="Arial" w:hAnsi="Arial"/>
                <w:sz w:val="13"/>
                <w:szCs w:val="13"/>
                <w:color w:val="0000FF"/>
              </w:rPr>
              <w:t>4C</w:t>
            </w:r>
          </w:p>
        </w:tc>
        <w:tc>
          <w:tcPr>
            <w:tcW w:w="108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w w:val="96"/>
              </w:rPr>
              <w:t>10,360.5657</w:t>
            </w:r>
          </w:p>
        </w:tc>
        <w:tc>
          <w:tcPr>
            <w:tcW w:w="780" w:type="dxa"/>
            <w:vAlign w:val="bottom"/>
            <w:vMerge w:val="restart"/>
          </w:tcPr>
          <w:p>
            <w:pPr>
              <w:ind w:left="100"/>
              <w:spacing w:after="0" w:line="138" w:lineRule="exact"/>
              <w:rPr>
                <w:sz w:val="20"/>
                <w:szCs w:val="20"/>
                <w:color w:val="auto"/>
              </w:rPr>
            </w:pPr>
            <w:r>
              <w:rPr>
                <w:rFonts w:ascii="Arial" w:cs="Arial" w:eastAsia="Arial" w:hAnsi="Arial"/>
                <w:sz w:val="13"/>
                <w:szCs w:val="13"/>
                <w:color w:val="0000FF"/>
              </w:rPr>
              <w:t>08/08/1988</w:t>
            </w: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8"/>
              </w:rPr>
              <w:t>08/08/1988</w:t>
            </w:r>
          </w:p>
        </w:tc>
        <w:tc>
          <w:tcPr>
            <w:tcW w:w="620" w:type="dxa"/>
            <w:vAlign w:val="bottom"/>
            <w:vMerge w:val="continue"/>
          </w:tcPr>
          <w:p>
            <w:pPr>
              <w:spacing w:after="0"/>
              <w:rPr>
                <w:sz w:val="6"/>
                <w:szCs w:val="6"/>
                <w:color w:val="auto"/>
              </w:rPr>
            </w:pPr>
          </w:p>
        </w:tc>
        <w:tc>
          <w:tcPr>
            <w:tcW w:w="7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6"/>
              </w:rPr>
              <w:t>10,360.5657</w:t>
            </w: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69.29</w:t>
            </w:r>
          </w:p>
        </w:tc>
        <w:tc>
          <w:tcPr>
            <w:tcW w:w="940" w:type="dxa"/>
            <w:vAlign w:val="bottom"/>
            <w:vMerge w:val="restart"/>
          </w:tcPr>
          <w:p>
            <w:pPr>
              <w:ind w:left="120"/>
              <w:spacing w:after="0" w:line="138" w:lineRule="exact"/>
              <w:rPr>
                <w:sz w:val="20"/>
                <w:szCs w:val="20"/>
                <w:color w:val="auto"/>
              </w:rPr>
            </w:pPr>
            <w:r>
              <w:rPr>
                <w:rFonts w:ascii="Arial" w:cs="Arial" w:eastAsia="Arial" w:hAnsi="Arial"/>
                <w:sz w:val="13"/>
                <w:szCs w:val="13"/>
                <w:color w:val="0000FF"/>
              </w:rPr>
              <w:t>108,489.2204</w:t>
            </w:r>
          </w:p>
        </w:tc>
        <w:tc>
          <w:tcPr>
            <w:tcW w:w="740" w:type="dxa"/>
            <w:vAlign w:val="bottom"/>
            <w:vMerge w:val="restart"/>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6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16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Steiner has allocated deferred compensation under the Company's 409A Deferral Savings Plan into an account that mirrors the Company's 401(k) Waste Management, Inc. stock fund, although the amounts are not actually invested in stock or funds. This form reports a cash distribution that was automatically triggered by Mr. Steiner's separation from service on November 10, 2016, reducing his phantom stock holdings. Mr. Steiner did not receive prior notice or consultation with respect to the distribution.</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David P. Steiner</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02/01/2017</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www.sec.gov/cgi-bin/browse-edgar?action=getcompany&amp;CIK=0001197040" TargetMode="External"/><Relationship Id="rId16"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2019-12-24T05:48:29Z</dcterms:created>
  <dcterms:modified xsi:type="dcterms:W3CDTF">2019-12-24T05:48:29Z</dcterms:modified>
</cp:coreProperties>
</file>